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26385A55" w:rsidR="002660B1" w:rsidRPr="0021716D"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1716D">
        <w:rPr>
          <w:rFonts w:asciiTheme="minorHAnsi" w:hAnsiTheme="minorHAnsi" w:cstheme="minorHAnsi"/>
          <w:bCs/>
          <w:szCs w:val="20"/>
          <w:lang w:val="es-ES_tradnl"/>
        </w:rPr>
        <w:t>CONVEN</w:t>
      </w:r>
      <w:r w:rsidR="00B149E4" w:rsidRPr="0021716D">
        <w:rPr>
          <w:rFonts w:asciiTheme="minorHAnsi" w:hAnsiTheme="minorHAnsi" w:cstheme="minorHAnsi"/>
          <w:bCs/>
          <w:szCs w:val="20"/>
          <w:lang w:val="es-ES_tradnl"/>
        </w:rPr>
        <w:t>CIÓN SOBRE LOS HUMEDALES</w:t>
      </w:r>
      <w:r w:rsidR="002A65F4" w:rsidRPr="0021716D">
        <w:rPr>
          <w:rFonts w:asciiTheme="minorHAnsi" w:hAnsiTheme="minorHAnsi" w:cstheme="minorHAnsi"/>
          <w:bCs/>
          <w:szCs w:val="20"/>
          <w:lang w:val="es-ES_tradnl"/>
        </w:rPr>
        <w:t xml:space="preserve"> </w:t>
      </w:r>
      <w:r w:rsidRPr="0021716D">
        <w:rPr>
          <w:rFonts w:asciiTheme="minorHAnsi" w:hAnsiTheme="minorHAnsi" w:cstheme="minorHAnsi"/>
          <w:bCs/>
          <w:szCs w:val="20"/>
          <w:lang w:val="es-ES_tradnl"/>
        </w:rPr>
        <w:t>(Ramsar,</w:t>
      </w:r>
      <w:r w:rsidR="002A65F4" w:rsidRPr="0021716D">
        <w:rPr>
          <w:rFonts w:asciiTheme="minorHAnsi" w:hAnsiTheme="minorHAnsi" w:cstheme="minorHAnsi"/>
          <w:bCs/>
          <w:szCs w:val="20"/>
          <w:lang w:val="es-ES_tradnl"/>
        </w:rPr>
        <w:t xml:space="preserve"> </w:t>
      </w:r>
      <w:r w:rsidRPr="0021716D">
        <w:rPr>
          <w:rFonts w:asciiTheme="minorHAnsi" w:hAnsiTheme="minorHAnsi" w:cstheme="minorHAnsi"/>
          <w:bCs/>
          <w:szCs w:val="20"/>
          <w:lang w:val="es-ES_tradnl"/>
        </w:rPr>
        <w:t>Ir</w:t>
      </w:r>
      <w:r w:rsidR="00B149E4" w:rsidRPr="0021716D">
        <w:rPr>
          <w:rFonts w:asciiTheme="minorHAnsi" w:hAnsiTheme="minorHAnsi" w:cstheme="minorHAnsi"/>
          <w:bCs/>
          <w:szCs w:val="20"/>
          <w:lang w:val="es-ES_tradnl"/>
        </w:rPr>
        <w:t>á</w:t>
      </w:r>
      <w:r w:rsidRPr="0021716D">
        <w:rPr>
          <w:rFonts w:asciiTheme="minorHAnsi" w:hAnsiTheme="minorHAnsi" w:cstheme="minorHAnsi"/>
          <w:bCs/>
          <w:szCs w:val="20"/>
          <w:lang w:val="es-ES_tradnl"/>
        </w:rPr>
        <w:t>n,</w:t>
      </w:r>
      <w:r w:rsidR="002A65F4" w:rsidRPr="0021716D">
        <w:rPr>
          <w:rFonts w:asciiTheme="minorHAnsi" w:hAnsiTheme="minorHAnsi" w:cstheme="minorHAnsi"/>
          <w:bCs/>
          <w:szCs w:val="20"/>
          <w:lang w:val="es-ES_tradnl"/>
        </w:rPr>
        <w:t xml:space="preserve"> </w:t>
      </w:r>
      <w:r w:rsidRPr="0021716D">
        <w:rPr>
          <w:rFonts w:asciiTheme="minorHAnsi" w:hAnsiTheme="minorHAnsi" w:cstheme="minorHAnsi"/>
          <w:bCs/>
          <w:szCs w:val="20"/>
          <w:lang w:val="es-ES_tradnl"/>
        </w:rPr>
        <w:t>1971)</w:t>
      </w:r>
    </w:p>
    <w:p w14:paraId="0B39F79B" w14:textId="40FC649B" w:rsidR="002660B1" w:rsidRPr="0021716D" w:rsidRDefault="00BA510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1716D">
        <w:rPr>
          <w:rFonts w:asciiTheme="minorHAnsi" w:hAnsiTheme="minorHAnsi" w:cstheme="minorHAnsi"/>
          <w:bCs/>
          <w:szCs w:val="20"/>
          <w:lang w:val="es-ES_tradnl"/>
        </w:rPr>
        <w:t>51</w:t>
      </w:r>
      <w:r w:rsidR="00B149E4" w:rsidRPr="0021716D">
        <w:rPr>
          <w:rFonts w:asciiTheme="minorHAnsi" w:hAnsiTheme="minorHAnsi" w:cstheme="minorHAnsi"/>
          <w:bCs/>
          <w:szCs w:val="20"/>
          <w:lang w:val="es-ES_tradnl"/>
        </w:rPr>
        <w:t>ª Reunión del Comité Permanente</w:t>
      </w:r>
    </w:p>
    <w:p w14:paraId="49DCBC31" w14:textId="3A9528C5" w:rsidR="002660B1" w:rsidRPr="0021716D"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1716D">
        <w:rPr>
          <w:rFonts w:asciiTheme="minorHAnsi" w:hAnsiTheme="minorHAnsi" w:cstheme="minorHAnsi"/>
          <w:bCs/>
          <w:szCs w:val="20"/>
          <w:lang w:val="es-ES_tradnl"/>
        </w:rPr>
        <w:t>Gland,</w:t>
      </w:r>
      <w:r w:rsidR="002A65F4" w:rsidRPr="0021716D">
        <w:rPr>
          <w:rFonts w:asciiTheme="minorHAnsi" w:hAnsiTheme="minorHAnsi" w:cstheme="minorHAnsi"/>
          <w:bCs/>
          <w:szCs w:val="20"/>
          <w:lang w:val="es-ES_tradnl"/>
        </w:rPr>
        <w:t xml:space="preserve"> </w:t>
      </w:r>
      <w:r w:rsidRPr="0021716D">
        <w:rPr>
          <w:rFonts w:asciiTheme="minorHAnsi" w:hAnsiTheme="minorHAnsi" w:cstheme="minorHAnsi"/>
          <w:bCs/>
          <w:szCs w:val="20"/>
          <w:lang w:val="es-ES_tradnl"/>
        </w:rPr>
        <w:t>S</w:t>
      </w:r>
      <w:r w:rsidR="00B149E4" w:rsidRPr="0021716D">
        <w:rPr>
          <w:rFonts w:asciiTheme="minorHAnsi" w:hAnsiTheme="minorHAnsi" w:cstheme="minorHAnsi"/>
          <w:bCs/>
          <w:szCs w:val="20"/>
          <w:lang w:val="es-ES_tradnl"/>
        </w:rPr>
        <w:t>uiza, 23 a 27 de noviembre de 2015</w:t>
      </w:r>
    </w:p>
    <w:p w14:paraId="342C7732" w14:textId="77777777" w:rsidR="00434554" w:rsidRPr="0021716D" w:rsidRDefault="00434554">
      <w:pPr>
        <w:rPr>
          <w:rFonts w:asciiTheme="minorHAnsi" w:hAnsiTheme="minorHAnsi"/>
          <w:sz w:val="28"/>
          <w:lang w:val="es-ES_tradnl"/>
        </w:rPr>
      </w:pPr>
    </w:p>
    <w:p w14:paraId="28E59960" w14:textId="77777777" w:rsidR="002660B1" w:rsidRPr="0021716D" w:rsidRDefault="002660B1" w:rsidP="002660B1">
      <w:pPr>
        <w:jc w:val="right"/>
        <w:rPr>
          <w:rFonts w:asciiTheme="minorHAnsi" w:hAnsiTheme="minorHAnsi" w:cstheme="minorHAnsi"/>
          <w:b/>
          <w:sz w:val="28"/>
          <w:szCs w:val="28"/>
          <w:lang w:val="es-ES_tradnl"/>
        </w:rPr>
      </w:pPr>
      <w:r w:rsidRPr="0021716D">
        <w:rPr>
          <w:rFonts w:asciiTheme="minorHAnsi" w:hAnsiTheme="minorHAnsi" w:cstheme="minorHAnsi"/>
          <w:b/>
          <w:sz w:val="28"/>
          <w:szCs w:val="28"/>
          <w:lang w:val="es-ES_tradnl"/>
        </w:rPr>
        <w:t>SC</w:t>
      </w:r>
      <w:r w:rsidR="004F5DCD" w:rsidRPr="0021716D">
        <w:rPr>
          <w:rFonts w:asciiTheme="minorHAnsi" w:hAnsiTheme="minorHAnsi" w:cstheme="minorHAnsi"/>
          <w:b/>
          <w:sz w:val="28"/>
          <w:szCs w:val="28"/>
          <w:lang w:val="es-ES_tradnl"/>
        </w:rPr>
        <w:t>51</w:t>
      </w:r>
      <w:r w:rsidRPr="0021716D">
        <w:rPr>
          <w:rFonts w:asciiTheme="minorHAnsi" w:hAnsiTheme="minorHAnsi" w:cstheme="minorHAnsi"/>
          <w:b/>
          <w:sz w:val="28"/>
          <w:szCs w:val="28"/>
          <w:lang w:val="es-ES_tradnl"/>
        </w:rPr>
        <w:t>-</w:t>
      </w:r>
      <w:r w:rsidR="00BA510D" w:rsidRPr="0021716D">
        <w:rPr>
          <w:rFonts w:asciiTheme="minorHAnsi" w:hAnsiTheme="minorHAnsi" w:cstheme="minorHAnsi"/>
          <w:b/>
          <w:sz w:val="28"/>
          <w:szCs w:val="28"/>
          <w:lang w:val="es-ES_tradnl"/>
        </w:rPr>
        <w:t>10</w:t>
      </w:r>
    </w:p>
    <w:p w14:paraId="0B39B40C" w14:textId="77777777" w:rsidR="001233DE" w:rsidRPr="0021716D" w:rsidRDefault="001233DE" w:rsidP="001233DE">
      <w:pPr>
        <w:jc w:val="center"/>
        <w:rPr>
          <w:rFonts w:asciiTheme="minorHAnsi" w:hAnsiTheme="minorHAnsi"/>
          <w:b/>
          <w:sz w:val="28"/>
          <w:szCs w:val="28"/>
          <w:lang w:val="es-ES_tradnl"/>
        </w:rPr>
      </w:pPr>
    </w:p>
    <w:p w14:paraId="3FBCDE5E" w14:textId="03D9C745" w:rsidR="00D94C75" w:rsidRPr="0021716D" w:rsidRDefault="00B149E4" w:rsidP="00D94C75">
      <w:pPr>
        <w:autoSpaceDE w:val="0"/>
        <w:autoSpaceDN w:val="0"/>
        <w:adjustRightInd w:val="0"/>
        <w:jc w:val="center"/>
        <w:rPr>
          <w:rFonts w:asciiTheme="minorHAnsi" w:eastAsiaTheme="minorHAnsi" w:hAnsiTheme="minorHAnsi"/>
          <w:b/>
          <w:sz w:val="28"/>
          <w:lang w:val="es-ES_tradnl"/>
        </w:rPr>
      </w:pPr>
      <w:r w:rsidRPr="0021716D">
        <w:rPr>
          <w:rFonts w:asciiTheme="minorHAnsi" w:hAnsiTheme="minorHAnsi"/>
          <w:b/>
          <w:sz w:val="28"/>
          <w:lang w:val="es-ES_tradnl"/>
        </w:rPr>
        <w:t>Progresos en la aplicación de la Resolución</w:t>
      </w:r>
      <w:r w:rsidR="002A65F4" w:rsidRPr="0021716D">
        <w:rPr>
          <w:rFonts w:asciiTheme="minorHAnsi" w:hAnsiTheme="minorHAnsi"/>
          <w:b/>
          <w:sz w:val="28"/>
          <w:lang w:val="es-ES_tradnl"/>
        </w:rPr>
        <w:t xml:space="preserve"> </w:t>
      </w:r>
      <w:r w:rsidR="00BA308D" w:rsidRPr="0021716D">
        <w:rPr>
          <w:rFonts w:asciiTheme="minorHAnsi" w:hAnsiTheme="minorHAnsi"/>
          <w:b/>
          <w:sz w:val="28"/>
          <w:lang w:val="es-ES_tradnl"/>
        </w:rPr>
        <w:t>XI.6</w:t>
      </w:r>
      <w:r w:rsidR="002A65F4" w:rsidRPr="0021716D">
        <w:rPr>
          <w:rFonts w:asciiTheme="minorHAnsi" w:hAnsiTheme="minorHAnsi"/>
          <w:b/>
          <w:sz w:val="28"/>
          <w:lang w:val="es-ES_tradnl"/>
        </w:rPr>
        <w:t xml:space="preserve"> </w:t>
      </w:r>
      <w:r w:rsidRPr="0021716D">
        <w:rPr>
          <w:rFonts w:asciiTheme="minorHAnsi" w:hAnsiTheme="minorHAnsi"/>
          <w:b/>
          <w:sz w:val="28"/>
          <w:lang w:val="es-ES_tradnl"/>
        </w:rPr>
        <w:t xml:space="preserve">sobre </w:t>
      </w:r>
      <w:r w:rsidRPr="0021716D">
        <w:rPr>
          <w:rFonts w:asciiTheme="minorHAnsi" w:hAnsiTheme="minorHAnsi"/>
          <w:b/>
          <w:i/>
          <w:sz w:val="28"/>
          <w:lang w:val="es-ES_tradnl"/>
        </w:rPr>
        <w:t xml:space="preserve">Asociaciones de colaboración y sinergias con acuerdos multilaterales sobre el medio ambiente y otras </w:t>
      </w:r>
      <w:r w:rsidR="0021716D" w:rsidRPr="0021716D">
        <w:rPr>
          <w:rFonts w:asciiTheme="minorHAnsi" w:hAnsiTheme="minorHAnsi"/>
          <w:b/>
          <w:i/>
          <w:sz w:val="28"/>
          <w:lang w:val="es-ES_tradnl"/>
        </w:rPr>
        <w:t>instituciones</w:t>
      </w:r>
      <w:r w:rsidRPr="0021716D">
        <w:rPr>
          <w:rFonts w:asciiTheme="minorHAnsi" w:hAnsiTheme="minorHAnsi"/>
          <w:b/>
          <w:i/>
          <w:sz w:val="28"/>
          <w:lang w:val="es-ES_tradnl"/>
        </w:rPr>
        <w:t xml:space="preserve"> </w:t>
      </w:r>
      <w:r w:rsidRPr="0021716D">
        <w:rPr>
          <w:rFonts w:asciiTheme="minorHAnsi" w:hAnsiTheme="minorHAnsi"/>
          <w:b/>
          <w:sz w:val="28"/>
          <w:lang w:val="es-ES_tradnl"/>
        </w:rPr>
        <w:t xml:space="preserve">y plan </w:t>
      </w:r>
      <w:r w:rsidR="00AF5059">
        <w:rPr>
          <w:rFonts w:asciiTheme="minorHAnsi" w:hAnsiTheme="minorHAnsi"/>
          <w:b/>
          <w:sz w:val="28"/>
          <w:lang w:val="es-ES_tradnl"/>
        </w:rPr>
        <w:t xml:space="preserve">para </w:t>
      </w:r>
      <w:r w:rsidR="00C61885">
        <w:rPr>
          <w:rFonts w:asciiTheme="minorHAnsi" w:hAnsiTheme="minorHAnsi"/>
          <w:b/>
          <w:sz w:val="28"/>
          <w:lang w:val="es-ES_tradnl"/>
        </w:rPr>
        <w:t>au</w:t>
      </w:r>
      <w:r w:rsidR="00C61885" w:rsidRPr="0021716D">
        <w:rPr>
          <w:rFonts w:asciiTheme="minorHAnsi" w:hAnsiTheme="minorHAnsi"/>
          <w:b/>
          <w:sz w:val="28"/>
          <w:lang w:val="es-ES_tradnl"/>
        </w:rPr>
        <w:t>mentar</w:t>
      </w:r>
      <w:r w:rsidRPr="0021716D">
        <w:rPr>
          <w:rFonts w:asciiTheme="minorHAnsi" w:hAnsiTheme="minorHAnsi"/>
          <w:b/>
          <w:sz w:val="28"/>
          <w:lang w:val="es-ES_tradnl"/>
        </w:rPr>
        <w:t xml:space="preserve"> la cooperación con otros AMMA</w:t>
      </w:r>
    </w:p>
    <w:p w14:paraId="4BAB83DB" w14:textId="77777777" w:rsidR="00BA510D" w:rsidRPr="0021716D" w:rsidRDefault="00BA510D" w:rsidP="005522A4">
      <w:pPr>
        <w:jc w:val="center"/>
        <w:rPr>
          <w:rFonts w:asciiTheme="minorHAnsi" w:hAnsiTheme="minorHAnsi"/>
          <w:b/>
          <w:sz w:val="28"/>
          <w:lang w:val="es-ES_tradnl"/>
        </w:rPr>
      </w:pPr>
    </w:p>
    <w:p w14:paraId="0DEE3BE2" w14:textId="77777777" w:rsidR="00E7270C" w:rsidRPr="0021716D" w:rsidRDefault="00C74B34" w:rsidP="00D94C75">
      <w:pPr>
        <w:autoSpaceDE w:val="0"/>
        <w:autoSpaceDN w:val="0"/>
        <w:adjustRightInd w:val="0"/>
        <w:jc w:val="center"/>
        <w:rPr>
          <w:rFonts w:asciiTheme="minorHAnsi" w:eastAsiaTheme="minorHAnsi" w:hAnsiTheme="minorHAnsi" w:cs="Garamond"/>
          <w:sz w:val="22"/>
          <w:szCs w:val="22"/>
          <w:lang w:val="es-ES_tradnl" w:eastAsia="en-US"/>
        </w:rPr>
      </w:pPr>
      <w:r w:rsidRPr="0021716D">
        <w:rPr>
          <w:noProof/>
          <w:szCs w:val="20"/>
        </w:rPr>
        <mc:AlternateContent>
          <mc:Choice Requires="wps">
            <w:drawing>
              <wp:inline distT="0" distB="0" distL="0" distR="0" wp14:anchorId="29C500F1" wp14:editId="5549FCD8">
                <wp:extent cx="5842635" cy="1036320"/>
                <wp:effectExtent l="0" t="0" r="24765" b="304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36320"/>
                        </a:xfrm>
                        <a:prstGeom prst="rect">
                          <a:avLst/>
                        </a:prstGeom>
                        <a:solidFill>
                          <a:srgbClr val="FFFFFF"/>
                        </a:solidFill>
                        <a:ln w="9525">
                          <a:solidFill>
                            <a:srgbClr val="000000"/>
                          </a:solidFill>
                          <a:miter lim="800000"/>
                          <a:headEnd/>
                          <a:tailEnd/>
                        </a:ln>
                      </wps:spPr>
                      <wps:txbx>
                        <w:txbxContent>
                          <w:p w14:paraId="330E2ABD" w14:textId="28A9CA2F" w:rsidR="00DE01FC" w:rsidRPr="0021716D" w:rsidRDefault="00DE01FC" w:rsidP="00E7270C">
                            <w:pPr>
                              <w:rPr>
                                <w:rFonts w:ascii="Calibri" w:hAnsi="Calibri"/>
                                <w:b/>
                                <w:bCs/>
                                <w:sz w:val="22"/>
                                <w:szCs w:val="22"/>
                                <w:lang w:val="es-ES_tradnl"/>
                              </w:rPr>
                            </w:pPr>
                            <w:r w:rsidRPr="0021716D">
                              <w:rPr>
                                <w:rFonts w:ascii="Calibri" w:hAnsi="Calibri"/>
                                <w:b/>
                                <w:bCs/>
                                <w:sz w:val="22"/>
                                <w:szCs w:val="22"/>
                                <w:lang w:val="es-ES_tradnl"/>
                              </w:rPr>
                              <w:t xml:space="preserve">Acciones solicitadas: </w:t>
                            </w:r>
                          </w:p>
                          <w:p w14:paraId="418A69DB" w14:textId="17F9AFC8" w:rsidR="00DE01FC" w:rsidRPr="0021716D" w:rsidRDefault="00DE01FC" w:rsidP="00BA308D">
                            <w:pPr>
                              <w:rPr>
                                <w:rFonts w:asciiTheme="minorHAnsi" w:hAnsiTheme="minorHAnsi"/>
                                <w:sz w:val="22"/>
                                <w:szCs w:val="22"/>
                                <w:lang w:val="es-ES_tradnl"/>
                              </w:rPr>
                            </w:pPr>
                            <w:r w:rsidRPr="0021716D">
                              <w:rPr>
                                <w:rFonts w:asciiTheme="minorHAnsi" w:hAnsiTheme="minorHAnsi"/>
                                <w:sz w:val="22"/>
                                <w:szCs w:val="22"/>
                                <w:lang w:val="es-ES_tradnl"/>
                              </w:rPr>
                              <w:t xml:space="preserve">Se invita al Comité Permanente a tomar nota de los progresos en la aplicación de la </w:t>
                            </w:r>
                            <w:r w:rsidRPr="0021716D">
                              <w:rPr>
                                <w:rFonts w:asciiTheme="minorHAnsi" w:hAnsiTheme="minorHAnsi"/>
                                <w:b/>
                                <w:sz w:val="22"/>
                                <w:szCs w:val="22"/>
                                <w:lang w:val="es-ES_tradnl"/>
                              </w:rPr>
                              <w:t>Resolución</w:t>
                            </w:r>
                            <w:r w:rsidRPr="0021716D">
                              <w:rPr>
                                <w:rFonts w:asciiTheme="minorHAnsi" w:hAnsiTheme="minorHAnsi" w:cstheme="minorHAnsi"/>
                                <w:b/>
                                <w:bCs/>
                                <w:lang w:val="es-ES_tradnl"/>
                              </w:rPr>
                              <w:t xml:space="preserve"> XI.6 </w:t>
                            </w:r>
                            <w:r>
                              <w:rPr>
                                <w:rFonts w:asciiTheme="minorHAnsi" w:hAnsiTheme="minorHAnsi"/>
                                <w:b/>
                                <w:sz w:val="22"/>
                                <w:szCs w:val="22"/>
                                <w:lang w:val="es-ES_tradnl"/>
                              </w:rPr>
                              <w:t xml:space="preserve">sobre </w:t>
                            </w:r>
                            <w:r>
                              <w:rPr>
                                <w:rFonts w:asciiTheme="minorHAnsi" w:hAnsiTheme="minorHAnsi"/>
                                <w:b/>
                                <w:i/>
                                <w:sz w:val="22"/>
                                <w:szCs w:val="22"/>
                                <w:lang w:val="es-ES_tradnl"/>
                              </w:rPr>
                              <w:t>As</w:t>
                            </w:r>
                            <w:r w:rsidRPr="0021716D">
                              <w:rPr>
                                <w:rFonts w:asciiTheme="minorHAnsi" w:hAnsiTheme="minorHAnsi"/>
                                <w:b/>
                                <w:i/>
                                <w:sz w:val="22"/>
                                <w:szCs w:val="22"/>
                                <w:lang w:val="es-ES_tradnl"/>
                              </w:rPr>
                              <w:t>ociaciones de colaboración y sinergias con acuerdos multilaterales sobre el medio ambiente y otras instituciones</w:t>
                            </w:r>
                            <w:r w:rsidRPr="0021716D">
                              <w:rPr>
                                <w:rFonts w:asciiTheme="minorHAnsi" w:hAnsiTheme="minorHAnsi"/>
                                <w:sz w:val="22"/>
                                <w:szCs w:val="22"/>
                                <w:lang w:val="es-ES_tradnl"/>
                              </w:rPr>
                              <w:t xml:space="preserve"> y del plan para </w:t>
                            </w:r>
                            <w:r>
                              <w:rPr>
                                <w:rFonts w:asciiTheme="minorHAnsi" w:hAnsiTheme="minorHAnsi"/>
                                <w:sz w:val="22"/>
                                <w:szCs w:val="22"/>
                                <w:lang w:val="es-ES_tradnl"/>
                              </w:rPr>
                              <w:t>aumentar</w:t>
                            </w:r>
                            <w:r w:rsidRPr="0021716D">
                              <w:rPr>
                                <w:rFonts w:asciiTheme="minorHAnsi" w:hAnsiTheme="minorHAnsi"/>
                                <w:sz w:val="22"/>
                                <w:szCs w:val="22"/>
                                <w:lang w:val="es-ES_tradnl"/>
                              </w:rPr>
                              <w:t xml:space="preserve"> la cooperación con otros AMMA y a brindar asesoramiento según proceda.</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width:460.05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">
                <v:textbox>
                  <w:txbxContent>
                    <w:p w14:paraId="330E2ABD" w14:textId="28A9CA2F" w:rsidR="00C61885" w:rsidRPr="0021716D" w:rsidRDefault="00C61885" w:rsidP="00E7270C">
                      <w:pPr>
                        <w:rPr>
                          <w:rFonts w:ascii="Calibri" w:hAnsi="Calibri"/>
                          <w:b/>
                          <w:bCs/>
                          <w:sz w:val="22"/>
                          <w:szCs w:val="22"/>
                          <w:lang w:val="es-ES_tradnl"/>
                        </w:rPr>
                      </w:pPr>
                      <w:r w:rsidRPr="0021716D">
                        <w:rPr>
                          <w:rFonts w:ascii="Calibri" w:hAnsi="Calibri"/>
                          <w:b/>
                          <w:bCs/>
                          <w:sz w:val="22"/>
                          <w:szCs w:val="22"/>
                          <w:lang w:val="es-ES_tradnl"/>
                        </w:rPr>
                        <w:t xml:space="preserve">Acciones solicitadas: </w:t>
                      </w:r>
                    </w:p>
                    <w:p w14:paraId="418A69DB" w14:textId="17F9AFC8" w:rsidR="00C61885" w:rsidRPr="0021716D" w:rsidRDefault="00C61885" w:rsidP="00BA308D">
                      <w:pPr>
                        <w:rPr>
                          <w:rFonts w:asciiTheme="minorHAnsi" w:hAnsiTheme="minorHAnsi"/>
                          <w:sz w:val="22"/>
                          <w:szCs w:val="22"/>
                          <w:lang w:val="es-ES_tradnl"/>
                        </w:rPr>
                      </w:pPr>
                      <w:r w:rsidRPr="0021716D">
                        <w:rPr>
                          <w:rFonts w:asciiTheme="minorHAnsi" w:hAnsiTheme="minorHAnsi"/>
                          <w:sz w:val="22"/>
                          <w:szCs w:val="22"/>
                          <w:lang w:val="es-ES_tradnl"/>
                        </w:rPr>
                        <w:t xml:space="preserve">Se invita al Comité Permanente a tomar nota de los progresos en la aplicación de la </w:t>
                      </w:r>
                      <w:r w:rsidRPr="0021716D">
                        <w:rPr>
                          <w:rFonts w:asciiTheme="minorHAnsi" w:hAnsiTheme="minorHAnsi"/>
                          <w:b/>
                          <w:sz w:val="22"/>
                          <w:szCs w:val="22"/>
                          <w:lang w:val="es-ES_tradnl"/>
                        </w:rPr>
                        <w:t>Resolución</w:t>
                      </w:r>
                      <w:r w:rsidRPr="0021716D">
                        <w:rPr>
                          <w:rFonts w:asciiTheme="minorHAnsi" w:hAnsiTheme="minorHAnsi" w:cstheme="minorHAnsi"/>
                          <w:b/>
                          <w:bCs/>
                          <w:lang w:val="es-ES_tradnl"/>
                        </w:rPr>
                        <w:t xml:space="preserve"> XI.6 </w:t>
                      </w:r>
                      <w:r>
                        <w:rPr>
                          <w:rFonts w:asciiTheme="minorHAnsi" w:hAnsiTheme="minorHAnsi"/>
                          <w:b/>
                          <w:sz w:val="22"/>
                          <w:szCs w:val="22"/>
                          <w:lang w:val="es-ES_tradnl"/>
                        </w:rPr>
                        <w:t xml:space="preserve">sobre </w:t>
                      </w:r>
                      <w:r>
                        <w:rPr>
                          <w:rFonts w:asciiTheme="minorHAnsi" w:hAnsiTheme="minorHAnsi"/>
                          <w:b/>
                          <w:i/>
                          <w:sz w:val="22"/>
                          <w:szCs w:val="22"/>
                          <w:lang w:val="es-ES_tradnl"/>
                        </w:rPr>
                        <w:t>As</w:t>
                      </w:r>
                      <w:r w:rsidRPr="0021716D">
                        <w:rPr>
                          <w:rFonts w:asciiTheme="minorHAnsi" w:hAnsiTheme="minorHAnsi"/>
                          <w:b/>
                          <w:i/>
                          <w:sz w:val="22"/>
                          <w:szCs w:val="22"/>
                          <w:lang w:val="es-ES_tradnl"/>
                        </w:rPr>
                        <w:t>ociaciones de colaboración y sinergias con acuerdos multilaterales sobre el medio ambiente y otras instituciones</w:t>
                      </w:r>
                      <w:r w:rsidRPr="0021716D">
                        <w:rPr>
                          <w:rFonts w:asciiTheme="minorHAnsi" w:hAnsiTheme="minorHAnsi"/>
                          <w:sz w:val="22"/>
                          <w:szCs w:val="22"/>
                          <w:lang w:val="es-ES_tradnl"/>
                        </w:rPr>
                        <w:t xml:space="preserve"> y del plan para </w:t>
                      </w:r>
                      <w:r>
                        <w:rPr>
                          <w:rFonts w:asciiTheme="minorHAnsi" w:hAnsiTheme="minorHAnsi"/>
                          <w:sz w:val="22"/>
                          <w:szCs w:val="22"/>
                          <w:lang w:val="es-ES_tradnl"/>
                        </w:rPr>
                        <w:t>aumentar</w:t>
                      </w:r>
                      <w:r w:rsidRPr="0021716D">
                        <w:rPr>
                          <w:rFonts w:asciiTheme="minorHAnsi" w:hAnsiTheme="minorHAnsi"/>
                          <w:sz w:val="22"/>
                          <w:szCs w:val="22"/>
                          <w:lang w:val="es-ES_tradnl"/>
                        </w:rPr>
                        <w:t xml:space="preserve"> la cooperación con otros AMMA y a brindar asesoramiento según proceda.</w:t>
                      </w:r>
                    </w:p>
                  </w:txbxContent>
                </v:textbox>
                <w10:anchorlock/>
              </v:shape>
            </w:pict>
          </mc:Fallback>
        </mc:AlternateContent>
      </w:r>
    </w:p>
    <w:p w14:paraId="077BFFFB" w14:textId="77777777" w:rsidR="00D94C75" w:rsidRPr="0021716D" w:rsidRDefault="00D94C75" w:rsidP="00BA6D1A">
      <w:pPr>
        <w:autoSpaceDE w:val="0"/>
        <w:autoSpaceDN w:val="0"/>
        <w:adjustRightInd w:val="0"/>
        <w:jc w:val="center"/>
        <w:rPr>
          <w:rFonts w:asciiTheme="minorHAnsi" w:eastAsiaTheme="minorHAnsi" w:hAnsiTheme="minorHAnsi" w:cs="Calibri-Bold"/>
          <w:b/>
          <w:bCs/>
          <w:sz w:val="22"/>
          <w:szCs w:val="22"/>
          <w:lang w:val="es-ES_tradnl" w:eastAsia="en-US"/>
        </w:rPr>
      </w:pPr>
    </w:p>
    <w:p w14:paraId="3B180079" w14:textId="4D027758" w:rsidR="00D94C75" w:rsidRPr="0021716D" w:rsidRDefault="00B149E4" w:rsidP="00BA510D">
      <w:pPr>
        <w:autoSpaceDE w:val="0"/>
        <w:autoSpaceDN w:val="0"/>
        <w:adjustRightInd w:val="0"/>
        <w:rPr>
          <w:rFonts w:asciiTheme="minorHAnsi" w:eastAsiaTheme="minorHAnsi" w:hAnsiTheme="minorHAnsi" w:cs="Calibri-Bold"/>
          <w:b/>
          <w:bCs/>
          <w:sz w:val="22"/>
          <w:szCs w:val="22"/>
          <w:lang w:val="es-ES_tradnl" w:eastAsia="en-US"/>
        </w:rPr>
      </w:pPr>
      <w:r w:rsidRPr="0021716D">
        <w:rPr>
          <w:rFonts w:asciiTheme="minorHAnsi" w:eastAsiaTheme="minorHAnsi" w:hAnsiTheme="minorHAnsi" w:cs="Calibri-Bold"/>
          <w:b/>
          <w:bCs/>
          <w:sz w:val="22"/>
          <w:szCs w:val="22"/>
          <w:lang w:val="es-ES_tradnl" w:eastAsia="en-US"/>
        </w:rPr>
        <w:t>Antecedentes</w:t>
      </w:r>
    </w:p>
    <w:p w14:paraId="22D6F5F4" w14:textId="77777777" w:rsidR="00BE5EAD" w:rsidRPr="0021716D" w:rsidRDefault="00BE5EAD" w:rsidP="00BA510D">
      <w:pPr>
        <w:autoSpaceDE w:val="0"/>
        <w:autoSpaceDN w:val="0"/>
        <w:adjustRightInd w:val="0"/>
        <w:rPr>
          <w:rFonts w:asciiTheme="minorHAnsi" w:eastAsiaTheme="minorHAnsi" w:hAnsiTheme="minorHAnsi" w:cs="Calibri-Bold"/>
          <w:b/>
          <w:bCs/>
          <w:sz w:val="22"/>
          <w:szCs w:val="22"/>
          <w:lang w:val="es-ES_tradnl" w:eastAsia="en-US"/>
        </w:rPr>
      </w:pPr>
    </w:p>
    <w:p w14:paraId="2BA65CDF" w14:textId="5609AD66" w:rsidR="00BE5EAD" w:rsidRPr="0021716D" w:rsidRDefault="00AF5059" w:rsidP="005522A4">
      <w:pPr>
        <w:pStyle w:val="ListParagraph"/>
        <w:numPr>
          <w:ilvl w:val="0"/>
          <w:numId w:val="19"/>
        </w:numPr>
        <w:autoSpaceDE w:val="0"/>
        <w:autoSpaceDN w:val="0"/>
        <w:adjustRightInd w:val="0"/>
        <w:ind w:left="426" w:hanging="426"/>
        <w:jc w:val="left"/>
        <w:rPr>
          <w:rFonts w:asciiTheme="minorHAnsi" w:hAnsiTheme="minorHAnsi"/>
          <w:i/>
          <w:lang w:val="es-ES_tradnl"/>
        </w:rPr>
      </w:pPr>
      <w:r>
        <w:rPr>
          <w:rFonts w:asciiTheme="minorHAnsi" w:hAnsiTheme="minorHAnsi"/>
          <w:lang w:val="es-ES_tradnl"/>
        </w:rPr>
        <w:t>A partir de las deliberaciones mantenidas</w:t>
      </w:r>
      <w:r w:rsidR="00B149E4" w:rsidRPr="0021716D">
        <w:rPr>
          <w:rFonts w:asciiTheme="minorHAnsi" w:hAnsiTheme="minorHAnsi"/>
          <w:lang w:val="es-ES_tradnl"/>
        </w:rPr>
        <w:t xml:space="preserve"> en el Comité Permanente</w:t>
      </w:r>
      <w:r w:rsidR="002A65F4" w:rsidRPr="0021716D">
        <w:rPr>
          <w:rFonts w:asciiTheme="minorHAnsi" w:hAnsiTheme="minorHAnsi"/>
          <w:lang w:val="es-ES_tradnl"/>
        </w:rPr>
        <w:t xml:space="preserve"> </w:t>
      </w:r>
      <w:r w:rsidR="00B149E4" w:rsidRPr="0021716D">
        <w:rPr>
          <w:rFonts w:asciiTheme="minorHAnsi" w:hAnsiTheme="minorHAnsi"/>
          <w:lang w:val="es-ES_tradnl"/>
        </w:rPr>
        <w:t>durante el trienio</w:t>
      </w:r>
      <w:r w:rsidR="002A65F4" w:rsidRPr="0021716D">
        <w:rPr>
          <w:rFonts w:asciiTheme="minorHAnsi" w:hAnsiTheme="minorHAnsi"/>
          <w:lang w:val="es-ES_tradnl"/>
        </w:rPr>
        <w:t xml:space="preserve"> </w:t>
      </w:r>
      <w:r w:rsidR="00BE5EAD" w:rsidRPr="0021716D">
        <w:rPr>
          <w:rFonts w:asciiTheme="minorHAnsi" w:hAnsiTheme="minorHAnsi"/>
          <w:lang w:val="es-ES_tradnl"/>
        </w:rPr>
        <w:t>2013-2015,</w:t>
      </w:r>
      <w:r w:rsidR="002A65F4" w:rsidRPr="0021716D">
        <w:rPr>
          <w:rFonts w:asciiTheme="minorHAnsi" w:hAnsiTheme="minorHAnsi"/>
          <w:lang w:val="es-ES_tradnl"/>
        </w:rPr>
        <w:t xml:space="preserve"> </w:t>
      </w:r>
      <w:r w:rsidR="00B149E4" w:rsidRPr="0021716D">
        <w:rPr>
          <w:rFonts w:asciiTheme="minorHAnsi" w:hAnsiTheme="minorHAnsi"/>
          <w:lang w:val="es-ES_tradnl"/>
        </w:rPr>
        <w:t>la Secretaría</w:t>
      </w:r>
      <w:r w:rsidR="002A65F4" w:rsidRPr="0021716D">
        <w:rPr>
          <w:rFonts w:asciiTheme="minorHAnsi" w:hAnsiTheme="minorHAnsi"/>
          <w:lang w:val="es-ES_tradnl"/>
        </w:rPr>
        <w:t xml:space="preserve"> </w:t>
      </w:r>
      <w:r w:rsidR="00B149E4" w:rsidRPr="0021716D">
        <w:rPr>
          <w:rFonts w:asciiTheme="minorHAnsi" w:hAnsiTheme="minorHAnsi"/>
          <w:lang w:val="es-ES_tradnl"/>
        </w:rPr>
        <w:t>ha informado sobre las principales actividades realizadas en el marco de la R</w:t>
      </w:r>
      <w:r w:rsidR="00B149E4" w:rsidRPr="0021716D">
        <w:rPr>
          <w:rFonts w:ascii="Calibri" w:eastAsiaTheme="minorHAnsi" w:hAnsi="Calibri" w:cs="Calibri"/>
          <w:color w:val="000000"/>
          <w:lang w:val="es-ES_tradnl"/>
        </w:rPr>
        <w:t>esolución</w:t>
      </w:r>
      <w:r w:rsidR="002A65F4" w:rsidRPr="0021716D">
        <w:rPr>
          <w:rFonts w:ascii="Calibri" w:eastAsiaTheme="minorHAnsi" w:hAnsi="Calibri" w:cs="Calibri"/>
          <w:color w:val="000000"/>
          <w:lang w:val="es-ES_tradnl"/>
        </w:rPr>
        <w:t xml:space="preserve"> </w:t>
      </w:r>
      <w:r w:rsidR="005D2A79" w:rsidRPr="0021716D">
        <w:rPr>
          <w:rFonts w:ascii="Calibri" w:eastAsiaTheme="minorHAnsi" w:hAnsi="Calibri" w:cs="Calibri"/>
          <w:color w:val="000000"/>
          <w:lang w:val="es-ES_tradnl"/>
        </w:rPr>
        <w:t>XI.6</w:t>
      </w:r>
      <w:r w:rsidR="002A65F4" w:rsidRPr="0021716D">
        <w:rPr>
          <w:rFonts w:ascii="Calibri" w:eastAsiaTheme="minorHAnsi" w:hAnsi="Calibri" w:cs="Calibri"/>
          <w:color w:val="000000"/>
          <w:lang w:val="es-ES_tradnl"/>
        </w:rPr>
        <w:t xml:space="preserve"> </w:t>
      </w:r>
      <w:r w:rsidR="0021716D">
        <w:rPr>
          <w:rFonts w:ascii="Calibri" w:eastAsiaTheme="minorHAnsi" w:hAnsi="Calibri" w:cs="Calibri"/>
          <w:color w:val="000000"/>
          <w:lang w:val="es-ES_tradnl"/>
        </w:rPr>
        <w:t>sobre</w:t>
      </w:r>
      <w:r w:rsidR="002A65F4" w:rsidRPr="0021716D">
        <w:rPr>
          <w:rFonts w:ascii="Calibri" w:eastAsiaTheme="minorHAnsi" w:hAnsi="Calibri" w:cs="Calibri"/>
          <w:color w:val="000000"/>
          <w:lang w:val="es-ES_tradnl"/>
        </w:rPr>
        <w:t xml:space="preserve"> </w:t>
      </w:r>
      <w:r w:rsidR="00B149E4" w:rsidRPr="0021716D">
        <w:rPr>
          <w:rFonts w:asciiTheme="minorHAnsi" w:hAnsiTheme="minorHAnsi"/>
          <w:i/>
          <w:lang w:val="es-ES_tradnl"/>
        </w:rPr>
        <w:t>Asociaciones de colaboración y sinergias con acuerdos multilaterales sobre el medio ambiente y otras instituciones</w:t>
      </w:r>
      <w:r w:rsidR="002A65F4" w:rsidRPr="0021716D">
        <w:rPr>
          <w:rFonts w:ascii="Calibri" w:eastAsiaTheme="minorHAnsi" w:hAnsi="Calibri" w:cs="Calibri"/>
          <w:i/>
          <w:iCs/>
          <w:color w:val="000000"/>
          <w:lang w:val="es-ES_tradnl"/>
        </w:rPr>
        <w:t xml:space="preserve"> </w:t>
      </w:r>
      <w:r w:rsidR="00B149E4" w:rsidRPr="0021716D">
        <w:rPr>
          <w:rFonts w:ascii="Calibri" w:eastAsiaTheme="minorHAnsi" w:hAnsi="Calibri" w:cs="Calibri"/>
          <w:iCs/>
          <w:color w:val="000000"/>
          <w:lang w:val="es-ES_tradnl"/>
        </w:rPr>
        <w:t>y la Resolución</w:t>
      </w:r>
      <w:r w:rsidR="002A65F4" w:rsidRPr="0021716D">
        <w:rPr>
          <w:rFonts w:ascii="Calibri" w:eastAsiaTheme="minorHAnsi" w:hAnsi="Calibri" w:cs="Calibri"/>
          <w:iCs/>
          <w:color w:val="000000"/>
          <w:lang w:val="es-ES_tradnl"/>
        </w:rPr>
        <w:t xml:space="preserve"> </w:t>
      </w:r>
      <w:r w:rsidR="005D2A79" w:rsidRPr="0021716D">
        <w:rPr>
          <w:rFonts w:ascii="Calibri" w:eastAsiaTheme="minorHAnsi" w:hAnsi="Calibri" w:cs="Calibri"/>
          <w:iCs/>
          <w:color w:val="000000"/>
          <w:lang w:val="es-ES_tradnl"/>
        </w:rPr>
        <w:t>XI.1</w:t>
      </w:r>
      <w:r w:rsidR="002A65F4" w:rsidRPr="0021716D">
        <w:rPr>
          <w:rFonts w:ascii="Calibri" w:eastAsiaTheme="minorHAnsi" w:hAnsi="Calibri" w:cs="Calibri"/>
          <w:iCs/>
          <w:color w:val="000000"/>
          <w:lang w:val="es-ES_tradnl"/>
        </w:rPr>
        <w:t xml:space="preserve"> </w:t>
      </w:r>
      <w:r w:rsidR="00B149E4" w:rsidRPr="0021716D">
        <w:rPr>
          <w:rFonts w:ascii="Calibri" w:eastAsiaTheme="minorHAnsi" w:hAnsi="Calibri" w:cs="Calibri"/>
          <w:iCs/>
          <w:color w:val="000000"/>
          <w:lang w:val="es-ES_tradnl"/>
        </w:rPr>
        <w:t xml:space="preserve">sobre </w:t>
      </w:r>
      <w:r w:rsidR="00B149E4" w:rsidRPr="0021716D">
        <w:rPr>
          <w:rFonts w:ascii="Calibri" w:eastAsiaTheme="minorHAnsi" w:hAnsi="Calibri" w:cs="Calibri"/>
          <w:bCs/>
          <w:i/>
          <w:color w:val="000000"/>
          <w:lang w:val="es-ES_tradnl"/>
        </w:rPr>
        <w:t>Idiomas</w:t>
      </w:r>
      <w:r w:rsidR="00BC3A93">
        <w:rPr>
          <w:rFonts w:ascii="Calibri" w:eastAsiaTheme="minorHAnsi" w:hAnsi="Calibri" w:cs="Calibri"/>
          <w:bCs/>
          <w:i/>
          <w:color w:val="000000"/>
          <w:lang w:val="es-ES_tradnl"/>
        </w:rPr>
        <w:t xml:space="preserve"> y visibilidad</w:t>
      </w:r>
      <w:r w:rsidR="00B149E4" w:rsidRPr="0021716D">
        <w:rPr>
          <w:rFonts w:ascii="Calibri" w:eastAsiaTheme="minorHAnsi" w:hAnsi="Calibri" w:cs="Calibri"/>
          <w:bCs/>
          <w:i/>
          <w:color w:val="000000"/>
          <w:lang w:val="es-ES_tradnl"/>
        </w:rPr>
        <w:t xml:space="preserve"> de la Convención, sesiones ministeriales de la </w:t>
      </w:r>
      <w:r w:rsidR="0021716D" w:rsidRPr="0021716D">
        <w:rPr>
          <w:rFonts w:ascii="Calibri" w:eastAsiaTheme="minorHAnsi" w:hAnsi="Calibri" w:cs="Calibri"/>
          <w:bCs/>
          <w:i/>
          <w:color w:val="000000"/>
          <w:lang w:val="es-ES_tradnl"/>
        </w:rPr>
        <w:t>Conferencia</w:t>
      </w:r>
      <w:r w:rsidR="00B149E4" w:rsidRPr="0021716D">
        <w:rPr>
          <w:rFonts w:ascii="Calibri" w:eastAsiaTheme="minorHAnsi" w:hAnsi="Calibri" w:cs="Calibri"/>
          <w:bCs/>
          <w:i/>
          <w:color w:val="000000"/>
          <w:lang w:val="es-ES_tradnl"/>
        </w:rPr>
        <w:t xml:space="preserve"> de las Partes, y</w:t>
      </w:r>
      <w:r w:rsidR="00BC3A93">
        <w:rPr>
          <w:rFonts w:ascii="Calibri" w:eastAsiaTheme="minorHAnsi" w:hAnsi="Calibri" w:cs="Calibri"/>
          <w:bCs/>
          <w:i/>
          <w:color w:val="000000"/>
          <w:lang w:val="es-ES_tradnl"/>
        </w:rPr>
        <w:t xml:space="preserve"> mejora de las</w:t>
      </w:r>
      <w:r w:rsidR="00B149E4" w:rsidRPr="0021716D">
        <w:rPr>
          <w:rFonts w:ascii="Calibri" w:eastAsiaTheme="minorHAnsi" w:hAnsi="Calibri" w:cs="Calibri"/>
          <w:bCs/>
          <w:i/>
          <w:color w:val="000000"/>
          <w:lang w:val="es-ES_tradnl"/>
        </w:rPr>
        <w:t xml:space="preserve"> sinergias con acuerdos multilaterales sobre el medio ambiente y otras entidades</w:t>
      </w:r>
      <w:r>
        <w:rPr>
          <w:rFonts w:ascii="Calibri" w:eastAsiaTheme="minorHAnsi" w:hAnsi="Calibri" w:cs="Calibri"/>
          <w:bCs/>
          <w:i/>
          <w:color w:val="000000"/>
          <w:lang w:val="es-ES_tradnl"/>
        </w:rPr>
        <w:t xml:space="preserve"> internacionales</w:t>
      </w:r>
      <w:r w:rsidR="005526B6" w:rsidRPr="0021716D">
        <w:rPr>
          <w:rFonts w:ascii="Calibri" w:eastAsiaTheme="minorHAnsi" w:hAnsi="Calibri" w:cs="Calibri"/>
          <w:bCs/>
          <w:color w:val="000000"/>
          <w:lang w:val="es-ES_tradnl"/>
        </w:rPr>
        <w:t>.</w:t>
      </w:r>
    </w:p>
    <w:p w14:paraId="28459893" w14:textId="77777777" w:rsidR="00BE5EAD" w:rsidRPr="0021716D" w:rsidRDefault="00BE5EAD" w:rsidP="005522A4">
      <w:pPr>
        <w:autoSpaceDE w:val="0"/>
        <w:autoSpaceDN w:val="0"/>
        <w:adjustRightInd w:val="0"/>
        <w:ind w:left="426" w:hanging="426"/>
        <w:rPr>
          <w:rFonts w:asciiTheme="minorHAnsi" w:hAnsiTheme="minorHAnsi"/>
          <w:sz w:val="22"/>
          <w:szCs w:val="22"/>
          <w:lang w:val="es-ES_tradnl"/>
        </w:rPr>
      </w:pPr>
    </w:p>
    <w:p w14:paraId="13F80A84" w14:textId="5EEC6098" w:rsidR="002B4098" w:rsidRPr="0021716D" w:rsidRDefault="00BC3A93" w:rsidP="00417045">
      <w:pPr>
        <w:pStyle w:val="ListParagraph"/>
        <w:numPr>
          <w:ilvl w:val="0"/>
          <w:numId w:val="19"/>
        </w:numPr>
        <w:tabs>
          <w:tab w:val="left" w:pos="709"/>
        </w:tabs>
        <w:suppressAutoHyphens/>
        <w:ind w:left="426" w:hanging="426"/>
        <w:jc w:val="left"/>
        <w:rPr>
          <w:rFonts w:asciiTheme="minorHAnsi" w:hAnsiTheme="minorHAnsi"/>
          <w:lang w:val="es-ES_tradnl"/>
        </w:rPr>
      </w:pPr>
      <w:r>
        <w:rPr>
          <w:rFonts w:asciiTheme="minorHAnsi" w:hAnsiTheme="minorHAnsi" w:cstheme="minorHAnsi"/>
          <w:bCs/>
          <w:lang w:val="es-ES_tradnl"/>
        </w:rPr>
        <w:t>En la</w:t>
      </w:r>
      <w:r w:rsidR="00B149E4" w:rsidRPr="0021716D">
        <w:rPr>
          <w:rFonts w:asciiTheme="minorHAnsi" w:hAnsiTheme="minorHAnsi" w:cstheme="minorHAnsi"/>
          <w:bCs/>
          <w:lang w:val="es-ES_tradnl"/>
        </w:rPr>
        <w:t xml:space="preserve"> Resolución</w:t>
      </w:r>
      <w:r w:rsidR="002A65F4" w:rsidRPr="0021716D">
        <w:rPr>
          <w:rFonts w:asciiTheme="minorHAnsi" w:hAnsiTheme="minorHAnsi" w:cstheme="minorHAnsi"/>
          <w:bCs/>
          <w:lang w:val="es-ES_tradnl"/>
        </w:rPr>
        <w:t xml:space="preserve"> </w:t>
      </w:r>
      <w:r w:rsidR="00AE6962" w:rsidRPr="0021716D">
        <w:rPr>
          <w:rFonts w:asciiTheme="minorHAnsi" w:hAnsiTheme="minorHAnsi" w:cstheme="minorHAnsi"/>
          <w:bCs/>
          <w:lang w:val="es-ES_tradnl"/>
        </w:rPr>
        <w:t>XII.3</w:t>
      </w:r>
      <w:r w:rsidR="002A65F4" w:rsidRPr="0021716D">
        <w:rPr>
          <w:rFonts w:asciiTheme="minorHAnsi" w:hAnsiTheme="minorHAnsi" w:cstheme="minorHAnsi"/>
          <w:bCs/>
          <w:lang w:val="es-ES_tradnl"/>
        </w:rPr>
        <w:t xml:space="preserve"> </w:t>
      </w:r>
      <w:r w:rsidR="00B149E4" w:rsidRPr="0021716D">
        <w:rPr>
          <w:rFonts w:asciiTheme="minorHAnsi" w:hAnsiTheme="minorHAnsi" w:cstheme="minorHAnsi"/>
          <w:bCs/>
          <w:lang w:val="es-ES_tradnl"/>
        </w:rPr>
        <w:t xml:space="preserve">sobre </w:t>
      </w:r>
      <w:r w:rsidR="00B149E4" w:rsidRPr="0021716D">
        <w:rPr>
          <w:rFonts w:asciiTheme="minorHAnsi" w:eastAsiaTheme="minorHAnsi" w:hAnsiTheme="minorHAnsi" w:cs="Garamond"/>
          <w:i/>
          <w:color w:val="000000"/>
          <w:lang w:val="es-ES_tradnl"/>
        </w:rPr>
        <w:t xml:space="preserve">Mejora de los idiomas, la </w:t>
      </w:r>
      <w:r w:rsidR="0021716D" w:rsidRPr="0021716D">
        <w:rPr>
          <w:rFonts w:asciiTheme="minorHAnsi" w:eastAsiaTheme="minorHAnsi" w:hAnsiTheme="minorHAnsi" w:cs="Garamond"/>
          <w:i/>
          <w:color w:val="000000"/>
          <w:lang w:val="es-ES_tradnl"/>
        </w:rPr>
        <w:t>visibilidad</w:t>
      </w:r>
      <w:r w:rsidR="00B149E4" w:rsidRPr="0021716D">
        <w:rPr>
          <w:rFonts w:asciiTheme="minorHAnsi" w:eastAsiaTheme="minorHAnsi" w:hAnsiTheme="minorHAnsi" w:cs="Garamond"/>
          <w:i/>
          <w:color w:val="000000"/>
          <w:lang w:val="es-ES_tradnl"/>
        </w:rPr>
        <w:t xml:space="preserve"> y la envergadura de la Convención, y de las sinergias con otros acuerdos </w:t>
      </w:r>
      <w:r w:rsidR="0021716D" w:rsidRPr="0021716D">
        <w:rPr>
          <w:rFonts w:asciiTheme="minorHAnsi" w:eastAsiaTheme="minorHAnsi" w:hAnsiTheme="minorHAnsi" w:cs="Garamond"/>
          <w:i/>
          <w:color w:val="000000"/>
          <w:lang w:val="es-ES_tradnl"/>
        </w:rPr>
        <w:t>multilaterales</w:t>
      </w:r>
      <w:r w:rsidR="00B149E4" w:rsidRPr="0021716D">
        <w:rPr>
          <w:rFonts w:asciiTheme="minorHAnsi" w:eastAsiaTheme="minorHAnsi" w:hAnsiTheme="minorHAnsi" w:cs="Garamond"/>
          <w:i/>
          <w:color w:val="000000"/>
          <w:lang w:val="es-ES_tradnl"/>
        </w:rPr>
        <w:t xml:space="preserve"> sobre el medio ambiente y otras instituciones </w:t>
      </w:r>
      <w:r w:rsidR="0021716D" w:rsidRPr="0021716D">
        <w:rPr>
          <w:rFonts w:asciiTheme="minorHAnsi" w:eastAsiaTheme="minorHAnsi" w:hAnsiTheme="minorHAnsi" w:cs="Garamond"/>
          <w:i/>
          <w:color w:val="000000"/>
          <w:lang w:val="es-ES_tradnl"/>
        </w:rPr>
        <w:t>internacionales</w:t>
      </w:r>
      <w:r w:rsidR="00B149E4" w:rsidRPr="0021716D">
        <w:rPr>
          <w:rFonts w:asciiTheme="minorHAnsi" w:eastAsiaTheme="minorHAnsi" w:hAnsiTheme="minorHAnsi" w:cs="Garamond"/>
          <w:i/>
          <w:color w:val="000000"/>
          <w:lang w:val="es-ES_tradnl"/>
        </w:rPr>
        <w:t xml:space="preserve"> </w:t>
      </w:r>
      <w:r>
        <w:rPr>
          <w:rFonts w:asciiTheme="minorHAnsi" w:hAnsiTheme="minorHAnsi" w:cstheme="minorHAnsi"/>
          <w:bCs/>
          <w:lang w:val="es-ES_tradnl"/>
        </w:rPr>
        <w:t>se e</w:t>
      </w:r>
      <w:r w:rsidR="00B149E4" w:rsidRPr="0021716D">
        <w:rPr>
          <w:rFonts w:asciiTheme="minorHAnsi" w:hAnsiTheme="minorHAnsi" w:cstheme="minorHAnsi"/>
          <w:bCs/>
          <w:lang w:val="es-ES_tradnl"/>
        </w:rPr>
        <w:t xml:space="preserve">ncarga a la </w:t>
      </w:r>
      <w:r w:rsidR="0021716D" w:rsidRPr="0021716D">
        <w:rPr>
          <w:rFonts w:asciiTheme="minorHAnsi" w:hAnsiTheme="minorHAnsi" w:cstheme="minorHAnsi"/>
          <w:bCs/>
          <w:lang w:val="es-ES_tradnl"/>
        </w:rPr>
        <w:t>Secretaría</w:t>
      </w:r>
      <w:r w:rsidR="00B149E4" w:rsidRPr="0021716D">
        <w:rPr>
          <w:rFonts w:asciiTheme="minorHAnsi" w:hAnsiTheme="minorHAnsi" w:cstheme="minorHAnsi"/>
          <w:bCs/>
          <w:lang w:val="es-ES_tradnl"/>
        </w:rPr>
        <w:t xml:space="preserve"> que </w:t>
      </w:r>
      <w:r w:rsidR="0021716D" w:rsidRPr="0021716D">
        <w:rPr>
          <w:rFonts w:asciiTheme="minorHAnsi" w:hAnsiTheme="minorHAnsi" w:cstheme="minorHAnsi"/>
          <w:bCs/>
          <w:lang w:val="es-ES_tradnl"/>
        </w:rPr>
        <w:t>informe</w:t>
      </w:r>
      <w:r w:rsidR="00B149E4" w:rsidRPr="0021716D">
        <w:rPr>
          <w:rFonts w:asciiTheme="minorHAnsi" w:hAnsiTheme="minorHAnsi" w:cstheme="minorHAnsi"/>
          <w:bCs/>
          <w:lang w:val="es-ES_tradnl"/>
        </w:rPr>
        <w:t xml:space="preserve"> anualmente al Co</w:t>
      </w:r>
      <w:r>
        <w:rPr>
          <w:rFonts w:asciiTheme="minorHAnsi" w:hAnsiTheme="minorHAnsi" w:cstheme="minorHAnsi"/>
          <w:bCs/>
          <w:lang w:val="es-ES_tradnl"/>
        </w:rPr>
        <w:t>m</w:t>
      </w:r>
      <w:r w:rsidR="00B149E4" w:rsidRPr="0021716D">
        <w:rPr>
          <w:rFonts w:asciiTheme="minorHAnsi" w:hAnsiTheme="minorHAnsi" w:cstheme="minorHAnsi"/>
          <w:bCs/>
          <w:lang w:val="es-ES_tradnl"/>
        </w:rPr>
        <w:t xml:space="preserve">ité </w:t>
      </w:r>
      <w:r w:rsidR="0021716D" w:rsidRPr="0021716D">
        <w:rPr>
          <w:rFonts w:asciiTheme="minorHAnsi" w:hAnsiTheme="minorHAnsi" w:cstheme="minorHAnsi"/>
          <w:bCs/>
          <w:lang w:val="es-ES_tradnl"/>
        </w:rPr>
        <w:t>Permanente</w:t>
      </w:r>
      <w:r w:rsidR="00B149E4" w:rsidRPr="0021716D">
        <w:rPr>
          <w:rFonts w:asciiTheme="minorHAnsi" w:hAnsiTheme="minorHAnsi" w:cstheme="minorHAnsi"/>
          <w:bCs/>
          <w:lang w:val="es-ES_tradnl"/>
        </w:rPr>
        <w:t xml:space="preserve"> sobre los progresos en la </w:t>
      </w:r>
      <w:r w:rsidR="0021716D" w:rsidRPr="0021716D">
        <w:rPr>
          <w:rFonts w:asciiTheme="minorHAnsi" w:hAnsiTheme="minorHAnsi" w:cstheme="minorHAnsi"/>
          <w:bCs/>
          <w:lang w:val="es-ES_tradnl"/>
        </w:rPr>
        <w:t>aplicación</w:t>
      </w:r>
      <w:r w:rsidR="00B149E4" w:rsidRPr="0021716D">
        <w:rPr>
          <w:rFonts w:asciiTheme="minorHAnsi" w:hAnsiTheme="minorHAnsi" w:cstheme="minorHAnsi"/>
          <w:bCs/>
          <w:lang w:val="es-ES_tradnl"/>
        </w:rPr>
        <w:t xml:space="preserve"> de la Resolución</w:t>
      </w:r>
      <w:r w:rsidR="002A65F4" w:rsidRPr="0021716D">
        <w:rPr>
          <w:rFonts w:asciiTheme="minorHAnsi" w:hAnsiTheme="minorHAnsi" w:cstheme="minorHAnsi"/>
          <w:bCs/>
          <w:lang w:val="es-ES_tradnl"/>
        </w:rPr>
        <w:t xml:space="preserve"> </w:t>
      </w:r>
      <w:r w:rsidR="00AE6962" w:rsidRPr="0021716D">
        <w:rPr>
          <w:rFonts w:asciiTheme="minorHAnsi" w:hAnsiTheme="minorHAnsi" w:cstheme="minorHAnsi"/>
          <w:bCs/>
          <w:lang w:val="es-ES_tradnl"/>
        </w:rPr>
        <w:t>XI.6</w:t>
      </w:r>
      <w:r w:rsidR="002A65F4" w:rsidRPr="0021716D">
        <w:rPr>
          <w:rFonts w:asciiTheme="minorHAnsi" w:hAnsiTheme="minorHAnsi" w:cstheme="minorHAnsi"/>
          <w:bCs/>
          <w:lang w:val="es-ES_tradnl"/>
        </w:rPr>
        <w:t xml:space="preserve"> </w:t>
      </w:r>
      <w:r w:rsidR="00B149E4" w:rsidRPr="0021716D">
        <w:rPr>
          <w:rFonts w:asciiTheme="minorHAnsi" w:hAnsiTheme="minorHAnsi" w:cstheme="minorHAnsi"/>
          <w:bCs/>
          <w:lang w:val="es-ES_tradnl"/>
        </w:rPr>
        <w:t xml:space="preserve">sobre </w:t>
      </w:r>
      <w:r w:rsidR="00B149E4" w:rsidRPr="0021716D">
        <w:rPr>
          <w:rFonts w:asciiTheme="minorHAnsi" w:hAnsiTheme="minorHAnsi" w:cstheme="minorHAnsi"/>
          <w:bCs/>
          <w:i/>
          <w:lang w:val="es-ES_tradnl"/>
        </w:rPr>
        <w:t xml:space="preserve">Asociaciones de colaboración y sinergias con acuerdos multilaterales </w:t>
      </w:r>
      <w:r w:rsidR="0021716D" w:rsidRPr="0021716D">
        <w:rPr>
          <w:rFonts w:asciiTheme="minorHAnsi" w:hAnsiTheme="minorHAnsi" w:cstheme="minorHAnsi"/>
          <w:bCs/>
          <w:i/>
          <w:lang w:val="es-ES_tradnl"/>
        </w:rPr>
        <w:t>sobre</w:t>
      </w:r>
      <w:r w:rsidR="00B149E4" w:rsidRPr="0021716D">
        <w:rPr>
          <w:rFonts w:asciiTheme="minorHAnsi" w:hAnsiTheme="minorHAnsi" w:cstheme="minorHAnsi"/>
          <w:bCs/>
          <w:i/>
          <w:lang w:val="es-ES_tradnl"/>
        </w:rPr>
        <w:t xml:space="preserve"> el medio ambiente y otras instituciones</w:t>
      </w:r>
      <w:r w:rsidR="00F401EC" w:rsidRPr="0021716D">
        <w:rPr>
          <w:rFonts w:asciiTheme="minorHAnsi" w:hAnsiTheme="minorHAnsi" w:cstheme="minorHAnsi"/>
          <w:bCs/>
          <w:lang w:val="es-ES_tradnl"/>
        </w:rPr>
        <w:t>.</w:t>
      </w:r>
    </w:p>
    <w:p w14:paraId="0A8A5F6E" w14:textId="77777777" w:rsidR="002B4098" w:rsidRPr="0021716D" w:rsidRDefault="002B4098" w:rsidP="002B4098">
      <w:pPr>
        <w:tabs>
          <w:tab w:val="left" w:pos="709"/>
        </w:tabs>
        <w:suppressAutoHyphens/>
        <w:rPr>
          <w:rFonts w:asciiTheme="minorHAnsi" w:hAnsiTheme="minorHAnsi" w:cstheme="minorHAnsi"/>
          <w:bCs/>
          <w:lang w:val="es-ES_tradnl"/>
        </w:rPr>
      </w:pPr>
    </w:p>
    <w:p w14:paraId="61312F7A" w14:textId="4180907C" w:rsidR="002B4098" w:rsidRPr="0021716D" w:rsidRDefault="00BC3A93" w:rsidP="002B4098">
      <w:pPr>
        <w:pStyle w:val="ListParagraph"/>
        <w:numPr>
          <w:ilvl w:val="0"/>
          <w:numId w:val="19"/>
        </w:numPr>
        <w:tabs>
          <w:tab w:val="left" w:pos="709"/>
        </w:tabs>
        <w:suppressAutoHyphens/>
        <w:ind w:left="426" w:hanging="426"/>
        <w:jc w:val="left"/>
        <w:rPr>
          <w:rFonts w:ascii="Calibri" w:eastAsiaTheme="minorHAnsi" w:hAnsi="Calibri"/>
          <w:lang w:val="es-ES_tradnl" w:eastAsia="es-ES"/>
        </w:rPr>
      </w:pPr>
      <w:r>
        <w:rPr>
          <w:rFonts w:asciiTheme="minorHAnsi" w:hAnsiTheme="minorHAnsi" w:cstheme="minorHAnsi"/>
          <w:bCs/>
          <w:lang w:val="es-ES_tradnl"/>
        </w:rPr>
        <w:t>En el</w:t>
      </w:r>
      <w:r w:rsidR="00B149E4" w:rsidRPr="0021716D">
        <w:rPr>
          <w:rFonts w:asciiTheme="minorHAnsi" w:hAnsiTheme="minorHAnsi" w:cstheme="minorHAnsi"/>
          <w:bCs/>
          <w:lang w:val="es-ES_tradnl"/>
        </w:rPr>
        <w:t xml:space="preserve"> párrafo </w:t>
      </w:r>
      <w:r w:rsidR="00073599" w:rsidRPr="0021716D">
        <w:rPr>
          <w:rFonts w:asciiTheme="minorHAnsi" w:hAnsiTheme="minorHAnsi" w:cstheme="minorHAnsi"/>
          <w:bCs/>
          <w:lang w:val="es-ES_tradnl"/>
        </w:rPr>
        <w:t>43</w:t>
      </w:r>
      <w:r w:rsidR="002A65F4" w:rsidRPr="0021716D">
        <w:rPr>
          <w:rFonts w:asciiTheme="minorHAnsi" w:hAnsiTheme="minorHAnsi" w:cstheme="minorHAnsi"/>
          <w:bCs/>
          <w:lang w:val="es-ES_tradnl"/>
        </w:rPr>
        <w:t xml:space="preserve"> </w:t>
      </w:r>
      <w:r w:rsidR="00B149E4" w:rsidRPr="0021716D">
        <w:rPr>
          <w:rFonts w:asciiTheme="minorHAnsi" w:hAnsiTheme="minorHAnsi" w:cstheme="minorHAnsi"/>
          <w:bCs/>
          <w:lang w:val="es-ES_tradnl"/>
        </w:rPr>
        <w:t>de la Resolución</w:t>
      </w:r>
      <w:r w:rsidR="002A65F4" w:rsidRPr="0021716D">
        <w:rPr>
          <w:rFonts w:asciiTheme="minorHAnsi" w:hAnsiTheme="minorHAnsi" w:cstheme="minorHAnsi"/>
          <w:bCs/>
          <w:lang w:val="es-ES_tradnl"/>
        </w:rPr>
        <w:t xml:space="preserve"> </w:t>
      </w:r>
      <w:r w:rsidR="009F1447" w:rsidRPr="0021716D">
        <w:rPr>
          <w:rFonts w:asciiTheme="minorHAnsi" w:hAnsiTheme="minorHAnsi" w:cstheme="minorHAnsi"/>
          <w:bCs/>
          <w:lang w:val="es-ES_tradnl"/>
        </w:rPr>
        <w:t>XII.</w:t>
      </w:r>
      <w:r w:rsidR="002A65F4" w:rsidRPr="0021716D">
        <w:rPr>
          <w:rFonts w:asciiTheme="minorHAnsi" w:hAnsiTheme="minorHAnsi" w:cstheme="minorHAnsi"/>
          <w:bCs/>
          <w:lang w:val="es-ES_tradnl"/>
        </w:rPr>
        <w:t xml:space="preserve"> </w:t>
      </w:r>
      <w:r w:rsidR="009F1447" w:rsidRPr="0021716D">
        <w:rPr>
          <w:rFonts w:asciiTheme="minorHAnsi" w:hAnsiTheme="minorHAnsi" w:cstheme="minorHAnsi"/>
          <w:bCs/>
          <w:lang w:val="es-ES_tradnl"/>
        </w:rPr>
        <w:t>3</w:t>
      </w:r>
      <w:r w:rsidR="00B149E4" w:rsidRPr="0021716D">
        <w:rPr>
          <w:rFonts w:asciiTheme="minorHAnsi" w:hAnsiTheme="minorHAnsi" w:cstheme="minorHAnsi"/>
          <w:bCs/>
          <w:lang w:val="es-ES_tradnl"/>
        </w:rPr>
        <w:t xml:space="preserve"> se </w:t>
      </w:r>
      <w:r w:rsidR="00CF7DBE">
        <w:rPr>
          <w:rFonts w:asciiTheme="minorHAnsi" w:hAnsiTheme="minorHAnsi" w:cstheme="minorHAnsi"/>
          <w:bCs/>
          <w:lang w:val="es-ES_tradnl"/>
        </w:rPr>
        <w:t>pide</w:t>
      </w:r>
      <w:r w:rsidR="00B149E4" w:rsidRPr="0021716D">
        <w:rPr>
          <w:rFonts w:asciiTheme="minorHAnsi" w:hAnsiTheme="minorHAnsi" w:cstheme="minorHAnsi"/>
          <w:bCs/>
          <w:lang w:val="es-ES_tradnl"/>
        </w:rPr>
        <w:t xml:space="preserve"> a la Secretaría</w:t>
      </w:r>
      <w:r w:rsidR="00417045" w:rsidRPr="0021716D">
        <w:rPr>
          <w:rFonts w:asciiTheme="minorHAnsi" w:hAnsiTheme="minorHAnsi" w:cstheme="minorHAnsi"/>
          <w:bCs/>
          <w:lang w:val="es-ES_tradnl"/>
        </w:rPr>
        <w:t xml:space="preserve"> que </w:t>
      </w:r>
      <w:r w:rsidR="0021716D" w:rsidRPr="0021716D">
        <w:rPr>
          <w:rFonts w:asciiTheme="minorHAnsi" w:hAnsiTheme="minorHAnsi" w:cstheme="minorHAnsi"/>
          <w:bCs/>
          <w:lang w:val="es-ES_tradnl"/>
        </w:rPr>
        <w:t>continúe</w:t>
      </w:r>
      <w:r w:rsidR="00417045" w:rsidRPr="0021716D">
        <w:rPr>
          <w:rFonts w:asciiTheme="minorHAnsi" w:hAnsiTheme="minorHAnsi" w:cstheme="minorHAnsi"/>
          <w:bCs/>
          <w:lang w:val="es-ES_tradnl"/>
        </w:rPr>
        <w:t xml:space="preserve"> trabajando para intensificar la </w:t>
      </w:r>
      <w:r w:rsidR="0021716D" w:rsidRPr="0021716D">
        <w:rPr>
          <w:rFonts w:asciiTheme="minorHAnsi" w:hAnsiTheme="minorHAnsi" w:cstheme="minorHAnsi"/>
          <w:bCs/>
          <w:lang w:val="es-ES_tradnl"/>
        </w:rPr>
        <w:t>colaboración</w:t>
      </w:r>
      <w:r w:rsidR="00417045" w:rsidRPr="0021716D">
        <w:rPr>
          <w:rFonts w:asciiTheme="minorHAnsi" w:hAnsiTheme="minorHAnsi" w:cstheme="minorHAnsi"/>
          <w:bCs/>
          <w:lang w:val="es-ES_tradnl"/>
        </w:rPr>
        <w:t xml:space="preserve"> con el sistema World Heritage Outlook de la UICN, el PNUMA, la Base de Datos sobre Recursos Mundiales del PNUMA (UNEP/GRID), el PNUD, la UNESCO, las comisiones </w:t>
      </w:r>
      <w:r w:rsidR="0021716D" w:rsidRPr="0021716D">
        <w:rPr>
          <w:rFonts w:asciiTheme="minorHAnsi" w:hAnsiTheme="minorHAnsi" w:cstheme="minorHAnsi"/>
          <w:bCs/>
          <w:lang w:val="es-ES_tradnl"/>
        </w:rPr>
        <w:t>económicas</w:t>
      </w:r>
      <w:r w:rsidR="00417045" w:rsidRPr="0021716D">
        <w:rPr>
          <w:rFonts w:asciiTheme="minorHAnsi" w:hAnsiTheme="minorHAnsi" w:cstheme="minorHAnsi"/>
          <w:bCs/>
          <w:lang w:val="es-ES_tradnl"/>
        </w:rPr>
        <w:t xml:space="preserve"> regionales de las Naciones Unidas, el Banco Mundial, la O</w:t>
      </w:r>
      <w:r>
        <w:rPr>
          <w:rFonts w:asciiTheme="minorHAnsi" w:hAnsiTheme="minorHAnsi" w:cstheme="minorHAnsi"/>
          <w:bCs/>
          <w:lang w:val="es-ES_tradnl"/>
        </w:rPr>
        <w:t>rganización Mundial de la Salud (OMS)</w:t>
      </w:r>
      <w:r w:rsidR="00417045" w:rsidRPr="0021716D">
        <w:rPr>
          <w:rFonts w:asciiTheme="minorHAnsi" w:hAnsiTheme="minorHAnsi" w:cstheme="minorHAnsi"/>
          <w:bCs/>
          <w:lang w:val="es-ES_tradnl"/>
        </w:rPr>
        <w:t xml:space="preserve">, la </w:t>
      </w:r>
      <w:r w:rsidR="0021716D" w:rsidRPr="0021716D">
        <w:rPr>
          <w:rFonts w:asciiTheme="minorHAnsi" w:hAnsiTheme="minorHAnsi" w:cstheme="minorHAnsi"/>
          <w:bCs/>
          <w:lang w:val="es-ES_tradnl"/>
        </w:rPr>
        <w:t>Organización</w:t>
      </w:r>
      <w:r w:rsidR="00417045" w:rsidRPr="0021716D">
        <w:rPr>
          <w:rFonts w:asciiTheme="minorHAnsi" w:hAnsiTheme="minorHAnsi" w:cstheme="minorHAnsi"/>
          <w:bCs/>
          <w:lang w:val="es-ES_tradnl"/>
        </w:rPr>
        <w:t xml:space="preserve"> </w:t>
      </w:r>
      <w:r w:rsidR="0021716D" w:rsidRPr="0021716D">
        <w:rPr>
          <w:rFonts w:asciiTheme="minorHAnsi" w:hAnsiTheme="minorHAnsi" w:cstheme="minorHAnsi"/>
          <w:bCs/>
          <w:lang w:val="es-ES_tradnl"/>
        </w:rPr>
        <w:t>Meteorológica</w:t>
      </w:r>
      <w:r w:rsidR="00417045" w:rsidRPr="0021716D">
        <w:rPr>
          <w:rFonts w:asciiTheme="minorHAnsi" w:hAnsiTheme="minorHAnsi" w:cstheme="minorHAnsi"/>
          <w:bCs/>
          <w:lang w:val="es-ES_tradnl"/>
        </w:rPr>
        <w:t xml:space="preserve"> Mundial (OMM), la </w:t>
      </w:r>
      <w:r>
        <w:rPr>
          <w:rFonts w:asciiTheme="minorHAnsi" w:hAnsiTheme="minorHAnsi" w:cstheme="minorHAnsi"/>
          <w:bCs/>
          <w:lang w:val="es-ES_tradnl"/>
        </w:rPr>
        <w:t>Organización de las Naciones Unidas para la Alimentación y la Agricultura (</w:t>
      </w:r>
      <w:r w:rsidR="00417045" w:rsidRPr="0021716D">
        <w:rPr>
          <w:rFonts w:asciiTheme="minorHAnsi" w:hAnsiTheme="minorHAnsi" w:cstheme="minorHAnsi"/>
          <w:bCs/>
          <w:lang w:val="es-ES_tradnl"/>
        </w:rPr>
        <w:t>FAO</w:t>
      </w:r>
      <w:r>
        <w:rPr>
          <w:rFonts w:asciiTheme="minorHAnsi" w:hAnsiTheme="minorHAnsi" w:cstheme="minorHAnsi"/>
          <w:bCs/>
          <w:lang w:val="es-ES_tradnl"/>
        </w:rPr>
        <w:t>)</w:t>
      </w:r>
      <w:r w:rsidR="00417045" w:rsidRPr="0021716D">
        <w:rPr>
          <w:rFonts w:asciiTheme="minorHAnsi" w:hAnsiTheme="minorHAnsi" w:cstheme="minorHAnsi"/>
          <w:bCs/>
          <w:lang w:val="es-ES_tradnl"/>
        </w:rPr>
        <w:t xml:space="preserve">, el </w:t>
      </w:r>
      <w:r>
        <w:rPr>
          <w:rFonts w:asciiTheme="minorHAnsi" w:hAnsiTheme="minorHAnsi" w:cstheme="minorHAnsi"/>
          <w:bCs/>
          <w:lang w:val="es-ES_tradnl"/>
        </w:rPr>
        <w:t>Fondo para el Medio Ambiente Mundial (</w:t>
      </w:r>
      <w:r w:rsidR="00417045" w:rsidRPr="0021716D">
        <w:rPr>
          <w:rFonts w:asciiTheme="minorHAnsi" w:hAnsiTheme="minorHAnsi" w:cstheme="minorHAnsi"/>
          <w:bCs/>
          <w:lang w:val="es-ES_tradnl"/>
        </w:rPr>
        <w:t>FMAM</w:t>
      </w:r>
      <w:r>
        <w:rPr>
          <w:rFonts w:asciiTheme="minorHAnsi" w:hAnsiTheme="minorHAnsi" w:cstheme="minorHAnsi"/>
          <w:bCs/>
          <w:lang w:val="es-ES_tradnl"/>
        </w:rPr>
        <w:t>)</w:t>
      </w:r>
      <w:r w:rsidR="00417045" w:rsidRPr="0021716D">
        <w:rPr>
          <w:rFonts w:asciiTheme="minorHAnsi" w:hAnsiTheme="minorHAnsi" w:cstheme="minorHAnsi"/>
          <w:bCs/>
          <w:lang w:val="es-ES_tradnl"/>
        </w:rPr>
        <w:t xml:space="preserve">, la Plataforma Intergubernamental sobre Diversidad </w:t>
      </w:r>
      <w:r w:rsidR="0021716D" w:rsidRPr="0021716D">
        <w:rPr>
          <w:rFonts w:asciiTheme="minorHAnsi" w:hAnsiTheme="minorHAnsi" w:cstheme="minorHAnsi"/>
          <w:bCs/>
          <w:lang w:val="es-ES_tradnl"/>
        </w:rPr>
        <w:t>Biológica</w:t>
      </w:r>
      <w:r w:rsidR="00417045" w:rsidRPr="0021716D">
        <w:rPr>
          <w:rFonts w:asciiTheme="minorHAnsi" w:hAnsiTheme="minorHAnsi" w:cstheme="minorHAnsi"/>
          <w:bCs/>
          <w:lang w:val="es-ES_tradnl"/>
        </w:rPr>
        <w:t xml:space="preserve"> y Servicios de los Ecosistemas (IPBES) y otros, y que informe al </w:t>
      </w:r>
      <w:r w:rsidR="0021716D">
        <w:rPr>
          <w:rFonts w:asciiTheme="minorHAnsi" w:hAnsiTheme="minorHAnsi" w:cstheme="minorHAnsi"/>
          <w:bCs/>
          <w:lang w:val="es-ES_tradnl"/>
        </w:rPr>
        <w:t>Comité</w:t>
      </w:r>
      <w:r w:rsidR="00417045" w:rsidRPr="0021716D">
        <w:rPr>
          <w:rFonts w:asciiTheme="minorHAnsi" w:hAnsiTheme="minorHAnsi" w:cstheme="minorHAnsi"/>
          <w:bCs/>
          <w:lang w:val="es-ES_tradnl"/>
        </w:rPr>
        <w:t xml:space="preserve"> Permanente y a las Partes Contratantes de forma </w:t>
      </w:r>
      <w:r w:rsidR="0021716D" w:rsidRPr="0021716D">
        <w:rPr>
          <w:rFonts w:asciiTheme="minorHAnsi" w:hAnsiTheme="minorHAnsi" w:cstheme="minorHAnsi"/>
          <w:bCs/>
          <w:lang w:val="es-ES_tradnl"/>
        </w:rPr>
        <w:t>periódica</w:t>
      </w:r>
      <w:r w:rsidR="002B4098" w:rsidRPr="0021716D">
        <w:rPr>
          <w:rFonts w:asciiTheme="minorHAnsi" w:hAnsiTheme="minorHAnsi" w:cstheme="minorHAnsi"/>
          <w:bCs/>
          <w:lang w:val="es-ES_tradnl"/>
        </w:rPr>
        <w:t xml:space="preserve"> sobre los progresos realizados.</w:t>
      </w:r>
    </w:p>
    <w:p w14:paraId="48684D68" w14:textId="77777777" w:rsidR="002B4098" w:rsidRPr="0021716D" w:rsidRDefault="002B4098" w:rsidP="002B4098">
      <w:pPr>
        <w:tabs>
          <w:tab w:val="left" w:pos="709"/>
        </w:tabs>
        <w:suppressAutoHyphens/>
        <w:rPr>
          <w:rFonts w:asciiTheme="minorHAnsi" w:hAnsiTheme="minorHAnsi" w:cstheme="minorHAnsi"/>
          <w:bCs/>
          <w:lang w:val="es-ES_tradnl"/>
        </w:rPr>
      </w:pPr>
    </w:p>
    <w:p w14:paraId="75012DAD" w14:textId="23CA1486" w:rsidR="002B4098" w:rsidRPr="0021716D" w:rsidRDefault="002B4098" w:rsidP="002B4098">
      <w:pPr>
        <w:pStyle w:val="ListParagraph"/>
        <w:numPr>
          <w:ilvl w:val="0"/>
          <w:numId w:val="19"/>
        </w:numPr>
        <w:tabs>
          <w:tab w:val="left" w:pos="709"/>
        </w:tabs>
        <w:suppressAutoHyphens/>
        <w:ind w:left="426" w:hanging="426"/>
        <w:jc w:val="left"/>
        <w:rPr>
          <w:rFonts w:asciiTheme="minorHAnsi" w:hAnsiTheme="minorHAnsi" w:cstheme="minorHAnsi"/>
          <w:bCs/>
          <w:lang w:val="es-ES_tradnl"/>
        </w:rPr>
      </w:pPr>
      <w:r w:rsidRPr="0021716D">
        <w:rPr>
          <w:rFonts w:asciiTheme="minorHAnsi" w:hAnsiTheme="minorHAnsi" w:cstheme="minorHAnsi"/>
          <w:bCs/>
          <w:lang w:val="es-ES_tradnl"/>
        </w:rPr>
        <w:t xml:space="preserve">También </w:t>
      </w:r>
      <w:r w:rsidR="00FD01E5">
        <w:rPr>
          <w:rFonts w:asciiTheme="minorHAnsi" w:hAnsiTheme="minorHAnsi" w:cstheme="minorHAnsi"/>
          <w:bCs/>
          <w:lang w:val="es-ES_tradnl"/>
        </w:rPr>
        <w:t>se pide a la Secretaría</w:t>
      </w:r>
      <w:r w:rsidRPr="0021716D">
        <w:rPr>
          <w:rFonts w:asciiTheme="minorHAnsi" w:hAnsiTheme="minorHAnsi" w:cstheme="minorHAnsi"/>
          <w:bCs/>
          <w:lang w:val="es-ES_tradnl"/>
        </w:rPr>
        <w:t xml:space="preserve"> en el párrafo </w:t>
      </w:r>
      <w:r w:rsidR="00FD01E5">
        <w:rPr>
          <w:rFonts w:asciiTheme="minorHAnsi" w:hAnsiTheme="minorHAnsi" w:cstheme="minorHAnsi"/>
          <w:bCs/>
          <w:lang w:val="es-ES_tradnl"/>
        </w:rPr>
        <w:t>44</w:t>
      </w:r>
      <w:r w:rsidR="002A65F4" w:rsidRPr="0021716D">
        <w:rPr>
          <w:rFonts w:asciiTheme="minorHAnsi" w:hAnsiTheme="minorHAnsi" w:cstheme="minorHAnsi"/>
          <w:bCs/>
          <w:lang w:val="es-ES_tradnl"/>
        </w:rPr>
        <w:t xml:space="preserve"> </w:t>
      </w:r>
      <w:r w:rsidRPr="0021716D">
        <w:rPr>
          <w:rFonts w:ascii="Calibri" w:eastAsiaTheme="minorHAnsi" w:hAnsi="Calibri"/>
          <w:lang w:val="es-ES_tradnl" w:eastAsia="es-ES"/>
        </w:rPr>
        <w:t xml:space="preserve">que siga trabajando con el Grupo de Enlace sobre la Diversidad </w:t>
      </w:r>
      <w:r w:rsidR="0021716D" w:rsidRPr="0021716D">
        <w:rPr>
          <w:rFonts w:ascii="Calibri" w:eastAsiaTheme="minorHAnsi" w:hAnsi="Calibri"/>
          <w:lang w:val="es-ES_tradnl" w:eastAsia="es-ES"/>
        </w:rPr>
        <w:t>Biológica</w:t>
      </w:r>
      <w:r w:rsidRPr="0021716D">
        <w:rPr>
          <w:rFonts w:ascii="Calibri" w:eastAsiaTheme="minorHAnsi" w:hAnsi="Calibri"/>
          <w:lang w:val="es-ES_tradnl" w:eastAsia="es-ES"/>
        </w:rPr>
        <w:t xml:space="preserve"> </w:t>
      </w:r>
      <w:r w:rsidR="00FD01E5">
        <w:rPr>
          <w:rFonts w:ascii="Calibri" w:eastAsiaTheme="minorHAnsi" w:hAnsi="Calibri"/>
          <w:lang w:val="es-ES_tradnl" w:eastAsia="es-ES"/>
        </w:rPr>
        <w:t xml:space="preserve">(BLG, por sus siglas en inglés) </w:t>
      </w:r>
      <w:r w:rsidRPr="0021716D">
        <w:rPr>
          <w:rFonts w:ascii="Calibri" w:eastAsiaTheme="minorHAnsi" w:hAnsi="Calibri"/>
          <w:lang w:val="es-ES_tradnl" w:eastAsia="es-ES"/>
        </w:rPr>
        <w:t xml:space="preserve">para aumentar la coherencia y </w:t>
      </w:r>
      <w:r w:rsidR="0021716D" w:rsidRPr="0021716D">
        <w:rPr>
          <w:rFonts w:ascii="Calibri" w:eastAsiaTheme="minorHAnsi" w:hAnsi="Calibri"/>
          <w:lang w:val="es-ES_tradnl" w:eastAsia="es-ES"/>
        </w:rPr>
        <w:t>cooperación</w:t>
      </w:r>
      <w:r w:rsidRPr="0021716D">
        <w:rPr>
          <w:rFonts w:ascii="Calibri" w:eastAsiaTheme="minorHAnsi" w:hAnsi="Calibri"/>
          <w:lang w:val="es-ES_tradnl" w:eastAsia="es-ES"/>
        </w:rPr>
        <w:t xml:space="preserve"> y proseguir los esfuerzos para mejorar la eficiencia y reducir la </w:t>
      </w:r>
      <w:r w:rsidR="0021716D" w:rsidRPr="0021716D">
        <w:rPr>
          <w:rFonts w:ascii="Calibri" w:eastAsiaTheme="minorHAnsi" w:hAnsi="Calibri"/>
          <w:lang w:val="es-ES_tradnl" w:eastAsia="es-ES"/>
        </w:rPr>
        <w:t>superposición</w:t>
      </w:r>
      <w:r w:rsidRPr="0021716D">
        <w:rPr>
          <w:rFonts w:ascii="Calibri" w:eastAsiaTheme="minorHAnsi" w:hAnsi="Calibri"/>
          <w:lang w:val="es-ES_tradnl" w:eastAsia="es-ES"/>
        </w:rPr>
        <w:t xml:space="preserve"> y </w:t>
      </w:r>
      <w:r w:rsidR="0021716D" w:rsidRPr="0021716D">
        <w:rPr>
          <w:rFonts w:ascii="Calibri" w:eastAsiaTheme="minorHAnsi" w:hAnsi="Calibri"/>
          <w:lang w:val="es-ES_tradnl" w:eastAsia="es-ES"/>
        </w:rPr>
        <w:t>duplicación</w:t>
      </w:r>
      <w:r w:rsidRPr="0021716D">
        <w:rPr>
          <w:rFonts w:ascii="Calibri" w:eastAsiaTheme="minorHAnsi" w:hAnsi="Calibri"/>
          <w:lang w:val="es-ES_tradnl" w:eastAsia="es-ES"/>
        </w:rPr>
        <w:t xml:space="preserve"> innecesarias a todos los niveles pertinentes entre las Convenciones relacionadas con la biodiversidad.</w:t>
      </w:r>
    </w:p>
    <w:p w14:paraId="0C38ED0F" w14:textId="77777777" w:rsidR="002B4098" w:rsidRPr="0021716D" w:rsidRDefault="002B4098" w:rsidP="002B4098">
      <w:pPr>
        <w:tabs>
          <w:tab w:val="left" w:pos="709"/>
        </w:tabs>
        <w:suppressAutoHyphens/>
        <w:rPr>
          <w:rFonts w:asciiTheme="minorHAnsi" w:hAnsiTheme="minorHAnsi"/>
          <w:lang w:val="es-ES_tradnl"/>
        </w:rPr>
      </w:pPr>
    </w:p>
    <w:p w14:paraId="00641A35" w14:textId="3F9D84DE" w:rsidR="00812CC5" w:rsidRPr="0021716D" w:rsidRDefault="00FD01E5" w:rsidP="002B4098">
      <w:pPr>
        <w:pStyle w:val="ListParagraph"/>
        <w:numPr>
          <w:ilvl w:val="0"/>
          <w:numId w:val="19"/>
        </w:numPr>
        <w:tabs>
          <w:tab w:val="left" w:pos="709"/>
        </w:tabs>
        <w:suppressAutoHyphens/>
        <w:ind w:left="426" w:hanging="426"/>
        <w:jc w:val="left"/>
        <w:rPr>
          <w:rFonts w:asciiTheme="minorHAnsi" w:hAnsiTheme="minorHAnsi" w:cstheme="minorHAnsi"/>
          <w:bCs/>
          <w:lang w:val="es-ES_tradnl"/>
        </w:rPr>
      </w:pPr>
      <w:r>
        <w:rPr>
          <w:rFonts w:asciiTheme="minorHAnsi" w:hAnsiTheme="minorHAnsi"/>
          <w:lang w:val="es-ES_tradnl"/>
        </w:rPr>
        <w:t>En el párrafo 21 de la</w:t>
      </w:r>
      <w:r w:rsidR="002B4098" w:rsidRPr="0021716D">
        <w:rPr>
          <w:rFonts w:asciiTheme="minorHAnsi" w:hAnsiTheme="minorHAnsi"/>
          <w:lang w:val="es-ES_tradnl"/>
        </w:rPr>
        <w:t xml:space="preserve"> </w:t>
      </w:r>
      <w:r w:rsidR="00B149E4" w:rsidRPr="0021716D">
        <w:rPr>
          <w:rFonts w:asciiTheme="minorHAnsi" w:hAnsiTheme="minorHAnsi"/>
          <w:lang w:val="es-ES_tradnl"/>
        </w:rPr>
        <w:t>Resolución</w:t>
      </w:r>
      <w:r w:rsidR="002A65F4" w:rsidRPr="0021716D">
        <w:rPr>
          <w:rFonts w:asciiTheme="minorHAnsi" w:hAnsiTheme="minorHAnsi"/>
          <w:lang w:val="es-ES_tradnl"/>
        </w:rPr>
        <w:t xml:space="preserve"> </w:t>
      </w:r>
      <w:r w:rsidR="00073599" w:rsidRPr="0021716D">
        <w:rPr>
          <w:rFonts w:asciiTheme="minorHAnsi" w:hAnsiTheme="minorHAnsi"/>
          <w:lang w:val="es-ES_tradnl"/>
        </w:rPr>
        <w:t>XII.7</w:t>
      </w:r>
      <w:r w:rsidR="002A65F4" w:rsidRPr="0021716D">
        <w:rPr>
          <w:rFonts w:asciiTheme="minorHAnsi" w:hAnsiTheme="minorHAnsi"/>
          <w:lang w:val="es-ES_tradnl"/>
        </w:rPr>
        <w:t xml:space="preserve"> </w:t>
      </w:r>
      <w:r w:rsidR="002B4098" w:rsidRPr="0021716D">
        <w:rPr>
          <w:rFonts w:asciiTheme="minorHAnsi" w:hAnsiTheme="minorHAnsi"/>
          <w:lang w:val="es-ES_tradnl"/>
        </w:rPr>
        <w:t xml:space="preserve">sobre el </w:t>
      </w:r>
      <w:r w:rsidR="002B4098" w:rsidRPr="0021716D">
        <w:rPr>
          <w:rFonts w:ascii="Calibri" w:hAnsi="Calibri"/>
          <w:bCs/>
          <w:i/>
          <w:lang w:val="es-ES_tradnl"/>
        </w:rPr>
        <w:t>Marco de la Convención de Ramsar para la movilización de recursos y las asociaciones de colaboración</w:t>
      </w:r>
      <w:r w:rsidR="002B4098" w:rsidRPr="00FD01E5">
        <w:rPr>
          <w:rFonts w:ascii="Calibri" w:hAnsi="Calibri"/>
          <w:bCs/>
          <w:i/>
          <w:lang w:val="es-ES_tradnl"/>
        </w:rPr>
        <w:t xml:space="preserve">, </w:t>
      </w:r>
      <w:r w:rsidRPr="00FD01E5">
        <w:rPr>
          <w:rFonts w:ascii="Calibri" w:hAnsi="Calibri"/>
          <w:bCs/>
          <w:lang w:val="es-ES_tradnl"/>
        </w:rPr>
        <w:t xml:space="preserve">se </w:t>
      </w:r>
      <w:r w:rsidR="002B4098" w:rsidRPr="00FD01E5">
        <w:rPr>
          <w:rFonts w:asciiTheme="minorHAnsi" w:hAnsiTheme="minorHAnsi"/>
          <w:lang w:val="es-ES_tradnl"/>
        </w:rPr>
        <w:t>pide</w:t>
      </w:r>
      <w:r w:rsidR="002B4098" w:rsidRPr="0021716D">
        <w:rPr>
          <w:rFonts w:asciiTheme="minorHAnsi" w:hAnsiTheme="minorHAnsi"/>
          <w:lang w:val="es-ES_tradnl"/>
        </w:rPr>
        <w:t xml:space="preserve"> </w:t>
      </w:r>
      <w:r w:rsidR="002B4098" w:rsidRPr="0021716D">
        <w:rPr>
          <w:rFonts w:ascii="Calibri" w:eastAsiaTheme="minorHAnsi" w:hAnsi="Calibri"/>
          <w:lang w:val="es-ES_tradnl" w:eastAsia="es-ES"/>
        </w:rPr>
        <w:t xml:space="preserve">a la </w:t>
      </w:r>
      <w:r w:rsidR="0021716D" w:rsidRPr="0021716D">
        <w:rPr>
          <w:rFonts w:ascii="Calibri" w:eastAsiaTheme="minorHAnsi" w:hAnsi="Calibri"/>
          <w:lang w:val="es-ES_tradnl" w:eastAsia="es-ES"/>
        </w:rPr>
        <w:t>Secretaria</w:t>
      </w:r>
      <w:r w:rsidR="002B4098" w:rsidRPr="0021716D">
        <w:rPr>
          <w:rFonts w:ascii="Calibri" w:eastAsiaTheme="minorHAnsi" w:hAnsi="Calibri"/>
          <w:lang w:val="es-ES_tradnl" w:eastAsia="es-ES"/>
        </w:rPr>
        <w:t xml:space="preserve"> que fortalezca las alianzas con otros acuerdos multilaterales sobre el medio ambiente (AMMA), tales como la </w:t>
      </w:r>
      <w:r w:rsidR="0021716D" w:rsidRPr="0021716D">
        <w:rPr>
          <w:rFonts w:ascii="Calibri" w:eastAsiaTheme="minorHAnsi" w:hAnsi="Calibri"/>
          <w:lang w:val="es-ES_tradnl" w:eastAsia="es-ES"/>
        </w:rPr>
        <w:t>Convención</w:t>
      </w:r>
      <w:r w:rsidR="002B4098" w:rsidRPr="0021716D">
        <w:rPr>
          <w:rFonts w:ascii="Calibri" w:eastAsiaTheme="minorHAnsi" w:hAnsi="Calibri"/>
          <w:lang w:val="es-ES_tradnl" w:eastAsia="es-ES"/>
        </w:rPr>
        <w:t xml:space="preserve"> de las Naciones Unidas de Lucha contra la </w:t>
      </w:r>
      <w:r w:rsidR="0021716D" w:rsidRPr="0021716D">
        <w:rPr>
          <w:rFonts w:ascii="Calibri" w:eastAsiaTheme="minorHAnsi" w:hAnsi="Calibri"/>
          <w:lang w:val="es-ES_tradnl" w:eastAsia="es-ES"/>
        </w:rPr>
        <w:t>Desertificación</w:t>
      </w:r>
      <w:r w:rsidR="002B4098" w:rsidRPr="0021716D">
        <w:rPr>
          <w:rFonts w:ascii="Calibri" w:eastAsiaTheme="minorHAnsi" w:hAnsi="Calibri"/>
          <w:lang w:val="es-ES_tradnl" w:eastAsia="es-ES"/>
        </w:rPr>
        <w:t xml:space="preserve"> (</w:t>
      </w:r>
      <w:r>
        <w:rPr>
          <w:rFonts w:ascii="Calibri" w:eastAsiaTheme="minorHAnsi" w:hAnsi="Calibri"/>
          <w:lang w:val="es-ES_tradnl" w:eastAsia="es-ES"/>
        </w:rPr>
        <w:t>CNULD o CLD</w:t>
      </w:r>
      <w:r w:rsidR="002B4098" w:rsidRPr="0021716D">
        <w:rPr>
          <w:rFonts w:ascii="Calibri" w:eastAsiaTheme="minorHAnsi" w:hAnsi="Calibri"/>
          <w:lang w:val="es-ES_tradnl" w:eastAsia="es-ES"/>
        </w:rPr>
        <w:t xml:space="preserve">), el CDB y otros, con el fin de desarrollar sinergias e intercambiar recursos, evitar la </w:t>
      </w:r>
      <w:r w:rsidR="0021716D" w:rsidRPr="0021716D">
        <w:rPr>
          <w:rFonts w:ascii="Calibri" w:eastAsiaTheme="minorHAnsi" w:hAnsi="Calibri"/>
          <w:lang w:val="es-ES_tradnl" w:eastAsia="es-ES"/>
        </w:rPr>
        <w:t>duplicación</w:t>
      </w:r>
      <w:r w:rsidR="002B4098" w:rsidRPr="0021716D">
        <w:rPr>
          <w:rFonts w:ascii="Calibri" w:eastAsiaTheme="minorHAnsi" w:hAnsi="Calibri"/>
          <w:lang w:val="es-ES_tradnl" w:eastAsia="es-ES"/>
        </w:rPr>
        <w:t xml:space="preserve"> de esfuerzos y mejorar la </w:t>
      </w:r>
      <w:r w:rsidR="0021716D" w:rsidRPr="0021716D">
        <w:rPr>
          <w:rFonts w:ascii="Calibri" w:eastAsiaTheme="minorHAnsi" w:hAnsi="Calibri"/>
          <w:lang w:val="es-ES_tradnl" w:eastAsia="es-ES"/>
        </w:rPr>
        <w:t>aplicación</w:t>
      </w:r>
      <w:r w:rsidR="002B4098" w:rsidRPr="0021716D">
        <w:rPr>
          <w:rFonts w:ascii="Calibri" w:eastAsiaTheme="minorHAnsi" w:hAnsi="Calibri"/>
          <w:lang w:val="es-ES_tradnl" w:eastAsia="es-ES"/>
        </w:rPr>
        <w:t xml:space="preserve">, respetando el mandato de cada </w:t>
      </w:r>
      <w:r w:rsidR="0021716D" w:rsidRPr="0021716D">
        <w:rPr>
          <w:rFonts w:ascii="Calibri" w:eastAsiaTheme="minorHAnsi" w:hAnsi="Calibri"/>
          <w:lang w:val="es-ES_tradnl" w:eastAsia="es-ES"/>
        </w:rPr>
        <w:t>Convención</w:t>
      </w:r>
      <w:r>
        <w:rPr>
          <w:rFonts w:ascii="Calibri" w:eastAsiaTheme="minorHAnsi" w:hAnsi="Calibri"/>
          <w:lang w:val="es-ES_tradnl" w:eastAsia="es-ES"/>
        </w:rPr>
        <w:t>; también se pide</w:t>
      </w:r>
      <w:r w:rsidR="002B4098" w:rsidRPr="0021716D">
        <w:rPr>
          <w:rFonts w:ascii="Calibri" w:eastAsiaTheme="minorHAnsi" w:hAnsi="Calibri"/>
          <w:lang w:val="es-ES_tradnl" w:eastAsia="es-ES"/>
        </w:rPr>
        <w:t xml:space="preserve"> a la </w:t>
      </w:r>
      <w:r w:rsidR="0021716D" w:rsidRPr="0021716D">
        <w:rPr>
          <w:rFonts w:ascii="Calibri" w:eastAsiaTheme="minorHAnsi" w:hAnsi="Calibri"/>
          <w:lang w:val="es-ES_tradnl" w:eastAsia="es-ES"/>
        </w:rPr>
        <w:t>Secretaría</w:t>
      </w:r>
      <w:r w:rsidR="002B4098" w:rsidRPr="0021716D">
        <w:rPr>
          <w:rFonts w:ascii="Calibri" w:eastAsiaTheme="minorHAnsi" w:hAnsi="Calibri"/>
          <w:lang w:val="es-ES_tradnl" w:eastAsia="es-ES"/>
        </w:rPr>
        <w:t xml:space="preserve"> que facilite al Co</w:t>
      </w:r>
      <w:r w:rsidR="0021716D">
        <w:rPr>
          <w:rFonts w:ascii="Calibri" w:eastAsiaTheme="minorHAnsi" w:hAnsi="Calibri"/>
          <w:lang w:val="es-ES_tradnl" w:eastAsia="es-ES"/>
        </w:rPr>
        <w:t>mité</w:t>
      </w:r>
      <w:r>
        <w:rPr>
          <w:rFonts w:ascii="Calibri" w:eastAsiaTheme="minorHAnsi" w:hAnsi="Calibri"/>
          <w:lang w:val="es-ES_tradnl" w:eastAsia="es-ES"/>
        </w:rPr>
        <w:t xml:space="preserve"> Permanente en su 51ª</w:t>
      </w:r>
      <w:r w:rsidR="002B4098" w:rsidRPr="0021716D">
        <w:rPr>
          <w:rFonts w:ascii="Calibri" w:eastAsiaTheme="minorHAnsi" w:hAnsi="Calibri"/>
          <w:lang w:val="es-ES_tradnl" w:eastAsia="es-ES"/>
        </w:rPr>
        <w:t xml:space="preserve"> </w:t>
      </w:r>
      <w:r w:rsidR="0021716D" w:rsidRPr="0021716D">
        <w:rPr>
          <w:rFonts w:ascii="Calibri" w:eastAsiaTheme="minorHAnsi" w:hAnsi="Calibri"/>
          <w:lang w:val="es-ES_tradnl" w:eastAsia="es-ES"/>
        </w:rPr>
        <w:t>reunión</w:t>
      </w:r>
      <w:r w:rsidR="002B4098" w:rsidRPr="0021716D">
        <w:rPr>
          <w:rFonts w:ascii="Calibri" w:eastAsiaTheme="minorHAnsi" w:hAnsi="Calibri"/>
          <w:lang w:val="es-ES_tradnl" w:eastAsia="es-ES"/>
        </w:rPr>
        <w:t xml:space="preserve"> un plan sobre </w:t>
      </w:r>
      <w:r w:rsidR="0021716D" w:rsidRPr="0021716D">
        <w:rPr>
          <w:rFonts w:ascii="Calibri" w:eastAsiaTheme="minorHAnsi" w:hAnsi="Calibri"/>
          <w:lang w:val="es-ES_tradnl" w:eastAsia="es-ES"/>
        </w:rPr>
        <w:t>c</w:t>
      </w:r>
      <w:r w:rsidR="0021716D">
        <w:rPr>
          <w:rFonts w:ascii="Calibri" w:eastAsiaTheme="minorHAnsi" w:hAnsi="Calibri"/>
          <w:lang w:val="es-ES_tradnl" w:eastAsia="es-ES"/>
        </w:rPr>
        <w:t>ó</w:t>
      </w:r>
      <w:r w:rsidR="0021716D" w:rsidRPr="0021716D">
        <w:rPr>
          <w:rFonts w:ascii="Calibri" w:eastAsiaTheme="minorHAnsi" w:hAnsi="Calibri"/>
          <w:lang w:val="es-ES_tradnl" w:eastAsia="es-ES"/>
        </w:rPr>
        <w:t>mo</w:t>
      </w:r>
      <w:r w:rsidR="002B4098" w:rsidRPr="0021716D">
        <w:rPr>
          <w:rFonts w:ascii="Calibri" w:eastAsiaTheme="minorHAnsi" w:hAnsi="Calibri"/>
          <w:lang w:val="es-ES_tradnl" w:eastAsia="es-ES"/>
        </w:rPr>
        <w:t xml:space="preserve"> aumentar la </w:t>
      </w:r>
      <w:r w:rsidR="0021716D" w:rsidRPr="0021716D">
        <w:rPr>
          <w:rFonts w:ascii="Calibri" w:eastAsiaTheme="minorHAnsi" w:hAnsi="Calibri"/>
          <w:lang w:val="es-ES_tradnl" w:eastAsia="es-ES"/>
        </w:rPr>
        <w:t>cooperación</w:t>
      </w:r>
      <w:r w:rsidR="002B4098" w:rsidRPr="0021716D">
        <w:rPr>
          <w:rFonts w:ascii="Calibri" w:eastAsiaTheme="minorHAnsi" w:hAnsi="Calibri"/>
          <w:lang w:val="es-ES_tradnl" w:eastAsia="es-ES"/>
        </w:rPr>
        <w:t xml:space="preserve"> con otros AMMA y que informe </w:t>
      </w:r>
      <w:r w:rsidR="0021716D" w:rsidRPr="0021716D">
        <w:rPr>
          <w:rFonts w:ascii="Calibri" w:eastAsiaTheme="minorHAnsi" w:hAnsi="Calibri"/>
          <w:lang w:val="es-ES_tradnl" w:eastAsia="es-ES"/>
        </w:rPr>
        <w:t>periódicamente</w:t>
      </w:r>
      <w:r w:rsidR="002B4098" w:rsidRPr="0021716D">
        <w:rPr>
          <w:rFonts w:ascii="Calibri" w:eastAsiaTheme="minorHAnsi" w:hAnsi="Calibri"/>
          <w:lang w:val="es-ES_tradnl" w:eastAsia="es-ES"/>
        </w:rPr>
        <w:t xml:space="preserve"> de </w:t>
      </w:r>
      <w:r>
        <w:rPr>
          <w:rFonts w:ascii="Calibri" w:eastAsiaTheme="minorHAnsi" w:hAnsi="Calibri"/>
          <w:lang w:val="es-ES_tradnl" w:eastAsia="es-ES"/>
        </w:rPr>
        <w:t>sus</w:t>
      </w:r>
      <w:r w:rsidR="002B4098" w:rsidRPr="0021716D">
        <w:rPr>
          <w:rFonts w:ascii="Calibri" w:eastAsiaTheme="minorHAnsi" w:hAnsi="Calibri"/>
          <w:lang w:val="es-ES_tradnl" w:eastAsia="es-ES"/>
        </w:rPr>
        <w:t xml:space="preserve"> ac</w:t>
      </w:r>
      <w:r w:rsidR="0021716D">
        <w:rPr>
          <w:rFonts w:ascii="Calibri" w:eastAsiaTheme="minorHAnsi" w:hAnsi="Calibri"/>
          <w:lang w:val="es-ES_tradnl" w:eastAsia="es-ES"/>
        </w:rPr>
        <w:t>tividades al Comité</w:t>
      </w:r>
      <w:r w:rsidR="002B4098" w:rsidRPr="0021716D">
        <w:rPr>
          <w:rFonts w:ascii="Calibri" w:eastAsiaTheme="minorHAnsi" w:hAnsi="Calibri"/>
          <w:lang w:val="es-ES_tradnl" w:eastAsia="es-ES"/>
        </w:rPr>
        <w:t xml:space="preserve"> Permanente</w:t>
      </w:r>
      <w:r w:rsidR="005526B6" w:rsidRPr="0021716D">
        <w:rPr>
          <w:rFonts w:asciiTheme="minorHAnsi" w:hAnsiTheme="minorHAnsi"/>
          <w:lang w:val="es-ES_tradnl"/>
        </w:rPr>
        <w:t>.</w:t>
      </w:r>
    </w:p>
    <w:p w14:paraId="1B4E1708" w14:textId="77777777" w:rsidR="00073599" w:rsidRPr="0021716D" w:rsidRDefault="00073599" w:rsidP="005522A4">
      <w:pPr>
        <w:tabs>
          <w:tab w:val="left" w:pos="709"/>
        </w:tabs>
        <w:suppressAutoHyphens/>
        <w:ind w:left="426" w:hanging="426"/>
        <w:rPr>
          <w:rFonts w:asciiTheme="minorHAnsi" w:hAnsiTheme="minorHAnsi"/>
          <w:lang w:val="es-ES_tradnl"/>
        </w:rPr>
      </w:pPr>
    </w:p>
    <w:p w14:paraId="1DD65518" w14:textId="0AD073D3" w:rsidR="00812CC5" w:rsidRPr="0021716D" w:rsidRDefault="00FD01E5" w:rsidP="005522A4">
      <w:pPr>
        <w:pStyle w:val="ListParagraph"/>
        <w:numPr>
          <w:ilvl w:val="0"/>
          <w:numId w:val="19"/>
        </w:numPr>
        <w:autoSpaceDE w:val="0"/>
        <w:autoSpaceDN w:val="0"/>
        <w:adjustRightInd w:val="0"/>
        <w:ind w:left="426" w:hanging="426"/>
        <w:jc w:val="left"/>
        <w:rPr>
          <w:rFonts w:asciiTheme="minorHAnsi" w:hAnsiTheme="minorHAnsi"/>
          <w:lang w:val="es-ES_tradnl"/>
        </w:rPr>
      </w:pPr>
      <w:r w:rsidRPr="00FD01E5">
        <w:rPr>
          <w:rFonts w:ascii="Calibri" w:eastAsiaTheme="minorHAnsi" w:hAnsi="Calibri" w:cs="Calibri"/>
          <w:lang w:val="es-ES_tradnl"/>
        </w:rPr>
        <w:t>En consecuencia</w:t>
      </w:r>
      <w:r w:rsidR="002B4098" w:rsidRPr="00FD01E5">
        <w:rPr>
          <w:rFonts w:ascii="Calibri" w:eastAsiaTheme="minorHAnsi" w:hAnsi="Calibri" w:cs="Calibri"/>
          <w:lang w:val="es-ES_tradnl"/>
        </w:rPr>
        <w:t>, el</w:t>
      </w:r>
      <w:r>
        <w:rPr>
          <w:rFonts w:ascii="Calibri" w:eastAsiaTheme="minorHAnsi" w:hAnsi="Calibri" w:cs="Calibri"/>
          <w:color w:val="000000"/>
          <w:lang w:val="es-ES_tradnl"/>
        </w:rPr>
        <w:t xml:space="preserve"> presente informe abarca </w:t>
      </w:r>
      <w:r w:rsidR="002B4098" w:rsidRPr="0021716D">
        <w:rPr>
          <w:rFonts w:ascii="Calibri" w:eastAsiaTheme="minorHAnsi" w:hAnsi="Calibri" w:cs="Calibri"/>
          <w:color w:val="000000"/>
          <w:lang w:val="es-ES_tradnl"/>
        </w:rPr>
        <w:t>las principales actividades realizadas en el marco de la</w:t>
      </w:r>
      <w:r w:rsidR="002A65F4" w:rsidRPr="0021716D">
        <w:rPr>
          <w:rFonts w:ascii="Calibri" w:eastAsiaTheme="minorHAnsi" w:hAnsi="Calibri" w:cs="Calibri"/>
          <w:color w:val="000000"/>
          <w:lang w:val="es-ES_tradnl"/>
        </w:rPr>
        <w:t xml:space="preserve"> </w:t>
      </w:r>
      <w:r w:rsidR="00B149E4" w:rsidRPr="0021716D">
        <w:rPr>
          <w:rFonts w:ascii="Calibri" w:eastAsiaTheme="minorHAnsi" w:hAnsi="Calibri" w:cs="Calibri"/>
          <w:color w:val="000000"/>
          <w:lang w:val="es-ES_tradnl"/>
        </w:rPr>
        <w:t>Resolución</w:t>
      </w:r>
      <w:r w:rsidR="002A65F4" w:rsidRPr="0021716D">
        <w:rPr>
          <w:rFonts w:ascii="Calibri" w:eastAsiaTheme="minorHAnsi" w:hAnsi="Calibri" w:cs="Calibri"/>
          <w:color w:val="000000"/>
          <w:lang w:val="es-ES_tradnl"/>
        </w:rPr>
        <w:t xml:space="preserve"> </w:t>
      </w:r>
      <w:r w:rsidR="00F401EC" w:rsidRPr="0021716D">
        <w:rPr>
          <w:rFonts w:ascii="Calibri" w:eastAsiaTheme="minorHAnsi" w:hAnsi="Calibri" w:cs="Calibri"/>
          <w:color w:val="000000"/>
          <w:lang w:val="es-ES_tradnl"/>
        </w:rPr>
        <w:t>XI.6,</w:t>
      </w:r>
      <w:r w:rsidR="002A65F4" w:rsidRPr="0021716D">
        <w:rPr>
          <w:rFonts w:ascii="Calibri" w:eastAsiaTheme="minorHAnsi" w:hAnsi="Calibri" w:cs="Calibri"/>
          <w:color w:val="000000"/>
          <w:lang w:val="es-ES_tradnl"/>
        </w:rPr>
        <w:t xml:space="preserve"> </w:t>
      </w:r>
      <w:r w:rsidR="002B4098" w:rsidRPr="0021716D">
        <w:rPr>
          <w:rFonts w:ascii="Calibri" w:eastAsiaTheme="minorHAnsi" w:hAnsi="Calibri" w:cs="Calibri"/>
          <w:color w:val="000000"/>
          <w:lang w:val="es-ES_tradnl"/>
        </w:rPr>
        <w:t xml:space="preserve">concretamente las actividades realizadas en el Grupo de Enlace sobre la Diversidad Biológica y los órganos </w:t>
      </w:r>
      <w:r w:rsidR="0021716D" w:rsidRPr="0021716D">
        <w:rPr>
          <w:rFonts w:ascii="Calibri" w:eastAsiaTheme="minorHAnsi" w:hAnsi="Calibri" w:cs="Calibri"/>
          <w:color w:val="000000"/>
          <w:lang w:val="es-ES_tradnl"/>
        </w:rPr>
        <w:t>científicos</w:t>
      </w:r>
      <w:r w:rsidR="002B4098" w:rsidRPr="0021716D">
        <w:rPr>
          <w:rFonts w:ascii="Calibri" w:eastAsiaTheme="minorHAnsi" w:hAnsi="Calibri" w:cs="Calibri"/>
          <w:color w:val="000000"/>
          <w:lang w:val="es-ES_tradnl"/>
        </w:rPr>
        <w:t xml:space="preserve"> de las </w:t>
      </w:r>
      <w:r>
        <w:rPr>
          <w:rFonts w:ascii="Calibri" w:eastAsiaTheme="minorHAnsi" w:hAnsi="Calibri" w:cs="Calibri"/>
          <w:color w:val="000000"/>
          <w:lang w:val="es-ES_tradnl"/>
        </w:rPr>
        <w:t>Convenciones</w:t>
      </w:r>
      <w:r w:rsidR="005A0D1E" w:rsidRPr="0021716D">
        <w:rPr>
          <w:rFonts w:ascii="Calibri" w:eastAsiaTheme="minorHAnsi" w:hAnsi="Calibri" w:cs="Calibri"/>
          <w:color w:val="000000"/>
          <w:lang w:val="es-ES_tradnl"/>
        </w:rPr>
        <w:t xml:space="preserve"> relacionadas con la biodiversidad (C</w:t>
      </w:r>
      <w:r w:rsidR="007A738C" w:rsidRPr="0021716D">
        <w:rPr>
          <w:rFonts w:ascii="Calibri" w:eastAsiaTheme="minorHAnsi" w:hAnsi="Calibri" w:cs="Calibri"/>
          <w:color w:val="000000"/>
          <w:lang w:val="es-ES_tradnl"/>
        </w:rPr>
        <w:t>SAB)</w:t>
      </w:r>
      <w:r w:rsidR="002A65F4" w:rsidRPr="0021716D">
        <w:rPr>
          <w:rFonts w:ascii="Calibri" w:eastAsiaTheme="minorHAnsi" w:hAnsi="Calibri" w:cs="Calibri"/>
          <w:color w:val="000000"/>
          <w:lang w:val="es-ES_tradnl"/>
        </w:rPr>
        <w:t xml:space="preserve"> </w:t>
      </w:r>
      <w:r w:rsidR="007A738C" w:rsidRPr="0021716D">
        <w:rPr>
          <w:rFonts w:ascii="Calibri" w:eastAsiaTheme="minorHAnsi" w:hAnsi="Calibri" w:cs="Calibri"/>
          <w:color w:val="000000"/>
          <w:lang w:val="es-ES_tradnl"/>
        </w:rPr>
        <w:t>(</w:t>
      </w:r>
      <w:r w:rsidR="005A0D1E" w:rsidRPr="0021716D">
        <w:rPr>
          <w:rFonts w:ascii="Calibri" w:eastAsiaTheme="minorHAnsi" w:hAnsi="Calibri" w:cs="Calibri"/>
          <w:color w:val="000000"/>
          <w:lang w:val="es-ES_tradnl"/>
        </w:rPr>
        <w:t>párrafos</w:t>
      </w:r>
      <w:r w:rsidR="002A65F4" w:rsidRPr="0021716D">
        <w:rPr>
          <w:rFonts w:ascii="Calibri" w:eastAsiaTheme="minorHAnsi" w:hAnsi="Calibri" w:cs="Calibri"/>
          <w:color w:val="000000"/>
          <w:lang w:val="es-ES_tradnl"/>
        </w:rPr>
        <w:t xml:space="preserve"> </w:t>
      </w:r>
      <w:r w:rsidR="007A738C" w:rsidRPr="0021716D">
        <w:rPr>
          <w:rFonts w:ascii="Calibri" w:eastAsiaTheme="minorHAnsi" w:hAnsi="Calibri" w:cs="Calibri"/>
          <w:color w:val="000000"/>
          <w:lang w:val="es-ES_tradnl"/>
        </w:rPr>
        <w:t>23</w:t>
      </w:r>
      <w:r w:rsidR="002A65F4" w:rsidRPr="0021716D">
        <w:rPr>
          <w:rFonts w:ascii="Calibri" w:eastAsiaTheme="minorHAnsi" w:hAnsi="Calibri" w:cs="Calibri"/>
          <w:color w:val="000000"/>
          <w:lang w:val="es-ES_tradnl"/>
        </w:rPr>
        <w:t xml:space="preserve"> </w:t>
      </w:r>
      <w:r w:rsidR="005A0D1E" w:rsidRPr="0021716D">
        <w:rPr>
          <w:rFonts w:ascii="Calibri" w:eastAsiaTheme="minorHAnsi" w:hAnsi="Calibri" w:cs="Calibri"/>
          <w:color w:val="000000"/>
          <w:lang w:val="es-ES_tradnl"/>
        </w:rPr>
        <w:t>y</w:t>
      </w:r>
      <w:r w:rsidR="002A65F4" w:rsidRPr="0021716D">
        <w:rPr>
          <w:rFonts w:ascii="Calibri" w:eastAsiaTheme="minorHAnsi" w:hAnsi="Calibri" w:cs="Calibri"/>
          <w:color w:val="000000"/>
          <w:lang w:val="es-ES_tradnl"/>
        </w:rPr>
        <w:t xml:space="preserve"> </w:t>
      </w:r>
      <w:r w:rsidR="007A738C" w:rsidRPr="0021716D">
        <w:rPr>
          <w:rFonts w:ascii="Calibri" w:eastAsiaTheme="minorHAnsi" w:hAnsi="Calibri" w:cs="Calibri"/>
          <w:color w:val="000000"/>
          <w:lang w:val="es-ES_tradnl"/>
        </w:rPr>
        <w:t>43),</w:t>
      </w:r>
      <w:r w:rsidR="002A65F4" w:rsidRPr="0021716D">
        <w:rPr>
          <w:rFonts w:ascii="Calibri" w:eastAsiaTheme="minorHAnsi" w:hAnsi="Calibri" w:cs="Calibri"/>
          <w:color w:val="000000"/>
          <w:lang w:val="es-ES_tradnl"/>
        </w:rPr>
        <w:t xml:space="preserve"> </w:t>
      </w:r>
      <w:r w:rsidR="005A0D1E" w:rsidRPr="0021716D">
        <w:rPr>
          <w:rFonts w:ascii="Calibri" w:eastAsiaTheme="minorHAnsi" w:hAnsi="Calibri" w:cs="Calibri"/>
          <w:color w:val="000000"/>
          <w:lang w:val="es-ES_tradnl"/>
        </w:rPr>
        <w:t xml:space="preserve">el trabajo realizado con las secretarías del </w:t>
      </w:r>
      <w:r w:rsidR="00765E81">
        <w:rPr>
          <w:rFonts w:ascii="Calibri" w:eastAsiaTheme="minorHAnsi" w:hAnsi="Calibri" w:cs="Calibri"/>
          <w:color w:val="000000"/>
          <w:lang w:val="es-ES_tradnl"/>
        </w:rPr>
        <w:t xml:space="preserve">Acuerdo sobre la Conservación de las Aves Migratorias Euroasiáticas </w:t>
      </w:r>
      <w:r w:rsidR="005526B6" w:rsidRPr="0021716D">
        <w:rPr>
          <w:rFonts w:asciiTheme="minorHAnsi" w:hAnsiTheme="minorHAnsi"/>
          <w:lang w:val="es-ES_tradnl"/>
        </w:rPr>
        <w:t>(AEWA)</w:t>
      </w:r>
      <w:r w:rsidR="002A65F4" w:rsidRPr="0021716D">
        <w:rPr>
          <w:rFonts w:asciiTheme="minorHAnsi" w:hAnsiTheme="minorHAnsi"/>
          <w:lang w:val="es-ES_tradnl"/>
        </w:rPr>
        <w:t xml:space="preserve"> </w:t>
      </w:r>
      <w:r w:rsidR="007A738C" w:rsidRPr="0021716D">
        <w:rPr>
          <w:rFonts w:asciiTheme="minorHAnsi" w:hAnsiTheme="minorHAnsi"/>
          <w:lang w:val="es-ES_tradnl"/>
        </w:rPr>
        <w:t>(</w:t>
      </w:r>
      <w:r w:rsidR="00A83FBB" w:rsidRPr="0021716D">
        <w:rPr>
          <w:rFonts w:asciiTheme="minorHAnsi" w:hAnsiTheme="minorHAnsi"/>
          <w:lang w:val="es-ES_tradnl"/>
        </w:rPr>
        <w:t>párrafo</w:t>
      </w:r>
      <w:r w:rsidR="002A65F4" w:rsidRPr="0021716D">
        <w:rPr>
          <w:rFonts w:asciiTheme="minorHAnsi" w:hAnsiTheme="minorHAnsi"/>
          <w:lang w:val="es-ES_tradnl"/>
        </w:rPr>
        <w:t xml:space="preserve"> </w:t>
      </w:r>
      <w:r w:rsidR="007A738C" w:rsidRPr="0021716D">
        <w:rPr>
          <w:rFonts w:asciiTheme="minorHAnsi" w:hAnsiTheme="minorHAnsi"/>
          <w:lang w:val="es-ES_tradnl"/>
        </w:rPr>
        <w:t>24)</w:t>
      </w:r>
      <w:r w:rsidR="002A65F4" w:rsidRPr="0021716D">
        <w:rPr>
          <w:rFonts w:asciiTheme="minorHAnsi" w:hAnsiTheme="minorHAnsi"/>
          <w:lang w:val="es-ES_tradnl"/>
        </w:rPr>
        <w:t xml:space="preserve"> </w:t>
      </w:r>
      <w:r w:rsidR="00A83FBB" w:rsidRPr="00765E81">
        <w:rPr>
          <w:rFonts w:asciiTheme="minorHAnsi" w:hAnsiTheme="minorHAnsi"/>
          <w:lang w:val="es-ES_tradnl"/>
        </w:rPr>
        <w:t xml:space="preserve">y la </w:t>
      </w:r>
      <w:r w:rsidR="007831BE" w:rsidRPr="00765E81">
        <w:rPr>
          <w:rFonts w:ascii="Calibri" w:eastAsiaTheme="minorHAnsi" w:hAnsi="Calibri" w:cs="Calibri"/>
          <w:lang w:val="es-ES_tradnl"/>
        </w:rPr>
        <w:t>Conven</w:t>
      </w:r>
      <w:r w:rsidR="00765E81" w:rsidRPr="00765E81">
        <w:rPr>
          <w:rFonts w:ascii="Calibri" w:eastAsiaTheme="minorHAnsi" w:hAnsi="Calibri" w:cs="Calibri"/>
          <w:lang w:val="es-ES_tradnl"/>
        </w:rPr>
        <w:t>ción sobre la conservación de las especies migratorias de a</w:t>
      </w:r>
      <w:r w:rsidR="00FE77CD">
        <w:rPr>
          <w:rFonts w:ascii="Calibri" w:eastAsiaTheme="minorHAnsi" w:hAnsi="Calibri" w:cs="Calibri"/>
          <w:lang w:val="es-ES_tradnl"/>
        </w:rPr>
        <w:t>nimales</w:t>
      </w:r>
      <w:r w:rsidR="00765E81" w:rsidRPr="00765E81">
        <w:rPr>
          <w:rFonts w:ascii="Calibri" w:eastAsiaTheme="minorHAnsi" w:hAnsi="Calibri" w:cs="Calibri"/>
          <w:lang w:val="es-ES_tradnl"/>
        </w:rPr>
        <w:t xml:space="preserve"> silvestres (CEM</w:t>
      </w:r>
      <w:r w:rsidR="005526B6" w:rsidRPr="00765E81">
        <w:rPr>
          <w:rFonts w:asciiTheme="minorHAnsi" w:hAnsiTheme="minorHAnsi"/>
          <w:lang w:val="es-ES_tradnl"/>
        </w:rPr>
        <w:t>)</w:t>
      </w:r>
      <w:r w:rsidR="002A65F4" w:rsidRPr="00765E81">
        <w:rPr>
          <w:rFonts w:asciiTheme="minorHAnsi" w:hAnsiTheme="minorHAnsi"/>
          <w:lang w:val="es-ES_tradnl"/>
        </w:rPr>
        <w:t xml:space="preserve"> </w:t>
      </w:r>
      <w:r w:rsidR="00A83FBB" w:rsidRPr="00765E81">
        <w:rPr>
          <w:rFonts w:asciiTheme="minorHAnsi" w:hAnsiTheme="minorHAnsi"/>
          <w:lang w:val="es-ES_tradnl"/>
        </w:rPr>
        <w:t>y los</w:t>
      </w:r>
      <w:r w:rsidR="00A83FBB" w:rsidRPr="0021716D">
        <w:rPr>
          <w:rFonts w:asciiTheme="minorHAnsi" w:hAnsiTheme="minorHAnsi"/>
          <w:lang w:val="es-ES_tradnl"/>
        </w:rPr>
        <w:t xml:space="preserve"> progresos realizados con el PNUMA y otras instituciones. También presenta un plan para </w:t>
      </w:r>
      <w:r w:rsidR="00765E81">
        <w:rPr>
          <w:rFonts w:asciiTheme="minorHAnsi" w:hAnsiTheme="minorHAnsi"/>
          <w:lang w:val="es-ES_tradnl"/>
        </w:rPr>
        <w:t>aumentar</w:t>
      </w:r>
      <w:r w:rsidR="00A83FBB" w:rsidRPr="0021716D">
        <w:rPr>
          <w:rFonts w:asciiTheme="minorHAnsi" w:hAnsiTheme="minorHAnsi"/>
          <w:lang w:val="es-ES_tradnl"/>
        </w:rPr>
        <w:t xml:space="preserve"> la cooperación con otros AMMA.</w:t>
      </w:r>
    </w:p>
    <w:p w14:paraId="428B2AA6" w14:textId="77777777" w:rsidR="00812CC5" w:rsidRPr="0021716D" w:rsidRDefault="00812CC5" w:rsidP="005522A4">
      <w:pPr>
        <w:pStyle w:val="ListParagraph"/>
        <w:ind w:left="0"/>
        <w:jc w:val="left"/>
        <w:rPr>
          <w:rFonts w:asciiTheme="minorHAnsi" w:hAnsiTheme="minorHAnsi"/>
          <w:lang w:val="es-ES_tradnl"/>
        </w:rPr>
      </w:pPr>
    </w:p>
    <w:p w14:paraId="6FEFED3B" w14:textId="6934705E" w:rsidR="00F401EC" w:rsidRPr="0021716D" w:rsidRDefault="00765E81" w:rsidP="005522A4">
      <w:pPr>
        <w:rPr>
          <w:rFonts w:asciiTheme="minorHAnsi" w:hAnsiTheme="minorHAnsi"/>
          <w:b/>
          <w:sz w:val="22"/>
          <w:szCs w:val="22"/>
          <w:lang w:val="es-ES_tradnl"/>
        </w:rPr>
      </w:pPr>
      <w:r w:rsidRPr="00765E81">
        <w:rPr>
          <w:rFonts w:asciiTheme="minorHAnsi" w:hAnsiTheme="minorHAnsi"/>
          <w:b/>
          <w:sz w:val="22"/>
          <w:szCs w:val="22"/>
          <w:lang w:val="es-ES_tradnl"/>
        </w:rPr>
        <w:t>T</w:t>
      </w:r>
      <w:r>
        <w:rPr>
          <w:rFonts w:asciiTheme="minorHAnsi" w:hAnsiTheme="minorHAnsi"/>
          <w:b/>
          <w:sz w:val="22"/>
          <w:szCs w:val="22"/>
          <w:lang w:val="es-ES_tradnl"/>
        </w:rPr>
        <w:t xml:space="preserve">rabajo en el marco del Grupo de Enlace sobre la Diversidad Biológica y los órganos científicos de las </w:t>
      </w:r>
      <w:r w:rsidR="00C61885">
        <w:rPr>
          <w:rFonts w:asciiTheme="minorHAnsi" w:hAnsiTheme="minorHAnsi"/>
          <w:b/>
          <w:sz w:val="22"/>
          <w:szCs w:val="22"/>
          <w:lang w:val="es-ES_tradnl"/>
        </w:rPr>
        <w:t>Convenciones</w:t>
      </w:r>
      <w:r>
        <w:rPr>
          <w:rFonts w:asciiTheme="minorHAnsi" w:hAnsiTheme="minorHAnsi"/>
          <w:b/>
          <w:sz w:val="22"/>
          <w:szCs w:val="22"/>
          <w:lang w:val="es-ES_tradnl"/>
        </w:rPr>
        <w:t xml:space="preserve"> relacionadas con la biodiversidad</w:t>
      </w:r>
    </w:p>
    <w:p w14:paraId="626CE2D9" w14:textId="77777777" w:rsidR="00F401EC" w:rsidRPr="0021716D" w:rsidRDefault="00F401EC" w:rsidP="005522A4">
      <w:pPr>
        <w:rPr>
          <w:rFonts w:asciiTheme="minorHAnsi" w:hAnsiTheme="minorHAnsi"/>
          <w:sz w:val="22"/>
          <w:szCs w:val="22"/>
          <w:lang w:val="es-ES_tradnl"/>
        </w:rPr>
      </w:pPr>
    </w:p>
    <w:p w14:paraId="064786C3" w14:textId="12BFE881" w:rsidR="002835A3" w:rsidRPr="0021716D" w:rsidRDefault="00A83FBB"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es-ES_tradnl"/>
        </w:rPr>
      </w:pPr>
      <w:r w:rsidRPr="0021716D">
        <w:rPr>
          <w:rFonts w:ascii="Calibri" w:eastAsiaTheme="minorHAnsi" w:hAnsi="Calibri" w:cs="Calibri"/>
          <w:color w:val="000000"/>
          <w:lang w:val="es-ES_tradnl"/>
        </w:rPr>
        <w:t xml:space="preserve">La Secretaría de Ramsar ha seguido participando en las reuniones y </w:t>
      </w:r>
      <w:r w:rsidR="00765E81">
        <w:rPr>
          <w:rFonts w:ascii="Calibri" w:eastAsiaTheme="minorHAnsi" w:hAnsi="Calibri" w:cs="Calibri"/>
          <w:color w:val="000000"/>
          <w:lang w:val="es-ES_tradnl"/>
        </w:rPr>
        <w:t>actividades</w:t>
      </w:r>
      <w:r w:rsidRPr="0021716D">
        <w:rPr>
          <w:rFonts w:ascii="Calibri" w:eastAsiaTheme="minorHAnsi" w:hAnsi="Calibri" w:cs="Calibri"/>
          <w:color w:val="000000"/>
          <w:lang w:val="es-ES_tradnl"/>
        </w:rPr>
        <w:t xml:space="preserve"> conjuntas del </w:t>
      </w:r>
      <w:r w:rsidR="00CF7DBE" w:rsidRPr="00CF7DBE">
        <w:rPr>
          <w:rFonts w:ascii="Calibri" w:eastAsiaTheme="minorHAnsi" w:hAnsi="Calibri" w:cs="Calibri"/>
          <w:color w:val="000000"/>
          <w:lang w:val="es-ES_tradnl"/>
        </w:rPr>
        <w:t>Grupo de Enlace sobre la Diversidad Biológica</w:t>
      </w:r>
      <w:r w:rsidR="00CF7DBE">
        <w:rPr>
          <w:rFonts w:asciiTheme="minorHAnsi" w:hAnsiTheme="minorHAnsi"/>
          <w:b/>
          <w:lang w:val="es-ES_tradnl"/>
        </w:rPr>
        <w:t xml:space="preserve"> (</w:t>
      </w:r>
      <w:r w:rsidRPr="00765E81">
        <w:rPr>
          <w:rFonts w:ascii="Calibri" w:eastAsiaTheme="minorHAnsi" w:hAnsi="Calibri" w:cs="Calibri"/>
          <w:lang w:val="es-ES_tradnl"/>
        </w:rPr>
        <w:t>B</w:t>
      </w:r>
      <w:r w:rsidR="00D56300" w:rsidRPr="00765E81">
        <w:rPr>
          <w:rFonts w:ascii="Calibri" w:eastAsiaTheme="minorHAnsi" w:hAnsi="Calibri" w:cs="Calibri"/>
          <w:lang w:val="es-ES_tradnl"/>
        </w:rPr>
        <w:t>LG</w:t>
      </w:r>
      <w:r w:rsidR="00CF7DBE">
        <w:rPr>
          <w:rFonts w:ascii="Calibri" w:eastAsiaTheme="minorHAnsi" w:hAnsi="Calibri" w:cs="Calibri"/>
          <w:color w:val="000000"/>
          <w:lang w:val="es-ES_tradnl"/>
        </w:rPr>
        <w:t xml:space="preserve">) </w:t>
      </w:r>
      <w:r w:rsidR="00765E81">
        <w:rPr>
          <w:rFonts w:ascii="Calibri" w:eastAsiaTheme="minorHAnsi" w:hAnsi="Calibri" w:cs="Calibri"/>
          <w:color w:val="000000"/>
          <w:lang w:val="es-ES_tradnl"/>
        </w:rPr>
        <w:t xml:space="preserve">con arreglo al plan de actividades conjuntas para el bienio </w:t>
      </w:r>
      <w:r w:rsidR="00D56300" w:rsidRPr="0021716D">
        <w:rPr>
          <w:rFonts w:ascii="Calibri" w:eastAsiaTheme="minorHAnsi" w:hAnsi="Calibri" w:cs="Calibri"/>
          <w:color w:val="000000"/>
          <w:lang w:val="es-ES_tradnl"/>
        </w:rPr>
        <w:t>2013-2014</w:t>
      </w:r>
      <w:r w:rsidR="00765E81">
        <w:rPr>
          <w:rFonts w:ascii="Calibri" w:eastAsiaTheme="minorHAnsi" w:hAnsi="Calibri" w:cs="Calibri"/>
          <w:color w:val="000000"/>
          <w:lang w:val="es-ES_tradnl"/>
        </w:rPr>
        <w:t xml:space="preserve"> de este último</w:t>
      </w:r>
      <w:r w:rsidR="00720D5C" w:rsidRPr="0021716D">
        <w:rPr>
          <w:rFonts w:ascii="Calibri" w:eastAsiaTheme="minorHAnsi" w:hAnsi="Calibri" w:cs="Calibri"/>
          <w:color w:val="000000"/>
          <w:lang w:val="es-ES_tradnl"/>
        </w:rPr>
        <w:t>.</w:t>
      </w:r>
      <w:r w:rsidRPr="0021716D">
        <w:rPr>
          <w:rFonts w:ascii="Calibri" w:eastAsiaTheme="minorHAnsi" w:hAnsi="Calibri" w:cs="Calibri"/>
          <w:color w:val="000000"/>
          <w:lang w:val="es-ES_tradnl"/>
        </w:rPr>
        <w:t xml:space="preserve"> En la última </w:t>
      </w:r>
      <w:r w:rsidR="0021716D" w:rsidRPr="0021716D">
        <w:rPr>
          <w:rFonts w:ascii="Calibri" w:eastAsiaTheme="minorHAnsi" w:hAnsi="Calibri" w:cs="Calibri"/>
          <w:color w:val="000000"/>
          <w:lang w:val="es-ES_tradnl"/>
        </w:rPr>
        <w:t>videoconferencia</w:t>
      </w:r>
      <w:r w:rsidRPr="0021716D">
        <w:rPr>
          <w:rFonts w:ascii="Calibri" w:eastAsiaTheme="minorHAnsi" w:hAnsi="Calibri" w:cs="Calibri"/>
          <w:color w:val="000000"/>
          <w:lang w:val="es-ES_tradnl"/>
        </w:rPr>
        <w:t xml:space="preserve"> del </w:t>
      </w:r>
      <w:r w:rsidR="00936945" w:rsidRPr="0021716D">
        <w:rPr>
          <w:rFonts w:ascii="Calibri" w:eastAsiaTheme="minorHAnsi" w:hAnsi="Calibri" w:cs="Calibri"/>
          <w:color w:val="000000"/>
          <w:lang w:val="es-ES_tradnl"/>
        </w:rPr>
        <w:t>BLG</w:t>
      </w:r>
      <w:r w:rsidRPr="0021716D">
        <w:rPr>
          <w:rFonts w:ascii="Calibri" w:eastAsiaTheme="minorHAnsi" w:hAnsi="Calibri" w:cs="Calibri"/>
          <w:color w:val="000000"/>
          <w:lang w:val="es-ES_tradnl"/>
        </w:rPr>
        <w:t xml:space="preserve">, celebrada en enero de </w:t>
      </w:r>
      <w:r w:rsidR="00720D5C" w:rsidRPr="0021716D">
        <w:rPr>
          <w:rFonts w:ascii="Calibri" w:eastAsiaTheme="minorHAnsi" w:hAnsi="Calibri" w:cs="Calibri"/>
          <w:color w:val="000000"/>
          <w:lang w:val="es-ES_tradnl"/>
        </w:rPr>
        <w:t>2015</w:t>
      </w:r>
      <w:r w:rsidR="00DF5AF4" w:rsidRPr="0021716D">
        <w:rPr>
          <w:rFonts w:ascii="Calibri" w:eastAsiaTheme="minorHAnsi" w:hAnsi="Calibri" w:cs="Calibri"/>
          <w:color w:val="000000"/>
          <w:lang w:val="es-ES_tradnl"/>
        </w:rPr>
        <w:t>,</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 xml:space="preserve">se </w:t>
      </w:r>
      <w:r w:rsidR="00765E81">
        <w:rPr>
          <w:rFonts w:ascii="Calibri" w:eastAsiaTheme="minorHAnsi" w:hAnsi="Calibri" w:cs="Calibri"/>
          <w:color w:val="000000"/>
          <w:lang w:val="es-ES_tradnl"/>
        </w:rPr>
        <w:t>examinaron</w:t>
      </w:r>
      <w:r w:rsidRPr="0021716D">
        <w:rPr>
          <w:rFonts w:ascii="Calibri" w:eastAsiaTheme="minorHAnsi" w:hAnsi="Calibri" w:cs="Calibri"/>
          <w:color w:val="000000"/>
          <w:lang w:val="es-ES_tradnl"/>
        </w:rPr>
        <w:t xml:space="preserve"> </w:t>
      </w:r>
      <w:r w:rsidR="0021716D" w:rsidRPr="0021716D">
        <w:rPr>
          <w:rFonts w:ascii="Calibri" w:eastAsiaTheme="minorHAnsi" w:hAnsi="Calibri" w:cs="Calibri"/>
          <w:color w:val="000000"/>
          <w:lang w:val="es-ES_tradnl"/>
        </w:rPr>
        <w:t>cuestiones</w:t>
      </w:r>
      <w:r w:rsidRPr="0021716D">
        <w:rPr>
          <w:rFonts w:ascii="Calibri" w:eastAsiaTheme="minorHAnsi" w:hAnsi="Calibri" w:cs="Calibri"/>
          <w:color w:val="000000"/>
          <w:lang w:val="es-ES_tradnl"/>
        </w:rPr>
        <w:t xml:space="preserve"> esenciales </w:t>
      </w:r>
      <w:r w:rsidR="00765E81">
        <w:rPr>
          <w:rFonts w:ascii="Calibri" w:eastAsiaTheme="minorHAnsi" w:hAnsi="Calibri" w:cs="Calibri"/>
          <w:color w:val="000000"/>
          <w:lang w:val="es-ES_tradnl"/>
        </w:rPr>
        <w:t>t</w:t>
      </w:r>
      <w:r w:rsidRPr="0021716D">
        <w:rPr>
          <w:rFonts w:ascii="Calibri" w:eastAsiaTheme="minorHAnsi" w:hAnsi="Calibri" w:cs="Calibri"/>
          <w:color w:val="000000"/>
          <w:lang w:val="es-ES_tradnl"/>
        </w:rPr>
        <w:t xml:space="preserve">ales como el proceso </w:t>
      </w:r>
      <w:r w:rsidR="00765E81">
        <w:rPr>
          <w:rFonts w:ascii="Calibri" w:eastAsiaTheme="minorHAnsi" w:hAnsi="Calibri" w:cs="Calibri"/>
          <w:color w:val="000000"/>
          <w:lang w:val="es-ES_tradnl"/>
        </w:rPr>
        <w:t xml:space="preserve">y las próximas etapas </w:t>
      </w:r>
      <w:r w:rsidRPr="0021716D">
        <w:rPr>
          <w:rFonts w:ascii="Calibri" w:eastAsiaTheme="minorHAnsi" w:hAnsi="Calibri" w:cs="Calibri"/>
          <w:color w:val="000000"/>
          <w:lang w:val="es-ES_tradnl"/>
        </w:rPr>
        <w:t>de los Objetivos</w:t>
      </w:r>
      <w:r w:rsidR="00765E81">
        <w:rPr>
          <w:rFonts w:ascii="Calibri" w:eastAsiaTheme="minorHAnsi" w:hAnsi="Calibri" w:cs="Calibri"/>
          <w:color w:val="000000"/>
          <w:lang w:val="es-ES_tradnl"/>
        </w:rPr>
        <w:t xml:space="preserve"> de Desarrollo Sostenible (ODS), </w:t>
      </w:r>
      <w:r w:rsidRPr="0021716D">
        <w:rPr>
          <w:rFonts w:ascii="Calibri" w:eastAsiaTheme="minorHAnsi" w:hAnsi="Calibri" w:cs="Calibri"/>
          <w:color w:val="000000"/>
          <w:lang w:val="es-ES_tradnl"/>
        </w:rPr>
        <w:t xml:space="preserve">sistemas conjuntos de </w:t>
      </w:r>
      <w:r w:rsidR="0021716D" w:rsidRPr="0021716D">
        <w:rPr>
          <w:rFonts w:ascii="Calibri" w:eastAsiaTheme="minorHAnsi" w:hAnsi="Calibri" w:cs="Calibri"/>
          <w:color w:val="000000"/>
          <w:lang w:val="es-ES_tradnl"/>
        </w:rPr>
        <w:t>presentación</w:t>
      </w:r>
      <w:r w:rsidRPr="0021716D">
        <w:rPr>
          <w:rFonts w:ascii="Calibri" w:eastAsiaTheme="minorHAnsi" w:hAnsi="Calibri" w:cs="Calibri"/>
          <w:color w:val="000000"/>
          <w:lang w:val="es-ES_tradnl"/>
        </w:rPr>
        <w:t xml:space="preserve"> de </w:t>
      </w:r>
      <w:r w:rsidR="0021716D" w:rsidRPr="0021716D">
        <w:rPr>
          <w:rFonts w:ascii="Calibri" w:eastAsiaTheme="minorHAnsi" w:hAnsi="Calibri" w:cs="Calibri"/>
          <w:color w:val="000000"/>
          <w:lang w:val="es-ES_tradnl"/>
        </w:rPr>
        <w:t>informes</w:t>
      </w:r>
      <w:r w:rsidRPr="0021716D">
        <w:rPr>
          <w:rFonts w:ascii="Calibri" w:eastAsiaTheme="minorHAnsi" w:hAnsi="Calibri" w:cs="Calibri"/>
          <w:color w:val="000000"/>
          <w:lang w:val="es-ES_tradnl"/>
        </w:rPr>
        <w:t xml:space="preserve">, talleres de </w:t>
      </w:r>
      <w:r w:rsidR="00765E81">
        <w:rPr>
          <w:rFonts w:ascii="Calibri" w:eastAsiaTheme="minorHAnsi" w:hAnsi="Calibri" w:cs="Calibri"/>
          <w:color w:val="000000"/>
          <w:lang w:val="es-ES_tradnl"/>
        </w:rPr>
        <w:t>circunscripción</w:t>
      </w:r>
      <w:r w:rsidRPr="0021716D">
        <w:rPr>
          <w:rFonts w:ascii="Calibri" w:eastAsiaTheme="minorHAnsi" w:hAnsi="Calibri" w:cs="Calibri"/>
          <w:color w:val="000000"/>
          <w:lang w:val="es-ES_tradnl"/>
        </w:rPr>
        <w:t xml:space="preserve"> ampliada del FMAM y el marco actualizado para la cooperación</w:t>
      </w:r>
      <w:r w:rsidR="00765E81">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las comunicaciones</w:t>
      </w:r>
      <w:r w:rsidR="00765E81">
        <w:rPr>
          <w:rFonts w:ascii="Calibri" w:eastAsiaTheme="minorHAnsi" w:hAnsi="Calibri" w:cs="Calibri"/>
          <w:color w:val="000000"/>
          <w:lang w:val="es-ES_tradnl"/>
        </w:rPr>
        <w:t xml:space="preserve"> y la sensibilización pública</w:t>
      </w:r>
      <w:r w:rsidRPr="0021716D">
        <w:rPr>
          <w:rFonts w:ascii="Calibri" w:eastAsiaTheme="minorHAnsi" w:hAnsi="Calibri" w:cs="Calibri"/>
          <w:color w:val="000000"/>
          <w:lang w:val="es-ES_tradnl"/>
        </w:rPr>
        <w:t xml:space="preserve">. </w:t>
      </w:r>
      <w:r w:rsidR="00B149E4" w:rsidRPr="0021716D">
        <w:rPr>
          <w:rFonts w:ascii="Calibri" w:eastAsiaTheme="minorHAnsi" w:hAnsi="Calibri" w:cs="Calibri"/>
          <w:color w:val="000000"/>
          <w:lang w:val="es-ES_tradnl"/>
        </w:rPr>
        <w:t>La Secretaría</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 xml:space="preserve">asistirá a la próxima reunión del </w:t>
      </w:r>
      <w:r w:rsidR="009F1447" w:rsidRPr="0021716D">
        <w:rPr>
          <w:rFonts w:ascii="Calibri" w:eastAsiaTheme="minorHAnsi" w:hAnsi="Calibri" w:cs="Calibri"/>
          <w:color w:val="000000"/>
          <w:lang w:val="es-ES_tradnl"/>
        </w:rPr>
        <w:t>BLG</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en septiembre de 2</w:t>
      </w:r>
      <w:r w:rsidR="009F1447" w:rsidRPr="0021716D">
        <w:rPr>
          <w:rFonts w:ascii="Calibri" w:eastAsiaTheme="minorHAnsi" w:hAnsi="Calibri" w:cs="Calibri"/>
          <w:color w:val="000000"/>
          <w:lang w:val="es-ES_tradnl"/>
        </w:rPr>
        <w:t>015</w:t>
      </w:r>
      <w:r w:rsidRPr="0021716D">
        <w:rPr>
          <w:rFonts w:ascii="Calibri" w:eastAsiaTheme="minorHAnsi" w:hAnsi="Calibri" w:cs="Calibri"/>
          <w:color w:val="000000"/>
          <w:lang w:val="es-ES_tradnl"/>
        </w:rPr>
        <w:t xml:space="preserve"> y </w:t>
      </w:r>
      <w:r w:rsidR="00765E81">
        <w:rPr>
          <w:rFonts w:ascii="Calibri" w:eastAsiaTheme="minorHAnsi" w:hAnsi="Calibri" w:cs="Calibri"/>
          <w:color w:val="000000"/>
          <w:lang w:val="es-ES_tradnl"/>
        </w:rPr>
        <w:t>participará en el</w:t>
      </w:r>
      <w:r w:rsidR="00FE77CD">
        <w:rPr>
          <w:rFonts w:ascii="Calibri" w:eastAsiaTheme="minorHAnsi" w:hAnsi="Calibri" w:cs="Calibri"/>
          <w:color w:val="000000"/>
          <w:lang w:val="es-ES_tradnl"/>
        </w:rPr>
        <w:t xml:space="preserve"> recientemente establecido </w:t>
      </w:r>
      <w:r w:rsidR="00765E81">
        <w:rPr>
          <w:rFonts w:ascii="Calibri" w:eastAsiaTheme="minorHAnsi" w:hAnsi="Calibri" w:cs="Calibri"/>
          <w:color w:val="000000"/>
          <w:lang w:val="es-ES_tradnl"/>
        </w:rPr>
        <w:t>grupo asesor oficioso</w:t>
      </w:r>
      <w:r w:rsidR="00FE77C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 xml:space="preserve">que ahora </w:t>
      </w:r>
      <w:r w:rsidR="00FE77CD">
        <w:rPr>
          <w:rFonts w:ascii="Calibri" w:eastAsiaTheme="minorHAnsi" w:hAnsi="Calibri" w:cs="Calibri"/>
          <w:color w:val="000000"/>
          <w:lang w:val="es-ES_tradnl"/>
        </w:rPr>
        <w:t>sigue</w:t>
      </w:r>
      <w:r w:rsidRPr="0021716D">
        <w:rPr>
          <w:rFonts w:ascii="Calibri" w:eastAsiaTheme="minorHAnsi" w:hAnsi="Calibri" w:cs="Calibri"/>
          <w:color w:val="000000"/>
          <w:lang w:val="es-ES_tradnl"/>
        </w:rPr>
        <w:t xml:space="preserve"> el proceso del BLG</w:t>
      </w:r>
      <w:r w:rsidR="007F1BF9" w:rsidRPr="0021716D">
        <w:rPr>
          <w:rFonts w:ascii="Calibri" w:eastAsiaTheme="minorHAnsi" w:hAnsi="Calibri" w:cs="Calibri"/>
          <w:color w:val="000000"/>
          <w:lang w:val="es-ES_tradnl"/>
        </w:rPr>
        <w:t>.</w:t>
      </w:r>
    </w:p>
    <w:p w14:paraId="010997D9" w14:textId="77777777" w:rsidR="00B446EE" w:rsidRPr="0021716D" w:rsidRDefault="00B446EE" w:rsidP="005522A4">
      <w:pPr>
        <w:autoSpaceDE w:val="0"/>
        <w:autoSpaceDN w:val="0"/>
        <w:adjustRightInd w:val="0"/>
        <w:ind w:left="426" w:hanging="426"/>
        <w:rPr>
          <w:rFonts w:ascii="Calibri" w:eastAsiaTheme="minorHAnsi" w:hAnsi="Calibri" w:cs="Calibri"/>
          <w:color w:val="000000"/>
          <w:lang w:val="es-ES_tradnl"/>
        </w:rPr>
      </w:pPr>
    </w:p>
    <w:p w14:paraId="68130B5D" w14:textId="65A89B22" w:rsidR="00325679" w:rsidRPr="0021716D" w:rsidRDefault="00D82669" w:rsidP="005522A4">
      <w:pPr>
        <w:pStyle w:val="ListParagraph"/>
        <w:numPr>
          <w:ilvl w:val="0"/>
          <w:numId w:val="19"/>
        </w:numPr>
        <w:ind w:left="426" w:right="65" w:hanging="426"/>
        <w:jc w:val="left"/>
        <w:rPr>
          <w:rFonts w:asciiTheme="minorHAnsi" w:hAnsiTheme="minorHAnsi"/>
          <w:iCs/>
          <w:lang w:val="es-ES_tradnl"/>
        </w:rPr>
      </w:pPr>
      <w:r w:rsidRPr="0021716D">
        <w:rPr>
          <w:rFonts w:asciiTheme="minorHAnsi" w:eastAsiaTheme="minorHAnsi" w:hAnsiTheme="minorHAnsi" w:cs="Calibri"/>
          <w:color w:val="000000"/>
          <w:lang w:val="es-ES_tradnl"/>
        </w:rPr>
        <w:t xml:space="preserve">El Presidente del GECT participó en la </w:t>
      </w:r>
      <w:r w:rsidR="00325679" w:rsidRPr="0021716D">
        <w:rPr>
          <w:rFonts w:asciiTheme="minorHAnsi" w:hAnsiTheme="minorHAnsi"/>
          <w:iCs/>
          <w:lang w:val="es-ES_tradnl"/>
        </w:rPr>
        <w:t>1</w:t>
      </w:r>
      <w:r w:rsidRPr="0021716D">
        <w:rPr>
          <w:rFonts w:asciiTheme="minorHAnsi" w:hAnsiTheme="minorHAnsi"/>
          <w:iCs/>
          <w:lang w:val="es-ES_tradnl"/>
        </w:rPr>
        <w:t xml:space="preserve">8ª reunión del </w:t>
      </w:r>
      <w:r w:rsidR="00FE77CD">
        <w:rPr>
          <w:rFonts w:asciiTheme="minorHAnsi" w:hAnsiTheme="minorHAnsi"/>
          <w:iCs/>
          <w:lang w:val="es-ES_tradnl"/>
        </w:rPr>
        <w:t xml:space="preserve">Órgano Subsidiario de Asesoramiento Científico, Técnico y Tecnológico </w:t>
      </w:r>
      <w:r w:rsidR="00DF5AF4" w:rsidRPr="0021716D">
        <w:rPr>
          <w:rFonts w:asciiTheme="minorHAnsi" w:hAnsiTheme="minorHAnsi"/>
          <w:iCs/>
          <w:lang w:val="es-ES_tradnl"/>
        </w:rPr>
        <w:t>(SBSTTA)</w:t>
      </w:r>
      <w:r w:rsidR="00325679" w:rsidRPr="0021716D">
        <w:rPr>
          <w:rFonts w:asciiTheme="minorHAnsi" w:hAnsiTheme="minorHAnsi"/>
          <w:iCs/>
          <w:lang w:val="es-ES_tradnl"/>
        </w:rPr>
        <w:t>.</w:t>
      </w:r>
      <w:r w:rsidR="00FE77CD">
        <w:rPr>
          <w:rFonts w:asciiTheme="minorHAnsi" w:hAnsiTheme="minorHAnsi"/>
          <w:iCs/>
          <w:lang w:val="es-ES_tradnl"/>
        </w:rPr>
        <w:t xml:space="preserve"> La séptima </w:t>
      </w:r>
      <w:r w:rsidR="00FE77CD" w:rsidRPr="00FE77CD">
        <w:rPr>
          <w:rFonts w:asciiTheme="minorHAnsi" w:hAnsiTheme="minorHAnsi"/>
          <w:iCs/>
          <w:lang w:val="es-ES_tradnl"/>
        </w:rPr>
        <w:t>reunión</w:t>
      </w:r>
      <w:r w:rsidR="00FE77CD">
        <w:rPr>
          <w:rFonts w:asciiTheme="minorHAnsi" w:hAnsiTheme="minorHAnsi"/>
          <w:iCs/>
          <w:lang w:val="es-ES_tradnl"/>
        </w:rPr>
        <w:t xml:space="preserve"> de los </w:t>
      </w:r>
      <w:r w:rsidR="00FE77CD" w:rsidRPr="00FE77CD">
        <w:rPr>
          <w:rFonts w:asciiTheme="minorHAnsi" w:hAnsiTheme="minorHAnsi"/>
          <w:iCs/>
          <w:lang w:val="es-ES_tradnl"/>
        </w:rPr>
        <w:t>presidentes de los órganos de asesoramiento científico de las Convenciones relacionadas con la biodiversidad</w:t>
      </w:r>
      <w:r w:rsidR="002A65F4" w:rsidRPr="00FE77CD">
        <w:rPr>
          <w:rFonts w:asciiTheme="minorHAnsi" w:hAnsiTheme="minorHAnsi"/>
          <w:iCs/>
          <w:lang w:val="es-ES_tradnl"/>
        </w:rPr>
        <w:t xml:space="preserve"> </w:t>
      </w:r>
      <w:r w:rsidR="00FE77CD">
        <w:rPr>
          <w:rFonts w:asciiTheme="minorHAnsi" w:hAnsiTheme="minorHAnsi"/>
          <w:iCs/>
          <w:lang w:val="es-ES_tradnl"/>
        </w:rPr>
        <w:t>(</w:t>
      </w:r>
      <w:r w:rsidR="00325679" w:rsidRPr="00FE77CD">
        <w:rPr>
          <w:rFonts w:asciiTheme="minorHAnsi" w:hAnsiTheme="minorHAnsi"/>
          <w:iCs/>
          <w:lang w:val="es-ES_tradnl"/>
        </w:rPr>
        <w:t>CSAB</w:t>
      </w:r>
      <w:r w:rsidR="002A65F4" w:rsidRPr="00FE77CD">
        <w:rPr>
          <w:rFonts w:asciiTheme="minorHAnsi" w:hAnsiTheme="minorHAnsi"/>
          <w:iCs/>
          <w:lang w:val="es-ES_tradnl"/>
        </w:rPr>
        <w:t xml:space="preserve"> </w:t>
      </w:r>
      <w:r w:rsidR="00325679" w:rsidRPr="00FE77CD">
        <w:rPr>
          <w:rFonts w:asciiTheme="minorHAnsi" w:hAnsiTheme="minorHAnsi"/>
          <w:iCs/>
          <w:lang w:val="es-ES_tradnl"/>
        </w:rPr>
        <w:t>7</w:t>
      </w:r>
      <w:r w:rsidR="00FE77CD">
        <w:rPr>
          <w:rFonts w:asciiTheme="minorHAnsi" w:hAnsiTheme="minorHAnsi"/>
          <w:iCs/>
          <w:lang w:val="es-ES_tradnl"/>
        </w:rPr>
        <w:t>)</w:t>
      </w:r>
      <w:r w:rsidR="00325679" w:rsidRPr="00FE77CD">
        <w:rPr>
          <w:rFonts w:asciiTheme="minorHAnsi" w:hAnsiTheme="minorHAnsi"/>
          <w:iCs/>
          <w:lang w:val="es-ES_tradnl"/>
        </w:rPr>
        <w:t>,</w:t>
      </w:r>
      <w:r w:rsidR="002A65F4" w:rsidRPr="0021716D">
        <w:rPr>
          <w:rFonts w:asciiTheme="minorHAnsi" w:hAnsiTheme="minorHAnsi"/>
          <w:iCs/>
          <w:lang w:val="es-ES_tradnl"/>
        </w:rPr>
        <w:t xml:space="preserve"> </w:t>
      </w:r>
      <w:r w:rsidRPr="0021716D">
        <w:rPr>
          <w:rFonts w:asciiTheme="minorHAnsi" w:hAnsiTheme="minorHAnsi"/>
          <w:iCs/>
          <w:lang w:val="es-ES_tradnl"/>
        </w:rPr>
        <w:t xml:space="preserve">prevista </w:t>
      </w:r>
      <w:r w:rsidR="00FE77CD">
        <w:rPr>
          <w:rFonts w:asciiTheme="minorHAnsi" w:hAnsiTheme="minorHAnsi"/>
          <w:iCs/>
          <w:lang w:val="es-ES_tradnl"/>
        </w:rPr>
        <w:t>para</w:t>
      </w:r>
      <w:r w:rsidRPr="0021716D">
        <w:rPr>
          <w:rFonts w:asciiTheme="minorHAnsi" w:hAnsiTheme="minorHAnsi"/>
          <w:iCs/>
          <w:lang w:val="es-ES_tradnl"/>
        </w:rPr>
        <w:t xml:space="preserve"> junio de </w:t>
      </w:r>
      <w:r w:rsidR="00325679" w:rsidRPr="0021716D">
        <w:rPr>
          <w:rFonts w:asciiTheme="minorHAnsi" w:hAnsiTheme="minorHAnsi"/>
          <w:iCs/>
          <w:lang w:val="es-ES_tradnl"/>
        </w:rPr>
        <w:t>2014,</w:t>
      </w:r>
      <w:r w:rsidR="002A65F4" w:rsidRPr="0021716D">
        <w:rPr>
          <w:rFonts w:asciiTheme="minorHAnsi" w:hAnsiTheme="minorHAnsi"/>
          <w:iCs/>
          <w:lang w:val="es-ES_tradnl"/>
        </w:rPr>
        <w:t xml:space="preserve"> </w:t>
      </w:r>
      <w:r w:rsidRPr="0021716D">
        <w:rPr>
          <w:rFonts w:asciiTheme="minorHAnsi" w:hAnsiTheme="minorHAnsi"/>
          <w:iCs/>
          <w:lang w:val="es-ES_tradnl"/>
        </w:rPr>
        <w:t>no se celebró</w:t>
      </w:r>
      <w:r w:rsidR="00FE77CD">
        <w:rPr>
          <w:rFonts w:asciiTheme="minorHAnsi" w:hAnsiTheme="minorHAnsi"/>
          <w:iCs/>
          <w:lang w:val="es-ES_tradnl"/>
        </w:rPr>
        <w:t>. L</w:t>
      </w:r>
      <w:r w:rsidRPr="0021716D">
        <w:rPr>
          <w:rFonts w:asciiTheme="minorHAnsi" w:hAnsiTheme="minorHAnsi"/>
          <w:iCs/>
          <w:lang w:val="es-ES_tradnl"/>
        </w:rPr>
        <w:t>a 18ª reunión del GECT</w:t>
      </w:r>
      <w:r w:rsidR="00FE77CD">
        <w:rPr>
          <w:rFonts w:asciiTheme="minorHAnsi" w:hAnsiTheme="minorHAnsi"/>
          <w:iCs/>
          <w:lang w:val="es-ES_tradnl"/>
        </w:rPr>
        <w:t xml:space="preserve"> recibió información sobre el CSAB</w:t>
      </w:r>
      <w:r w:rsidR="002A65F4" w:rsidRPr="0021716D">
        <w:rPr>
          <w:rFonts w:asciiTheme="minorHAnsi" w:hAnsiTheme="minorHAnsi"/>
          <w:iCs/>
          <w:lang w:val="es-ES_tradnl"/>
        </w:rPr>
        <w:t xml:space="preserve"> </w:t>
      </w:r>
      <w:r w:rsidRPr="0021716D">
        <w:rPr>
          <w:rFonts w:asciiTheme="minorHAnsi" w:hAnsiTheme="minorHAnsi"/>
          <w:iCs/>
          <w:lang w:val="es-ES_tradnl"/>
        </w:rPr>
        <w:t>de la C</w:t>
      </w:r>
      <w:r w:rsidR="00325679" w:rsidRPr="0021716D">
        <w:rPr>
          <w:rFonts w:asciiTheme="minorHAnsi" w:hAnsiTheme="minorHAnsi"/>
          <w:iCs/>
          <w:lang w:val="es-ES_tradnl"/>
        </w:rPr>
        <w:t>ITES.</w:t>
      </w:r>
    </w:p>
    <w:p w14:paraId="3DA7DD15" w14:textId="77777777" w:rsidR="007A738C" w:rsidRPr="0021716D" w:rsidRDefault="007A738C" w:rsidP="005522A4">
      <w:pPr>
        <w:autoSpaceDE w:val="0"/>
        <w:autoSpaceDN w:val="0"/>
        <w:adjustRightInd w:val="0"/>
        <w:rPr>
          <w:rFonts w:asciiTheme="minorHAnsi" w:hAnsiTheme="minorHAnsi"/>
          <w:b/>
          <w:sz w:val="22"/>
          <w:lang w:val="es-ES_tradnl"/>
        </w:rPr>
      </w:pPr>
    </w:p>
    <w:p w14:paraId="6BD93BF4" w14:textId="5CC62E67" w:rsidR="002835A3" w:rsidRPr="0021716D" w:rsidRDefault="00D82669" w:rsidP="005522A4">
      <w:pPr>
        <w:autoSpaceDE w:val="0"/>
        <w:autoSpaceDN w:val="0"/>
        <w:adjustRightInd w:val="0"/>
        <w:rPr>
          <w:rFonts w:asciiTheme="minorHAnsi" w:hAnsiTheme="minorHAnsi"/>
          <w:b/>
          <w:sz w:val="22"/>
          <w:szCs w:val="22"/>
          <w:lang w:val="es-ES_tradnl"/>
        </w:rPr>
      </w:pPr>
      <w:r w:rsidRPr="0021716D">
        <w:rPr>
          <w:rFonts w:asciiTheme="minorHAnsi" w:hAnsiTheme="minorHAnsi"/>
          <w:b/>
          <w:sz w:val="22"/>
          <w:szCs w:val="22"/>
          <w:lang w:val="es-ES_tradnl"/>
        </w:rPr>
        <w:t xml:space="preserve">Trabajo con la </w:t>
      </w:r>
      <w:r w:rsidR="00FE77CD" w:rsidRPr="00FE77CD">
        <w:rPr>
          <w:rFonts w:asciiTheme="minorHAnsi" w:hAnsiTheme="minorHAnsi"/>
          <w:b/>
          <w:sz w:val="22"/>
          <w:szCs w:val="22"/>
          <w:lang w:val="es-ES_tradnl"/>
        </w:rPr>
        <w:t>Convención sobre la conservación de las especies migratorias de animales silvestres (CEM)</w:t>
      </w:r>
    </w:p>
    <w:p w14:paraId="07DDEADE" w14:textId="77777777" w:rsidR="002835A3" w:rsidRPr="0021716D" w:rsidRDefault="002835A3" w:rsidP="00BA510D">
      <w:pPr>
        <w:autoSpaceDE w:val="0"/>
        <w:autoSpaceDN w:val="0"/>
        <w:adjustRightInd w:val="0"/>
        <w:rPr>
          <w:rFonts w:asciiTheme="minorHAnsi" w:hAnsiTheme="minorHAnsi"/>
          <w:sz w:val="22"/>
          <w:szCs w:val="22"/>
          <w:lang w:val="es-ES_tradnl"/>
        </w:rPr>
      </w:pPr>
    </w:p>
    <w:p w14:paraId="6787F76D" w14:textId="148D1723" w:rsidR="00AA5FEC" w:rsidRPr="0021716D" w:rsidRDefault="00B149E4" w:rsidP="00FE77CD">
      <w:pPr>
        <w:pStyle w:val="ListParagraph"/>
        <w:numPr>
          <w:ilvl w:val="0"/>
          <w:numId w:val="19"/>
        </w:numPr>
        <w:tabs>
          <w:tab w:val="left" w:pos="4253"/>
        </w:tabs>
        <w:autoSpaceDE w:val="0"/>
        <w:autoSpaceDN w:val="0"/>
        <w:adjustRightInd w:val="0"/>
        <w:ind w:left="426" w:hanging="426"/>
        <w:jc w:val="left"/>
        <w:rPr>
          <w:rFonts w:ascii="Calibri" w:eastAsiaTheme="minorHAnsi" w:hAnsi="Calibri" w:cs="Calibri"/>
          <w:color w:val="000000"/>
          <w:lang w:val="es-ES_tradnl"/>
        </w:rPr>
      </w:pPr>
      <w:r w:rsidRPr="0021716D">
        <w:rPr>
          <w:rFonts w:ascii="Calibri" w:eastAsiaTheme="minorHAnsi" w:hAnsi="Calibri" w:cs="Calibri"/>
          <w:color w:val="000000"/>
          <w:lang w:val="es-ES_tradnl"/>
        </w:rPr>
        <w:t>La Secretaría</w:t>
      </w:r>
      <w:r w:rsidR="002A65F4" w:rsidRPr="0021716D">
        <w:rPr>
          <w:rFonts w:ascii="Calibri" w:eastAsiaTheme="minorHAnsi" w:hAnsi="Calibri" w:cs="Calibri"/>
          <w:color w:val="000000"/>
          <w:lang w:val="es-ES_tradnl"/>
        </w:rPr>
        <w:t xml:space="preserve"> </w:t>
      </w:r>
      <w:r w:rsidR="00427D6B" w:rsidRPr="0021716D">
        <w:rPr>
          <w:rFonts w:ascii="Calibri" w:eastAsiaTheme="minorHAnsi" w:hAnsi="Calibri" w:cs="Calibri"/>
          <w:color w:val="000000"/>
          <w:lang w:val="es-ES_tradnl"/>
        </w:rPr>
        <w:t xml:space="preserve">participó en la </w:t>
      </w:r>
      <w:r w:rsidR="00C442D4" w:rsidRPr="0021716D">
        <w:rPr>
          <w:rFonts w:ascii="Calibri" w:eastAsiaTheme="minorHAnsi" w:hAnsi="Calibri" w:cs="Calibri"/>
          <w:color w:val="000000"/>
          <w:lang w:val="es-ES_tradnl"/>
        </w:rPr>
        <w:t>12</w:t>
      </w:r>
      <w:r w:rsidR="00427D6B" w:rsidRPr="0021716D">
        <w:rPr>
          <w:rFonts w:ascii="Calibri" w:eastAsiaTheme="minorHAnsi" w:hAnsi="Calibri" w:cs="Calibri"/>
          <w:color w:val="000000"/>
          <w:lang w:val="es-ES_tradnl"/>
        </w:rPr>
        <w:t>ª</w:t>
      </w:r>
      <w:r w:rsidR="002A65F4" w:rsidRPr="0021716D">
        <w:rPr>
          <w:rFonts w:ascii="Calibri" w:eastAsiaTheme="minorHAnsi" w:hAnsi="Calibri" w:cs="Calibri"/>
          <w:color w:val="000000"/>
          <w:lang w:val="es-ES_tradnl"/>
        </w:rPr>
        <w:t xml:space="preserve"> </w:t>
      </w:r>
      <w:r w:rsidR="0021716D" w:rsidRPr="0021716D">
        <w:rPr>
          <w:rFonts w:ascii="Calibri" w:eastAsiaTheme="minorHAnsi" w:hAnsi="Calibri" w:cs="Calibri"/>
          <w:color w:val="000000"/>
          <w:lang w:val="es-ES_tradnl"/>
        </w:rPr>
        <w:t>Reunión</w:t>
      </w:r>
      <w:r w:rsidR="00427D6B" w:rsidRPr="0021716D">
        <w:rPr>
          <w:rFonts w:ascii="Calibri" w:eastAsiaTheme="minorHAnsi" w:hAnsi="Calibri" w:cs="Calibri"/>
          <w:color w:val="000000"/>
          <w:lang w:val="es-ES_tradnl"/>
        </w:rPr>
        <w:t xml:space="preserve"> de la </w:t>
      </w:r>
      <w:r w:rsidR="0021716D" w:rsidRPr="0021716D">
        <w:rPr>
          <w:rFonts w:ascii="Calibri" w:eastAsiaTheme="minorHAnsi" w:hAnsi="Calibri" w:cs="Calibri"/>
          <w:color w:val="000000"/>
          <w:lang w:val="es-ES_tradnl"/>
        </w:rPr>
        <w:t>Conferencia</w:t>
      </w:r>
      <w:r w:rsidR="00427D6B" w:rsidRPr="0021716D">
        <w:rPr>
          <w:rFonts w:ascii="Calibri" w:eastAsiaTheme="minorHAnsi" w:hAnsi="Calibri" w:cs="Calibri"/>
          <w:color w:val="000000"/>
          <w:lang w:val="es-ES_tradnl"/>
        </w:rPr>
        <w:t xml:space="preserve"> de las </w:t>
      </w:r>
      <w:r w:rsidRPr="0021716D">
        <w:rPr>
          <w:rFonts w:ascii="Calibri" w:eastAsiaTheme="minorHAnsi" w:hAnsi="Calibri" w:cs="Calibri"/>
          <w:color w:val="000000"/>
          <w:lang w:val="es-ES_tradnl"/>
        </w:rPr>
        <w:t>Partes</w:t>
      </w:r>
      <w:r w:rsidR="002A65F4" w:rsidRPr="0021716D">
        <w:rPr>
          <w:rFonts w:ascii="Calibri" w:eastAsiaTheme="minorHAnsi" w:hAnsi="Calibri" w:cs="Calibri"/>
          <w:color w:val="000000"/>
          <w:lang w:val="es-ES_tradnl"/>
        </w:rPr>
        <w:t xml:space="preserve"> </w:t>
      </w:r>
      <w:r w:rsidR="00427D6B" w:rsidRPr="0021716D">
        <w:rPr>
          <w:rFonts w:ascii="Calibri" w:eastAsiaTheme="minorHAnsi" w:hAnsi="Calibri" w:cs="Calibri"/>
          <w:color w:val="000000"/>
          <w:lang w:val="es-ES_tradnl"/>
        </w:rPr>
        <w:t xml:space="preserve">en la CEM en </w:t>
      </w:r>
      <w:r w:rsidR="0021716D" w:rsidRPr="0021716D">
        <w:rPr>
          <w:rFonts w:ascii="Calibri" w:eastAsiaTheme="minorHAnsi" w:hAnsi="Calibri" w:cs="Calibri"/>
          <w:color w:val="000000"/>
          <w:lang w:val="es-ES_tradnl"/>
        </w:rPr>
        <w:t>noviembre</w:t>
      </w:r>
      <w:r w:rsidR="00427D6B" w:rsidRPr="0021716D">
        <w:rPr>
          <w:rFonts w:ascii="Calibri" w:eastAsiaTheme="minorHAnsi" w:hAnsi="Calibri" w:cs="Calibri"/>
          <w:color w:val="000000"/>
          <w:lang w:val="es-ES_tradnl"/>
        </w:rPr>
        <w:t xml:space="preserve"> de 2014 y ha solicitado </w:t>
      </w:r>
      <w:r w:rsidR="0021716D" w:rsidRPr="0021716D">
        <w:rPr>
          <w:rFonts w:ascii="Calibri" w:eastAsiaTheme="minorHAnsi" w:hAnsi="Calibri" w:cs="Calibri"/>
          <w:color w:val="000000"/>
          <w:lang w:val="es-ES_tradnl"/>
        </w:rPr>
        <w:t>asesoramiento</w:t>
      </w:r>
      <w:r w:rsidR="00427D6B" w:rsidRPr="0021716D">
        <w:rPr>
          <w:rFonts w:ascii="Calibri" w:eastAsiaTheme="minorHAnsi" w:hAnsi="Calibri" w:cs="Calibri"/>
          <w:color w:val="000000"/>
          <w:lang w:val="es-ES_tradnl"/>
        </w:rPr>
        <w:t xml:space="preserve"> sobre la experiencia en la preparación del </w:t>
      </w:r>
      <w:r w:rsidR="00FE77CD">
        <w:rPr>
          <w:rFonts w:ascii="Calibri" w:eastAsiaTheme="minorHAnsi" w:hAnsi="Calibri" w:cs="Calibri"/>
          <w:color w:val="000000"/>
          <w:lang w:val="es-ES_tradnl"/>
        </w:rPr>
        <w:t xml:space="preserve">sistema de presentación de informes en línea </w:t>
      </w:r>
      <w:r w:rsidR="00C442D4" w:rsidRPr="0021716D">
        <w:rPr>
          <w:rFonts w:ascii="Calibri" w:eastAsiaTheme="minorHAnsi" w:hAnsi="Calibri" w:cs="Calibri"/>
          <w:color w:val="000000"/>
          <w:lang w:val="es-ES_tradnl"/>
        </w:rPr>
        <w:t>(ORS</w:t>
      </w:r>
      <w:r w:rsidR="00FE77CD">
        <w:rPr>
          <w:rFonts w:ascii="Calibri" w:eastAsiaTheme="minorHAnsi" w:hAnsi="Calibri" w:cs="Calibri"/>
          <w:color w:val="000000"/>
          <w:lang w:val="es-ES_tradnl"/>
        </w:rPr>
        <w:t>, por sus siglas en inglés</w:t>
      </w:r>
      <w:r w:rsidR="00C442D4" w:rsidRPr="0021716D">
        <w:rPr>
          <w:rFonts w:ascii="Calibri" w:eastAsiaTheme="minorHAnsi" w:hAnsi="Calibri" w:cs="Calibri"/>
          <w:color w:val="000000"/>
          <w:lang w:val="es-ES_tradnl"/>
        </w:rPr>
        <w:t>)</w:t>
      </w:r>
      <w:r w:rsidR="002A65F4" w:rsidRPr="0021716D">
        <w:rPr>
          <w:rFonts w:ascii="Calibri" w:eastAsiaTheme="minorHAnsi" w:hAnsi="Calibri" w:cs="Calibri"/>
          <w:color w:val="000000"/>
          <w:lang w:val="es-ES_tradnl"/>
        </w:rPr>
        <w:t xml:space="preserve"> </w:t>
      </w:r>
      <w:r w:rsidR="00FE77CD">
        <w:rPr>
          <w:rFonts w:ascii="Calibri" w:eastAsiaTheme="minorHAnsi" w:hAnsi="Calibri" w:cs="Calibri"/>
          <w:color w:val="000000"/>
          <w:lang w:val="es-ES_tradnl"/>
        </w:rPr>
        <w:t xml:space="preserve">elaborado </w:t>
      </w:r>
      <w:r w:rsidR="00427D6B" w:rsidRPr="0021716D">
        <w:rPr>
          <w:rFonts w:ascii="Calibri" w:eastAsiaTheme="minorHAnsi" w:hAnsi="Calibri" w:cs="Calibri"/>
          <w:color w:val="000000"/>
          <w:lang w:val="es-ES_tradnl"/>
        </w:rPr>
        <w:t xml:space="preserve">por el PNUMA-CMVC para </w:t>
      </w:r>
      <w:r w:rsidR="00FE77CD">
        <w:rPr>
          <w:rFonts w:ascii="Calibri" w:eastAsiaTheme="minorHAnsi" w:hAnsi="Calibri" w:cs="Calibri"/>
          <w:color w:val="000000"/>
          <w:lang w:val="es-ES_tradnl"/>
        </w:rPr>
        <w:t>la preparación del Mo</w:t>
      </w:r>
      <w:r w:rsidR="003C7BF0" w:rsidRPr="0021716D">
        <w:rPr>
          <w:rFonts w:ascii="Calibri" w:eastAsiaTheme="minorHAnsi" w:hAnsi="Calibri" w:cs="Calibri"/>
          <w:color w:val="000000"/>
          <w:lang w:val="es-ES_tradnl"/>
        </w:rPr>
        <w:t xml:space="preserve">delo de </w:t>
      </w:r>
      <w:r w:rsidR="00FE77CD">
        <w:rPr>
          <w:rFonts w:ascii="Calibri" w:eastAsiaTheme="minorHAnsi" w:hAnsi="Calibri" w:cs="Calibri"/>
          <w:color w:val="000000"/>
          <w:lang w:val="es-ES_tradnl"/>
        </w:rPr>
        <w:t>I</w:t>
      </w:r>
      <w:r w:rsidR="0021716D" w:rsidRPr="0021716D">
        <w:rPr>
          <w:rFonts w:ascii="Calibri" w:eastAsiaTheme="minorHAnsi" w:hAnsi="Calibri" w:cs="Calibri"/>
          <w:color w:val="000000"/>
          <w:lang w:val="es-ES_tradnl"/>
        </w:rPr>
        <w:t>nforme</w:t>
      </w:r>
      <w:r w:rsidR="003C7BF0" w:rsidRPr="0021716D">
        <w:rPr>
          <w:rFonts w:ascii="Calibri" w:eastAsiaTheme="minorHAnsi" w:hAnsi="Calibri" w:cs="Calibri"/>
          <w:color w:val="000000"/>
          <w:lang w:val="es-ES_tradnl"/>
        </w:rPr>
        <w:t xml:space="preserve"> </w:t>
      </w:r>
      <w:r w:rsidR="00FE77CD">
        <w:rPr>
          <w:rFonts w:ascii="Calibri" w:eastAsiaTheme="minorHAnsi" w:hAnsi="Calibri" w:cs="Calibri"/>
          <w:color w:val="000000"/>
          <w:lang w:val="es-ES_tradnl"/>
        </w:rPr>
        <w:t>N</w:t>
      </w:r>
      <w:r w:rsidR="0021716D" w:rsidRPr="0021716D">
        <w:rPr>
          <w:rFonts w:ascii="Calibri" w:eastAsiaTheme="minorHAnsi" w:hAnsi="Calibri" w:cs="Calibri"/>
          <w:color w:val="000000"/>
          <w:lang w:val="es-ES_tradnl"/>
        </w:rPr>
        <w:t>acional</w:t>
      </w:r>
      <w:r w:rsidR="00FE77CD">
        <w:rPr>
          <w:rFonts w:ascii="Calibri" w:eastAsiaTheme="minorHAnsi" w:hAnsi="Calibri" w:cs="Calibri"/>
          <w:color w:val="000000"/>
          <w:lang w:val="es-ES_tradnl"/>
        </w:rPr>
        <w:t xml:space="preserve"> </w:t>
      </w:r>
      <w:r w:rsidR="003C7BF0" w:rsidRPr="0021716D">
        <w:rPr>
          <w:rFonts w:ascii="Calibri" w:eastAsiaTheme="minorHAnsi" w:hAnsi="Calibri" w:cs="Calibri"/>
          <w:color w:val="000000"/>
          <w:lang w:val="es-ES_tradnl"/>
        </w:rPr>
        <w:t xml:space="preserve">para la </w:t>
      </w:r>
      <w:r w:rsidR="00C442D4" w:rsidRPr="0021716D">
        <w:rPr>
          <w:rFonts w:ascii="Calibri" w:eastAsiaTheme="minorHAnsi" w:hAnsi="Calibri" w:cs="Calibri"/>
          <w:color w:val="000000"/>
          <w:lang w:val="es-ES_tradnl"/>
        </w:rPr>
        <w:t>COP13.</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La Secretaría</w:t>
      </w:r>
      <w:r w:rsidR="002A65F4" w:rsidRPr="0021716D">
        <w:rPr>
          <w:rFonts w:ascii="Calibri" w:eastAsiaTheme="minorHAnsi" w:hAnsi="Calibri" w:cs="Calibri"/>
          <w:color w:val="000000"/>
          <w:lang w:val="es-ES_tradnl"/>
        </w:rPr>
        <w:t xml:space="preserve"> </w:t>
      </w:r>
      <w:r w:rsidR="00FE77CD">
        <w:rPr>
          <w:rFonts w:ascii="Calibri" w:eastAsiaTheme="minorHAnsi" w:hAnsi="Calibri" w:cs="Calibri"/>
          <w:color w:val="000000"/>
          <w:lang w:val="es-ES_tradnl"/>
        </w:rPr>
        <w:t>continuará siguiendo los progresos de esta labor</w:t>
      </w:r>
      <w:r w:rsidR="003C7BF0" w:rsidRPr="0021716D">
        <w:rPr>
          <w:rFonts w:ascii="Calibri" w:eastAsiaTheme="minorHAnsi" w:hAnsi="Calibri" w:cs="Calibri"/>
          <w:color w:val="000000"/>
          <w:lang w:val="es-ES_tradnl"/>
        </w:rPr>
        <w:t xml:space="preserve"> y su</w:t>
      </w:r>
      <w:r w:rsidR="002A65F4" w:rsidRPr="0021716D">
        <w:rPr>
          <w:rFonts w:ascii="Calibri" w:eastAsiaTheme="minorHAnsi" w:hAnsi="Calibri" w:cs="Calibri"/>
          <w:color w:val="000000"/>
          <w:lang w:val="es-ES_tradnl"/>
        </w:rPr>
        <w:t xml:space="preserve"> </w:t>
      </w:r>
      <w:r w:rsidR="00FE77CD">
        <w:rPr>
          <w:rFonts w:ascii="Calibri" w:eastAsiaTheme="minorHAnsi" w:hAnsi="Calibri" w:cs="Calibri"/>
          <w:color w:val="000000"/>
          <w:lang w:val="es-ES_tradnl"/>
        </w:rPr>
        <w:t>funcionalidad resultante</w:t>
      </w:r>
      <w:r w:rsidR="00C442D4" w:rsidRPr="0021716D">
        <w:rPr>
          <w:rFonts w:ascii="Calibri" w:eastAsiaTheme="minorHAnsi" w:hAnsi="Calibri" w:cs="Calibri"/>
          <w:color w:val="000000"/>
          <w:lang w:val="es-ES_tradnl"/>
        </w:rPr>
        <w:t>.</w:t>
      </w:r>
      <w:r w:rsidR="002A65F4" w:rsidRPr="0021716D">
        <w:rPr>
          <w:rFonts w:ascii="Calibri" w:eastAsiaTheme="minorHAnsi" w:hAnsi="Calibri" w:cs="Calibri"/>
          <w:color w:val="000000"/>
          <w:lang w:val="es-ES_tradnl"/>
        </w:rPr>
        <w:t xml:space="preserve"> </w:t>
      </w:r>
      <w:r w:rsidR="003C7BF0" w:rsidRPr="0021716D">
        <w:rPr>
          <w:rFonts w:ascii="Calibri" w:eastAsiaTheme="minorHAnsi" w:hAnsi="Calibri" w:cs="Calibri"/>
          <w:color w:val="000000"/>
          <w:lang w:val="es-ES_tradnl"/>
        </w:rPr>
        <w:t xml:space="preserve">Una visita a la </w:t>
      </w:r>
      <w:r w:rsidRPr="0021716D">
        <w:rPr>
          <w:rFonts w:ascii="Calibri" w:eastAsiaTheme="minorHAnsi" w:hAnsi="Calibri" w:cs="Calibri"/>
          <w:color w:val="000000"/>
          <w:lang w:val="es-ES_tradnl"/>
        </w:rPr>
        <w:t>Secretaría</w:t>
      </w:r>
      <w:r w:rsidR="002A65F4" w:rsidRPr="0021716D">
        <w:rPr>
          <w:rFonts w:ascii="Calibri" w:eastAsiaTheme="minorHAnsi" w:hAnsi="Calibri" w:cs="Calibri"/>
          <w:color w:val="000000"/>
          <w:lang w:val="es-ES_tradnl"/>
        </w:rPr>
        <w:t xml:space="preserve"> </w:t>
      </w:r>
      <w:r w:rsidR="003C7BF0" w:rsidRPr="0021716D">
        <w:rPr>
          <w:rFonts w:ascii="Calibri" w:eastAsiaTheme="minorHAnsi" w:hAnsi="Calibri" w:cs="Calibri"/>
          <w:color w:val="000000"/>
          <w:lang w:val="es-ES_tradnl"/>
        </w:rPr>
        <w:t xml:space="preserve">en Bonn en julio </w:t>
      </w:r>
      <w:r w:rsidR="00C839F6">
        <w:rPr>
          <w:rFonts w:ascii="Calibri" w:eastAsiaTheme="minorHAnsi" w:hAnsi="Calibri" w:cs="Calibri"/>
          <w:color w:val="000000"/>
          <w:lang w:val="es-ES_tradnl"/>
        </w:rPr>
        <w:t>brindó</w:t>
      </w:r>
      <w:r w:rsidR="003C7BF0" w:rsidRPr="0021716D">
        <w:rPr>
          <w:rFonts w:ascii="Calibri" w:eastAsiaTheme="minorHAnsi" w:hAnsi="Calibri" w:cs="Calibri"/>
          <w:color w:val="000000"/>
          <w:lang w:val="es-ES_tradnl"/>
        </w:rPr>
        <w:t xml:space="preserve"> la oportunidad de realizar actualizaciones </w:t>
      </w:r>
      <w:r w:rsidR="00C839F6">
        <w:rPr>
          <w:rFonts w:ascii="Calibri" w:eastAsiaTheme="minorHAnsi" w:hAnsi="Calibri" w:cs="Calibri"/>
          <w:color w:val="000000"/>
          <w:lang w:val="es-ES_tradnl"/>
        </w:rPr>
        <w:t>s</w:t>
      </w:r>
      <w:r w:rsidR="003C7BF0" w:rsidRPr="0021716D">
        <w:rPr>
          <w:rFonts w:ascii="Calibri" w:eastAsiaTheme="minorHAnsi" w:hAnsi="Calibri" w:cs="Calibri"/>
          <w:color w:val="000000"/>
          <w:lang w:val="es-ES_tradnl"/>
        </w:rPr>
        <w:t xml:space="preserve">obre las </w:t>
      </w:r>
      <w:r w:rsidR="00C839F6">
        <w:rPr>
          <w:rFonts w:ascii="Calibri" w:eastAsiaTheme="minorHAnsi" w:hAnsi="Calibri" w:cs="Calibri"/>
          <w:color w:val="000000"/>
          <w:lang w:val="es-ES_tradnl"/>
        </w:rPr>
        <w:t>COP de ambas Convenciones</w:t>
      </w:r>
      <w:r w:rsidR="003C7BF0" w:rsidRPr="0021716D">
        <w:rPr>
          <w:rFonts w:ascii="Calibri" w:eastAsiaTheme="minorHAnsi" w:hAnsi="Calibri" w:cs="Calibri"/>
          <w:color w:val="000000"/>
          <w:lang w:val="es-ES_tradnl"/>
        </w:rPr>
        <w:t xml:space="preserve"> y sus procesos y de intercambiar </w:t>
      </w:r>
      <w:r w:rsidR="0021716D" w:rsidRPr="0021716D">
        <w:rPr>
          <w:rFonts w:ascii="Calibri" w:eastAsiaTheme="minorHAnsi" w:hAnsi="Calibri" w:cs="Calibri"/>
          <w:color w:val="000000"/>
          <w:lang w:val="es-ES_tradnl"/>
        </w:rPr>
        <w:t>experiencias</w:t>
      </w:r>
      <w:r w:rsidR="007F1BF9" w:rsidRPr="0021716D">
        <w:rPr>
          <w:rFonts w:ascii="Calibri" w:eastAsiaTheme="minorHAnsi" w:hAnsi="Calibri" w:cs="Calibri"/>
          <w:color w:val="000000"/>
          <w:lang w:val="es-ES_tradnl"/>
        </w:rPr>
        <w:t>.</w:t>
      </w:r>
      <w:r w:rsidR="002A65F4" w:rsidRPr="0021716D">
        <w:rPr>
          <w:rFonts w:ascii="Calibri" w:eastAsiaTheme="minorHAnsi" w:hAnsi="Calibri" w:cs="Calibri"/>
          <w:color w:val="000000"/>
          <w:lang w:val="es-ES_tradnl"/>
        </w:rPr>
        <w:t xml:space="preserve"> </w:t>
      </w:r>
    </w:p>
    <w:p w14:paraId="662BF3F3" w14:textId="77777777" w:rsidR="004F034D" w:rsidRPr="0021716D" w:rsidRDefault="004F034D" w:rsidP="005522A4">
      <w:pPr>
        <w:autoSpaceDE w:val="0"/>
        <w:autoSpaceDN w:val="0"/>
        <w:adjustRightInd w:val="0"/>
        <w:ind w:left="426" w:hanging="426"/>
        <w:rPr>
          <w:rFonts w:ascii="Calibri" w:eastAsiaTheme="minorHAnsi" w:hAnsi="Calibri" w:cs="Calibri"/>
          <w:color w:val="000000"/>
          <w:sz w:val="22"/>
          <w:szCs w:val="22"/>
          <w:lang w:val="es-ES_tradnl" w:eastAsia="en-US"/>
        </w:rPr>
      </w:pPr>
    </w:p>
    <w:p w14:paraId="3F3AABEF" w14:textId="100AC531" w:rsidR="00C863DD" w:rsidRPr="0021716D" w:rsidRDefault="003C7BF0"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es-ES_tradnl"/>
        </w:rPr>
      </w:pPr>
      <w:r w:rsidRPr="0021716D">
        <w:rPr>
          <w:rFonts w:ascii="Calibri" w:eastAsiaTheme="minorHAnsi" w:hAnsi="Calibri" w:cs="Calibri"/>
          <w:color w:val="000000"/>
          <w:lang w:val="es-ES_tradnl"/>
        </w:rPr>
        <w:lastRenderedPageBreak/>
        <w:t xml:space="preserve">La renovación del </w:t>
      </w:r>
      <w:r w:rsidR="00C839F6">
        <w:rPr>
          <w:rFonts w:ascii="Calibri" w:eastAsiaTheme="minorHAnsi" w:hAnsi="Calibri" w:cs="Calibri"/>
          <w:color w:val="000000"/>
          <w:lang w:val="es-ES_tradnl"/>
        </w:rPr>
        <w:t>Plan de Trabajo Conjunto</w:t>
      </w:r>
      <w:r w:rsidR="002A65F4" w:rsidRPr="0021716D">
        <w:rPr>
          <w:rFonts w:ascii="Calibri" w:eastAsiaTheme="minorHAnsi" w:hAnsi="Calibri" w:cs="Calibri"/>
          <w:color w:val="000000"/>
          <w:lang w:val="es-ES_tradnl"/>
        </w:rPr>
        <w:t xml:space="preserve"> </w:t>
      </w:r>
      <w:r w:rsidR="00BB14C9" w:rsidRPr="0021716D">
        <w:rPr>
          <w:rFonts w:ascii="Calibri" w:eastAsiaTheme="minorHAnsi" w:hAnsi="Calibri" w:cs="Calibri"/>
          <w:color w:val="000000"/>
          <w:lang w:val="es-ES_tradnl"/>
        </w:rPr>
        <w:t>2012-2014</w:t>
      </w:r>
      <w:r w:rsidRPr="0021716D">
        <w:rPr>
          <w:rFonts w:ascii="Calibri" w:eastAsiaTheme="minorHAnsi" w:hAnsi="Calibri" w:cs="Calibri"/>
          <w:color w:val="000000"/>
          <w:lang w:val="es-ES_tradnl"/>
        </w:rPr>
        <w:t xml:space="preserve"> está </w:t>
      </w:r>
      <w:r w:rsidR="0021716D" w:rsidRPr="0021716D">
        <w:rPr>
          <w:rFonts w:ascii="Calibri" w:eastAsiaTheme="minorHAnsi" w:hAnsi="Calibri" w:cs="Calibri"/>
          <w:color w:val="000000"/>
          <w:lang w:val="es-ES_tradnl"/>
        </w:rPr>
        <w:t>en</w:t>
      </w:r>
      <w:r w:rsidRPr="0021716D">
        <w:rPr>
          <w:rFonts w:ascii="Calibri" w:eastAsiaTheme="minorHAnsi" w:hAnsi="Calibri" w:cs="Calibri"/>
          <w:color w:val="000000"/>
          <w:lang w:val="es-ES_tradnl"/>
        </w:rPr>
        <w:t xml:space="preserve"> curso y se presentará para su aprobación en la reunión del </w:t>
      </w:r>
      <w:r w:rsidR="00B149E4" w:rsidRPr="0021716D">
        <w:rPr>
          <w:rFonts w:ascii="Calibri" w:eastAsiaTheme="minorHAnsi" w:hAnsi="Calibri" w:cs="Calibri"/>
          <w:color w:val="000000"/>
          <w:lang w:val="es-ES_tradnl"/>
        </w:rPr>
        <w:t>Comité Permanente</w:t>
      </w:r>
      <w:r w:rsidRPr="0021716D">
        <w:rPr>
          <w:rFonts w:ascii="Calibri" w:eastAsiaTheme="minorHAnsi" w:hAnsi="Calibri" w:cs="Calibri"/>
          <w:color w:val="000000"/>
          <w:lang w:val="es-ES_tradnl"/>
        </w:rPr>
        <w:t xml:space="preserve"> de la CEM que tendrá lugar en octubre de </w:t>
      </w:r>
      <w:r w:rsidR="00C863DD" w:rsidRPr="0021716D">
        <w:rPr>
          <w:rFonts w:ascii="Calibri" w:eastAsiaTheme="minorHAnsi" w:hAnsi="Calibri" w:cs="Calibri"/>
          <w:color w:val="000000"/>
          <w:lang w:val="es-ES_tradnl"/>
        </w:rPr>
        <w:t>2015</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 xml:space="preserve">y en la 51ª reunión del Comité </w:t>
      </w:r>
      <w:r w:rsidR="0021716D" w:rsidRPr="0021716D">
        <w:rPr>
          <w:rFonts w:ascii="Calibri" w:eastAsiaTheme="minorHAnsi" w:hAnsi="Calibri" w:cs="Calibri"/>
          <w:color w:val="000000"/>
          <w:lang w:val="es-ES_tradnl"/>
        </w:rPr>
        <w:t>Permanente</w:t>
      </w:r>
      <w:r w:rsidRPr="0021716D">
        <w:rPr>
          <w:rFonts w:ascii="Calibri" w:eastAsiaTheme="minorHAnsi" w:hAnsi="Calibri" w:cs="Calibri"/>
          <w:color w:val="000000"/>
          <w:lang w:val="es-ES_tradnl"/>
        </w:rPr>
        <w:t xml:space="preserve"> de Ramsar en noviembre de </w:t>
      </w:r>
      <w:r w:rsidR="00C863DD" w:rsidRPr="0021716D">
        <w:rPr>
          <w:rFonts w:ascii="Calibri" w:hAnsi="Calibri"/>
          <w:color w:val="000000"/>
          <w:lang w:val="es-ES_tradnl"/>
        </w:rPr>
        <w:t>2015.</w:t>
      </w:r>
      <w:r w:rsidR="002A65F4" w:rsidRPr="0021716D">
        <w:rPr>
          <w:rFonts w:ascii="Calibri" w:eastAsiaTheme="minorHAnsi" w:hAnsi="Calibri" w:cs="Calibri"/>
          <w:color w:val="000000"/>
          <w:lang w:val="es-ES_tradnl"/>
        </w:rPr>
        <w:t xml:space="preserve"> </w:t>
      </w:r>
    </w:p>
    <w:p w14:paraId="48E2D6ED" w14:textId="77777777" w:rsidR="00AA5FEC" w:rsidRPr="0021716D" w:rsidRDefault="00AA5FEC" w:rsidP="005522A4">
      <w:pPr>
        <w:autoSpaceDE w:val="0"/>
        <w:autoSpaceDN w:val="0"/>
        <w:adjustRightInd w:val="0"/>
        <w:ind w:left="426" w:hanging="426"/>
        <w:rPr>
          <w:rFonts w:ascii="Calibri" w:eastAsiaTheme="minorHAnsi" w:hAnsi="Calibri" w:cs="Calibri"/>
          <w:color w:val="000000"/>
          <w:sz w:val="22"/>
          <w:szCs w:val="22"/>
          <w:lang w:val="es-ES_tradnl" w:eastAsia="en-US"/>
        </w:rPr>
      </w:pPr>
    </w:p>
    <w:p w14:paraId="415C198A" w14:textId="795196EC" w:rsidR="00AA5FEC" w:rsidRPr="0021716D" w:rsidRDefault="00C839F6"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es-ES_tradnl"/>
        </w:rPr>
      </w:pPr>
      <w:r w:rsidRPr="00C839F6">
        <w:rPr>
          <w:rFonts w:ascii="Calibri" w:eastAsiaTheme="minorHAnsi" w:hAnsi="Calibri" w:cs="Calibri"/>
          <w:lang w:val="es-ES_tradnl"/>
        </w:rPr>
        <w:t>Para</w:t>
      </w:r>
      <w:r w:rsidR="00985239" w:rsidRPr="0021716D">
        <w:rPr>
          <w:rFonts w:ascii="Calibri" w:eastAsiaTheme="minorHAnsi" w:hAnsi="Calibri" w:cs="Calibri"/>
          <w:color w:val="000000"/>
          <w:lang w:val="es-ES_tradnl"/>
        </w:rPr>
        <w:t xml:space="preserve"> </w:t>
      </w:r>
      <w:r>
        <w:rPr>
          <w:rFonts w:ascii="Calibri" w:eastAsiaTheme="minorHAnsi" w:hAnsi="Calibri" w:cs="Calibri"/>
          <w:color w:val="000000"/>
          <w:lang w:val="es-ES_tradnl"/>
        </w:rPr>
        <w:t xml:space="preserve">intensificar </w:t>
      </w:r>
      <w:r w:rsidR="00985239" w:rsidRPr="0021716D">
        <w:rPr>
          <w:rFonts w:ascii="Calibri" w:eastAsiaTheme="minorHAnsi" w:hAnsi="Calibri" w:cs="Calibri"/>
          <w:color w:val="000000"/>
          <w:lang w:val="es-ES_tradnl"/>
        </w:rPr>
        <w:t>aún más</w:t>
      </w:r>
      <w:r>
        <w:rPr>
          <w:rFonts w:ascii="Calibri" w:eastAsiaTheme="minorHAnsi" w:hAnsi="Calibri" w:cs="Calibri"/>
          <w:color w:val="000000"/>
          <w:lang w:val="es-ES_tradnl"/>
        </w:rPr>
        <w:t xml:space="preserve"> la labor</w:t>
      </w:r>
      <w:r w:rsidR="00985239" w:rsidRPr="0021716D">
        <w:rPr>
          <w:rFonts w:ascii="Calibri" w:eastAsiaTheme="minorHAnsi" w:hAnsi="Calibri" w:cs="Calibri"/>
          <w:color w:val="000000"/>
          <w:lang w:val="es-ES_tradnl"/>
        </w:rPr>
        <w:t xml:space="preserve"> de ambas Convenciones en América Latina y el Caribe, la </w:t>
      </w:r>
      <w:r w:rsidR="0021716D" w:rsidRPr="0021716D">
        <w:rPr>
          <w:rFonts w:ascii="Calibri" w:eastAsiaTheme="minorHAnsi" w:hAnsi="Calibri" w:cs="Calibri"/>
          <w:color w:val="000000"/>
          <w:lang w:val="es-ES_tradnl"/>
        </w:rPr>
        <w:t>Secretaría</w:t>
      </w:r>
      <w:r w:rsidR="00985239" w:rsidRPr="0021716D">
        <w:rPr>
          <w:rFonts w:ascii="Calibri" w:eastAsiaTheme="minorHAnsi" w:hAnsi="Calibri" w:cs="Calibri"/>
          <w:color w:val="000000"/>
          <w:lang w:val="es-ES_tradnl"/>
        </w:rPr>
        <w:t xml:space="preserve"> participará en el taller regional de la CEM para los </w:t>
      </w:r>
      <w:r>
        <w:rPr>
          <w:rFonts w:ascii="Calibri" w:eastAsiaTheme="minorHAnsi" w:hAnsi="Calibri" w:cs="Calibri"/>
          <w:color w:val="000000"/>
          <w:lang w:val="es-ES_tradnl"/>
        </w:rPr>
        <w:t>Estados</w:t>
      </w:r>
      <w:r w:rsidR="00985239"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 xml:space="preserve">de América Latina y el Caribe </w:t>
      </w:r>
      <w:r w:rsidR="00985239" w:rsidRPr="0021716D">
        <w:rPr>
          <w:rFonts w:ascii="Calibri" w:eastAsiaTheme="minorHAnsi" w:hAnsi="Calibri" w:cs="Calibri"/>
          <w:color w:val="000000"/>
          <w:lang w:val="es-ES_tradnl"/>
        </w:rPr>
        <w:t xml:space="preserve">que no son Partes Contratantes en septiembre de </w:t>
      </w:r>
      <w:r w:rsidR="00AA5FEC" w:rsidRPr="0021716D">
        <w:rPr>
          <w:rFonts w:ascii="Calibri" w:eastAsiaTheme="minorHAnsi" w:hAnsi="Calibri" w:cs="Calibri"/>
          <w:color w:val="000000"/>
          <w:lang w:val="es-ES_tradnl"/>
        </w:rPr>
        <w:t>2015.</w:t>
      </w:r>
    </w:p>
    <w:p w14:paraId="054C9C00" w14:textId="77777777" w:rsidR="00C442D4" w:rsidRPr="0021716D" w:rsidRDefault="00C442D4" w:rsidP="005522A4">
      <w:pPr>
        <w:autoSpaceDE w:val="0"/>
        <w:autoSpaceDN w:val="0"/>
        <w:adjustRightInd w:val="0"/>
        <w:ind w:left="426" w:hanging="426"/>
        <w:rPr>
          <w:rFonts w:ascii="Calibri" w:eastAsiaTheme="minorHAnsi" w:hAnsi="Calibri" w:cs="Calibri"/>
          <w:color w:val="000000"/>
          <w:sz w:val="22"/>
          <w:szCs w:val="22"/>
          <w:lang w:val="es-ES_tradnl" w:eastAsia="en-US"/>
        </w:rPr>
      </w:pPr>
    </w:p>
    <w:p w14:paraId="2DA9C1D4" w14:textId="0CE36234" w:rsidR="00FA633D" w:rsidRDefault="00CE31CC" w:rsidP="0021716D">
      <w:pPr>
        <w:pStyle w:val="ListParagraph"/>
        <w:numPr>
          <w:ilvl w:val="0"/>
          <w:numId w:val="19"/>
        </w:numPr>
        <w:autoSpaceDE w:val="0"/>
        <w:autoSpaceDN w:val="0"/>
        <w:adjustRightInd w:val="0"/>
        <w:ind w:left="426" w:hanging="426"/>
        <w:jc w:val="left"/>
        <w:rPr>
          <w:rFonts w:ascii="Calibri" w:eastAsiaTheme="minorHAnsi" w:hAnsi="Calibri" w:cs="Calibri"/>
          <w:color w:val="000000"/>
          <w:lang w:val="es-ES_tradnl"/>
        </w:rPr>
      </w:pPr>
      <w:r w:rsidRPr="0021716D">
        <w:rPr>
          <w:rFonts w:ascii="Calibri" w:eastAsiaTheme="minorHAnsi" w:hAnsi="Calibri" w:cs="Calibri"/>
          <w:color w:val="000000"/>
          <w:lang w:val="es-ES_tradnl"/>
        </w:rPr>
        <w:t>Dur</w:t>
      </w:r>
      <w:r w:rsidR="006F6844" w:rsidRPr="0021716D">
        <w:rPr>
          <w:rFonts w:ascii="Calibri" w:eastAsiaTheme="minorHAnsi" w:hAnsi="Calibri" w:cs="Calibri"/>
          <w:color w:val="000000"/>
          <w:lang w:val="es-ES_tradnl"/>
        </w:rPr>
        <w:t xml:space="preserve">ante </w:t>
      </w:r>
      <w:r w:rsidRPr="0021716D">
        <w:rPr>
          <w:rFonts w:ascii="Calibri" w:eastAsiaTheme="minorHAnsi" w:hAnsi="Calibri" w:cs="Calibri"/>
          <w:color w:val="000000"/>
          <w:lang w:val="es-ES_tradnl"/>
        </w:rPr>
        <w:t>2014,</w:t>
      </w:r>
      <w:r w:rsidR="002A65F4" w:rsidRPr="0021716D">
        <w:rPr>
          <w:rFonts w:ascii="Calibri" w:eastAsiaTheme="minorHAnsi" w:hAnsi="Calibri" w:cs="Calibri"/>
          <w:color w:val="000000"/>
          <w:lang w:val="es-ES_tradnl"/>
        </w:rPr>
        <w:t xml:space="preserve"> </w:t>
      </w:r>
      <w:r w:rsidR="006F6844" w:rsidRPr="0021716D">
        <w:rPr>
          <w:rFonts w:ascii="Calibri" w:eastAsiaTheme="minorHAnsi" w:hAnsi="Calibri" w:cs="Calibri"/>
          <w:color w:val="000000"/>
          <w:lang w:val="es-ES_tradnl"/>
        </w:rPr>
        <w:t>el GECT</w:t>
      </w:r>
      <w:r w:rsidR="002A65F4" w:rsidRPr="0021716D">
        <w:rPr>
          <w:rFonts w:ascii="Calibri" w:eastAsiaTheme="minorHAnsi" w:hAnsi="Calibri" w:cs="Calibri"/>
          <w:color w:val="000000"/>
          <w:lang w:val="es-ES_tradnl"/>
        </w:rPr>
        <w:t xml:space="preserve"> </w:t>
      </w:r>
      <w:r w:rsidR="0021716D" w:rsidRPr="0021716D">
        <w:rPr>
          <w:rFonts w:ascii="Calibri" w:eastAsiaTheme="minorHAnsi" w:hAnsi="Calibri" w:cs="Calibri"/>
          <w:color w:val="000000"/>
          <w:lang w:val="es-ES_tradnl"/>
        </w:rPr>
        <w:t>contribuyó</w:t>
      </w:r>
      <w:r w:rsidR="006F6844" w:rsidRPr="0021716D">
        <w:rPr>
          <w:rFonts w:ascii="Calibri" w:eastAsiaTheme="minorHAnsi" w:hAnsi="Calibri" w:cs="Calibri"/>
          <w:color w:val="000000"/>
          <w:lang w:val="es-ES_tradnl"/>
        </w:rPr>
        <w:t xml:space="preserve"> a</w:t>
      </w:r>
      <w:r w:rsidR="00C839F6">
        <w:rPr>
          <w:rFonts w:ascii="Calibri" w:eastAsiaTheme="minorHAnsi" w:hAnsi="Calibri" w:cs="Calibri"/>
          <w:color w:val="000000"/>
          <w:lang w:val="es-ES_tradnl"/>
        </w:rPr>
        <w:t xml:space="preserve">l </w:t>
      </w:r>
      <w:r w:rsidR="00C839F6" w:rsidRPr="00C839F6">
        <w:rPr>
          <w:rFonts w:ascii="Calibri" w:eastAsiaTheme="minorHAnsi" w:hAnsi="Calibri" w:cs="Calibri"/>
          <w:color w:val="000000"/>
          <w:lang w:val="es-ES_tradnl"/>
        </w:rPr>
        <w:t>Grupo científico de trabajo sobre la Gr</w:t>
      </w:r>
      <w:r w:rsidR="00C839F6">
        <w:rPr>
          <w:rFonts w:ascii="Calibri" w:eastAsiaTheme="minorHAnsi" w:hAnsi="Calibri" w:cs="Calibri"/>
          <w:color w:val="000000"/>
          <w:lang w:val="es-ES_tradnl"/>
        </w:rPr>
        <w:t xml:space="preserve">ipe Aviar y las Aves Silvestres de la </w:t>
      </w:r>
      <w:r w:rsidR="00C839F6" w:rsidRPr="00C839F6">
        <w:rPr>
          <w:rFonts w:ascii="Calibri" w:eastAsiaTheme="minorHAnsi" w:hAnsi="Calibri" w:cs="Calibri"/>
          <w:color w:val="000000"/>
          <w:lang w:val="es-ES_tradnl"/>
        </w:rPr>
        <w:t>CEM y la FAO</w:t>
      </w:r>
      <w:r w:rsidR="00C839F6">
        <w:rPr>
          <w:rFonts w:ascii="Calibri" w:eastAsiaTheme="minorHAnsi" w:hAnsi="Calibri" w:cs="Calibri"/>
          <w:color w:val="000000"/>
          <w:lang w:val="es-ES_tradnl"/>
        </w:rPr>
        <w:t xml:space="preserve"> convocado por las Naciones Unidas</w:t>
      </w:r>
      <w:r w:rsidR="00776D8F" w:rsidRPr="0021716D">
        <w:rPr>
          <w:rFonts w:ascii="Calibri" w:eastAsiaTheme="minorHAnsi" w:hAnsi="Calibri" w:cs="Calibri"/>
          <w:color w:val="000000"/>
          <w:lang w:val="es-ES_tradnl"/>
        </w:rPr>
        <w:t>,</w:t>
      </w:r>
      <w:r w:rsidR="002A65F4" w:rsidRPr="0021716D">
        <w:rPr>
          <w:rFonts w:ascii="Calibri" w:eastAsiaTheme="minorHAnsi" w:hAnsi="Calibri" w:cs="Calibri"/>
          <w:color w:val="000000"/>
          <w:lang w:val="es-ES_tradnl"/>
        </w:rPr>
        <w:t xml:space="preserve"> </w:t>
      </w:r>
      <w:r w:rsidR="006F6844" w:rsidRPr="0021716D">
        <w:rPr>
          <w:rFonts w:ascii="Calibri" w:eastAsiaTheme="minorHAnsi" w:hAnsi="Calibri" w:cs="Calibri"/>
          <w:color w:val="000000"/>
          <w:lang w:val="es-ES_tradnl"/>
        </w:rPr>
        <w:t>y realizó declaraciones sobre el H</w:t>
      </w:r>
      <w:r w:rsidRPr="0021716D">
        <w:rPr>
          <w:rFonts w:ascii="Calibri" w:eastAsiaTheme="minorHAnsi" w:hAnsi="Calibri" w:cs="Calibri"/>
          <w:color w:val="000000"/>
          <w:lang w:val="es-ES_tradnl"/>
        </w:rPr>
        <w:t>5N8</w:t>
      </w:r>
      <w:r w:rsidR="002A65F4" w:rsidRPr="0021716D">
        <w:rPr>
          <w:rFonts w:ascii="Calibri" w:eastAsiaTheme="minorHAnsi" w:hAnsi="Calibri" w:cs="Calibri"/>
          <w:color w:val="000000"/>
          <w:lang w:val="es-ES_tradnl"/>
        </w:rPr>
        <w:t xml:space="preserve"> </w:t>
      </w:r>
      <w:r w:rsidR="00F41CFD">
        <w:rPr>
          <w:rFonts w:ascii="Calibri" w:eastAsiaTheme="minorHAnsi" w:hAnsi="Calibri" w:cs="Calibri"/>
          <w:color w:val="000000"/>
          <w:lang w:val="es-ES_tradnl"/>
        </w:rPr>
        <w:t xml:space="preserve">en respuesta a la utilización </w:t>
      </w:r>
      <w:r w:rsidR="00C61885">
        <w:rPr>
          <w:rFonts w:ascii="Calibri" w:eastAsiaTheme="minorHAnsi" w:hAnsi="Calibri" w:cs="Calibri"/>
          <w:color w:val="000000"/>
          <w:lang w:val="es-ES_tradnl"/>
        </w:rPr>
        <w:t>irresponsable</w:t>
      </w:r>
      <w:r w:rsidR="00F41CFD">
        <w:rPr>
          <w:rFonts w:ascii="Calibri" w:eastAsiaTheme="minorHAnsi" w:hAnsi="Calibri" w:cs="Calibri"/>
          <w:color w:val="000000"/>
          <w:lang w:val="es-ES_tradnl"/>
        </w:rPr>
        <w:t xml:space="preserve"> de </w:t>
      </w:r>
      <w:r w:rsidR="00C61885">
        <w:rPr>
          <w:rFonts w:ascii="Calibri" w:eastAsiaTheme="minorHAnsi" w:hAnsi="Calibri" w:cs="Calibri"/>
          <w:color w:val="000000"/>
          <w:lang w:val="es-ES_tradnl"/>
        </w:rPr>
        <w:t>desinfectantes</w:t>
      </w:r>
      <w:r w:rsidR="00F41CFD">
        <w:rPr>
          <w:rFonts w:ascii="Calibri" w:eastAsiaTheme="minorHAnsi" w:hAnsi="Calibri" w:cs="Calibri"/>
          <w:color w:val="000000"/>
          <w:lang w:val="es-ES_tradnl"/>
        </w:rPr>
        <w:t xml:space="preserve"> en hábitats de humedales en las zonas en las que se produjeron brotes en Asia. Además, un experto del GECT escribió a los editores de una prestigiosa revista científica (</w:t>
      </w:r>
      <w:r w:rsidR="00F41CFD" w:rsidRPr="00384807">
        <w:rPr>
          <w:rFonts w:ascii="Calibri" w:eastAsiaTheme="minorHAnsi" w:hAnsi="Calibri" w:cs="Calibri"/>
          <w:i/>
          <w:color w:val="000000"/>
          <w:lang w:val="es-ES_tradnl"/>
        </w:rPr>
        <w:t>Emerging Infectious Diseases</w:t>
      </w:r>
      <w:r w:rsidR="00F41CFD">
        <w:rPr>
          <w:rFonts w:ascii="Calibri" w:eastAsiaTheme="minorHAnsi" w:hAnsi="Calibri" w:cs="Calibri"/>
          <w:color w:val="000000"/>
          <w:lang w:val="es-ES_tradnl"/>
        </w:rPr>
        <w:t xml:space="preserve">, de CDC) acerca de un artículo en el que se promovía el sacrificio de aves silvestres en respuesta a la gripe aviar altamente patógena, subrayando las obligaciones en virtud de Ramsar y las </w:t>
      </w:r>
      <w:r w:rsidR="00C61885">
        <w:rPr>
          <w:rFonts w:ascii="Calibri" w:eastAsiaTheme="minorHAnsi" w:hAnsi="Calibri" w:cs="Calibri"/>
          <w:color w:val="000000"/>
          <w:lang w:val="es-ES_tradnl"/>
        </w:rPr>
        <w:t>recomendaciones</w:t>
      </w:r>
      <w:r w:rsidR="00F41CFD">
        <w:rPr>
          <w:rFonts w:ascii="Calibri" w:eastAsiaTheme="minorHAnsi" w:hAnsi="Calibri" w:cs="Calibri"/>
          <w:color w:val="000000"/>
          <w:lang w:val="es-ES_tradnl"/>
        </w:rPr>
        <w:t xml:space="preserve"> existentes de hacer lo contrario. El artículo se cambió en consecuencia</w:t>
      </w:r>
      <w:r w:rsidRPr="0021716D">
        <w:rPr>
          <w:rFonts w:ascii="Calibri" w:eastAsiaTheme="minorHAnsi" w:hAnsi="Calibri" w:cs="Calibri"/>
          <w:color w:val="000000"/>
          <w:lang w:val="es-ES_tradnl"/>
        </w:rPr>
        <w:t>.</w:t>
      </w:r>
    </w:p>
    <w:p w14:paraId="40B36BBB" w14:textId="77777777" w:rsidR="0021716D" w:rsidRPr="0021716D" w:rsidRDefault="0021716D" w:rsidP="0021716D">
      <w:pPr>
        <w:autoSpaceDE w:val="0"/>
        <w:autoSpaceDN w:val="0"/>
        <w:adjustRightInd w:val="0"/>
        <w:rPr>
          <w:rFonts w:ascii="Calibri" w:eastAsiaTheme="minorHAnsi" w:hAnsi="Calibri" w:cs="Calibri"/>
          <w:color w:val="000000"/>
          <w:lang w:val="es-ES_tradnl"/>
        </w:rPr>
      </w:pPr>
    </w:p>
    <w:p w14:paraId="647DB542" w14:textId="0E63F2C9" w:rsidR="00CE31CC" w:rsidRPr="0021716D" w:rsidRDefault="00384807" w:rsidP="005522A4">
      <w:pPr>
        <w:autoSpaceDE w:val="0"/>
        <w:autoSpaceDN w:val="0"/>
        <w:adjustRightInd w:val="0"/>
        <w:rPr>
          <w:rFonts w:asciiTheme="minorHAnsi" w:eastAsiaTheme="minorHAnsi" w:hAnsiTheme="minorHAnsi" w:cs="Calibri-Bold"/>
          <w:b/>
          <w:bCs/>
          <w:sz w:val="22"/>
          <w:szCs w:val="22"/>
          <w:lang w:val="es-ES_tradnl" w:eastAsia="en-US"/>
        </w:rPr>
      </w:pPr>
      <w:r w:rsidRPr="00384807">
        <w:rPr>
          <w:rFonts w:asciiTheme="minorHAnsi" w:hAnsiTheme="minorHAnsi"/>
          <w:b/>
          <w:sz w:val="22"/>
          <w:lang w:val="es-ES_tradnl"/>
        </w:rPr>
        <w:t>Plataforma Intergubernamental sobre Diversidad Biológica y Servicios de los Ecosistemas</w:t>
      </w:r>
      <w:r w:rsidR="00644D00">
        <w:rPr>
          <w:rFonts w:asciiTheme="minorHAnsi" w:hAnsiTheme="minorHAnsi"/>
          <w:b/>
          <w:sz w:val="22"/>
          <w:lang w:val="es-ES_tradnl"/>
        </w:rPr>
        <w:t xml:space="preserve"> (IPBES)</w:t>
      </w:r>
    </w:p>
    <w:p w14:paraId="459F9D9C" w14:textId="588C2531" w:rsidR="00CE31CC" w:rsidRPr="0021716D" w:rsidRDefault="00384807" w:rsidP="00384807">
      <w:pPr>
        <w:tabs>
          <w:tab w:val="left" w:pos="1701"/>
        </w:tabs>
        <w:autoSpaceDE w:val="0"/>
        <w:autoSpaceDN w:val="0"/>
        <w:rPr>
          <w:rFonts w:asciiTheme="minorHAnsi" w:hAnsiTheme="minorHAnsi"/>
          <w:sz w:val="22"/>
          <w:szCs w:val="22"/>
          <w:lang w:val="es-ES_tradnl"/>
        </w:rPr>
      </w:pPr>
      <w:r>
        <w:rPr>
          <w:rFonts w:asciiTheme="minorHAnsi" w:hAnsiTheme="minorHAnsi"/>
          <w:sz w:val="22"/>
          <w:szCs w:val="22"/>
          <w:lang w:val="es-ES_tradnl"/>
        </w:rPr>
        <w:tab/>
      </w:r>
    </w:p>
    <w:p w14:paraId="176E5473" w14:textId="71AA30CA" w:rsidR="00CE31CC" w:rsidRPr="0021716D" w:rsidRDefault="00004EF0" w:rsidP="005522A4">
      <w:pPr>
        <w:pStyle w:val="ListParagraph"/>
        <w:numPr>
          <w:ilvl w:val="0"/>
          <w:numId w:val="19"/>
        </w:numPr>
        <w:autoSpaceDE w:val="0"/>
        <w:autoSpaceDN w:val="0"/>
        <w:ind w:left="426" w:hanging="426"/>
        <w:jc w:val="left"/>
        <w:rPr>
          <w:rFonts w:asciiTheme="minorHAnsi" w:hAnsiTheme="minorHAnsi"/>
          <w:lang w:val="es-ES_tradnl"/>
        </w:rPr>
      </w:pPr>
      <w:r w:rsidRPr="0021716D">
        <w:rPr>
          <w:rFonts w:asciiTheme="minorHAnsi" w:hAnsiTheme="minorHAnsi"/>
          <w:lang w:val="es-ES_tradnl"/>
        </w:rPr>
        <w:t>El GECT sigue</w:t>
      </w:r>
      <w:r w:rsidR="00384807">
        <w:rPr>
          <w:rFonts w:asciiTheme="minorHAnsi" w:hAnsiTheme="minorHAnsi"/>
          <w:lang w:val="es-ES_tradnl"/>
        </w:rPr>
        <w:t xml:space="preserve"> </w:t>
      </w:r>
      <w:r w:rsidR="005876A0">
        <w:rPr>
          <w:rFonts w:asciiTheme="minorHAnsi" w:hAnsiTheme="minorHAnsi"/>
          <w:lang w:val="es-ES_tradnl"/>
        </w:rPr>
        <w:t xml:space="preserve">colaborando totalmente </w:t>
      </w:r>
      <w:r w:rsidR="00384807">
        <w:rPr>
          <w:rFonts w:asciiTheme="minorHAnsi" w:hAnsiTheme="minorHAnsi"/>
          <w:lang w:val="es-ES_tradnl"/>
        </w:rPr>
        <w:t>co</w:t>
      </w:r>
      <w:r w:rsidRPr="0021716D">
        <w:rPr>
          <w:rFonts w:asciiTheme="minorHAnsi" w:hAnsiTheme="minorHAnsi"/>
          <w:lang w:val="es-ES_tradnl"/>
        </w:rPr>
        <w:t xml:space="preserve">n la IPBES. El Presidente del GECT es </w:t>
      </w:r>
      <w:r w:rsidR="005876A0">
        <w:rPr>
          <w:rFonts w:asciiTheme="minorHAnsi" w:hAnsiTheme="minorHAnsi"/>
          <w:lang w:val="es-ES_tradnl"/>
        </w:rPr>
        <w:t xml:space="preserve">un </w:t>
      </w:r>
      <w:r w:rsidR="0021716D">
        <w:rPr>
          <w:rFonts w:asciiTheme="minorHAnsi" w:hAnsiTheme="minorHAnsi"/>
          <w:lang w:val="es-ES_tradnl"/>
        </w:rPr>
        <w:t>observador</w:t>
      </w:r>
      <w:r w:rsidRPr="0021716D">
        <w:rPr>
          <w:rFonts w:asciiTheme="minorHAnsi" w:hAnsiTheme="minorHAnsi"/>
          <w:lang w:val="es-ES_tradnl"/>
        </w:rPr>
        <w:t xml:space="preserve"> en</w:t>
      </w:r>
      <w:r w:rsidR="0021716D">
        <w:rPr>
          <w:rFonts w:asciiTheme="minorHAnsi" w:hAnsiTheme="minorHAnsi"/>
          <w:lang w:val="es-ES_tradnl"/>
        </w:rPr>
        <w:t xml:space="preserve"> </w:t>
      </w:r>
      <w:r w:rsidRPr="0021716D">
        <w:rPr>
          <w:rFonts w:asciiTheme="minorHAnsi" w:hAnsiTheme="minorHAnsi"/>
          <w:lang w:val="es-ES_tradnl"/>
        </w:rPr>
        <w:t xml:space="preserve">el </w:t>
      </w:r>
      <w:r w:rsidR="005876A0">
        <w:rPr>
          <w:rFonts w:asciiTheme="minorHAnsi" w:hAnsiTheme="minorHAnsi"/>
          <w:lang w:val="es-ES_tradnl"/>
        </w:rPr>
        <w:t>Grupo multidisciplinario de e</w:t>
      </w:r>
      <w:r w:rsidR="005876A0" w:rsidRPr="005876A0">
        <w:rPr>
          <w:rFonts w:asciiTheme="minorHAnsi" w:hAnsiTheme="minorHAnsi"/>
          <w:lang w:val="es-ES_tradnl"/>
        </w:rPr>
        <w:t xml:space="preserve">xpertos </w:t>
      </w:r>
      <w:r w:rsidRPr="005876A0">
        <w:rPr>
          <w:rFonts w:asciiTheme="minorHAnsi" w:hAnsiTheme="minorHAnsi"/>
          <w:lang w:val="es-ES_tradnl"/>
        </w:rPr>
        <w:t>de</w:t>
      </w:r>
      <w:r w:rsidR="005876A0">
        <w:rPr>
          <w:rFonts w:asciiTheme="minorHAnsi" w:hAnsiTheme="minorHAnsi"/>
          <w:lang w:val="es-ES_tradnl"/>
        </w:rPr>
        <w:t xml:space="preserve"> la IPBES y participó en el segundo y el tercer período de sesiones de la IPBES (</w:t>
      </w:r>
      <w:r w:rsidR="00CE31CC" w:rsidRPr="005876A0">
        <w:rPr>
          <w:rFonts w:asciiTheme="minorHAnsi" w:hAnsiTheme="minorHAnsi"/>
          <w:lang w:val="es-ES_tradnl"/>
        </w:rPr>
        <w:t>IPBES</w:t>
      </w:r>
      <w:r w:rsidR="00CE31CC" w:rsidRPr="005876A0">
        <w:rPr>
          <w:rFonts w:asciiTheme="minorHAnsi" w:hAnsiTheme="minorHAnsi" w:cs="Cambria Math"/>
          <w:lang w:val="es-ES_tradnl"/>
        </w:rPr>
        <w:t>‐</w:t>
      </w:r>
      <w:r w:rsidR="00CE31CC" w:rsidRPr="005876A0">
        <w:rPr>
          <w:rFonts w:asciiTheme="minorHAnsi" w:hAnsiTheme="minorHAnsi"/>
          <w:lang w:val="es-ES_tradnl"/>
        </w:rPr>
        <w:t>2</w:t>
      </w:r>
      <w:r w:rsidR="002A65F4" w:rsidRPr="005876A0">
        <w:rPr>
          <w:rFonts w:asciiTheme="minorHAnsi" w:hAnsiTheme="minorHAnsi"/>
          <w:lang w:val="es-ES_tradnl"/>
        </w:rPr>
        <w:t xml:space="preserve"> </w:t>
      </w:r>
      <w:r w:rsidR="005876A0" w:rsidRPr="005876A0">
        <w:rPr>
          <w:rFonts w:asciiTheme="minorHAnsi" w:hAnsiTheme="minorHAnsi"/>
          <w:lang w:val="es-ES_tradnl"/>
        </w:rPr>
        <w:t>e</w:t>
      </w:r>
      <w:r w:rsidR="002A65F4" w:rsidRPr="005876A0">
        <w:rPr>
          <w:rFonts w:asciiTheme="minorHAnsi" w:hAnsiTheme="minorHAnsi"/>
          <w:lang w:val="es-ES_tradnl"/>
        </w:rPr>
        <w:t xml:space="preserve"> </w:t>
      </w:r>
      <w:r w:rsidR="00CE31CC" w:rsidRPr="005876A0">
        <w:rPr>
          <w:rFonts w:asciiTheme="minorHAnsi" w:hAnsiTheme="minorHAnsi"/>
          <w:lang w:val="es-ES_tradnl"/>
        </w:rPr>
        <w:t>IPBES</w:t>
      </w:r>
      <w:r w:rsidR="00CE31CC" w:rsidRPr="005876A0">
        <w:rPr>
          <w:rFonts w:asciiTheme="minorHAnsi" w:hAnsiTheme="minorHAnsi" w:cs="Cambria Math"/>
          <w:lang w:val="es-ES_tradnl"/>
        </w:rPr>
        <w:t>‐</w:t>
      </w:r>
      <w:r w:rsidR="00CE31CC" w:rsidRPr="005876A0">
        <w:rPr>
          <w:rFonts w:asciiTheme="minorHAnsi" w:hAnsiTheme="minorHAnsi"/>
          <w:lang w:val="es-ES_tradnl"/>
        </w:rPr>
        <w:t>3</w:t>
      </w:r>
      <w:r w:rsidR="005876A0" w:rsidRPr="005876A0">
        <w:rPr>
          <w:rFonts w:asciiTheme="minorHAnsi" w:hAnsiTheme="minorHAnsi"/>
          <w:lang w:val="es-ES_tradnl"/>
        </w:rPr>
        <w:t>, respectivamente)</w:t>
      </w:r>
      <w:r w:rsidR="00CE31CC" w:rsidRPr="005876A0">
        <w:rPr>
          <w:rFonts w:asciiTheme="minorHAnsi" w:hAnsiTheme="minorHAnsi"/>
          <w:lang w:val="es-ES_tradnl"/>
        </w:rPr>
        <w:t>.</w:t>
      </w:r>
      <w:r w:rsidR="002A65F4" w:rsidRPr="0021716D">
        <w:rPr>
          <w:rFonts w:asciiTheme="minorHAnsi" w:hAnsiTheme="minorHAnsi"/>
          <w:lang w:val="es-ES_tradnl"/>
        </w:rPr>
        <w:t xml:space="preserve"> </w:t>
      </w:r>
      <w:r w:rsidRPr="0021716D">
        <w:rPr>
          <w:rFonts w:asciiTheme="minorHAnsi" w:hAnsiTheme="minorHAnsi"/>
          <w:lang w:val="es-ES_tradnl"/>
        </w:rPr>
        <w:t xml:space="preserve">El Presidente </w:t>
      </w:r>
      <w:r w:rsidR="005876A0">
        <w:rPr>
          <w:rFonts w:asciiTheme="minorHAnsi" w:hAnsiTheme="minorHAnsi"/>
          <w:lang w:val="es-ES_tradnl"/>
        </w:rPr>
        <w:t>o un</w:t>
      </w:r>
      <w:r w:rsidRPr="0021716D">
        <w:rPr>
          <w:rFonts w:asciiTheme="minorHAnsi" w:hAnsiTheme="minorHAnsi"/>
          <w:lang w:val="es-ES_tradnl"/>
        </w:rPr>
        <w:t xml:space="preserve"> </w:t>
      </w:r>
      <w:r w:rsidR="0021716D" w:rsidRPr="0021716D">
        <w:rPr>
          <w:rFonts w:asciiTheme="minorHAnsi" w:hAnsiTheme="minorHAnsi"/>
          <w:lang w:val="es-ES_tradnl"/>
        </w:rPr>
        <w:t>representante</w:t>
      </w:r>
      <w:r w:rsidRPr="0021716D">
        <w:rPr>
          <w:rFonts w:asciiTheme="minorHAnsi" w:hAnsiTheme="minorHAnsi"/>
          <w:lang w:val="es-ES_tradnl"/>
        </w:rPr>
        <w:t xml:space="preserve"> del GECT </w:t>
      </w:r>
      <w:r w:rsidR="0021716D" w:rsidRPr="0021716D">
        <w:rPr>
          <w:rFonts w:asciiTheme="minorHAnsi" w:hAnsiTheme="minorHAnsi"/>
          <w:lang w:val="es-ES_tradnl"/>
        </w:rPr>
        <w:t>también</w:t>
      </w:r>
      <w:r w:rsidR="005876A0">
        <w:rPr>
          <w:rFonts w:asciiTheme="minorHAnsi" w:hAnsiTheme="minorHAnsi"/>
          <w:lang w:val="es-ES_tradnl"/>
        </w:rPr>
        <w:t xml:space="preserve"> participaron </w:t>
      </w:r>
      <w:r w:rsidRPr="0021716D">
        <w:rPr>
          <w:rFonts w:asciiTheme="minorHAnsi" w:hAnsiTheme="minorHAnsi"/>
          <w:lang w:val="es-ES_tradnl"/>
        </w:rPr>
        <w:t xml:space="preserve">en las reuniones del </w:t>
      </w:r>
      <w:r w:rsidR="005876A0">
        <w:rPr>
          <w:rFonts w:asciiTheme="minorHAnsi" w:hAnsiTheme="minorHAnsi"/>
          <w:lang w:val="es-ES_tradnl"/>
        </w:rPr>
        <w:t>Grupo multidisciplinario de expertos</w:t>
      </w:r>
      <w:r w:rsidRPr="0021716D">
        <w:rPr>
          <w:rFonts w:asciiTheme="minorHAnsi" w:hAnsiTheme="minorHAnsi"/>
          <w:lang w:val="es-ES_tradnl"/>
        </w:rPr>
        <w:t xml:space="preserve">, </w:t>
      </w:r>
      <w:r w:rsidR="005876A0">
        <w:rPr>
          <w:rFonts w:asciiTheme="minorHAnsi" w:hAnsiTheme="minorHAnsi"/>
          <w:lang w:val="es-ES_tradnl"/>
        </w:rPr>
        <w:t>poniendo de relieve</w:t>
      </w:r>
      <w:r w:rsidRPr="0021716D">
        <w:rPr>
          <w:rFonts w:asciiTheme="minorHAnsi" w:hAnsiTheme="minorHAnsi"/>
          <w:lang w:val="es-ES_tradnl"/>
        </w:rPr>
        <w:t xml:space="preserve"> la necesidad de que en las evaluaciones se </w:t>
      </w:r>
      <w:r w:rsidR="005876A0">
        <w:rPr>
          <w:rFonts w:asciiTheme="minorHAnsi" w:hAnsiTheme="minorHAnsi"/>
          <w:lang w:val="es-ES_tradnl"/>
        </w:rPr>
        <w:t xml:space="preserve">cuente con </w:t>
      </w:r>
      <w:r w:rsidRPr="0021716D">
        <w:rPr>
          <w:rFonts w:asciiTheme="minorHAnsi" w:hAnsiTheme="minorHAnsi"/>
          <w:lang w:val="es-ES_tradnl"/>
        </w:rPr>
        <w:t>expertos en humedales y en su restauración. L</w:t>
      </w:r>
      <w:r w:rsidR="005876A0">
        <w:rPr>
          <w:rFonts w:asciiTheme="minorHAnsi" w:hAnsiTheme="minorHAnsi"/>
          <w:lang w:val="es-ES_tradnl"/>
        </w:rPr>
        <w:t xml:space="preserve">a evaluación de la degradación y </w:t>
      </w:r>
      <w:r w:rsidR="003B17E6">
        <w:rPr>
          <w:rFonts w:asciiTheme="minorHAnsi" w:hAnsiTheme="minorHAnsi"/>
          <w:lang w:val="es-ES_tradnl"/>
        </w:rPr>
        <w:t>restauración</w:t>
      </w:r>
      <w:r w:rsidR="005876A0">
        <w:rPr>
          <w:rFonts w:asciiTheme="minorHAnsi" w:hAnsiTheme="minorHAnsi"/>
          <w:lang w:val="es-ES_tradnl"/>
        </w:rPr>
        <w:t xml:space="preserve"> de la tierra y las evaluaciones regionales, previstas para principios </w:t>
      </w:r>
      <w:r w:rsidRPr="0021716D">
        <w:rPr>
          <w:rFonts w:asciiTheme="minorHAnsi" w:hAnsiTheme="minorHAnsi"/>
          <w:lang w:val="es-ES_tradnl"/>
        </w:rPr>
        <w:t xml:space="preserve">de </w:t>
      </w:r>
      <w:r w:rsidR="00CE31CC" w:rsidRPr="0021716D">
        <w:rPr>
          <w:rFonts w:asciiTheme="minorHAnsi" w:hAnsiTheme="minorHAnsi"/>
          <w:lang w:val="es-ES_tradnl"/>
        </w:rPr>
        <w:t>2018,</w:t>
      </w:r>
      <w:r w:rsidR="002A65F4" w:rsidRPr="0021716D">
        <w:rPr>
          <w:rFonts w:asciiTheme="minorHAnsi" w:hAnsiTheme="minorHAnsi"/>
          <w:lang w:val="es-ES_tradnl"/>
        </w:rPr>
        <w:t xml:space="preserve"> </w:t>
      </w:r>
      <w:r w:rsidRPr="0021716D">
        <w:rPr>
          <w:rFonts w:asciiTheme="minorHAnsi" w:hAnsiTheme="minorHAnsi"/>
          <w:lang w:val="es-ES_tradnl"/>
        </w:rPr>
        <w:t xml:space="preserve">antes de la COP13 de Ramsar, serán particularmente </w:t>
      </w:r>
      <w:r w:rsidR="0021716D" w:rsidRPr="0021716D">
        <w:rPr>
          <w:rFonts w:asciiTheme="minorHAnsi" w:hAnsiTheme="minorHAnsi"/>
          <w:lang w:val="es-ES_tradnl"/>
        </w:rPr>
        <w:t>interesantes</w:t>
      </w:r>
      <w:r w:rsidRPr="0021716D">
        <w:rPr>
          <w:rFonts w:asciiTheme="minorHAnsi" w:hAnsiTheme="minorHAnsi"/>
          <w:lang w:val="es-ES_tradnl"/>
        </w:rPr>
        <w:t xml:space="preserve"> para la comunidad de Ramsar. El GECT y la Secretaría han propuesto candidatos expertos para </w:t>
      </w:r>
      <w:r w:rsidR="00302362">
        <w:rPr>
          <w:rFonts w:asciiTheme="minorHAnsi" w:hAnsiTheme="minorHAnsi"/>
          <w:lang w:val="es-ES_tradnl"/>
        </w:rPr>
        <w:t>ser</w:t>
      </w:r>
      <w:r w:rsidRPr="0021716D">
        <w:rPr>
          <w:rFonts w:asciiTheme="minorHAnsi" w:hAnsiTheme="minorHAnsi"/>
          <w:lang w:val="es-ES_tradnl"/>
        </w:rPr>
        <w:t xml:space="preserve"> </w:t>
      </w:r>
      <w:r w:rsidR="00644D00">
        <w:rPr>
          <w:rFonts w:asciiTheme="minorHAnsi" w:hAnsiTheme="minorHAnsi"/>
          <w:lang w:val="es-ES_tradnl"/>
        </w:rPr>
        <w:t>incluidos</w:t>
      </w:r>
      <w:r w:rsidRPr="0021716D">
        <w:rPr>
          <w:rFonts w:asciiTheme="minorHAnsi" w:hAnsiTheme="minorHAnsi"/>
          <w:lang w:val="es-ES_tradnl"/>
        </w:rPr>
        <w:t xml:space="preserve"> en los procesos de la </w:t>
      </w:r>
      <w:r w:rsidR="00CE31CC" w:rsidRPr="0021716D">
        <w:rPr>
          <w:rFonts w:asciiTheme="minorHAnsi" w:hAnsiTheme="minorHAnsi"/>
          <w:lang w:val="es-ES_tradnl"/>
        </w:rPr>
        <w:t>IPBES</w:t>
      </w:r>
      <w:r w:rsidR="00302362">
        <w:rPr>
          <w:rFonts w:asciiTheme="minorHAnsi" w:hAnsiTheme="minorHAnsi"/>
          <w:lang w:val="es-ES_tradnl"/>
        </w:rPr>
        <w:t xml:space="preserve"> y algunos de ellos </w:t>
      </w:r>
      <w:r w:rsidRPr="0021716D">
        <w:rPr>
          <w:rFonts w:asciiTheme="minorHAnsi" w:hAnsiTheme="minorHAnsi"/>
          <w:lang w:val="es-ES_tradnl"/>
        </w:rPr>
        <w:t xml:space="preserve">han sido </w:t>
      </w:r>
      <w:r w:rsidR="00644D00">
        <w:rPr>
          <w:rFonts w:asciiTheme="minorHAnsi" w:hAnsiTheme="minorHAnsi"/>
          <w:lang w:val="es-ES_tradnl"/>
        </w:rPr>
        <w:t>nombrados</w:t>
      </w:r>
      <w:r w:rsidRPr="0021716D">
        <w:rPr>
          <w:rFonts w:asciiTheme="minorHAnsi" w:hAnsiTheme="minorHAnsi"/>
          <w:lang w:val="es-ES_tradnl"/>
        </w:rPr>
        <w:t>.</w:t>
      </w:r>
    </w:p>
    <w:p w14:paraId="7EAA6D08" w14:textId="77777777" w:rsidR="00CE31CC" w:rsidRPr="0021716D" w:rsidRDefault="00CE31CC" w:rsidP="00BA510D">
      <w:pPr>
        <w:autoSpaceDE w:val="0"/>
        <w:autoSpaceDN w:val="0"/>
        <w:adjustRightInd w:val="0"/>
        <w:rPr>
          <w:rFonts w:ascii="Calibri" w:eastAsiaTheme="minorHAnsi" w:hAnsi="Calibri" w:cs="Calibri"/>
          <w:color w:val="000000"/>
          <w:sz w:val="22"/>
          <w:szCs w:val="22"/>
          <w:lang w:val="es-ES_tradnl" w:eastAsia="en-US"/>
        </w:rPr>
      </w:pPr>
    </w:p>
    <w:p w14:paraId="6B25C104" w14:textId="4745D4B3" w:rsidR="00C442D4" w:rsidRPr="0021716D" w:rsidRDefault="00302362" w:rsidP="005522A4">
      <w:pPr>
        <w:autoSpaceDE w:val="0"/>
        <w:autoSpaceDN w:val="0"/>
        <w:adjustRightInd w:val="0"/>
        <w:rPr>
          <w:rFonts w:asciiTheme="minorHAnsi" w:hAnsiTheme="minorHAnsi"/>
          <w:b/>
          <w:bCs/>
          <w:sz w:val="22"/>
          <w:szCs w:val="22"/>
          <w:lang w:val="es-ES_tradnl"/>
        </w:rPr>
      </w:pPr>
      <w:r>
        <w:rPr>
          <w:rFonts w:asciiTheme="minorHAnsi" w:hAnsiTheme="minorHAnsi"/>
          <w:b/>
          <w:bCs/>
          <w:sz w:val="22"/>
          <w:szCs w:val="22"/>
          <w:lang w:val="es-ES_tradnl"/>
        </w:rPr>
        <w:t xml:space="preserve">Medidas </w:t>
      </w:r>
      <w:r w:rsidR="009D31E5" w:rsidRPr="0021716D">
        <w:rPr>
          <w:rFonts w:asciiTheme="minorHAnsi" w:hAnsiTheme="minorHAnsi"/>
          <w:b/>
          <w:bCs/>
          <w:sz w:val="22"/>
          <w:szCs w:val="22"/>
          <w:lang w:val="es-ES_tradnl"/>
        </w:rPr>
        <w:t xml:space="preserve">encaminadas a reforzar la cooperación con el Programa de las Naciones Unidas para el Medio Ambiente y otras </w:t>
      </w:r>
      <w:r w:rsidR="0021716D" w:rsidRPr="0021716D">
        <w:rPr>
          <w:rFonts w:asciiTheme="minorHAnsi" w:hAnsiTheme="minorHAnsi"/>
          <w:b/>
          <w:bCs/>
          <w:sz w:val="22"/>
          <w:szCs w:val="22"/>
          <w:lang w:val="es-ES_tradnl"/>
        </w:rPr>
        <w:t>instituciones</w:t>
      </w:r>
      <w:r w:rsidR="009D31E5" w:rsidRPr="0021716D">
        <w:rPr>
          <w:rFonts w:asciiTheme="minorHAnsi" w:hAnsiTheme="minorHAnsi"/>
          <w:b/>
          <w:bCs/>
          <w:sz w:val="22"/>
          <w:szCs w:val="22"/>
          <w:lang w:val="es-ES_tradnl"/>
        </w:rPr>
        <w:t xml:space="preserve"> internacionales</w:t>
      </w:r>
    </w:p>
    <w:p w14:paraId="226AB310" w14:textId="77777777" w:rsidR="00912820" w:rsidRPr="0021716D" w:rsidRDefault="00912820" w:rsidP="00BA510D">
      <w:pPr>
        <w:autoSpaceDE w:val="0"/>
        <w:autoSpaceDN w:val="0"/>
        <w:adjustRightInd w:val="0"/>
        <w:rPr>
          <w:rFonts w:ascii="Calibri" w:eastAsiaTheme="minorHAnsi" w:hAnsi="Calibri" w:cs="Calibri"/>
          <w:color w:val="000000"/>
          <w:sz w:val="22"/>
          <w:szCs w:val="22"/>
          <w:lang w:val="es-ES_tradnl" w:eastAsia="en-US"/>
        </w:rPr>
      </w:pPr>
    </w:p>
    <w:p w14:paraId="726422FC" w14:textId="2FC09946" w:rsidR="00912820" w:rsidRPr="0021716D" w:rsidRDefault="009D2039"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lang w:val="es-ES_tradnl"/>
        </w:rPr>
      </w:pPr>
      <w:r w:rsidRPr="0021716D">
        <w:rPr>
          <w:rFonts w:ascii="Calibri" w:eastAsiaTheme="minorHAnsi" w:hAnsi="Calibri" w:cs="Calibri"/>
          <w:color w:val="000000"/>
          <w:lang w:val="es-ES_tradnl"/>
        </w:rPr>
        <w:t xml:space="preserve">Según se indica en los informes del Secretario General </w:t>
      </w:r>
      <w:r w:rsidR="0021716D" w:rsidRPr="0021716D">
        <w:rPr>
          <w:rFonts w:ascii="Calibri" w:eastAsiaTheme="minorHAnsi" w:hAnsi="Calibri" w:cs="Calibri"/>
          <w:color w:val="000000"/>
          <w:lang w:val="es-ES_tradnl"/>
        </w:rPr>
        <w:t>sobre</w:t>
      </w:r>
      <w:r w:rsidRPr="0021716D">
        <w:rPr>
          <w:rFonts w:ascii="Calibri" w:eastAsiaTheme="minorHAnsi" w:hAnsi="Calibri" w:cs="Calibri"/>
          <w:color w:val="000000"/>
          <w:lang w:val="es-ES_tradnl"/>
        </w:rPr>
        <w:t xml:space="preserve"> el </w:t>
      </w:r>
      <w:r w:rsidR="00302362">
        <w:rPr>
          <w:rFonts w:ascii="Calibri" w:eastAsiaTheme="minorHAnsi" w:hAnsi="Calibri" w:cs="Calibri"/>
          <w:color w:val="000000"/>
          <w:lang w:val="es-ES_tradnl"/>
        </w:rPr>
        <w:t>pasado</w:t>
      </w:r>
      <w:r w:rsidRPr="0021716D">
        <w:rPr>
          <w:rFonts w:ascii="Calibri" w:eastAsiaTheme="minorHAnsi" w:hAnsi="Calibri" w:cs="Calibri"/>
          <w:color w:val="000000"/>
          <w:lang w:val="es-ES_tradnl"/>
        </w:rPr>
        <w:t xml:space="preserve"> trienio, </w:t>
      </w:r>
      <w:r w:rsidR="00B149E4" w:rsidRPr="0021716D">
        <w:rPr>
          <w:rFonts w:ascii="Calibri" w:eastAsiaTheme="minorHAnsi" w:hAnsi="Calibri" w:cs="Calibri"/>
          <w:color w:val="000000"/>
          <w:lang w:val="es-ES_tradnl"/>
        </w:rPr>
        <w:t>la Secretaría</w:t>
      </w:r>
      <w:r w:rsidR="002A65F4" w:rsidRPr="0021716D">
        <w:rPr>
          <w:rFonts w:ascii="Calibri" w:eastAsiaTheme="minorHAnsi" w:hAnsi="Calibri" w:cs="Calibri"/>
          <w:color w:val="000000"/>
          <w:lang w:val="es-ES_tradnl"/>
        </w:rPr>
        <w:t xml:space="preserve"> </w:t>
      </w:r>
      <w:r w:rsidRPr="0021716D">
        <w:rPr>
          <w:rFonts w:ascii="Calibri" w:eastAsiaTheme="minorHAnsi" w:hAnsi="Calibri" w:cs="Calibri"/>
          <w:color w:val="000000"/>
          <w:lang w:val="es-ES_tradnl"/>
        </w:rPr>
        <w:t>sigue trabajando p</w:t>
      </w:r>
      <w:r w:rsidR="00302362">
        <w:rPr>
          <w:rFonts w:ascii="Calibri" w:eastAsiaTheme="minorHAnsi" w:hAnsi="Calibri" w:cs="Calibri"/>
          <w:color w:val="000000"/>
          <w:lang w:val="es-ES_tradnl"/>
        </w:rPr>
        <w:t xml:space="preserve">ara reforzar la colaboración </w:t>
      </w:r>
      <w:r w:rsidRPr="0021716D">
        <w:rPr>
          <w:rFonts w:ascii="Calibri" w:eastAsiaTheme="minorHAnsi" w:hAnsi="Calibri" w:cs="Calibri"/>
          <w:color w:val="000000"/>
          <w:lang w:val="es-ES_tradnl"/>
        </w:rPr>
        <w:t xml:space="preserve">con el PNUD, la UNESCO, la CEPE, el Banco Mundial, la OMS, la OMM y </w:t>
      </w:r>
      <w:r w:rsidRPr="00302362">
        <w:rPr>
          <w:rFonts w:ascii="Calibri" w:eastAsiaTheme="minorHAnsi" w:hAnsi="Calibri" w:cs="Calibri"/>
          <w:lang w:val="es-ES_tradnl"/>
        </w:rPr>
        <w:t>otros</w:t>
      </w:r>
      <w:r w:rsidRPr="0021716D">
        <w:rPr>
          <w:rFonts w:ascii="Calibri" w:eastAsiaTheme="minorHAnsi" w:hAnsi="Calibri" w:cs="Calibri"/>
          <w:color w:val="000000"/>
          <w:lang w:val="es-ES_tradnl"/>
        </w:rPr>
        <w:t>.</w:t>
      </w:r>
    </w:p>
    <w:p w14:paraId="069F03E7" w14:textId="77777777" w:rsidR="00C863DD" w:rsidRPr="0021716D" w:rsidRDefault="00C863DD" w:rsidP="00FA633D">
      <w:pPr>
        <w:autoSpaceDE w:val="0"/>
        <w:autoSpaceDN w:val="0"/>
        <w:adjustRightInd w:val="0"/>
        <w:rPr>
          <w:rFonts w:ascii="Calibri" w:hAnsi="Calibri"/>
          <w:color w:val="000000"/>
          <w:sz w:val="22"/>
          <w:lang w:val="es-ES_tradnl"/>
        </w:rPr>
      </w:pPr>
    </w:p>
    <w:p w14:paraId="1D656D31" w14:textId="74935725" w:rsidR="00C863DD" w:rsidRPr="0021716D" w:rsidRDefault="00B03A42" w:rsidP="005522A4">
      <w:pPr>
        <w:pStyle w:val="ListParagraph"/>
        <w:numPr>
          <w:ilvl w:val="0"/>
          <w:numId w:val="19"/>
        </w:numPr>
        <w:autoSpaceDE w:val="0"/>
        <w:autoSpaceDN w:val="0"/>
        <w:adjustRightInd w:val="0"/>
        <w:ind w:left="426" w:hanging="426"/>
        <w:jc w:val="left"/>
        <w:rPr>
          <w:rFonts w:ascii="Calibri" w:hAnsi="Calibri"/>
          <w:color w:val="000000"/>
          <w:lang w:val="es-ES_tradnl"/>
        </w:rPr>
      </w:pPr>
      <w:r w:rsidRPr="0021716D">
        <w:rPr>
          <w:rFonts w:ascii="Calibri" w:hAnsi="Calibri"/>
          <w:color w:val="000000"/>
          <w:lang w:val="es-ES_tradnl"/>
        </w:rPr>
        <w:t xml:space="preserve">El memorando de entendimiento con el PNUMA se encuentra en las últimas etapas </w:t>
      </w:r>
      <w:r w:rsidR="00302362">
        <w:rPr>
          <w:rFonts w:ascii="Calibri" w:hAnsi="Calibri"/>
          <w:color w:val="000000"/>
          <w:lang w:val="es-ES_tradnl"/>
        </w:rPr>
        <w:t>previas a</w:t>
      </w:r>
      <w:r w:rsidRPr="0021716D">
        <w:rPr>
          <w:rFonts w:ascii="Calibri" w:hAnsi="Calibri"/>
          <w:color w:val="000000"/>
          <w:lang w:val="es-ES_tradnl"/>
        </w:rPr>
        <w:t xml:space="preserve"> su firma </w:t>
      </w:r>
      <w:r w:rsidR="00302362">
        <w:rPr>
          <w:rFonts w:ascii="Calibri" w:hAnsi="Calibri"/>
          <w:color w:val="000000"/>
          <w:lang w:val="es-ES_tradnl"/>
        </w:rPr>
        <w:t>y se compartirá con el E</w:t>
      </w:r>
      <w:r w:rsidRPr="0021716D">
        <w:rPr>
          <w:rFonts w:ascii="Calibri" w:hAnsi="Calibri"/>
          <w:color w:val="000000"/>
          <w:lang w:val="es-ES_tradnl"/>
        </w:rPr>
        <w:t xml:space="preserve">quipo Ejecutivo del </w:t>
      </w:r>
      <w:r w:rsidR="00B149E4" w:rsidRPr="0021716D">
        <w:rPr>
          <w:rFonts w:ascii="Calibri" w:hAnsi="Calibri"/>
          <w:color w:val="000000"/>
          <w:lang w:val="es-ES_tradnl"/>
        </w:rPr>
        <w:t>Comité Permanente</w:t>
      </w:r>
      <w:r w:rsidR="002A65F4" w:rsidRPr="0021716D">
        <w:rPr>
          <w:rFonts w:ascii="Calibri" w:hAnsi="Calibri"/>
          <w:color w:val="000000"/>
          <w:lang w:val="es-ES_tradnl"/>
        </w:rPr>
        <w:t xml:space="preserve"> </w:t>
      </w:r>
      <w:r w:rsidR="003148C8" w:rsidRPr="0021716D">
        <w:rPr>
          <w:rFonts w:ascii="Calibri" w:hAnsi="Calibri"/>
          <w:color w:val="000000"/>
          <w:lang w:val="es-ES_tradnl"/>
        </w:rPr>
        <w:t xml:space="preserve">para </w:t>
      </w:r>
      <w:r w:rsidR="00302362">
        <w:rPr>
          <w:rFonts w:ascii="Calibri" w:hAnsi="Calibri"/>
          <w:color w:val="000000"/>
          <w:lang w:val="es-ES_tradnl"/>
        </w:rPr>
        <w:t xml:space="preserve">examinarlo y </w:t>
      </w:r>
      <w:r w:rsidR="003148C8" w:rsidRPr="0021716D">
        <w:rPr>
          <w:rFonts w:ascii="Calibri" w:hAnsi="Calibri"/>
          <w:color w:val="000000"/>
          <w:lang w:val="es-ES_tradnl"/>
        </w:rPr>
        <w:t>determin</w:t>
      </w:r>
      <w:r w:rsidR="00302362">
        <w:rPr>
          <w:rFonts w:ascii="Calibri" w:hAnsi="Calibri"/>
          <w:color w:val="000000"/>
          <w:lang w:val="es-ES_tradnl"/>
        </w:rPr>
        <w:t>ar los próximos pasos a seguir</w:t>
      </w:r>
      <w:r w:rsidR="003148C8" w:rsidRPr="0021716D">
        <w:rPr>
          <w:rFonts w:ascii="Calibri" w:hAnsi="Calibri"/>
          <w:color w:val="000000"/>
          <w:lang w:val="es-ES_tradnl"/>
        </w:rPr>
        <w:t>.</w:t>
      </w:r>
    </w:p>
    <w:p w14:paraId="571AB416" w14:textId="77777777" w:rsidR="00376DDC" w:rsidRPr="0021716D" w:rsidRDefault="00376DDC" w:rsidP="005522A4">
      <w:pPr>
        <w:autoSpaceDE w:val="0"/>
        <w:autoSpaceDN w:val="0"/>
        <w:adjustRightInd w:val="0"/>
        <w:ind w:left="426" w:hanging="426"/>
        <w:rPr>
          <w:rFonts w:asciiTheme="minorHAnsi" w:hAnsiTheme="minorHAnsi"/>
          <w:sz w:val="22"/>
          <w:szCs w:val="22"/>
          <w:lang w:val="es-ES_tradnl"/>
        </w:rPr>
      </w:pPr>
    </w:p>
    <w:p w14:paraId="367B8E2E" w14:textId="6F80E43D" w:rsidR="00376DDC" w:rsidRPr="0021716D" w:rsidRDefault="00826A02" w:rsidP="005522A4">
      <w:pPr>
        <w:pStyle w:val="Footer"/>
        <w:numPr>
          <w:ilvl w:val="0"/>
          <w:numId w:val="19"/>
        </w:numPr>
        <w:tabs>
          <w:tab w:val="clear" w:pos="4680"/>
          <w:tab w:val="clear" w:pos="9360"/>
        </w:tabs>
        <w:ind w:left="426" w:hanging="426"/>
        <w:rPr>
          <w:rFonts w:asciiTheme="minorHAnsi" w:hAnsiTheme="minorHAnsi" w:cs="Calibri"/>
          <w:sz w:val="22"/>
          <w:szCs w:val="22"/>
          <w:lang w:val="es-ES_tradnl"/>
        </w:rPr>
      </w:pPr>
      <w:r>
        <w:rPr>
          <w:rFonts w:asciiTheme="minorHAnsi" w:hAnsiTheme="minorHAnsi" w:cs="Calibri"/>
          <w:sz w:val="22"/>
          <w:szCs w:val="22"/>
          <w:lang w:val="es-ES_tradnl"/>
        </w:rPr>
        <w:t>UNEP-</w:t>
      </w:r>
      <w:r w:rsidR="00376DDC" w:rsidRPr="00826A02">
        <w:rPr>
          <w:rFonts w:asciiTheme="minorHAnsi" w:hAnsiTheme="minorHAnsi" w:cs="Calibri"/>
          <w:sz w:val="22"/>
          <w:szCs w:val="22"/>
          <w:lang w:val="es-ES_tradnl"/>
        </w:rPr>
        <w:t>GRID</w:t>
      </w:r>
      <w:r>
        <w:rPr>
          <w:rFonts w:asciiTheme="minorHAnsi" w:hAnsiTheme="minorHAnsi" w:cs="Calibri"/>
          <w:sz w:val="22"/>
          <w:szCs w:val="22"/>
          <w:lang w:val="es-ES_tradnl"/>
        </w:rPr>
        <w:t xml:space="preserve"> ha preparado </w:t>
      </w:r>
      <w:r w:rsidR="003148C8" w:rsidRPr="0021716D">
        <w:rPr>
          <w:rFonts w:asciiTheme="minorHAnsi" w:hAnsiTheme="minorHAnsi" w:cs="Calibri"/>
          <w:sz w:val="22"/>
          <w:szCs w:val="22"/>
          <w:lang w:val="es-ES_tradnl"/>
        </w:rPr>
        <w:t xml:space="preserve">con éxito nuestro nuevo Servicio de Información sobre Sitios Ramsar (SISR) </w:t>
      </w:r>
      <w:r>
        <w:rPr>
          <w:rFonts w:asciiTheme="minorHAnsi" w:hAnsiTheme="minorHAnsi" w:cs="Calibri"/>
          <w:sz w:val="22"/>
          <w:szCs w:val="22"/>
          <w:lang w:val="es-ES_tradnl"/>
        </w:rPr>
        <w:t>e</w:t>
      </w:r>
      <w:r w:rsidR="003148C8" w:rsidRPr="0021716D">
        <w:rPr>
          <w:rFonts w:asciiTheme="minorHAnsi" w:hAnsiTheme="minorHAnsi" w:cs="Calibri"/>
          <w:sz w:val="22"/>
          <w:szCs w:val="22"/>
          <w:lang w:val="es-ES_tradnl"/>
        </w:rPr>
        <w:t xml:space="preserve">n estrecha colaboración y seguiremos </w:t>
      </w:r>
      <w:r>
        <w:rPr>
          <w:rFonts w:asciiTheme="minorHAnsi" w:hAnsiTheme="minorHAnsi" w:cs="Calibri"/>
          <w:sz w:val="22"/>
          <w:szCs w:val="22"/>
          <w:lang w:val="es-ES_tradnl"/>
        </w:rPr>
        <w:t>trabajando con ellos</w:t>
      </w:r>
      <w:r w:rsidR="003148C8" w:rsidRPr="0021716D">
        <w:rPr>
          <w:rFonts w:asciiTheme="minorHAnsi" w:hAnsiTheme="minorHAnsi" w:cs="Calibri"/>
          <w:sz w:val="22"/>
          <w:szCs w:val="22"/>
          <w:lang w:val="es-ES_tradnl"/>
        </w:rPr>
        <w:t xml:space="preserve"> para </w:t>
      </w:r>
      <w:r w:rsidR="0021716D" w:rsidRPr="0021716D">
        <w:rPr>
          <w:rFonts w:asciiTheme="minorHAnsi" w:hAnsiTheme="minorHAnsi" w:cs="Calibri"/>
          <w:sz w:val="22"/>
          <w:szCs w:val="22"/>
          <w:lang w:val="es-ES_tradnl"/>
        </w:rPr>
        <w:t>perfeccionarlo</w:t>
      </w:r>
      <w:r w:rsidR="003148C8" w:rsidRPr="0021716D">
        <w:rPr>
          <w:rFonts w:asciiTheme="minorHAnsi" w:hAnsiTheme="minorHAnsi" w:cs="Calibri"/>
          <w:sz w:val="22"/>
          <w:szCs w:val="22"/>
          <w:lang w:val="es-ES_tradnl"/>
        </w:rPr>
        <w:t xml:space="preserve">. El PNUMA-CMVC ha </w:t>
      </w:r>
      <w:r>
        <w:rPr>
          <w:rFonts w:asciiTheme="minorHAnsi" w:hAnsiTheme="minorHAnsi" w:cs="Calibri"/>
          <w:sz w:val="22"/>
          <w:szCs w:val="22"/>
          <w:lang w:val="es-ES_tradnl"/>
        </w:rPr>
        <w:t xml:space="preserve">desempeñado un papel decisivo </w:t>
      </w:r>
      <w:r w:rsidR="003148C8" w:rsidRPr="0021716D">
        <w:rPr>
          <w:rFonts w:asciiTheme="minorHAnsi" w:hAnsiTheme="minorHAnsi" w:cs="Calibri"/>
          <w:sz w:val="22"/>
          <w:szCs w:val="22"/>
          <w:lang w:val="es-ES_tradnl"/>
        </w:rPr>
        <w:t xml:space="preserve">a la hora de </w:t>
      </w:r>
      <w:r>
        <w:rPr>
          <w:rFonts w:asciiTheme="minorHAnsi" w:hAnsiTheme="minorHAnsi" w:cs="Calibri"/>
          <w:sz w:val="22"/>
          <w:szCs w:val="22"/>
          <w:lang w:val="es-ES_tradnl"/>
        </w:rPr>
        <w:t>ofrecer</w:t>
      </w:r>
      <w:r w:rsidR="003148C8" w:rsidRPr="0021716D">
        <w:rPr>
          <w:rFonts w:asciiTheme="minorHAnsi" w:hAnsiTheme="minorHAnsi" w:cs="Calibri"/>
          <w:sz w:val="22"/>
          <w:szCs w:val="22"/>
          <w:lang w:val="es-ES_tradnl"/>
        </w:rPr>
        <w:t xml:space="preserve"> a</w:t>
      </w:r>
      <w:r>
        <w:rPr>
          <w:rFonts w:asciiTheme="minorHAnsi" w:hAnsiTheme="minorHAnsi" w:cs="Calibri"/>
          <w:sz w:val="22"/>
          <w:szCs w:val="22"/>
          <w:lang w:val="es-ES_tradnl"/>
        </w:rPr>
        <w:t xml:space="preserve"> </w:t>
      </w:r>
      <w:r w:rsidR="003148C8" w:rsidRPr="0021716D">
        <w:rPr>
          <w:rFonts w:asciiTheme="minorHAnsi" w:hAnsiTheme="minorHAnsi" w:cs="Calibri"/>
          <w:sz w:val="22"/>
          <w:szCs w:val="22"/>
          <w:lang w:val="es-ES_tradnl"/>
        </w:rPr>
        <w:t xml:space="preserve">Ramsar </w:t>
      </w:r>
      <w:r>
        <w:rPr>
          <w:rFonts w:asciiTheme="minorHAnsi" w:hAnsiTheme="minorHAnsi" w:cs="Calibri"/>
          <w:sz w:val="22"/>
          <w:szCs w:val="22"/>
          <w:lang w:val="es-ES_tradnl"/>
        </w:rPr>
        <w:t xml:space="preserve">la posibilidad de preparar </w:t>
      </w:r>
      <w:r w:rsidR="003148C8" w:rsidRPr="0021716D">
        <w:rPr>
          <w:rFonts w:asciiTheme="minorHAnsi" w:hAnsiTheme="minorHAnsi" w:cs="Calibri"/>
          <w:sz w:val="22"/>
          <w:szCs w:val="22"/>
          <w:lang w:val="es-ES_tradnl"/>
        </w:rPr>
        <w:t xml:space="preserve">los metadatos y la nota estadística para el seguimiento de la Meta </w:t>
      </w:r>
      <w:r w:rsidR="00C92309" w:rsidRPr="0021716D">
        <w:rPr>
          <w:rFonts w:asciiTheme="minorHAnsi" w:hAnsiTheme="minorHAnsi" w:cs="Calibri"/>
          <w:sz w:val="22"/>
          <w:szCs w:val="22"/>
          <w:lang w:val="es-ES_tradnl"/>
        </w:rPr>
        <w:t>6.6</w:t>
      </w:r>
      <w:r w:rsidR="002A65F4" w:rsidRPr="0021716D">
        <w:rPr>
          <w:rFonts w:asciiTheme="minorHAnsi" w:hAnsiTheme="minorHAnsi" w:cs="Calibri"/>
          <w:sz w:val="22"/>
          <w:szCs w:val="22"/>
          <w:lang w:val="es-ES_tradnl"/>
        </w:rPr>
        <w:t xml:space="preserve"> </w:t>
      </w:r>
      <w:r w:rsidR="003148C8" w:rsidRPr="0021716D">
        <w:rPr>
          <w:rFonts w:asciiTheme="minorHAnsi" w:hAnsiTheme="minorHAnsi" w:cs="Calibri"/>
          <w:sz w:val="22"/>
          <w:szCs w:val="22"/>
          <w:lang w:val="es-ES_tradnl"/>
        </w:rPr>
        <w:t xml:space="preserve">de los </w:t>
      </w:r>
      <w:r>
        <w:rPr>
          <w:rFonts w:asciiTheme="minorHAnsi" w:hAnsiTheme="minorHAnsi" w:cs="Calibri"/>
          <w:sz w:val="22"/>
          <w:szCs w:val="22"/>
          <w:lang w:val="es-ES_tradnl"/>
        </w:rPr>
        <w:t>Objetivos de Desarrollo Sostenible (</w:t>
      </w:r>
      <w:r w:rsidR="003148C8" w:rsidRPr="0021716D">
        <w:rPr>
          <w:rFonts w:asciiTheme="minorHAnsi" w:hAnsiTheme="minorHAnsi" w:cs="Calibri"/>
          <w:sz w:val="22"/>
          <w:szCs w:val="22"/>
          <w:lang w:val="es-ES_tradnl"/>
        </w:rPr>
        <w:t>ODS</w:t>
      </w:r>
      <w:r>
        <w:rPr>
          <w:rFonts w:asciiTheme="minorHAnsi" w:hAnsiTheme="minorHAnsi" w:cs="Calibri"/>
          <w:sz w:val="22"/>
          <w:szCs w:val="22"/>
          <w:lang w:val="es-ES_tradnl"/>
        </w:rPr>
        <w:t>)</w:t>
      </w:r>
      <w:r w:rsidR="003148C8" w:rsidRPr="0021716D">
        <w:rPr>
          <w:rFonts w:asciiTheme="minorHAnsi" w:hAnsiTheme="minorHAnsi" w:cs="Calibri"/>
          <w:sz w:val="22"/>
          <w:szCs w:val="22"/>
          <w:lang w:val="es-ES_tradnl"/>
        </w:rPr>
        <w:t xml:space="preserve">. Unas relaciones más estrechas con el PNUMA-CMVC y </w:t>
      </w:r>
      <w:r>
        <w:rPr>
          <w:rFonts w:asciiTheme="minorHAnsi" w:hAnsiTheme="minorHAnsi" w:cs="Calibri"/>
          <w:sz w:val="22"/>
          <w:szCs w:val="22"/>
          <w:lang w:val="es-ES_tradnl"/>
        </w:rPr>
        <w:t xml:space="preserve">con </w:t>
      </w:r>
      <w:r w:rsidR="003148C8" w:rsidRPr="0021716D">
        <w:rPr>
          <w:rFonts w:asciiTheme="minorHAnsi" w:hAnsiTheme="minorHAnsi" w:cs="Calibri"/>
          <w:sz w:val="22"/>
          <w:szCs w:val="22"/>
          <w:lang w:val="es-ES_tradnl"/>
        </w:rPr>
        <w:t xml:space="preserve">el PNUMA en Nairobi nos permitirán estudiar mejor las necesidades </w:t>
      </w:r>
      <w:r>
        <w:rPr>
          <w:rFonts w:asciiTheme="minorHAnsi" w:hAnsiTheme="minorHAnsi" w:cs="Calibri"/>
          <w:sz w:val="22"/>
          <w:szCs w:val="22"/>
          <w:lang w:val="es-ES_tradnl"/>
        </w:rPr>
        <w:t xml:space="preserve">que tiene </w:t>
      </w:r>
      <w:r w:rsidR="003148C8" w:rsidRPr="0021716D">
        <w:rPr>
          <w:rFonts w:asciiTheme="minorHAnsi" w:hAnsiTheme="minorHAnsi" w:cs="Calibri"/>
          <w:sz w:val="22"/>
          <w:szCs w:val="22"/>
          <w:lang w:val="es-ES_tradnl"/>
        </w:rPr>
        <w:t xml:space="preserve">Ramsar de </w:t>
      </w:r>
      <w:r>
        <w:rPr>
          <w:rFonts w:asciiTheme="minorHAnsi" w:hAnsiTheme="minorHAnsi" w:cs="Calibri"/>
          <w:sz w:val="22"/>
          <w:szCs w:val="22"/>
          <w:lang w:val="es-ES_tradnl"/>
        </w:rPr>
        <w:t xml:space="preserve">macrodatos y de análisis de datos obtenidos por satélite sobre el </w:t>
      </w:r>
      <w:r w:rsidR="003148C8" w:rsidRPr="0021716D">
        <w:rPr>
          <w:rFonts w:asciiTheme="minorHAnsi" w:hAnsiTheme="minorHAnsi" w:cs="Calibri"/>
          <w:sz w:val="22"/>
          <w:szCs w:val="22"/>
          <w:lang w:val="es-ES_tradnl"/>
        </w:rPr>
        <w:t>estado de los humedales (incluidos los sit</w:t>
      </w:r>
      <w:r>
        <w:rPr>
          <w:rFonts w:asciiTheme="minorHAnsi" w:hAnsiTheme="minorHAnsi" w:cs="Calibri"/>
          <w:sz w:val="22"/>
          <w:szCs w:val="22"/>
          <w:lang w:val="es-ES_tradnl"/>
        </w:rPr>
        <w:t xml:space="preserve">ios Ramsar) y servirán para preparar el Modelo de Informe Nacional </w:t>
      </w:r>
      <w:r w:rsidR="003148C8" w:rsidRPr="0021716D">
        <w:rPr>
          <w:rFonts w:asciiTheme="minorHAnsi" w:hAnsiTheme="minorHAnsi" w:cs="Calibri"/>
          <w:sz w:val="22"/>
          <w:szCs w:val="22"/>
          <w:lang w:val="es-ES_tradnl"/>
        </w:rPr>
        <w:t>para la</w:t>
      </w:r>
      <w:r w:rsidR="002A65F4" w:rsidRPr="0021716D">
        <w:rPr>
          <w:rFonts w:asciiTheme="minorHAnsi" w:hAnsiTheme="minorHAnsi" w:cs="Calibri"/>
          <w:sz w:val="22"/>
          <w:szCs w:val="22"/>
          <w:lang w:val="es-ES_tradnl"/>
        </w:rPr>
        <w:t xml:space="preserve"> </w:t>
      </w:r>
      <w:r w:rsidR="00376DDC" w:rsidRPr="0021716D">
        <w:rPr>
          <w:rFonts w:asciiTheme="minorHAnsi" w:hAnsiTheme="minorHAnsi" w:cs="Calibri"/>
          <w:sz w:val="22"/>
          <w:szCs w:val="22"/>
          <w:lang w:val="es-ES_tradnl"/>
        </w:rPr>
        <w:t>COP13.</w:t>
      </w:r>
      <w:r w:rsidR="003148C8" w:rsidRPr="0021716D">
        <w:rPr>
          <w:rFonts w:asciiTheme="minorHAnsi" w:hAnsiTheme="minorHAnsi" w:cs="Calibri"/>
          <w:sz w:val="22"/>
          <w:szCs w:val="22"/>
          <w:lang w:val="es-ES_tradnl"/>
        </w:rPr>
        <w:t xml:space="preserve"> Por último, en julio de </w:t>
      </w:r>
      <w:r w:rsidR="00C92309" w:rsidRPr="0021716D">
        <w:rPr>
          <w:rFonts w:asciiTheme="minorHAnsi" w:hAnsiTheme="minorHAnsi" w:cs="Calibri"/>
          <w:sz w:val="22"/>
          <w:szCs w:val="22"/>
          <w:lang w:val="es-ES_tradnl"/>
        </w:rPr>
        <w:t>2015</w:t>
      </w:r>
      <w:r w:rsidR="00685DA0" w:rsidRPr="0021716D">
        <w:rPr>
          <w:rFonts w:asciiTheme="minorHAnsi" w:hAnsiTheme="minorHAnsi" w:cs="Calibri"/>
          <w:sz w:val="22"/>
          <w:szCs w:val="22"/>
          <w:lang w:val="es-ES_tradnl"/>
        </w:rPr>
        <w:t>,</w:t>
      </w:r>
      <w:r w:rsidR="002A65F4" w:rsidRPr="0021716D">
        <w:rPr>
          <w:rFonts w:asciiTheme="minorHAnsi" w:hAnsiTheme="minorHAnsi" w:cs="Calibri"/>
          <w:sz w:val="22"/>
          <w:szCs w:val="22"/>
          <w:lang w:val="es-ES_tradnl"/>
        </w:rPr>
        <w:t xml:space="preserve"> </w:t>
      </w:r>
      <w:r w:rsidR="003148C8" w:rsidRPr="0021716D">
        <w:rPr>
          <w:rFonts w:asciiTheme="minorHAnsi" w:hAnsiTheme="minorHAnsi" w:cs="Calibri"/>
          <w:sz w:val="22"/>
          <w:szCs w:val="22"/>
          <w:lang w:val="es-ES_tradnl"/>
        </w:rPr>
        <w:t xml:space="preserve">Ramsar </w:t>
      </w:r>
      <w:r>
        <w:rPr>
          <w:rFonts w:asciiTheme="minorHAnsi" w:hAnsiTheme="minorHAnsi" w:cs="Calibri"/>
          <w:sz w:val="22"/>
          <w:szCs w:val="22"/>
          <w:lang w:val="es-ES_tradnl"/>
        </w:rPr>
        <w:t>envió</w:t>
      </w:r>
      <w:r w:rsidR="003148C8" w:rsidRPr="0021716D">
        <w:rPr>
          <w:rFonts w:asciiTheme="minorHAnsi" w:hAnsiTheme="minorHAnsi" w:cs="Calibri"/>
          <w:sz w:val="22"/>
          <w:szCs w:val="22"/>
          <w:lang w:val="es-ES_tradnl"/>
        </w:rPr>
        <w:t xml:space="preserve"> una carta de </w:t>
      </w:r>
      <w:r w:rsidR="0021716D" w:rsidRPr="00826A02">
        <w:rPr>
          <w:rFonts w:asciiTheme="minorHAnsi" w:hAnsiTheme="minorHAnsi" w:cs="Calibri"/>
          <w:sz w:val="22"/>
          <w:szCs w:val="22"/>
          <w:lang w:val="es-ES_tradnl"/>
        </w:rPr>
        <w:t>apoyo a</w:t>
      </w:r>
      <w:r w:rsidR="003148C8" w:rsidRPr="00826A02">
        <w:rPr>
          <w:rFonts w:asciiTheme="minorHAnsi" w:hAnsiTheme="minorHAnsi" w:cs="Calibri"/>
          <w:sz w:val="22"/>
          <w:szCs w:val="22"/>
          <w:lang w:val="es-ES_tradnl"/>
        </w:rPr>
        <w:t xml:space="preserve"> </w:t>
      </w:r>
      <w:r w:rsidR="00C92309" w:rsidRPr="00826A02">
        <w:rPr>
          <w:rFonts w:asciiTheme="minorHAnsi" w:hAnsiTheme="minorHAnsi" w:cs="Calibri"/>
          <w:sz w:val="22"/>
          <w:szCs w:val="22"/>
          <w:lang w:val="es-ES_tradnl"/>
        </w:rPr>
        <w:t>UNEP-DHI</w:t>
      </w:r>
      <w:r w:rsidR="002A65F4" w:rsidRPr="0021716D">
        <w:rPr>
          <w:rFonts w:asciiTheme="minorHAnsi" w:hAnsiTheme="minorHAnsi" w:cs="Calibri"/>
          <w:sz w:val="22"/>
          <w:szCs w:val="22"/>
          <w:lang w:val="es-ES_tradnl"/>
        </w:rPr>
        <w:t xml:space="preserve"> </w:t>
      </w:r>
      <w:r w:rsidR="003148C8" w:rsidRPr="0021716D">
        <w:rPr>
          <w:rFonts w:asciiTheme="minorHAnsi" w:hAnsiTheme="minorHAnsi" w:cs="Calibri"/>
          <w:sz w:val="22"/>
          <w:szCs w:val="22"/>
          <w:lang w:val="es-ES_tradnl"/>
        </w:rPr>
        <w:t xml:space="preserve">para la </w:t>
      </w:r>
      <w:r w:rsidR="003148C8" w:rsidRPr="0021716D">
        <w:rPr>
          <w:rFonts w:asciiTheme="minorHAnsi" w:hAnsiTheme="minorHAnsi" w:cs="Calibri"/>
          <w:sz w:val="22"/>
          <w:szCs w:val="22"/>
          <w:lang w:val="es-ES_tradnl"/>
        </w:rPr>
        <w:lastRenderedPageBreak/>
        <w:t xml:space="preserve">siguiente fase del </w:t>
      </w:r>
      <w:r w:rsidR="005459B2">
        <w:rPr>
          <w:rFonts w:asciiTheme="minorHAnsi" w:hAnsiTheme="minorHAnsi" w:cs="Calibri"/>
          <w:sz w:val="22"/>
          <w:szCs w:val="22"/>
          <w:lang w:val="es-ES_tradnl"/>
        </w:rPr>
        <w:t xml:space="preserve">Programa de Evaluación de las Aguas Transfronterizas </w:t>
      </w:r>
      <w:r w:rsidR="003148C8" w:rsidRPr="0021716D">
        <w:rPr>
          <w:rFonts w:asciiTheme="minorHAnsi" w:hAnsiTheme="minorHAnsi" w:cs="Calibri"/>
          <w:sz w:val="22"/>
          <w:szCs w:val="22"/>
          <w:lang w:val="es-ES_tradnl"/>
        </w:rPr>
        <w:t xml:space="preserve">e </w:t>
      </w:r>
      <w:r w:rsidR="0021716D" w:rsidRPr="0021716D">
        <w:rPr>
          <w:rFonts w:asciiTheme="minorHAnsi" w:hAnsiTheme="minorHAnsi" w:cs="Calibri"/>
          <w:sz w:val="22"/>
          <w:szCs w:val="22"/>
          <w:lang w:val="es-ES_tradnl"/>
        </w:rPr>
        <w:t>intercambiará</w:t>
      </w:r>
      <w:r w:rsidR="005459B2">
        <w:rPr>
          <w:rFonts w:asciiTheme="minorHAnsi" w:hAnsiTheme="minorHAnsi" w:cs="Calibri"/>
          <w:sz w:val="22"/>
          <w:szCs w:val="22"/>
          <w:lang w:val="es-ES_tradnl"/>
        </w:rPr>
        <w:t xml:space="preserve"> información con este </w:t>
      </w:r>
      <w:r w:rsidR="003148C8" w:rsidRPr="0021716D">
        <w:rPr>
          <w:rFonts w:asciiTheme="minorHAnsi" w:hAnsiTheme="minorHAnsi" w:cs="Calibri"/>
          <w:sz w:val="22"/>
          <w:szCs w:val="22"/>
          <w:lang w:val="es-ES_tradnl"/>
        </w:rPr>
        <w:t xml:space="preserve">programa sobre los </w:t>
      </w:r>
      <w:r w:rsidR="0021716D" w:rsidRPr="0021716D">
        <w:rPr>
          <w:rFonts w:asciiTheme="minorHAnsi" w:hAnsiTheme="minorHAnsi" w:cs="Calibri"/>
          <w:sz w:val="22"/>
          <w:szCs w:val="22"/>
          <w:lang w:val="es-ES_tradnl"/>
        </w:rPr>
        <w:t>humedales</w:t>
      </w:r>
      <w:r w:rsidR="003148C8" w:rsidRPr="0021716D">
        <w:rPr>
          <w:rFonts w:asciiTheme="minorHAnsi" w:hAnsiTheme="minorHAnsi" w:cs="Calibri"/>
          <w:sz w:val="22"/>
          <w:szCs w:val="22"/>
          <w:lang w:val="es-ES_tradnl"/>
        </w:rPr>
        <w:t xml:space="preserve"> </w:t>
      </w:r>
      <w:r w:rsidR="0021716D" w:rsidRPr="0021716D">
        <w:rPr>
          <w:rFonts w:asciiTheme="minorHAnsi" w:hAnsiTheme="minorHAnsi" w:cs="Calibri"/>
          <w:sz w:val="22"/>
          <w:szCs w:val="22"/>
          <w:lang w:val="es-ES_tradnl"/>
        </w:rPr>
        <w:t>transfronterizos</w:t>
      </w:r>
      <w:r w:rsidR="003148C8" w:rsidRPr="0021716D">
        <w:rPr>
          <w:rFonts w:asciiTheme="minorHAnsi" w:hAnsiTheme="minorHAnsi" w:cs="Calibri"/>
          <w:sz w:val="22"/>
          <w:szCs w:val="22"/>
          <w:lang w:val="es-ES_tradnl"/>
        </w:rPr>
        <w:t>.</w:t>
      </w:r>
    </w:p>
    <w:p w14:paraId="3D0A3A8D" w14:textId="77777777" w:rsidR="00C863DD" w:rsidRPr="0021716D" w:rsidRDefault="00C863DD" w:rsidP="00BA510D">
      <w:pPr>
        <w:autoSpaceDE w:val="0"/>
        <w:autoSpaceDN w:val="0"/>
        <w:adjustRightInd w:val="0"/>
        <w:rPr>
          <w:rFonts w:ascii="Calibri" w:eastAsiaTheme="minorHAnsi" w:hAnsi="Calibri" w:cs="Calibri"/>
          <w:color w:val="000000"/>
          <w:lang w:val="es-ES_tradnl" w:eastAsia="en-US"/>
        </w:rPr>
      </w:pPr>
    </w:p>
    <w:p w14:paraId="4C7503C5" w14:textId="754CCD66" w:rsidR="00912820" w:rsidRPr="0021716D" w:rsidRDefault="00912820" w:rsidP="005522A4">
      <w:pPr>
        <w:autoSpaceDE w:val="0"/>
        <w:autoSpaceDN w:val="0"/>
        <w:adjustRightInd w:val="0"/>
        <w:ind w:left="426" w:hanging="426"/>
        <w:rPr>
          <w:rFonts w:ascii="Calibri" w:eastAsiaTheme="minorHAnsi" w:hAnsi="Calibri" w:cs="Calibri"/>
          <w:b/>
          <w:color w:val="000000"/>
          <w:sz w:val="22"/>
          <w:szCs w:val="22"/>
          <w:lang w:val="es-ES_tradnl" w:eastAsia="en-US"/>
        </w:rPr>
      </w:pPr>
      <w:r w:rsidRPr="0021716D">
        <w:rPr>
          <w:rFonts w:ascii="Calibri" w:eastAsiaTheme="minorHAnsi" w:hAnsi="Calibri" w:cs="Calibri"/>
          <w:b/>
          <w:color w:val="000000"/>
          <w:sz w:val="22"/>
          <w:szCs w:val="22"/>
          <w:lang w:val="es-ES_tradnl" w:eastAsia="en-US"/>
        </w:rPr>
        <w:t>Col</w:t>
      </w:r>
      <w:r w:rsidR="003148C8" w:rsidRPr="0021716D">
        <w:rPr>
          <w:rFonts w:ascii="Calibri" w:eastAsiaTheme="minorHAnsi" w:hAnsi="Calibri" w:cs="Calibri"/>
          <w:b/>
          <w:color w:val="000000"/>
          <w:sz w:val="22"/>
          <w:szCs w:val="22"/>
          <w:lang w:val="es-ES_tradnl" w:eastAsia="en-US"/>
        </w:rPr>
        <w:t xml:space="preserve">aboración con la </w:t>
      </w:r>
      <w:r w:rsidRPr="0021716D">
        <w:rPr>
          <w:rFonts w:ascii="Calibri" w:eastAsiaTheme="minorHAnsi" w:hAnsi="Calibri" w:cs="Calibri"/>
          <w:b/>
          <w:color w:val="000000"/>
          <w:sz w:val="22"/>
          <w:szCs w:val="22"/>
          <w:lang w:val="es-ES_tradnl" w:eastAsia="en-US"/>
        </w:rPr>
        <w:t>UNE</w:t>
      </w:r>
      <w:r w:rsidR="007E615D" w:rsidRPr="0021716D">
        <w:rPr>
          <w:rFonts w:ascii="Calibri" w:eastAsiaTheme="minorHAnsi" w:hAnsi="Calibri" w:cs="Calibri"/>
          <w:b/>
          <w:color w:val="000000"/>
          <w:sz w:val="22"/>
          <w:szCs w:val="22"/>
          <w:lang w:val="es-ES_tradnl" w:eastAsia="en-US"/>
        </w:rPr>
        <w:t>SCO</w:t>
      </w:r>
    </w:p>
    <w:p w14:paraId="401E8085" w14:textId="77777777" w:rsidR="007E615D" w:rsidRPr="005459B2" w:rsidRDefault="007E615D" w:rsidP="005522A4">
      <w:pPr>
        <w:autoSpaceDE w:val="0"/>
        <w:autoSpaceDN w:val="0"/>
        <w:adjustRightInd w:val="0"/>
        <w:ind w:left="426" w:hanging="426"/>
        <w:rPr>
          <w:rFonts w:ascii="Calibri" w:eastAsiaTheme="minorHAnsi" w:hAnsi="Calibri" w:cs="Calibri"/>
          <w:sz w:val="22"/>
          <w:szCs w:val="22"/>
          <w:lang w:val="es-ES_tradnl" w:eastAsia="en-US"/>
        </w:rPr>
      </w:pPr>
    </w:p>
    <w:p w14:paraId="6D3553FE" w14:textId="4D21B2AA" w:rsidR="007E615D" w:rsidRPr="0021716D" w:rsidRDefault="005459B2" w:rsidP="005522A4">
      <w:pPr>
        <w:pStyle w:val="Footer"/>
        <w:numPr>
          <w:ilvl w:val="0"/>
          <w:numId w:val="19"/>
        </w:numPr>
        <w:tabs>
          <w:tab w:val="clear" w:pos="4680"/>
          <w:tab w:val="clear" w:pos="9360"/>
        </w:tabs>
        <w:ind w:left="426" w:hanging="426"/>
        <w:rPr>
          <w:rFonts w:asciiTheme="minorHAnsi" w:hAnsiTheme="minorHAnsi" w:cs="Calibri"/>
          <w:sz w:val="22"/>
          <w:szCs w:val="22"/>
          <w:lang w:val="es-ES_tradnl"/>
        </w:rPr>
      </w:pPr>
      <w:r>
        <w:rPr>
          <w:rFonts w:asciiTheme="minorHAnsi" w:hAnsiTheme="minorHAnsi" w:cs="Calibri"/>
          <w:sz w:val="22"/>
          <w:szCs w:val="22"/>
          <w:lang w:val="es-ES_tradnl"/>
        </w:rPr>
        <w:t>Como seguimiento del exitoso lanzamiento de la Cátedra Ramsar sobre el Uso Sostenible de los Humedales en 2013, los costos de la Cátedra están siendo sufragados por la Universidad de Charles Sturt, que nos está proporcionando apoyo para preparar material técnico de creación de capacidad con el fin de ofrecer cursos de educación a distancia a los administradores de los humedales y desarrollar políticas en</w:t>
      </w:r>
      <w:r w:rsidR="003148C8" w:rsidRPr="0021716D">
        <w:rPr>
          <w:rFonts w:asciiTheme="minorHAnsi" w:hAnsiTheme="minorHAnsi" w:cs="Calibri"/>
          <w:sz w:val="22"/>
          <w:szCs w:val="22"/>
          <w:lang w:val="es-ES_tradnl"/>
        </w:rPr>
        <w:t xml:space="preserve"> estrecha colaboración con el GECT y la Secretaría y </w:t>
      </w:r>
      <w:r w:rsidR="00DE01FC">
        <w:rPr>
          <w:rFonts w:asciiTheme="minorHAnsi" w:hAnsiTheme="minorHAnsi" w:cs="Calibri"/>
          <w:sz w:val="22"/>
          <w:szCs w:val="22"/>
          <w:lang w:val="es-ES_tradnl"/>
        </w:rPr>
        <w:t>en respuesta</w:t>
      </w:r>
      <w:r>
        <w:rPr>
          <w:rFonts w:asciiTheme="minorHAnsi" w:hAnsiTheme="minorHAnsi" w:cs="Calibri"/>
          <w:sz w:val="22"/>
          <w:szCs w:val="22"/>
          <w:lang w:val="es-ES_tradnl"/>
        </w:rPr>
        <w:t xml:space="preserve"> a las necesidades </w:t>
      </w:r>
      <w:r w:rsidR="003148C8" w:rsidRPr="0021716D">
        <w:rPr>
          <w:rFonts w:asciiTheme="minorHAnsi" w:hAnsiTheme="minorHAnsi" w:cs="Calibri"/>
          <w:sz w:val="22"/>
          <w:szCs w:val="22"/>
          <w:lang w:val="es-ES_tradnl"/>
        </w:rPr>
        <w:t>reales.</w:t>
      </w:r>
    </w:p>
    <w:p w14:paraId="31E423C5" w14:textId="77777777" w:rsidR="003417FD" w:rsidRPr="0021716D" w:rsidRDefault="003417FD" w:rsidP="005522A4">
      <w:pPr>
        <w:pStyle w:val="Footer"/>
        <w:tabs>
          <w:tab w:val="clear" w:pos="4680"/>
          <w:tab w:val="clear" w:pos="9360"/>
        </w:tabs>
        <w:ind w:left="426" w:hanging="426"/>
        <w:rPr>
          <w:rFonts w:asciiTheme="minorHAnsi" w:hAnsiTheme="minorHAnsi" w:cs="Calibri"/>
          <w:sz w:val="22"/>
          <w:szCs w:val="22"/>
          <w:lang w:val="es-ES_tradnl"/>
        </w:rPr>
      </w:pPr>
    </w:p>
    <w:p w14:paraId="183D1702" w14:textId="4FD817E7" w:rsidR="003417FD" w:rsidRPr="00906F6C" w:rsidRDefault="00B149E4" w:rsidP="00906F6C">
      <w:pPr>
        <w:pStyle w:val="Footer"/>
        <w:numPr>
          <w:ilvl w:val="0"/>
          <w:numId w:val="19"/>
        </w:numPr>
        <w:tabs>
          <w:tab w:val="clear" w:pos="4680"/>
          <w:tab w:val="clear" w:pos="9360"/>
        </w:tabs>
        <w:ind w:left="426" w:hanging="426"/>
        <w:rPr>
          <w:rFonts w:asciiTheme="minorHAnsi" w:hAnsiTheme="minorHAnsi" w:cs="Calibri"/>
          <w:sz w:val="22"/>
          <w:szCs w:val="22"/>
          <w:lang w:val="es-ES_tradnl"/>
        </w:rPr>
      </w:pPr>
      <w:r w:rsidRPr="0021716D">
        <w:rPr>
          <w:rFonts w:asciiTheme="minorHAnsi" w:hAnsiTheme="minorHAnsi" w:cs="Calibri"/>
          <w:sz w:val="22"/>
          <w:szCs w:val="22"/>
          <w:lang w:val="es-ES_tradnl"/>
        </w:rPr>
        <w:t>La Secretaría</w:t>
      </w:r>
      <w:r w:rsidR="0021716D">
        <w:rPr>
          <w:rFonts w:asciiTheme="minorHAnsi" w:hAnsiTheme="minorHAnsi" w:cs="Calibri"/>
          <w:sz w:val="22"/>
          <w:szCs w:val="22"/>
          <w:lang w:val="es-ES_tradnl"/>
        </w:rPr>
        <w:t xml:space="preserve"> </w:t>
      </w:r>
      <w:r w:rsidR="00D221FF" w:rsidRPr="0021716D">
        <w:rPr>
          <w:rFonts w:asciiTheme="minorHAnsi" w:hAnsiTheme="minorHAnsi" w:cs="Calibri"/>
          <w:sz w:val="22"/>
          <w:szCs w:val="22"/>
          <w:lang w:val="es-ES_tradnl"/>
        </w:rPr>
        <w:t xml:space="preserve">también está </w:t>
      </w:r>
      <w:r w:rsidR="00D221FF" w:rsidRPr="00906F6C">
        <w:rPr>
          <w:rFonts w:asciiTheme="minorHAnsi" w:hAnsiTheme="minorHAnsi" w:cs="Calibri"/>
          <w:sz w:val="22"/>
          <w:szCs w:val="22"/>
          <w:lang w:val="es-ES_tradnl"/>
        </w:rPr>
        <w:t xml:space="preserve">colaborando con un nuevo </w:t>
      </w:r>
      <w:r w:rsidR="0039115C" w:rsidRPr="00906F6C">
        <w:rPr>
          <w:rFonts w:asciiTheme="minorHAnsi" w:hAnsiTheme="minorHAnsi" w:cs="Calibri"/>
          <w:sz w:val="22"/>
          <w:szCs w:val="22"/>
          <w:lang w:val="es-ES_tradnl"/>
        </w:rPr>
        <w:t>proyecto</w:t>
      </w:r>
      <w:r w:rsidR="00D221FF" w:rsidRPr="00906F6C">
        <w:rPr>
          <w:rFonts w:asciiTheme="minorHAnsi" w:hAnsiTheme="minorHAnsi" w:cs="Calibri"/>
          <w:sz w:val="22"/>
          <w:szCs w:val="22"/>
          <w:lang w:val="es-ES_tradnl"/>
        </w:rPr>
        <w:t xml:space="preserve"> mundial del FMAM con el grupo de aguas </w:t>
      </w:r>
      <w:r w:rsidR="0021716D" w:rsidRPr="00906F6C">
        <w:rPr>
          <w:rFonts w:asciiTheme="minorHAnsi" w:hAnsiTheme="minorHAnsi" w:cs="Calibri"/>
          <w:sz w:val="22"/>
          <w:szCs w:val="22"/>
          <w:lang w:val="es-ES_tradnl"/>
        </w:rPr>
        <w:t>subterráneas</w:t>
      </w:r>
      <w:r w:rsidR="00D221FF" w:rsidRPr="00906F6C">
        <w:rPr>
          <w:rFonts w:asciiTheme="minorHAnsi" w:hAnsiTheme="minorHAnsi" w:cs="Calibri"/>
          <w:sz w:val="22"/>
          <w:szCs w:val="22"/>
          <w:lang w:val="es-ES_tradnl"/>
        </w:rPr>
        <w:t xml:space="preserve"> de la UNESCO, </w:t>
      </w:r>
      <w:r w:rsidR="00906F6C" w:rsidRPr="00906F6C">
        <w:rPr>
          <w:rFonts w:asciiTheme="minorHAnsi" w:hAnsiTheme="minorHAnsi" w:cs="Calibri"/>
          <w:sz w:val="22"/>
          <w:szCs w:val="22"/>
          <w:lang w:val="es-ES_tradnl"/>
        </w:rPr>
        <w:t xml:space="preserve">como seguimiento del </w:t>
      </w:r>
      <w:r w:rsidR="00D221FF" w:rsidRPr="00906F6C">
        <w:rPr>
          <w:rFonts w:asciiTheme="minorHAnsi" w:hAnsiTheme="minorHAnsi" w:cs="Calibri"/>
          <w:sz w:val="22"/>
          <w:szCs w:val="22"/>
          <w:lang w:val="es-ES_tradnl"/>
        </w:rPr>
        <w:t>éxito</w:t>
      </w:r>
      <w:r w:rsidR="00D221FF" w:rsidRPr="0021716D">
        <w:rPr>
          <w:rFonts w:asciiTheme="minorHAnsi" w:hAnsiTheme="minorHAnsi" w:cs="Calibri"/>
          <w:sz w:val="22"/>
          <w:szCs w:val="22"/>
          <w:lang w:val="es-ES_tradnl"/>
        </w:rPr>
        <w:t xml:space="preserve"> de nuestro proyecto en</w:t>
      </w:r>
      <w:r w:rsidR="00906F6C">
        <w:rPr>
          <w:rFonts w:asciiTheme="minorHAnsi" w:hAnsiTheme="minorHAnsi" w:cs="Calibri"/>
          <w:sz w:val="22"/>
          <w:szCs w:val="22"/>
          <w:lang w:val="es-ES_tradnl"/>
        </w:rPr>
        <w:t xml:space="preserve"> los h</w:t>
      </w:r>
      <w:r w:rsidR="00D221FF" w:rsidRPr="00906F6C">
        <w:rPr>
          <w:rFonts w:asciiTheme="minorHAnsi" w:hAnsiTheme="minorHAnsi" w:cs="Calibri"/>
          <w:sz w:val="22"/>
          <w:szCs w:val="22"/>
          <w:lang w:val="es-ES_tradnl"/>
        </w:rPr>
        <w:t xml:space="preserve">umedales del Mediterráneo </w:t>
      </w:r>
      <w:r w:rsidR="0021716D" w:rsidRPr="00906F6C">
        <w:rPr>
          <w:rFonts w:asciiTheme="minorHAnsi" w:hAnsiTheme="minorHAnsi" w:cs="Calibri"/>
          <w:sz w:val="22"/>
          <w:szCs w:val="22"/>
          <w:lang w:val="es-ES_tradnl"/>
        </w:rPr>
        <w:t>alimentados</w:t>
      </w:r>
      <w:r w:rsidR="00D221FF" w:rsidRPr="00906F6C">
        <w:rPr>
          <w:rFonts w:asciiTheme="minorHAnsi" w:hAnsiTheme="minorHAnsi" w:cs="Calibri"/>
          <w:sz w:val="22"/>
          <w:szCs w:val="22"/>
          <w:lang w:val="es-ES_tradnl"/>
        </w:rPr>
        <w:t xml:space="preserve"> por aguas </w:t>
      </w:r>
      <w:r w:rsidR="0021716D" w:rsidRPr="00906F6C">
        <w:rPr>
          <w:rFonts w:asciiTheme="minorHAnsi" w:hAnsiTheme="minorHAnsi" w:cs="Calibri"/>
          <w:sz w:val="22"/>
          <w:szCs w:val="22"/>
          <w:lang w:val="es-ES_tradnl"/>
        </w:rPr>
        <w:t>subterráneas</w:t>
      </w:r>
      <w:r w:rsidR="00D221FF" w:rsidRPr="00906F6C">
        <w:rPr>
          <w:rFonts w:asciiTheme="minorHAnsi" w:hAnsiTheme="minorHAnsi" w:cs="Calibri"/>
          <w:sz w:val="22"/>
          <w:szCs w:val="22"/>
          <w:lang w:val="es-ES_tradnl"/>
        </w:rPr>
        <w:t>.</w:t>
      </w:r>
    </w:p>
    <w:p w14:paraId="7AA8646A" w14:textId="77777777" w:rsidR="007E615D" w:rsidRPr="00BF44E2" w:rsidRDefault="007E615D" w:rsidP="005522A4">
      <w:pPr>
        <w:autoSpaceDE w:val="0"/>
        <w:autoSpaceDN w:val="0"/>
        <w:adjustRightInd w:val="0"/>
        <w:ind w:left="426" w:hanging="426"/>
        <w:rPr>
          <w:rFonts w:ascii="Calibri" w:eastAsiaTheme="minorHAnsi" w:hAnsi="Calibri" w:cs="Calibri"/>
          <w:sz w:val="22"/>
          <w:szCs w:val="22"/>
          <w:lang w:val="es-ES_tradnl" w:eastAsia="en-US"/>
        </w:rPr>
      </w:pPr>
    </w:p>
    <w:p w14:paraId="29213BA8" w14:textId="2FE3E492" w:rsidR="00782506" w:rsidRPr="0021716D" w:rsidRDefault="00BF44E2" w:rsidP="005522A4">
      <w:pPr>
        <w:pStyle w:val="ListParagraph"/>
        <w:numPr>
          <w:ilvl w:val="0"/>
          <w:numId w:val="19"/>
        </w:numPr>
        <w:autoSpaceDE w:val="0"/>
        <w:autoSpaceDN w:val="0"/>
        <w:adjustRightInd w:val="0"/>
        <w:ind w:left="426" w:hanging="426"/>
        <w:jc w:val="left"/>
        <w:rPr>
          <w:rFonts w:asciiTheme="minorHAnsi" w:hAnsiTheme="minorHAnsi" w:cs="Calibri"/>
          <w:lang w:val="es-ES_tradnl"/>
        </w:rPr>
      </w:pPr>
      <w:r>
        <w:rPr>
          <w:rFonts w:asciiTheme="minorHAnsi" w:hAnsiTheme="minorHAnsi" w:cs="Calibri"/>
          <w:lang w:val="es-ES_tradnl"/>
        </w:rPr>
        <w:t>Se encuentra en pleno desarrollo u</w:t>
      </w:r>
      <w:r w:rsidR="00D221FF" w:rsidRPr="00BF44E2">
        <w:rPr>
          <w:rFonts w:asciiTheme="minorHAnsi" w:hAnsiTheme="minorHAnsi" w:cs="Calibri"/>
          <w:lang w:val="es-ES_tradnl"/>
        </w:rPr>
        <w:t xml:space="preserve">n programa conjunto </w:t>
      </w:r>
      <w:r w:rsidR="00906F6C" w:rsidRPr="00BF44E2">
        <w:rPr>
          <w:rFonts w:asciiTheme="minorHAnsi" w:hAnsiTheme="minorHAnsi" w:cs="Calibri"/>
          <w:lang w:val="es-ES_tradnl"/>
        </w:rPr>
        <w:t>de</w:t>
      </w:r>
      <w:r w:rsidR="002A65F4" w:rsidRPr="00BF44E2">
        <w:rPr>
          <w:rFonts w:asciiTheme="minorHAnsi" w:hAnsiTheme="minorHAnsi" w:cs="Calibri"/>
          <w:lang w:val="es-ES_tradnl"/>
        </w:rPr>
        <w:t xml:space="preserve"> </w:t>
      </w:r>
      <w:r w:rsidR="00906F6C" w:rsidRPr="00BF44E2">
        <w:rPr>
          <w:rFonts w:asciiTheme="minorHAnsi" w:hAnsiTheme="minorHAnsi" w:cs="Calibri"/>
          <w:lang w:val="es-ES_tradnl"/>
        </w:rPr>
        <w:t xml:space="preserve">Ramsar, la </w:t>
      </w:r>
      <w:r w:rsidR="00E01B8C" w:rsidRPr="00BF44E2">
        <w:rPr>
          <w:rFonts w:asciiTheme="minorHAnsi" w:hAnsiTheme="minorHAnsi" w:cs="Calibri"/>
          <w:lang w:val="es-ES_tradnl"/>
        </w:rPr>
        <w:t>UICN</w:t>
      </w:r>
      <w:r w:rsidR="00906F6C" w:rsidRPr="00BF44E2">
        <w:rPr>
          <w:rFonts w:asciiTheme="minorHAnsi" w:hAnsiTheme="minorHAnsi" w:cs="Calibri"/>
          <w:lang w:val="es-ES_tradnl"/>
        </w:rPr>
        <w:t xml:space="preserve"> y la </w:t>
      </w:r>
      <w:r w:rsidR="002C537A" w:rsidRPr="00BF44E2">
        <w:rPr>
          <w:rFonts w:asciiTheme="minorHAnsi" w:hAnsiTheme="minorHAnsi" w:cs="Calibri"/>
          <w:lang w:val="es-ES_tradnl"/>
        </w:rPr>
        <w:t>UNESCO</w:t>
      </w:r>
      <w:r w:rsidR="002A65F4" w:rsidRPr="00BF44E2">
        <w:rPr>
          <w:rFonts w:asciiTheme="minorHAnsi" w:hAnsiTheme="minorHAnsi" w:cs="Calibri"/>
          <w:lang w:val="es-ES_tradnl"/>
        </w:rPr>
        <w:t xml:space="preserve"> </w:t>
      </w:r>
      <w:r w:rsidR="00906F6C" w:rsidRPr="00BF44E2">
        <w:rPr>
          <w:rFonts w:asciiTheme="minorHAnsi" w:hAnsiTheme="minorHAnsi" w:cs="Calibri"/>
          <w:lang w:val="es-ES_tradnl"/>
        </w:rPr>
        <w:t>s</w:t>
      </w:r>
      <w:r w:rsidR="00E01B8C" w:rsidRPr="00BF44E2">
        <w:rPr>
          <w:rFonts w:asciiTheme="minorHAnsi" w:hAnsiTheme="minorHAnsi" w:cs="Calibri"/>
          <w:lang w:val="es-ES_tradnl"/>
        </w:rPr>
        <w:t xml:space="preserve">obre </w:t>
      </w:r>
      <w:r w:rsidR="00906F6C" w:rsidRPr="00BF44E2">
        <w:rPr>
          <w:rFonts w:asciiTheme="minorHAnsi" w:hAnsiTheme="minorHAnsi" w:cs="Calibri"/>
          <w:lang w:val="es-ES_tradnl"/>
        </w:rPr>
        <w:t xml:space="preserve">el </w:t>
      </w:r>
      <w:r w:rsidR="00E01B8C" w:rsidRPr="00BF44E2">
        <w:rPr>
          <w:rFonts w:asciiTheme="minorHAnsi" w:hAnsiTheme="minorHAnsi" w:cs="Calibri"/>
          <w:lang w:val="es-ES_tradnl"/>
        </w:rPr>
        <w:t xml:space="preserve">manejo de sitios con múltiples designaciones </w:t>
      </w:r>
      <w:r w:rsidRPr="00BF44E2">
        <w:rPr>
          <w:rFonts w:asciiTheme="minorHAnsi" w:hAnsiTheme="minorHAnsi" w:cs="Calibri"/>
          <w:lang w:val="es-ES_tradnl"/>
        </w:rPr>
        <w:t>en el marco de</w:t>
      </w:r>
      <w:r w:rsidR="002A65F4" w:rsidRPr="00BF44E2">
        <w:rPr>
          <w:rFonts w:asciiTheme="minorHAnsi" w:hAnsiTheme="minorHAnsi" w:cs="Calibri"/>
          <w:lang w:val="es-ES_tradnl"/>
        </w:rPr>
        <w:t xml:space="preserve"> </w:t>
      </w:r>
      <w:r w:rsidR="002C537A" w:rsidRPr="00BF44E2">
        <w:rPr>
          <w:rFonts w:asciiTheme="minorHAnsi" w:hAnsiTheme="minorHAnsi" w:cs="Calibri"/>
          <w:lang w:val="es-ES_tradnl"/>
        </w:rPr>
        <w:t>Ramsar,</w:t>
      </w:r>
      <w:r w:rsidRPr="00BF44E2">
        <w:rPr>
          <w:rFonts w:asciiTheme="minorHAnsi" w:hAnsiTheme="minorHAnsi" w:cs="Calibri"/>
          <w:lang w:val="es-ES_tradnl"/>
        </w:rPr>
        <w:t xml:space="preserve"> la Convención del Patrimonio Mundial </w:t>
      </w:r>
      <w:r w:rsidR="00CC52A6" w:rsidRPr="00BF44E2">
        <w:rPr>
          <w:rFonts w:asciiTheme="minorHAnsi" w:hAnsiTheme="minorHAnsi" w:cs="Calibri"/>
          <w:lang w:val="es-ES_tradnl"/>
        </w:rPr>
        <w:t>(</w:t>
      </w:r>
      <w:r w:rsidR="002C537A" w:rsidRPr="00BF44E2">
        <w:rPr>
          <w:rFonts w:asciiTheme="minorHAnsi" w:hAnsiTheme="minorHAnsi" w:cs="Calibri"/>
          <w:lang w:val="es-ES_tradnl"/>
        </w:rPr>
        <w:t>WHC</w:t>
      </w:r>
      <w:r w:rsidR="00CC52A6" w:rsidRPr="00BF44E2">
        <w:rPr>
          <w:rFonts w:asciiTheme="minorHAnsi" w:hAnsiTheme="minorHAnsi" w:cs="Calibri"/>
          <w:lang w:val="es-ES_tradnl"/>
        </w:rPr>
        <w:t>)</w:t>
      </w:r>
      <w:r w:rsidR="003417FD" w:rsidRPr="00BF44E2">
        <w:rPr>
          <w:rFonts w:asciiTheme="minorHAnsi" w:hAnsiTheme="minorHAnsi" w:cs="Calibri"/>
          <w:lang w:val="es-ES_tradnl"/>
        </w:rPr>
        <w:t>,</w:t>
      </w:r>
      <w:r w:rsidR="002A65F4" w:rsidRPr="00BF44E2">
        <w:rPr>
          <w:rFonts w:asciiTheme="minorHAnsi" w:hAnsiTheme="minorHAnsi" w:cs="Calibri"/>
          <w:lang w:val="es-ES_tradnl"/>
        </w:rPr>
        <w:t xml:space="preserve"> </w:t>
      </w:r>
      <w:r w:rsidRPr="00BF44E2">
        <w:rPr>
          <w:rFonts w:asciiTheme="minorHAnsi" w:hAnsiTheme="minorHAnsi" w:cs="Calibri"/>
          <w:lang w:val="es-ES_tradnl"/>
        </w:rPr>
        <w:t>los Geoparques o el programa El Hombre y la Biosfera (</w:t>
      </w:r>
      <w:r w:rsidR="002C537A" w:rsidRPr="00BF44E2">
        <w:rPr>
          <w:rFonts w:asciiTheme="minorHAnsi" w:hAnsiTheme="minorHAnsi" w:cs="Calibri"/>
          <w:lang w:val="es-ES_tradnl"/>
        </w:rPr>
        <w:t>MAB</w:t>
      </w:r>
      <w:r>
        <w:rPr>
          <w:rFonts w:asciiTheme="minorHAnsi" w:hAnsiTheme="minorHAnsi" w:cs="Calibri"/>
          <w:lang w:val="es-ES_tradnl"/>
        </w:rPr>
        <w:t>)</w:t>
      </w:r>
      <w:r w:rsidR="002C537A" w:rsidRPr="0021716D">
        <w:rPr>
          <w:rFonts w:asciiTheme="minorHAnsi" w:hAnsiTheme="minorHAnsi" w:cs="Calibri"/>
          <w:lang w:val="es-ES_tradnl"/>
        </w:rPr>
        <w:t>.</w:t>
      </w:r>
      <w:r w:rsidR="002A65F4" w:rsidRPr="0021716D">
        <w:rPr>
          <w:rFonts w:asciiTheme="minorHAnsi" w:hAnsiTheme="minorHAnsi" w:cs="Calibri"/>
          <w:lang w:val="es-ES_tradnl"/>
        </w:rPr>
        <w:t xml:space="preserve"> </w:t>
      </w:r>
      <w:r w:rsidR="00E01B8C" w:rsidRPr="0021716D">
        <w:rPr>
          <w:rFonts w:asciiTheme="minorHAnsi" w:hAnsiTheme="minorHAnsi" w:cs="Calibri"/>
          <w:lang w:val="es-ES_tradnl"/>
        </w:rPr>
        <w:t xml:space="preserve">Se trata de un </w:t>
      </w:r>
      <w:r w:rsidR="0021716D" w:rsidRPr="0021716D">
        <w:rPr>
          <w:rFonts w:asciiTheme="minorHAnsi" w:hAnsiTheme="minorHAnsi" w:cs="Calibri"/>
          <w:lang w:val="es-ES_tradnl"/>
        </w:rPr>
        <w:t>nuevo</w:t>
      </w:r>
      <w:r w:rsidR="00E01B8C" w:rsidRPr="0021716D">
        <w:rPr>
          <w:rFonts w:asciiTheme="minorHAnsi" w:hAnsiTheme="minorHAnsi" w:cs="Calibri"/>
          <w:lang w:val="es-ES_tradnl"/>
        </w:rPr>
        <w:t xml:space="preserve"> proyecto con financiación</w:t>
      </w:r>
      <w:r>
        <w:rPr>
          <w:rFonts w:asciiTheme="minorHAnsi" w:hAnsiTheme="minorHAnsi" w:cs="Calibri"/>
          <w:lang w:val="es-ES_tradnl"/>
        </w:rPr>
        <w:t xml:space="preserve"> aportada por </w:t>
      </w:r>
      <w:r w:rsidR="00E01B8C" w:rsidRPr="0021716D">
        <w:rPr>
          <w:rFonts w:asciiTheme="minorHAnsi" w:hAnsiTheme="minorHAnsi" w:cs="Calibri"/>
          <w:lang w:val="es-ES_tradnl"/>
        </w:rPr>
        <w:t xml:space="preserve">la República de Corea </w:t>
      </w:r>
      <w:r>
        <w:rPr>
          <w:rFonts w:asciiTheme="minorHAnsi" w:hAnsiTheme="minorHAnsi" w:cs="Calibri"/>
          <w:lang w:val="es-ES_tradnl"/>
        </w:rPr>
        <w:t xml:space="preserve">para realizar un mejor </w:t>
      </w:r>
      <w:r w:rsidR="00E01B8C" w:rsidRPr="0021716D">
        <w:rPr>
          <w:rFonts w:asciiTheme="minorHAnsi" w:hAnsiTheme="minorHAnsi" w:cs="Calibri"/>
          <w:lang w:val="es-ES_tradnl"/>
        </w:rPr>
        <w:t>manejo de</w:t>
      </w:r>
      <w:r>
        <w:rPr>
          <w:rFonts w:asciiTheme="minorHAnsi" w:hAnsiTheme="minorHAnsi" w:cs="Calibri"/>
          <w:lang w:val="es-ES_tradnl"/>
        </w:rPr>
        <w:t xml:space="preserve"> los</w:t>
      </w:r>
      <w:r w:rsidR="00E01B8C" w:rsidRPr="0021716D">
        <w:rPr>
          <w:rFonts w:asciiTheme="minorHAnsi" w:hAnsiTheme="minorHAnsi" w:cs="Calibri"/>
          <w:lang w:val="es-ES_tradnl"/>
        </w:rPr>
        <w:t xml:space="preserve"> sitios de </w:t>
      </w:r>
      <w:r w:rsidR="0021716D" w:rsidRPr="0021716D">
        <w:rPr>
          <w:rFonts w:asciiTheme="minorHAnsi" w:hAnsiTheme="minorHAnsi" w:cs="Calibri"/>
          <w:lang w:val="es-ES_tradnl"/>
        </w:rPr>
        <w:t>importancia</w:t>
      </w:r>
      <w:r w:rsidR="00E01B8C" w:rsidRPr="0021716D">
        <w:rPr>
          <w:rFonts w:asciiTheme="minorHAnsi" w:hAnsiTheme="minorHAnsi" w:cs="Calibri"/>
          <w:lang w:val="es-ES_tradnl"/>
        </w:rPr>
        <w:t xml:space="preserve"> internacional con </w:t>
      </w:r>
      <w:r w:rsidR="0021716D" w:rsidRPr="0021716D">
        <w:rPr>
          <w:rFonts w:asciiTheme="minorHAnsi" w:hAnsiTheme="minorHAnsi" w:cs="Calibri"/>
          <w:lang w:val="es-ES_tradnl"/>
        </w:rPr>
        <w:t>múltiples</w:t>
      </w:r>
      <w:r w:rsidR="00E01B8C" w:rsidRPr="0021716D">
        <w:rPr>
          <w:rFonts w:asciiTheme="minorHAnsi" w:hAnsiTheme="minorHAnsi" w:cs="Calibri"/>
          <w:lang w:val="es-ES_tradnl"/>
        </w:rPr>
        <w:t xml:space="preserve"> designaciones y </w:t>
      </w:r>
      <w:r>
        <w:rPr>
          <w:rFonts w:asciiTheme="minorHAnsi" w:hAnsiTheme="minorHAnsi" w:cs="Calibri"/>
          <w:lang w:val="es-ES_tradnl"/>
        </w:rPr>
        <w:t>constituye</w:t>
      </w:r>
      <w:r w:rsidR="00E01B8C" w:rsidRPr="0021716D">
        <w:rPr>
          <w:rFonts w:asciiTheme="minorHAnsi" w:hAnsiTheme="minorHAnsi" w:cs="Calibri"/>
          <w:lang w:val="es-ES_tradnl"/>
        </w:rPr>
        <w:t xml:space="preserve"> un paso positivo para </w:t>
      </w:r>
      <w:r w:rsidR="0021716D" w:rsidRPr="0021716D">
        <w:rPr>
          <w:rFonts w:asciiTheme="minorHAnsi" w:hAnsiTheme="minorHAnsi" w:cs="Calibri"/>
          <w:lang w:val="es-ES_tradnl"/>
        </w:rPr>
        <w:t>obtener</w:t>
      </w:r>
      <w:r w:rsidR="00E01B8C" w:rsidRPr="0021716D">
        <w:rPr>
          <w:rFonts w:asciiTheme="minorHAnsi" w:hAnsiTheme="minorHAnsi" w:cs="Calibri"/>
          <w:lang w:val="es-ES_tradnl"/>
        </w:rPr>
        <w:t xml:space="preserve"> </w:t>
      </w:r>
      <w:r>
        <w:rPr>
          <w:rFonts w:asciiTheme="minorHAnsi" w:hAnsiTheme="minorHAnsi" w:cs="Calibri"/>
          <w:lang w:val="es-ES_tradnl"/>
        </w:rPr>
        <w:t>una equivalencia considerable</w:t>
      </w:r>
      <w:r w:rsidR="00E01B8C" w:rsidRPr="0021716D">
        <w:rPr>
          <w:rFonts w:asciiTheme="minorHAnsi" w:hAnsiTheme="minorHAnsi" w:cs="Calibri"/>
          <w:lang w:val="es-ES_tradnl"/>
        </w:rPr>
        <w:t>. El Secretario General participó en un evento paralelo sobre este proyecto en la 39ª reunió</w:t>
      </w:r>
      <w:r>
        <w:rPr>
          <w:rFonts w:asciiTheme="minorHAnsi" w:hAnsiTheme="minorHAnsi" w:cs="Calibri"/>
          <w:lang w:val="es-ES_tradnl"/>
        </w:rPr>
        <w:t xml:space="preserve">n de las Partes de la UNESCO y habló con funcionarios acerca del ulterior desarrollo </w:t>
      </w:r>
      <w:r w:rsidR="00246C2F" w:rsidRPr="0021716D">
        <w:rPr>
          <w:rFonts w:asciiTheme="minorHAnsi" w:hAnsiTheme="minorHAnsi" w:cs="Calibri"/>
          <w:lang w:val="es-ES_tradnl"/>
        </w:rPr>
        <w:t xml:space="preserve">del </w:t>
      </w:r>
      <w:r w:rsidR="0021716D" w:rsidRPr="0021716D">
        <w:rPr>
          <w:rFonts w:asciiTheme="minorHAnsi" w:hAnsiTheme="minorHAnsi" w:cs="Calibri"/>
          <w:lang w:val="es-ES_tradnl"/>
        </w:rPr>
        <w:t>proyecto</w:t>
      </w:r>
      <w:r w:rsidR="00246C2F" w:rsidRPr="0021716D">
        <w:rPr>
          <w:rFonts w:asciiTheme="minorHAnsi" w:hAnsiTheme="minorHAnsi" w:cs="Calibri"/>
          <w:lang w:val="es-ES_tradnl"/>
        </w:rPr>
        <w:t xml:space="preserve"> en J</w:t>
      </w:r>
      <w:r w:rsidR="003417FD" w:rsidRPr="0021716D">
        <w:rPr>
          <w:rFonts w:asciiTheme="minorHAnsi" w:hAnsiTheme="minorHAnsi" w:cs="Calibri"/>
          <w:lang w:val="es-ES_tradnl"/>
        </w:rPr>
        <w:t>eju</w:t>
      </w:r>
      <w:r w:rsidR="00246C2F" w:rsidRPr="0021716D">
        <w:rPr>
          <w:rFonts w:asciiTheme="minorHAnsi" w:hAnsiTheme="minorHAnsi" w:cs="Calibri"/>
          <w:lang w:val="es-ES_tradnl"/>
        </w:rPr>
        <w:t xml:space="preserve"> (República de Corea). La Secretaria Ge</w:t>
      </w:r>
      <w:r>
        <w:rPr>
          <w:rFonts w:asciiTheme="minorHAnsi" w:hAnsiTheme="minorHAnsi" w:cs="Calibri"/>
          <w:lang w:val="es-ES_tradnl"/>
        </w:rPr>
        <w:t>n</w:t>
      </w:r>
      <w:r w:rsidR="00246C2F" w:rsidRPr="0021716D">
        <w:rPr>
          <w:rFonts w:asciiTheme="minorHAnsi" w:hAnsiTheme="minorHAnsi" w:cs="Calibri"/>
          <w:lang w:val="es-ES_tradnl"/>
        </w:rPr>
        <w:t>e</w:t>
      </w:r>
      <w:r>
        <w:rPr>
          <w:rFonts w:asciiTheme="minorHAnsi" w:hAnsiTheme="minorHAnsi" w:cs="Calibri"/>
          <w:lang w:val="es-ES_tradnl"/>
        </w:rPr>
        <w:t>r</w:t>
      </w:r>
      <w:r w:rsidR="00246C2F" w:rsidRPr="0021716D">
        <w:rPr>
          <w:rFonts w:asciiTheme="minorHAnsi" w:hAnsiTheme="minorHAnsi" w:cs="Calibri"/>
          <w:lang w:val="es-ES_tradnl"/>
        </w:rPr>
        <w:t>al Adjunta participó en el taller sobre</w:t>
      </w:r>
      <w:r>
        <w:rPr>
          <w:rFonts w:asciiTheme="minorHAnsi" w:hAnsiTheme="minorHAnsi" w:cs="Calibri"/>
          <w:lang w:val="es-ES_tradnl"/>
        </w:rPr>
        <w:t xml:space="preserve"> los detalles del</w:t>
      </w:r>
      <w:r w:rsidR="00246C2F" w:rsidRPr="0021716D">
        <w:rPr>
          <w:rFonts w:asciiTheme="minorHAnsi" w:hAnsiTheme="minorHAnsi" w:cs="Calibri"/>
          <w:lang w:val="es-ES_tradnl"/>
        </w:rPr>
        <w:t xml:space="preserve"> proyecto </w:t>
      </w:r>
      <w:r>
        <w:rPr>
          <w:rFonts w:asciiTheme="minorHAnsi" w:hAnsiTheme="minorHAnsi" w:cs="Calibri"/>
          <w:lang w:val="es-ES_tradnl"/>
        </w:rPr>
        <w:t>que se celebró</w:t>
      </w:r>
      <w:r w:rsidR="00246C2F" w:rsidRPr="0021716D">
        <w:rPr>
          <w:rFonts w:asciiTheme="minorHAnsi" w:hAnsiTheme="minorHAnsi" w:cs="Calibri"/>
          <w:lang w:val="es-ES_tradnl"/>
        </w:rPr>
        <w:t xml:space="preserve"> en </w:t>
      </w:r>
      <w:r w:rsidR="0053736B" w:rsidRPr="0021716D">
        <w:rPr>
          <w:rFonts w:asciiTheme="minorHAnsi" w:hAnsiTheme="minorHAnsi" w:cs="Calibri"/>
          <w:lang w:val="es-ES_tradnl"/>
        </w:rPr>
        <w:t>Jeju</w:t>
      </w:r>
      <w:r w:rsidR="00246C2F" w:rsidRPr="0021716D">
        <w:rPr>
          <w:rFonts w:asciiTheme="minorHAnsi" w:hAnsiTheme="minorHAnsi" w:cs="Calibri"/>
          <w:lang w:val="es-ES_tradnl"/>
        </w:rPr>
        <w:t xml:space="preserve"> en abril de </w:t>
      </w:r>
      <w:r w:rsidR="00C92309" w:rsidRPr="0021716D">
        <w:rPr>
          <w:rFonts w:asciiTheme="minorHAnsi" w:hAnsiTheme="minorHAnsi" w:cs="Calibri"/>
          <w:lang w:val="es-ES_tradnl"/>
        </w:rPr>
        <w:t>2015,</w:t>
      </w:r>
      <w:r w:rsidR="002A65F4" w:rsidRPr="0021716D">
        <w:rPr>
          <w:rFonts w:asciiTheme="minorHAnsi" w:hAnsiTheme="minorHAnsi" w:cs="Calibri"/>
          <w:lang w:val="es-ES_tradnl"/>
        </w:rPr>
        <w:t xml:space="preserve"> </w:t>
      </w:r>
      <w:r w:rsidR="00246C2F" w:rsidRPr="0021716D">
        <w:rPr>
          <w:rFonts w:asciiTheme="minorHAnsi" w:hAnsiTheme="minorHAnsi" w:cs="Calibri"/>
          <w:lang w:val="es-ES_tradnl"/>
        </w:rPr>
        <w:t xml:space="preserve">y el proyecto </w:t>
      </w:r>
      <w:r>
        <w:rPr>
          <w:rFonts w:asciiTheme="minorHAnsi" w:hAnsiTheme="minorHAnsi" w:cs="Calibri"/>
          <w:lang w:val="es-ES_tradnl"/>
        </w:rPr>
        <w:t>se presentó</w:t>
      </w:r>
      <w:r w:rsidR="00246C2F" w:rsidRPr="0021716D">
        <w:rPr>
          <w:rFonts w:asciiTheme="minorHAnsi" w:hAnsiTheme="minorHAnsi" w:cs="Calibri"/>
          <w:lang w:val="es-ES_tradnl"/>
        </w:rPr>
        <w:t xml:space="preserve"> en un evento paralelo en</w:t>
      </w:r>
      <w:r w:rsidR="0021716D">
        <w:rPr>
          <w:rFonts w:asciiTheme="minorHAnsi" w:hAnsiTheme="minorHAnsi" w:cs="Calibri"/>
          <w:lang w:val="es-ES_tradnl"/>
        </w:rPr>
        <w:t xml:space="preserve"> </w:t>
      </w:r>
      <w:r w:rsidR="00246C2F" w:rsidRPr="0021716D">
        <w:rPr>
          <w:rFonts w:asciiTheme="minorHAnsi" w:hAnsiTheme="minorHAnsi" w:cs="Calibri"/>
          <w:lang w:val="es-ES_tradnl"/>
        </w:rPr>
        <w:t xml:space="preserve">la COP12 de Ramsar en junio de 2015. El </w:t>
      </w:r>
      <w:r w:rsidR="0021716D" w:rsidRPr="0021716D">
        <w:rPr>
          <w:rFonts w:asciiTheme="minorHAnsi" w:hAnsiTheme="minorHAnsi" w:cs="Calibri"/>
          <w:lang w:val="es-ES_tradnl"/>
        </w:rPr>
        <w:t>proyecto</w:t>
      </w:r>
      <w:r w:rsidR="00246C2F" w:rsidRPr="0021716D">
        <w:rPr>
          <w:rFonts w:asciiTheme="minorHAnsi" w:hAnsiTheme="minorHAnsi" w:cs="Calibri"/>
          <w:lang w:val="es-ES_tradnl"/>
        </w:rPr>
        <w:t xml:space="preserve"> de </w:t>
      </w:r>
      <w:r w:rsidR="0021716D" w:rsidRPr="0021716D">
        <w:rPr>
          <w:rFonts w:asciiTheme="minorHAnsi" w:hAnsiTheme="minorHAnsi" w:cs="Calibri"/>
          <w:lang w:val="es-ES_tradnl"/>
        </w:rPr>
        <w:t>informe</w:t>
      </w:r>
      <w:r w:rsidR="00246C2F" w:rsidRPr="0021716D">
        <w:rPr>
          <w:rFonts w:asciiTheme="minorHAnsi" w:hAnsiTheme="minorHAnsi" w:cs="Calibri"/>
          <w:lang w:val="es-ES_tradnl"/>
        </w:rPr>
        <w:t xml:space="preserve"> del proyecto ya está disponible y el informe definitivo </w:t>
      </w:r>
      <w:r w:rsidR="0021716D" w:rsidRPr="0021716D">
        <w:rPr>
          <w:rFonts w:asciiTheme="minorHAnsi" w:hAnsiTheme="minorHAnsi" w:cs="Calibri"/>
          <w:lang w:val="es-ES_tradnl"/>
        </w:rPr>
        <w:t>será</w:t>
      </w:r>
      <w:r w:rsidR="00246C2F" w:rsidRPr="0021716D">
        <w:rPr>
          <w:rFonts w:asciiTheme="minorHAnsi" w:hAnsiTheme="minorHAnsi" w:cs="Calibri"/>
          <w:lang w:val="es-ES_tradnl"/>
        </w:rPr>
        <w:t xml:space="preserve"> presentado en el Congreso del la UICN </w:t>
      </w:r>
      <w:r w:rsidR="00246C2F" w:rsidRPr="00BF44E2">
        <w:rPr>
          <w:rFonts w:asciiTheme="minorHAnsi" w:hAnsiTheme="minorHAnsi" w:cs="Calibri"/>
          <w:lang w:val="es-ES_tradnl"/>
        </w:rPr>
        <w:t xml:space="preserve">que tendrá lugar en </w:t>
      </w:r>
      <w:r w:rsidRPr="00BF44E2">
        <w:rPr>
          <w:rFonts w:asciiTheme="minorHAnsi" w:hAnsiTheme="minorHAnsi" w:cs="Calibri"/>
          <w:lang w:val="es-ES_tradnl"/>
        </w:rPr>
        <w:t xml:space="preserve">Hawai </w:t>
      </w:r>
      <w:r w:rsidR="00246C2F" w:rsidRPr="00BF44E2">
        <w:rPr>
          <w:rFonts w:asciiTheme="minorHAnsi" w:hAnsiTheme="minorHAnsi" w:cs="Calibri"/>
          <w:lang w:val="es-ES_tradnl"/>
        </w:rPr>
        <w:t>en</w:t>
      </w:r>
      <w:r w:rsidR="00246C2F" w:rsidRPr="0021716D">
        <w:rPr>
          <w:rFonts w:asciiTheme="minorHAnsi" w:hAnsiTheme="minorHAnsi" w:cs="Calibri"/>
          <w:lang w:val="es-ES_tradnl"/>
        </w:rPr>
        <w:t xml:space="preserve"> octubre de 2016.</w:t>
      </w:r>
    </w:p>
    <w:p w14:paraId="7AFA6D53" w14:textId="77777777" w:rsidR="002C537A" w:rsidRPr="0021716D" w:rsidRDefault="002C537A" w:rsidP="00BA510D">
      <w:pPr>
        <w:autoSpaceDE w:val="0"/>
        <w:autoSpaceDN w:val="0"/>
        <w:adjustRightInd w:val="0"/>
        <w:rPr>
          <w:rFonts w:asciiTheme="minorHAnsi" w:eastAsiaTheme="minorHAnsi" w:hAnsiTheme="minorHAnsi" w:cs="Calibri"/>
          <w:color w:val="000000"/>
          <w:sz w:val="22"/>
          <w:szCs w:val="22"/>
          <w:lang w:val="es-ES_tradnl" w:eastAsia="en-US"/>
        </w:rPr>
      </w:pPr>
    </w:p>
    <w:p w14:paraId="74410C6D" w14:textId="0C88C275" w:rsidR="00812CC5" w:rsidRPr="0021716D" w:rsidRDefault="00EB447F" w:rsidP="005522A4">
      <w:pPr>
        <w:autoSpaceDE w:val="0"/>
        <w:autoSpaceDN w:val="0"/>
        <w:adjustRightInd w:val="0"/>
        <w:rPr>
          <w:rFonts w:asciiTheme="minorHAnsi" w:hAnsiTheme="minorHAnsi"/>
          <w:b/>
          <w:sz w:val="22"/>
          <w:szCs w:val="22"/>
          <w:lang w:val="es-ES_tradnl"/>
        </w:rPr>
      </w:pPr>
      <w:r w:rsidRPr="0021716D">
        <w:rPr>
          <w:rFonts w:asciiTheme="minorHAnsi" w:hAnsiTheme="minorHAnsi"/>
          <w:b/>
          <w:sz w:val="22"/>
          <w:szCs w:val="22"/>
          <w:lang w:val="es-ES_tradnl"/>
        </w:rPr>
        <w:t>Plan</w:t>
      </w:r>
      <w:r w:rsidR="002A65F4" w:rsidRPr="0021716D">
        <w:rPr>
          <w:rFonts w:asciiTheme="minorHAnsi" w:hAnsiTheme="minorHAnsi"/>
          <w:b/>
          <w:sz w:val="22"/>
          <w:szCs w:val="22"/>
          <w:lang w:val="es-ES_tradnl"/>
        </w:rPr>
        <w:t xml:space="preserve"> </w:t>
      </w:r>
      <w:r w:rsidR="00246C2F" w:rsidRPr="0021716D">
        <w:rPr>
          <w:rFonts w:asciiTheme="minorHAnsi" w:hAnsiTheme="minorHAnsi"/>
          <w:b/>
          <w:sz w:val="22"/>
          <w:szCs w:val="22"/>
          <w:lang w:val="es-ES_tradnl"/>
        </w:rPr>
        <w:t>para aumenta</w:t>
      </w:r>
      <w:r w:rsidR="00BF44E2">
        <w:rPr>
          <w:rFonts w:asciiTheme="minorHAnsi" w:hAnsiTheme="minorHAnsi"/>
          <w:b/>
          <w:sz w:val="22"/>
          <w:szCs w:val="22"/>
          <w:lang w:val="es-ES_tradnl"/>
        </w:rPr>
        <w:t>r la cooperación con otros AMMA</w:t>
      </w:r>
    </w:p>
    <w:p w14:paraId="7E86946D" w14:textId="77777777" w:rsidR="00EB447F" w:rsidRPr="0021716D" w:rsidRDefault="00EB447F" w:rsidP="00BA510D">
      <w:pPr>
        <w:autoSpaceDE w:val="0"/>
        <w:autoSpaceDN w:val="0"/>
        <w:adjustRightInd w:val="0"/>
        <w:rPr>
          <w:rFonts w:asciiTheme="minorHAnsi" w:hAnsiTheme="minorHAnsi"/>
          <w:b/>
          <w:sz w:val="22"/>
          <w:szCs w:val="22"/>
          <w:lang w:val="es-ES_tradnl"/>
        </w:rPr>
      </w:pPr>
    </w:p>
    <w:p w14:paraId="0BF909EB" w14:textId="65F8CB7C" w:rsidR="00EB447F" w:rsidRPr="0021716D" w:rsidRDefault="00B149E4"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s-ES_tradnl"/>
        </w:rPr>
      </w:pPr>
      <w:r w:rsidRPr="0021716D">
        <w:rPr>
          <w:rFonts w:asciiTheme="minorHAnsi" w:hAnsiTheme="minorHAnsi"/>
          <w:lang w:val="es-ES_tradnl"/>
        </w:rPr>
        <w:t>La Secretaría</w:t>
      </w:r>
      <w:r w:rsidR="0021716D">
        <w:rPr>
          <w:rFonts w:asciiTheme="minorHAnsi" w:hAnsiTheme="minorHAnsi"/>
          <w:lang w:val="es-ES_tradnl"/>
        </w:rPr>
        <w:t xml:space="preserve"> </w:t>
      </w:r>
      <w:r w:rsidR="00C25602" w:rsidRPr="0021716D">
        <w:rPr>
          <w:rFonts w:asciiTheme="minorHAnsi" w:hAnsiTheme="minorHAnsi"/>
          <w:lang w:val="es-ES_tradnl"/>
        </w:rPr>
        <w:t>ha firmado memorandos de cooperac</w:t>
      </w:r>
      <w:r w:rsidR="00BF44E2">
        <w:rPr>
          <w:rFonts w:asciiTheme="minorHAnsi" w:hAnsiTheme="minorHAnsi"/>
          <w:lang w:val="es-ES_tradnl"/>
        </w:rPr>
        <w:t>ión</w:t>
      </w:r>
      <w:r w:rsidR="00C25602" w:rsidRPr="0021716D">
        <w:rPr>
          <w:rFonts w:asciiTheme="minorHAnsi" w:hAnsiTheme="minorHAnsi"/>
          <w:lang w:val="es-ES_tradnl"/>
        </w:rPr>
        <w:t xml:space="preserve"> y acordado</w:t>
      </w:r>
      <w:r w:rsidR="00BF44E2">
        <w:rPr>
          <w:rFonts w:asciiTheme="minorHAnsi" w:hAnsiTheme="minorHAnsi"/>
          <w:lang w:val="es-ES_tradnl"/>
        </w:rPr>
        <w:t xml:space="preserve"> planes de trabajo conjuntos</w:t>
      </w:r>
      <w:r w:rsidR="002A65F4" w:rsidRPr="0021716D">
        <w:rPr>
          <w:rFonts w:asciiTheme="minorHAnsi" w:hAnsiTheme="minorHAnsi"/>
          <w:lang w:val="es-ES_tradnl"/>
        </w:rPr>
        <w:t xml:space="preserve"> </w:t>
      </w:r>
      <w:r w:rsidR="00BF44E2">
        <w:rPr>
          <w:rFonts w:asciiTheme="minorHAnsi" w:hAnsiTheme="minorHAnsi"/>
          <w:lang w:val="es-ES_tradnl"/>
        </w:rPr>
        <w:t xml:space="preserve">con tres de las Convenciones </w:t>
      </w:r>
      <w:r w:rsidR="00C25602" w:rsidRPr="0021716D">
        <w:rPr>
          <w:rFonts w:asciiTheme="minorHAnsi" w:hAnsiTheme="minorHAnsi"/>
          <w:lang w:val="es-ES_tradnl"/>
        </w:rPr>
        <w:t>relacionad</w:t>
      </w:r>
      <w:r w:rsidR="00DE01FC">
        <w:rPr>
          <w:rFonts w:asciiTheme="minorHAnsi" w:hAnsiTheme="minorHAnsi"/>
          <w:lang w:val="es-ES_tradnl"/>
        </w:rPr>
        <w:t>a</w:t>
      </w:r>
      <w:r w:rsidR="00C25602" w:rsidRPr="0021716D">
        <w:rPr>
          <w:rFonts w:asciiTheme="minorHAnsi" w:hAnsiTheme="minorHAnsi"/>
          <w:lang w:val="es-ES_tradnl"/>
        </w:rPr>
        <w:t xml:space="preserve">s con la biodiversidad: el CDB, la CEM y la </w:t>
      </w:r>
      <w:r w:rsidR="00BF44E2">
        <w:rPr>
          <w:rFonts w:asciiTheme="minorHAnsi" w:eastAsiaTheme="minorHAnsi" w:hAnsiTheme="minorHAnsi"/>
          <w:color w:val="000000"/>
          <w:lang w:val="es-ES_tradnl"/>
        </w:rPr>
        <w:t>Convención del Patrimonio Mundial (WHC)</w:t>
      </w:r>
      <w:r w:rsidR="00F65FDA" w:rsidRPr="0021716D">
        <w:rPr>
          <w:rStyle w:val="Strong"/>
          <w:rFonts w:asciiTheme="minorHAnsi" w:hAnsiTheme="minorHAnsi"/>
          <w:b w:val="0"/>
          <w:lang w:val="es-ES_tradnl"/>
        </w:rPr>
        <w:t>.</w:t>
      </w:r>
    </w:p>
    <w:p w14:paraId="6BFE3AA2" w14:textId="77777777" w:rsidR="00F65FDA" w:rsidRPr="0021716D" w:rsidRDefault="00F65FDA" w:rsidP="005522A4">
      <w:pPr>
        <w:autoSpaceDE w:val="0"/>
        <w:autoSpaceDN w:val="0"/>
        <w:adjustRightInd w:val="0"/>
        <w:ind w:left="426" w:hanging="426"/>
        <w:rPr>
          <w:rStyle w:val="Strong"/>
          <w:rFonts w:asciiTheme="minorHAnsi" w:hAnsiTheme="minorHAnsi"/>
          <w:b w:val="0"/>
          <w:sz w:val="22"/>
          <w:szCs w:val="22"/>
          <w:lang w:val="es-ES_tradnl"/>
        </w:rPr>
      </w:pPr>
    </w:p>
    <w:p w14:paraId="131C56E2" w14:textId="5F7E4A1E" w:rsidR="00376DDC" w:rsidRPr="00E36DCD" w:rsidRDefault="00B149E4"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s-ES_tradnl"/>
        </w:rPr>
      </w:pPr>
      <w:r w:rsidRPr="0021716D">
        <w:rPr>
          <w:rFonts w:asciiTheme="minorHAnsi" w:hAnsiTheme="minorHAnsi" w:cs="Calibri"/>
          <w:lang w:val="es-ES_tradnl"/>
        </w:rPr>
        <w:t>La Secretaría</w:t>
      </w:r>
      <w:r w:rsidR="002A65F4" w:rsidRPr="0021716D">
        <w:rPr>
          <w:rFonts w:asciiTheme="minorHAnsi" w:hAnsiTheme="minorHAnsi" w:cs="Calibri"/>
          <w:lang w:val="es-ES_tradnl"/>
        </w:rPr>
        <w:t xml:space="preserve"> </w:t>
      </w:r>
      <w:r w:rsidR="002B3E2C" w:rsidRPr="0021716D">
        <w:rPr>
          <w:rFonts w:asciiTheme="minorHAnsi" w:hAnsiTheme="minorHAnsi" w:cs="Calibri"/>
          <w:lang w:val="es-ES_tradnl"/>
        </w:rPr>
        <w:t>también ha colaborado</w:t>
      </w:r>
      <w:r w:rsidR="00BF44E2">
        <w:rPr>
          <w:rFonts w:asciiTheme="minorHAnsi" w:hAnsiTheme="minorHAnsi" w:cs="Calibri"/>
          <w:lang w:val="es-ES_tradnl"/>
        </w:rPr>
        <w:t xml:space="preserve"> con las C</w:t>
      </w:r>
      <w:r w:rsidR="002B3E2C" w:rsidRPr="0021716D">
        <w:rPr>
          <w:rFonts w:asciiTheme="minorHAnsi" w:hAnsiTheme="minorHAnsi" w:cs="Calibri"/>
          <w:lang w:val="es-ES_tradnl"/>
        </w:rPr>
        <w:t xml:space="preserve">onvenciones relacionadas con la </w:t>
      </w:r>
      <w:r w:rsidR="0021716D" w:rsidRPr="0021716D">
        <w:rPr>
          <w:rFonts w:asciiTheme="minorHAnsi" w:hAnsiTheme="minorHAnsi" w:cs="Calibri"/>
          <w:lang w:val="es-ES_tradnl"/>
        </w:rPr>
        <w:t>biodiversidad</w:t>
      </w:r>
      <w:r w:rsidR="002B3E2C" w:rsidRPr="0021716D">
        <w:rPr>
          <w:rFonts w:asciiTheme="minorHAnsi" w:hAnsiTheme="minorHAnsi" w:cs="Calibri"/>
          <w:lang w:val="es-ES_tradnl"/>
        </w:rPr>
        <w:t xml:space="preserve"> en </w:t>
      </w:r>
      <w:r w:rsidR="0021716D" w:rsidRPr="0021716D">
        <w:rPr>
          <w:rFonts w:asciiTheme="minorHAnsi" w:hAnsiTheme="minorHAnsi" w:cs="Calibri"/>
          <w:lang w:val="es-ES_tradnl"/>
        </w:rPr>
        <w:t>iniciativas</w:t>
      </w:r>
      <w:r w:rsidR="002B3E2C" w:rsidRPr="0021716D">
        <w:rPr>
          <w:rFonts w:asciiTheme="minorHAnsi" w:hAnsiTheme="minorHAnsi" w:cs="Calibri"/>
          <w:lang w:val="es-ES_tradnl"/>
        </w:rPr>
        <w:t xml:space="preserve"> como </w:t>
      </w:r>
      <w:r w:rsidR="00E36DCD" w:rsidRPr="00E36DCD">
        <w:rPr>
          <w:rFonts w:asciiTheme="minorHAnsi" w:hAnsiTheme="minorHAnsi" w:cs="Calibri"/>
          <w:lang w:val="es-ES_tradnl"/>
        </w:rPr>
        <w:t xml:space="preserve">tales como la </w:t>
      </w:r>
      <w:r w:rsidR="00E36DCD" w:rsidRPr="00E36DCD">
        <w:rPr>
          <w:rFonts w:asciiTheme="minorHAnsi" w:hAnsiTheme="minorHAnsi" w:cs="Calibri"/>
          <w:i/>
          <w:lang w:val="es-ES_tradnl"/>
        </w:rPr>
        <w:t>MEA Information and Knowledge Management Initiative</w:t>
      </w:r>
      <w:r w:rsidR="00E36DCD" w:rsidRPr="00E36DCD">
        <w:rPr>
          <w:rFonts w:asciiTheme="minorHAnsi" w:hAnsiTheme="minorHAnsi" w:cs="Calibri"/>
          <w:lang w:val="es-ES_tradnl"/>
        </w:rPr>
        <w:t xml:space="preserve"> </w:t>
      </w:r>
      <w:r w:rsidR="00E36DCD">
        <w:rPr>
          <w:rFonts w:asciiTheme="minorHAnsi" w:hAnsiTheme="minorHAnsi" w:cs="Calibri"/>
          <w:lang w:val="es-ES_tradnl"/>
        </w:rPr>
        <w:t xml:space="preserve">(INFORMEA, </w:t>
      </w:r>
      <w:r w:rsidR="00E36DCD" w:rsidRPr="00E36DCD">
        <w:rPr>
          <w:rFonts w:asciiTheme="minorHAnsi" w:hAnsiTheme="minorHAnsi" w:cs="Calibri"/>
          <w:lang w:val="es-ES_tradnl"/>
        </w:rPr>
        <w:t>Iniciativa de Gestión de la Información y del Conocimiento sobre los acuerdos ambientales multilaterales) y ha participado en el proyecto “</w:t>
      </w:r>
      <w:r w:rsidR="00E36DCD" w:rsidRPr="00E36DCD">
        <w:rPr>
          <w:rFonts w:asciiTheme="minorHAnsi" w:hAnsiTheme="minorHAnsi" w:cs="Calibri"/>
          <w:i/>
          <w:lang w:val="es-ES_tradnl"/>
        </w:rPr>
        <w:t>Improving the effectiveness of and cooperation among biodiversity-related conventions and exploring opportunities for further synergies</w:t>
      </w:r>
      <w:r w:rsidR="00E36DCD" w:rsidRPr="00E36DCD">
        <w:rPr>
          <w:rFonts w:asciiTheme="minorHAnsi" w:hAnsiTheme="minorHAnsi" w:cs="Calibri"/>
          <w:lang w:val="es-ES_tradnl"/>
        </w:rPr>
        <w:t>”</w:t>
      </w:r>
      <w:r w:rsidR="00E36DCD" w:rsidRPr="00E36DCD">
        <w:rPr>
          <w:rFonts w:asciiTheme="minorHAnsi" w:hAnsiTheme="minorHAnsi"/>
          <w:lang w:val="es-ES_tradnl"/>
        </w:rPr>
        <w:t xml:space="preserve"> (Mejora de la efectividad y la cooperación entre las convenciones relacionadas con la biodiversidad y estudio de las oportunidades para mayores sinergias) con el </w:t>
      </w:r>
      <w:r w:rsidR="00E36DCD" w:rsidRPr="00E36DCD">
        <w:rPr>
          <w:rFonts w:asciiTheme="minorHAnsi" w:hAnsiTheme="minorHAnsi" w:cs="Calibri"/>
          <w:lang w:val="es-ES_tradnl"/>
        </w:rPr>
        <w:t>PNUMA</w:t>
      </w:r>
      <w:r w:rsidR="00376DDC" w:rsidRPr="00E36DCD">
        <w:rPr>
          <w:rStyle w:val="Strong"/>
          <w:rFonts w:asciiTheme="minorHAnsi" w:hAnsiTheme="minorHAnsi"/>
          <w:b w:val="0"/>
          <w:lang w:val="es-ES_tradnl"/>
        </w:rPr>
        <w:t>.</w:t>
      </w:r>
      <w:r w:rsidR="002A65F4" w:rsidRPr="00E36DCD">
        <w:rPr>
          <w:rStyle w:val="Strong"/>
          <w:rFonts w:asciiTheme="minorHAnsi" w:hAnsiTheme="minorHAnsi"/>
          <w:b w:val="0"/>
          <w:lang w:val="es-ES_tradnl"/>
        </w:rPr>
        <w:t xml:space="preserve"> </w:t>
      </w:r>
    </w:p>
    <w:p w14:paraId="413DE3A9" w14:textId="77777777" w:rsidR="00376DDC" w:rsidRPr="0021716D" w:rsidRDefault="00376DDC" w:rsidP="005522A4">
      <w:pPr>
        <w:autoSpaceDE w:val="0"/>
        <w:autoSpaceDN w:val="0"/>
        <w:adjustRightInd w:val="0"/>
        <w:ind w:left="426" w:hanging="426"/>
        <w:rPr>
          <w:rStyle w:val="Strong"/>
          <w:rFonts w:asciiTheme="minorHAnsi" w:hAnsiTheme="minorHAnsi"/>
          <w:b w:val="0"/>
          <w:sz w:val="22"/>
          <w:szCs w:val="22"/>
          <w:lang w:val="es-ES_tradnl"/>
        </w:rPr>
      </w:pPr>
    </w:p>
    <w:p w14:paraId="7E538FC6" w14:textId="66421488" w:rsidR="00F65FDA" w:rsidRPr="0021716D" w:rsidRDefault="00E36DCD"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s-ES_tradnl"/>
        </w:rPr>
      </w:pPr>
      <w:r>
        <w:rPr>
          <w:rStyle w:val="Strong"/>
          <w:rFonts w:asciiTheme="minorHAnsi" w:hAnsiTheme="minorHAnsi"/>
          <w:b w:val="0"/>
          <w:lang w:val="es-ES_tradnl"/>
        </w:rPr>
        <w:t xml:space="preserve">También se ha firmado un memorando de entendimiento </w:t>
      </w:r>
      <w:r w:rsidR="00F45DE6" w:rsidRPr="0021716D">
        <w:rPr>
          <w:rStyle w:val="Strong"/>
          <w:rFonts w:asciiTheme="minorHAnsi" w:hAnsiTheme="minorHAnsi"/>
          <w:b w:val="0"/>
          <w:lang w:val="es-ES_tradnl"/>
        </w:rPr>
        <w:t>con la CLD y</w:t>
      </w:r>
      <w:r w:rsidR="00DE01FC">
        <w:rPr>
          <w:rStyle w:val="Strong"/>
          <w:rFonts w:asciiTheme="minorHAnsi" w:hAnsiTheme="minorHAnsi"/>
          <w:b w:val="0"/>
          <w:lang w:val="es-ES_tradnl"/>
        </w:rPr>
        <w:t>,</w:t>
      </w:r>
      <w:r w:rsidR="00F45DE6" w:rsidRPr="0021716D">
        <w:rPr>
          <w:rStyle w:val="Strong"/>
          <w:rFonts w:asciiTheme="minorHAnsi" w:hAnsiTheme="minorHAnsi"/>
          <w:b w:val="0"/>
          <w:lang w:val="es-ES_tradnl"/>
        </w:rPr>
        <w:t xml:space="preserve"> en el </w:t>
      </w:r>
      <w:r>
        <w:rPr>
          <w:rStyle w:val="Strong"/>
          <w:rFonts w:asciiTheme="minorHAnsi" w:hAnsiTheme="minorHAnsi"/>
          <w:b w:val="0"/>
          <w:lang w:val="es-ES_tradnl"/>
        </w:rPr>
        <w:t>Congre</w:t>
      </w:r>
      <w:r w:rsidR="00DE01FC">
        <w:rPr>
          <w:rStyle w:val="Strong"/>
          <w:rFonts w:asciiTheme="minorHAnsi" w:hAnsiTheme="minorHAnsi"/>
          <w:b w:val="0"/>
          <w:lang w:val="es-ES_tradnl"/>
        </w:rPr>
        <w:t>so</w:t>
      </w:r>
      <w:r>
        <w:rPr>
          <w:rStyle w:val="Strong"/>
          <w:rFonts w:asciiTheme="minorHAnsi" w:hAnsiTheme="minorHAnsi"/>
          <w:b w:val="0"/>
          <w:lang w:val="es-ES_tradnl"/>
        </w:rPr>
        <w:t xml:space="preserve"> Mundial de Parques celebrado en </w:t>
      </w:r>
      <w:r w:rsidR="00F45DE6" w:rsidRPr="0021716D">
        <w:rPr>
          <w:rStyle w:val="Strong"/>
          <w:rFonts w:asciiTheme="minorHAnsi" w:hAnsiTheme="minorHAnsi"/>
          <w:b w:val="0"/>
          <w:lang w:val="es-ES_tradnl"/>
        </w:rPr>
        <w:t xml:space="preserve">2014, se anunció </w:t>
      </w:r>
      <w:r>
        <w:rPr>
          <w:rStyle w:val="Strong"/>
          <w:rFonts w:asciiTheme="minorHAnsi" w:hAnsiTheme="minorHAnsi"/>
          <w:b w:val="0"/>
          <w:lang w:val="es-ES_tradnl"/>
        </w:rPr>
        <w:t>la creación de</w:t>
      </w:r>
      <w:r w:rsidR="00F45DE6" w:rsidRPr="0021716D">
        <w:rPr>
          <w:rStyle w:val="Strong"/>
          <w:rFonts w:asciiTheme="minorHAnsi" w:hAnsiTheme="minorHAnsi"/>
          <w:b w:val="0"/>
          <w:lang w:val="es-ES_tradnl"/>
        </w:rPr>
        <w:t xml:space="preserve"> una alianza para trabajar con la CLD </w:t>
      </w:r>
      <w:r>
        <w:rPr>
          <w:rStyle w:val="Strong"/>
          <w:rFonts w:asciiTheme="minorHAnsi" w:hAnsiTheme="minorHAnsi"/>
          <w:b w:val="0"/>
          <w:lang w:val="es-ES_tradnl"/>
        </w:rPr>
        <w:t>en pro de la restauración</w:t>
      </w:r>
      <w:r w:rsidR="00F45DE6" w:rsidRPr="0021716D">
        <w:rPr>
          <w:rStyle w:val="Strong"/>
          <w:rFonts w:asciiTheme="minorHAnsi" w:hAnsiTheme="minorHAnsi"/>
          <w:b w:val="0"/>
          <w:lang w:val="es-ES_tradnl"/>
        </w:rPr>
        <w:t xml:space="preserve"> las tierras secas y los humedales. </w:t>
      </w:r>
      <w:r w:rsidR="00471C86" w:rsidRPr="0021716D">
        <w:rPr>
          <w:rStyle w:val="Strong"/>
          <w:rFonts w:asciiTheme="minorHAnsi" w:hAnsiTheme="minorHAnsi"/>
          <w:b w:val="0"/>
          <w:lang w:val="es-ES_tradnl"/>
        </w:rPr>
        <w:t xml:space="preserve">Ya se está </w:t>
      </w:r>
      <w:r w:rsidR="0021716D">
        <w:rPr>
          <w:rStyle w:val="Strong"/>
          <w:rFonts w:asciiTheme="minorHAnsi" w:hAnsiTheme="minorHAnsi"/>
          <w:b w:val="0"/>
          <w:lang w:val="es-ES_tradnl"/>
        </w:rPr>
        <w:t>trabajando</w:t>
      </w:r>
      <w:r w:rsidR="00471C86" w:rsidRPr="0021716D">
        <w:rPr>
          <w:rStyle w:val="Strong"/>
          <w:rFonts w:asciiTheme="minorHAnsi" w:hAnsiTheme="minorHAnsi"/>
          <w:b w:val="0"/>
          <w:lang w:val="es-ES_tradnl"/>
        </w:rPr>
        <w:t xml:space="preserve"> en intervenciones </w:t>
      </w:r>
      <w:r>
        <w:rPr>
          <w:rStyle w:val="Strong"/>
          <w:rFonts w:asciiTheme="minorHAnsi" w:hAnsiTheme="minorHAnsi"/>
          <w:b w:val="0"/>
          <w:lang w:val="es-ES_tradnl"/>
        </w:rPr>
        <w:t>previstas en la COP13 de la CLD, que se celebrará</w:t>
      </w:r>
      <w:r w:rsidR="00471C86" w:rsidRPr="0021716D">
        <w:rPr>
          <w:rStyle w:val="Strong"/>
          <w:rFonts w:asciiTheme="minorHAnsi" w:hAnsiTheme="minorHAnsi"/>
          <w:b w:val="0"/>
          <w:lang w:val="es-ES_tradnl"/>
        </w:rPr>
        <w:t xml:space="preserve"> en </w:t>
      </w:r>
      <w:r w:rsidR="00617BD2" w:rsidRPr="0021716D">
        <w:rPr>
          <w:rStyle w:val="Strong"/>
          <w:rFonts w:asciiTheme="minorHAnsi" w:hAnsiTheme="minorHAnsi"/>
          <w:b w:val="0"/>
          <w:lang w:val="es-ES_tradnl"/>
        </w:rPr>
        <w:t>Ankara</w:t>
      </w:r>
      <w:r w:rsidR="00471C86" w:rsidRPr="0021716D">
        <w:rPr>
          <w:rStyle w:val="Strong"/>
          <w:rFonts w:asciiTheme="minorHAnsi" w:hAnsiTheme="minorHAnsi"/>
          <w:b w:val="0"/>
          <w:lang w:val="es-ES_tradnl"/>
        </w:rPr>
        <w:t xml:space="preserve"> en octubre</w:t>
      </w:r>
      <w:r>
        <w:rPr>
          <w:rStyle w:val="Strong"/>
          <w:rFonts w:asciiTheme="minorHAnsi" w:hAnsiTheme="minorHAnsi"/>
          <w:b w:val="0"/>
          <w:lang w:val="es-ES_tradnl"/>
        </w:rPr>
        <w:t>,</w:t>
      </w:r>
      <w:r w:rsidR="00471C86" w:rsidRPr="0021716D">
        <w:rPr>
          <w:rStyle w:val="Strong"/>
          <w:rFonts w:asciiTheme="minorHAnsi" w:hAnsiTheme="minorHAnsi"/>
          <w:b w:val="0"/>
          <w:lang w:val="es-ES_tradnl"/>
        </w:rPr>
        <w:t xml:space="preserve"> y en eventos </w:t>
      </w:r>
      <w:r>
        <w:rPr>
          <w:rStyle w:val="Strong"/>
          <w:rFonts w:asciiTheme="minorHAnsi" w:hAnsiTheme="minorHAnsi"/>
          <w:b w:val="0"/>
          <w:lang w:val="es-ES_tradnl"/>
        </w:rPr>
        <w:t>q</w:t>
      </w:r>
      <w:r w:rsidR="00471C86" w:rsidRPr="0021716D">
        <w:rPr>
          <w:rStyle w:val="Strong"/>
          <w:rFonts w:asciiTheme="minorHAnsi" w:hAnsiTheme="minorHAnsi"/>
          <w:b w:val="0"/>
          <w:lang w:val="es-ES_tradnl"/>
        </w:rPr>
        <w:t xml:space="preserve">ue tendrán lugar en la COP21 de la CMNUCC en París, </w:t>
      </w:r>
      <w:r>
        <w:rPr>
          <w:rStyle w:val="Strong"/>
          <w:rFonts w:asciiTheme="minorHAnsi" w:hAnsiTheme="minorHAnsi"/>
          <w:b w:val="0"/>
          <w:lang w:val="es-ES_tradnl"/>
        </w:rPr>
        <w:t xml:space="preserve">mientras </w:t>
      </w:r>
      <w:r w:rsidR="00471C86" w:rsidRPr="0021716D">
        <w:rPr>
          <w:rStyle w:val="Strong"/>
          <w:rFonts w:asciiTheme="minorHAnsi" w:hAnsiTheme="minorHAnsi"/>
          <w:b w:val="0"/>
          <w:lang w:val="es-ES_tradnl"/>
        </w:rPr>
        <w:t xml:space="preserve">prosiguen las </w:t>
      </w:r>
      <w:r w:rsidR="0021716D" w:rsidRPr="0021716D">
        <w:rPr>
          <w:rStyle w:val="Strong"/>
          <w:rFonts w:asciiTheme="minorHAnsi" w:hAnsiTheme="minorHAnsi"/>
          <w:b w:val="0"/>
          <w:lang w:val="es-ES_tradnl"/>
        </w:rPr>
        <w:t>discusiones</w:t>
      </w:r>
      <w:r w:rsidR="00471C86" w:rsidRPr="0021716D">
        <w:rPr>
          <w:rStyle w:val="Strong"/>
          <w:rFonts w:asciiTheme="minorHAnsi" w:hAnsiTheme="minorHAnsi"/>
          <w:b w:val="0"/>
          <w:lang w:val="es-ES_tradnl"/>
        </w:rPr>
        <w:t xml:space="preserve"> sobre la manera de </w:t>
      </w:r>
      <w:r w:rsidR="0021716D" w:rsidRPr="0021716D">
        <w:rPr>
          <w:rStyle w:val="Strong"/>
          <w:rFonts w:asciiTheme="minorHAnsi" w:hAnsiTheme="minorHAnsi"/>
          <w:b w:val="0"/>
          <w:lang w:val="es-ES_tradnl"/>
        </w:rPr>
        <w:t>trabajar</w:t>
      </w:r>
      <w:r w:rsidR="00471C86" w:rsidRPr="0021716D">
        <w:rPr>
          <w:rStyle w:val="Strong"/>
          <w:rFonts w:asciiTheme="minorHAnsi" w:hAnsiTheme="minorHAnsi"/>
          <w:b w:val="0"/>
          <w:lang w:val="es-ES_tradnl"/>
        </w:rPr>
        <w:t xml:space="preserve"> </w:t>
      </w:r>
      <w:r w:rsidR="00DE01FC">
        <w:rPr>
          <w:rStyle w:val="Strong"/>
          <w:rFonts w:asciiTheme="minorHAnsi" w:hAnsiTheme="minorHAnsi"/>
          <w:b w:val="0"/>
          <w:lang w:val="es-ES_tradnl"/>
        </w:rPr>
        <w:t>en colaboración</w:t>
      </w:r>
      <w:r w:rsidR="00471C86" w:rsidRPr="0021716D">
        <w:rPr>
          <w:rStyle w:val="Strong"/>
          <w:rFonts w:asciiTheme="minorHAnsi" w:hAnsiTheme="minorHAnsi"/>
          <w:b w:val="0"/>
          <w:lang w:val="es-ES_tradnl"/>
        </w:rPr>
        <w:t xml:space="preserve"> </w:t>
      </w:r>
      <w:r>
        <w:rPr>
          <w:rStyle w:val="Strong"/>
          <w:rFonts w:asciiTheme="minorHAnsi" w:hAnsiTheme="minorHAnsi"/>
          <w:b w:val="0"/>
          <w:lang w:val="es-ES_tradnl"/>
        </w:rPr>
        <w:t>para ayudar a las P</w:t>
      </w:r>
      <w:r w:rsidR="00471C86" w:rsidRPr="0021716D">
        <w:rPr>
          <w:rStyle w:val="Strong"/>
          <w:rFonts w:asciiTheme="minorHAnsi" w:hAnsiTheme="minorHAnsi"/>
          <w:b w:val="0"/>
          <w:lang w:val="es-ES_tradnl"/>
        </w:rPr>
        <w:t xml:space="preserve">artes a acceder a un programa a gran escala </w:t>
      </w:r>
      <w:r>
        <w:rPr>
          <w:rStyle w:val="Strong"/>
          <w:rFonts w:asciiTheme="minorHAnsi" w:hAnsiTheme="minorHAnsi"/>
          <w:b w:val="0"/>
          <w:lang w:val="es-ES_tradnl"/>
        </w:rPr>
        <w:t>dirigido por l</w:t>
      </w:r>
      <w:r w:rsidR="00471C86" w:rsidRPr="0021716D">
        <w:rPr>
          <w:rStyle w:val="Strong"/>
          <w:rFonts w:asciiTheme="minorHAnsi" w:hAnsiTheme="minorHAnsi"/>
          <w:b w:val="0"/>
          <w:lang w:val="es-ES_tradnl"/>
        </w:rPr>
        <w:t>a CLD</w:t>
      </w:r>
      <w:r>
        <w:rPr>
          <w:rStyle w:val="Strong"/>
          <w:rFonts w:asciiTheme="minorHAnsi" w:hAnsiTheme="minorHAnsi"/>
          <w:b w:val="0"/>
          <w:lang w:val="es-ES_tradnl"/>
        </w:rPr>
        <w:t xml:space="preserve"> y</w:t>
      </w:r>
      <w:r w:rsidR="00471C86" w:rsidRPr="0021716D">
        <w:rPr>
          <w:rStyle w:val="Strong"/>
          <w:rFonts w:asciiTheme="minorHAnsi" w:hAnsiTheme="minorHAnsi"/>
          <w:b w:val="0"/>
          <w:lang w:val="es-ES_tradnl"/>
        </w:rPr>
        <w:t xml:space="preserve"> financiado por el sector privado</w:t>
      </w:r>
      <w:r w:rsidR="002A65F4" w:rsidRPr="0021716D">
        <w:rPr>
          <w:rStyle w:val="Strong"/>
          <w:rFonts w:asciiTheme="minorHAnsi" w:hAnsiTheme="minorHAnsi"/>
          <w:b w:val="0"/>
          <w:lang w:val="es-ES_tradnl"/>
        </w:rPr>
        <w:t xml:space="preserve"> </w:t>
      </w:r>
      <w:r w:rsidR="00471C86" w:rsidRPr="0021716D">
        <w:rPr>
          <w:rStyle w:val="Strong"/>
          <w:rFonts w:asciiTheme="minorHAnsi" w:hAnsiTheme="minorHAnsi"/>
          <w:b w:val="0"/>
          <w:lang w:val="es-ES_tradnl"/>
        </w:rPr>
        <w:t xml:space="preserve">para garantizar la neutralidad en la </w:t>
      </w:r>
      <w:r>
        <w:rPr>
          <w:rStyle w:val="Strong"/>
          <w:rFonts w:asciiTheme="minorHAnsi" w:hAnsiTheme="minorHAnsi"/>
          <w:b w:val="0"/>
          <w:lang w:val="es-ES_tradnl"/>
        </w:rPr>
        <w:lastRenderedPageBreak/>
        <w:t xml:space="preserve">degradación de la tierra </w:t>
      </w:r>
      <w:r w:rsidR="00471C86" w:rsidRPr="0021716D">
        <w:rPr>
          <w:rStyle w:val="Strong"/>
          <w:rFonts w:asciiTheme="minorHAnsi" w:hAnsiTheme="minorHAnsi"/>
          <w:b w:val="0"/>
          <w:lang w:val="es-ES_tradnl"/>
        </w:rPr>
        <w:t xml:space="preserve">y restaurar 12 millones de </w:t>
      </w:r>
      <w:r w:rsidR="0021716D" w:rsidRPr="0021716D">
        <w:rPr>
          <w:rStyle w:val="Strong"/>
          <w:rFonts w:asciiTheme="minorHAnsi" w:hAnsiTheme="minorHAnsi"/>
          <w:b w:val="0"/>
          <w:lang w:val="es-ES_tradnl"/>
        </w:rPr>
        <w:t>hectáreas</w:t>
      </w:r>
      <w:r>
        <w:rPr>
          <w:rStyle w:val="Strong"/>
          <w:rFonts w:asciiTheme="minorHAnsi" w:hAnsiTheme="minorHAnsi"/>
          <w:b w:val="0"/>
          <w:lang w:val="es-ES_tradnl"/>
        </w:rPr>
        <w:t xml:space="preserve"> de terreno para que </w:t>
      </w:r>
      <w:r w:rsidR="00471C86" w:rsidRPr="0021716D">
        <w:rPr>
          <w:rStyle w:val="Strong"/>
          <w:rFonts w:asciiTheme="minorHAnsi" w:hAnsiTheme="minorHAnsi"/>
          <w:b w:val="0"/>
          <w:lang w:val="es-ES_tradnl"/>
        </w:rPr>
        <w:t xml:space="preserve">vuelvan a ser </w:t>
      </w:r>
      <w:r w:rsidR="0021716D" w:rsidRPr="0021716D">
        <w:rPr>
          <w:rStyle w:val="Strong"/>
          <w:rFonts w:asciiTheme="minorHAnsi" w:hAnsiTheme="minorHAnsi"/>
          <w:b w:val="0"/>
          <w:lang w:val="es-ES_tradnl"/>
        </w:rPr>
        <w:t>ecosistemas</w:t>
      </w:r>
      <w:r w:rsidR="00471C86" w:rsidRPr="0021716D">
        <w:rPr>
          <w:rStyle w:val="Strong"/>
          <w:rFonts w:asciiTheme="minorHAnsi" w:hAnsiTheme="minorHAnsi"/>
          <w:b w:val="0"/>
          <w:lang w:val="es-ES_tradnl"/>
        </w:rPr>
        <w:t xml:space="preserve"> </w:t>
      </w:r>
      <w:r w:rsidR="0021716D" w:rsidRPr="0021716D">
        <w:rPr>
          <w:rStyle w:val="Strong"/>
          <w:rFonts w:asciiTheme="minorHAnsi" w:hAnsiTheme="minorHAnsi"/>
          <w:b w:val="0"/>
          <w:lang w:val="es-ES_tradnl"/>
        </w:rPr>
        <w:t>productivos</w:t>
      </w:r>
      <w:r w:rsidR="00471C86" w:rsidRPr="0021716D">
        <w:rPr>
          <w:rStyle w:val="Strong"/>
          <w:rFonts w:asciiTheme="minorHAnsi" w:hAnsiTheme="minorHAnsi"/>
          <w:b w:val="0"/>
          <w:lang w:val="es-ES_tradnl"/>
        </w:rPr>
        <w:t xml:space="preserve"> cada año, </w:t>
      </w:r>
      <w:r>
        <w:rPr>
          <w:rStyle w:val="Strong"/>
          <w:rFonts w:asciiTheme="minorHAnsi" w:hAnsiTheme="minorHAnsi"/>
          <w:b w:val="0"/>
          <w:lang w:val="es-ES_tradnl"/>
        </w:rPr>
        <w:t xml:space="preserve">posiblemente haciendo hincapié en </w:t>
      </w:r>
      <w:r w:rsidR="00471C86" w:rsidRPr="0021716D">
        <w:rPr>
          <w:rStyle w:val="Strong"/>
          <w:rFonts w:asciiTheme="minorHAnsi" w:hAnsiTheme="minorHAnsi"/>
          <w:b w:val="0"/>
          <w:lang w:val="es-ES_tradnl"/>
        </w:rPr>
        <w:t xml:space="preserve">la restauración de los </w:t>
      </w:r>
      <w:r w:rsidR="0021716D" w:rsidRPr="0021716D">
        <w:rPr>
          <w:rStyle w:val="Strong"/>
          <w:rFonts w:asciiTheme="minorHAnsi" w:hAnsiTheme="minorHAnsi"/>
          <w:b w:val="0"/>
          <w:lang w:val="es-ES_tradnl"/>
        </w:rPr>
        <w:t>humedales</w:t>
      </w:r>
      <w:r w:rsidR="00471C86" w:rsidRPr="0021716D">
        <w:rPr>
          <w:rStyle w:val="Strong"/>
          <w:rFonts w:asciiTheme="minorHAnsi" w:hAnsiTheme="minorHAnsi"/>
          <w:b w:val="0"/>
          <w:lang w:val="es-ES_tradnl"/>
        </w:rPr>
        <w:t xml:space="preserve"> y en el elevado </w:t>
      </w:r>
      <w:r w:rsidR="0021716D" w:rsidRPr="0021716D">
        <w:rPr>
          <w:rStyle w:val="Strong"/>
          <w:rFonts w:asciiTheme="minorHAnsi" w:hAnsiTheme="minorHAnsi"/>
          <w:b w:val="0"/>
          <w:lang w:val="es-ES_tradnl"/>
        </w:rPr>
        <w:t>rendimiento</w:t>
      </w:r>
      <w:r w:rsidR="00471C86" w:rsidRPr="0021716D">
        <w:rPr>
          <w:rStyle w:val="Strong"/>
          <w:rFonts w:asciiTheme="minorHAnsi" w:hAnsiTheme="minorHAnsi"/>
          <w:b w:val="0"/>
          <w:lang w:val="es-ES_tradnl"/>
        </w:rPr>
        <w:t xml:space="preserve"> de este esfuerzo de restauración.</w:t>
      </w:r>
    </w:p>
    <w:p w14:paraId="66BFA6C6" w14:textId="77777777" w:rsidR="00DC3C16" w:rsidRPr="0021716D" w:rsidRDefault="00DC3C16" w:rsidP="005522A4">
      <w:pPr>
        <w:pStyle w:val="ListParagraph"/>
        <w:ind w:left="426" w:hanging="426"/>
        <w:jc w:val="left"/>
        <w:rPr>
          <w:rStyle w:val="Strong"/>
          <w:rFonts w:asciiTheme="minorHAnsi" w:hAnsiTheme="minorHAnsi"/>
          <w:b w:val="0"/>
          <w:lang w:val="es-ES_tradnl"/>
        </w:rPr>
      </w:pPr>
    </w:p>
    <w:p w14:paraId="616DDFE8" w14:textId="3F828A90" w:rsidR="00536ED0" w:rsidRPr="0021716D" w:rsidRDefault="00B149E4"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s-ES_tradnl"/>
        </w:rPr>
      </w:pPr>
      <w:r w:rsidRPr="0021716D">
        <w:rPr>
          <w:rStyle w:val="Strong"/>
          <w:rFonts w:asciiTheme="minorHAnsi" w:hAnsiTheme="minorHAnsi"/>
          <w:b w:val="0"/>
          <w:lang w:val="es-ES_tradnl"/>
        </w:rPr>
        <w:t xml:space="preserve">La </w:t>
      </w:r>
      <w:r w:rsidRPr="00186C60">
        <w:rPr>
          <w:rStyle w:val="Strong"/>
          <w:rFonts w:asciiTheme="minorHAnsi" w:hAnsiTheme="minorHAnsi"/>
          <w:b w:val="0"/>
          <w:lang w:val="es-ES_tradnl"/>
        </w:rPr>
        <w:t>Secretaría</w:t>
      </w:r>
      <w:r w:rsidR="00471C86" w:rsidRPr="00186C60">
        <w:rPr>
          <w:rStyle w:val="Strong"/>
          <w:rFonts w:asciiTheme="minorHAnsi" w:hAnsiTheme="minorHAnsi"/>
          <w:b w:val="0"/>
          <w:lang w:val="es-ES_tradnl"/>
        </w:rPr>
        <w:t xml:space="preserve"> </w:t>
      </w:r>
      <w:r w:rsidR="00186C60">
        <w:rPr>
          <w:rStyle w:val="Strong"/>
          <w:rFonts w:asciiTheme="minorHAnsi" w:hAnsiTheme="minorHAnsi"/>
          <w:b w:val="0"/>
          <w:lang w:val="es-ES_tradnl"/>
        </w:rPr>
        <w:t>ha estrechado sus relaciones</w:t>
      </w:r>
      <w:r w:rsidR="002A65F4" w:rsidRPr="0021716D">
        <w:rPr>
          <w:rStyle w:val="Strong"/>
          <w:rFonts w:asciiTheme="minorHAnsi" w:hAnsiTheme="minorHAnsi"/>
          <w:b w:val="0"/>
          <w:lang w:val="es-ES_tradnl"/>
        </w:rPr>
        <w:t xml:space="preserve"> </w:t>
      </w:r>
      <w:r w:rsidR="00471C86" w:rsidRPr="0021716D">
        <w:rPr>
          <w:rStyle w:val="Strong"/>
          <w:rFonts w:asciiTheme="minorHAnsi" w:hAnsiTheme="minorHAnsi"/>
          <w:b w:val="0"/>
          <w:lang w:val="es-ES_tradnl"/>
        </w:rPr>
        <w:t>con la</w:t>
      </w:r>
      <w:r w:rsidR="00DE01FC">
        <w:rPr>
          <w:rStyle w:val="Strong"/>
          <w:rFonts w:asciiTheme="minorHAnsi" w:hAnsiTheme="minorHAnsi"/>
          <w:b w:val="0"/>
          <w:lang w:val="es-ES_tradnl"/>
        </w:rPr>
        <w:t xml:space="preserve"> Convención Marco de las Naciones Unidas sobre el Cambio Climático (</w:t>
      </w:r>
      <w:r w:rsidR="00471C86" w:rsidRPr="0021716D">
        <w:rPr>
          <w:rStyle w:val="Strong"/>
          <w:rFonts w:asciiTheme="minorHAnsi" w:hAnsiTheme="minorHAnsi"/>
          <w:b w:val="0"/>
          <w:lang w:val="es-ES_tradnl"/>
        </w:rPr>
        <w:t>CMNUCC</w:t>
      </w:r>
      <w:r w:rsidR="00DE01FC">
        <w:rPr>
          <w:rStyle w:val="Strong"/>
          <w:rFonts w:asciiTheme="minorHAnsi" w:hAnsiTheme="minorHAnsi"/>
          <w:b w:val="0"/>
          <w:lang w:val="es-ES_tradnl"/>
        </w:rPr>
        <w:t>)</w:t>
      </w:r>
      <w:r w:rsidR="00471C86" w:rsidRPr="0021716D">
        <w:rPr>
          <w:rStyle w:val="Strong"/>
          <w:rFonts w:asciiTheme="minorHAnsi" w:hAnsiTheme="minorHAnsi"/>
          <w:b w:val="0"/>
          <w:lang w:val="es-ES_tradnl"/>
        </w:rPr>
        <w:t xml:space="preserve"> y ha recibido su asistencia directa para la COP12 y en </w:t>
      </w:r>
      <w:r w:rsidR="00DA754A">
        <w:rPr>
          <w:rStyle w:val="Strong"/>
          <w:rFonts w:asciiTheme="minorHAnsi" w:hAnsiTheme="minorHAnsi"/>
          <w:b w:val="0"/>
          <w:lang w:val="es-ES_tradnl"/>
        </w:rPr>
        <w:t xml:space="preserve">la </w:t>
      </w:r>
      <w:r w:rsidR="00471C86" w:rsidRPr="0021716D">
        <w:rPr>
          <w:rStyle w:val="Strong"/>
          <w:rFonts w:asciiTheme="minorHAnsi" w:hAnsiTheme="minorHAnsi"/>
          <w:b w:val="0"/>
          <w:lang w:val="es-ES_tradnl"/>
        </w:rPr>
        <w:t xml:space="preserve">preparación de </w:t>
      </w:r>
      <w:r w:rsidR="00186C60">
        <w:rPr>
          <w:rStyle w:val="Strong"/>
          <w:rFonts w:asciiTheme="minorHAnsi" w:hAnsiTheme="minorHAnsi"/>
          <w:b w:val="0"/>
          <w:lang w:val="es-ES_tradnl"/>
        </w:rPr>
        <w:t>la</w:t>
      </w:r>
      <w:r w:rsidR="00471C86" w:rsidRPr="0021716D">
        <w:rPr>
          <w:rStyle w:val="Strong"/>
          <w:rFonts w:asciiTheme="minorHAnsi" w:hAnsiTheme="minorHAnsi"/>
          <w:b w:val="0"/>
          <w:lang w:val="es-ES_tradnl"/>
        </w:rPr>
        <w:t xml:space="preserve"> </w:t>
      </w:r>
      <w:r w:rsidR="00872A6F" w:rsidRPr="0021716D">
        <w:rPr>
          <w:rStyle w:val="Strong"/>
          <w:rFonts w:asciiTheme="minorHAnsi" w:hAnsiTheme="minorHAnsi"/>
          <w:b w:val="0"/>
          <w:lang w:val="es-ES_tradnl"/>
        </w:rPr>
        <w:t>COP21</w:t>
      </w:r>
      <w:r w:rsidR="00186C60">
        <w:rPr>
          <w:rStyle w:val="Strong"/>
          <w:rFonts w:asciiTheme="minorHAnsi" w:hAnsiTheme="minorHAnsi"/>
          <w:b w:val="0"/>
          <w:lang w:val="es-ES_tradnl"/>
        </w:rPr>
        <w:t xml:space="preserve"> de la CMNUCC</w:t>
      </w:r>
      <w:r w:rsidR="002A65F4" w:rsidRPr="0021716D">
        <w:rPr>
          <w:rStyle w:val="Strong"/>
          <w:rFonts w:asciiTheme="minorHAnsi" w:hAnsiTheme="minorHAnsi"/>
          <w:b w:val="0"/>
          <w:lang w:val="es-ES_tradnl"/>
        </w:rPr>
        <w:t xml:space="preserve"> </w:t>
      </w:r>
      <w:r w:rsidR="00471C86" w:rsidRPr="0021716D">
        <w:rPr>
          <w:rStyle w:val="Strong"/>
          <w:rFonts w:asciiTheme="minorHAnsi" w:hAnsiTheme="minorHAnsi"/>
          <w:b w:val="0"/>
          <w:lang w:val="es-ES_tradnl"/>
        </w:rPr>
        <w:t xml:space="preserve">en París y procurará </w:t>
      </w:r>
      <w:r w:rsidR="0021716D" w:rsidRPr="0021716D">
        <w:rPr>
          <w:rStyle w:val="Strong"/>
          <w:rFonts w:asciiTheme="minorHAnsi" w:hAnsiTheme="minorHAnsi"/>
          <w:b w:val="0"/>
          <w:lang w:val="es-ES_tradnl"/>
        </w:rPr>
        <w:t>aumentar</w:t>
      </w:r>
      <w:r w:rsidR="00186C60">
        <w:rPr>
          <w:rStyle w:val="Strong"/>
          <w:rFonts w:asciiTheme="minorHAnsi" w:hAnsiTheme="minorHAnsi"/>
          <w:b w:val="0"/>
          <w:lang w:val="es-ES_tradnl"/>
        </w:rPr>
        <w:t xml:space="preserve"> la participación y promover </w:t>
      </w:r>
      <w:r w:rsidR="00471C86" w:rsidRPr="0021716D">
        <w:rPr>
          <w:rStyle w:val="Strong"/>
          <w:rFonts w:asciiTheme="minorHAnsi" w:hAnsiTheme="minorHAnsi"/>
          <w:b w:val="0"/>
          <w:lang w:val="es-ES_tradnl"/>
        </w:rPr>
        <w:t xml:space="preserve">la firma de un posible </w:t>
      </w:r>
      <w:r w:rsidR="00186C60">
        <w:rPr>
          <w:rStyle w:val="Strong"/>
          <w:rFonts w:asciiTheme="minorHAnsi" w:hAnsiTheme="minorHAnsi"/>
          <w:b w:val="0"/>
          <w:lang w:val="es-ES_tradnl"/>
        </w:rPr>
        <w:t>memorando de entendimiento</w:t>
      </w:r>
      <w:r w:rsidR="00471C86" w:rsidRPr="0021716D">
        <w:rPr>
          <w:rStyle w:val="Strong"/>
          <w:rFonts w:asciiTheme="minorHAnsi" w:hAnsiTheme="minorHAnsi"/>
          <w:b w:val="0"/>
          <w:lang w:val="es-ES_tradnl"/>
        </w:rPr>
        <w:t xml:space="preserve"> a la luz de</w:t>
      </w:r>
      <w:r w:rsidR="00186C60">
        <w:rPr>
          <w:rStyle w:val="Strong"/>
          <w:rFonts w:asciiTheme="minorHAnsi" w:hAnsiTheme="minorHAnsi"/>
          <w:b w:val="0"/>
          <w:lang w:val="es-ES_tradnl"/>
        </w:rPr>
        <w:t xml:space="preserve"> la correspondencia entre </w:t>
      </w:r>
      <w:r w:rsidR="00471C86" w:rsidRPr="0021716D">
        <w:rPr>
          <w:rStyle w:val="Strong"/>
          <w:rFonts w:asciiTheme="minorHAnsi" w:hAnsiTheme="minorHAnsi"/>
          <w:b w:val="0"/>
          <w:lang w:val="es-ES_tradnl"/>
        </w:rPr>
        <w:t xml:space="preserve">los objetivos de ambas convenciones. </w:t>
      </w:r>
      <w:r w:rsidR="00186C60">
        <w:rPr>
          <w:rStyle w:val="Strong"/>
          <w:rFonts w:asciiTheme="minorHAnsi" w:hAnsiTheme="minorHAnsi"/>
          <w:b w:val="0"/>
          <w:lang w:val="es-ES_tradnl"/>
        </w:rPr>
        <w:t>S</w:t>
      </w:r>
      <w:r w:rsidR="00186C60" w:rsidRPr="0021716D">
        <w:rPr>
          <w:rStyle w:val="Strong"/>
          <w:rFonts w:asciiTheme="minorHAnsi" w:hAnsiTheme="minorHAnsi"/>
          <w:b w:val="0"/>
          <w:lang w:val="es-ES_tradnl"/>
        </w:rPr>
        <w:t xml:space="preserve">e reconoce plenamente </w:t>
      </w:r>
      <w:r w:rsidR="00186C60">
        <w:rPr>
          <w:rStyle w:val="Strong"/>
          <w:rFonts w:asciiTheme="minorHAnsi" w:hAnsiTheme="minorHAnsi"/>
          <w:b w:val="0"/>
          <w:lang w:val="es-ES_tradnl"/>
        </w:rPr>
        <w:t>e</w:t>
      </w:r>
      <w:r w:rsidR="00471C86" w:rsidRPr="0021716D">
        <w:rPr>
          <w:rStyle w:val="Strong"/>
          <w:rFonts w:asciiTheme="minorHAnsi" w:hAnsiTheme="minorHAnsi"/>
          <w:b w:val="0"/>
          <w:lang w:val="es-ES_tradnl"/>
        </w:rPr>
        <w:t xml:space="preserve">l </w:t>
      </w:r>
      <w:r w:rsidR="0021716D" w:rsidRPr="0021716D">
        <w:rPr>
          <w:rStyle w:val="Strong"/>
          <w:rFonts w:asciiTheme="minorHAnsi" w:hAnsiTheme="minorHAnsi"/>
          <w:b w:val="0"/>
          <w:lang w:val="es-ES_tradnl"/>
        </w:rPr>
        <w:t>elevado</w:t>
      </w:r>
      <w:r w:rsidR="00471C86" w:rsidRPr="0021716D">
        <w:rPr>
          <w:rStyle w:val="Strong"/>
          <w:rFonts w:asciiTheme="minorHAnsi" w:hAnsiTheme="minorHAnsi"/>
          <w:b w:val="0"/>
          <w:lang w:val="es-ES_tradnl"/>
        </w:rPr>
        <w:t xml:space="preserve"> valor de los humedales en relación con la captura </w:t>
      </w:r>
      <w:r w:rsidR="00186C60">
        <w:rPr>
          <w:rStyle w:val="Strong"/>
          <w:rFonts w:asciiTheme="minorHAnsi" w:hAnsiTheme="minorHAnsi"/>
          <w:b w:val="0"/>
          <w:lang w:val="es-ES_tradnl"/>
        </w:rPr>
        <w:t xml:space="preserve">y la posible liberación </w:t>
      </w:r>
      <w:r w:rsidR="00471C86" w:rsidRPr="0021716D">
        <w:rPr>
          <w:rStyle w:val="Strong"/>
          <w:rFonts w:asciiTheme="minorHAnsi" w:hAnsiTheme="minorHAnsi"/>
          <w:b w:val="0"/>
          <w:lang w:val="es-ES_tradnl"/>
        </w:rPr>
        <w:t xml:space="preserve">de carbono y se entiende que las </w:t>
      </w:r>
      <w:r w:rsidR="00186C60">
        <w:rPr>
          <w:rStyle w:val="Strong"/>
          <w:rFonts w:asciiTheme="minorHAnsi" w:hAnsiTheme="minorHAnsi"/>
          <w:b w:val="0"/>
          <w:lang w:val="es-ES_tradnl"/>
        </w:rPr>
        <w:t>medidas</w:t>
      </w:r>
      <w:r w:rsidR="00471C86" w:rsidRPr="0021716D">
        <w:rPr>
          <w:rStyle w:val="Strong"/>
          <w:rFonts w:asciiTheme="minorHAnsi" w:hAnsiTheme="minorHAnsi"/>
          <w:b w:val="0"/>
          <w:lang w:val="es-ES_tradnl"/>
        </w:rPr>
        <w:t xml:space="preserve"> encaminadas a mantener o </w:t>
      </w:r>
      <w:r w:rsidR="0021716D" w:rsidRPr="0021716D">
        <w:rPr>
          <w:rStyle w:val="Strong"/>
          <w:rFonts w:asciiTheme="minorHAnsi" w:hAnsiTheme="minorHAnsi"/>
          <w:b w:val="0"/>
          <w:lang w:val="es-ES_tradnl"/>
        </w:rPr>
        <w:t>aumentar</w:t>
      </w:r>
      <w:r w:rsidR="00471C86" w:rsidRPr="0021716D">
        <w:rPr>
          <w:rStyle w:val="Strong"/>
          <w:rFonts w:asciiTheme="minorHAnsi" w:hAnsiTheme="minorHAnsi"/>
          <w:b w:val="0"/>
          <w:lang w:val="es-ES_tradnl"/>
        </w:rPr>
        <w:t xml:space="preserve"> </w:t>
      </w:r>
      <w:r w:rsidR="00186C60">
        <w:rPr>
          <w:rStyle w:val="Strong"/>
          <w:rFonts w:asciiTheme="minorHAnsi" w:hAnsiTheme="minorHAnsi"/>
          <w:b w:val="0"/>
          <w:lang w:val="es-ES_tradnl"/>
        </w:rPr>
        <w:t>las reservas</w:t>
      </w:r>
      <w:r w:rsidR="00471C86" w:rsidRPr="0021716D">
        <w:rPr>
          <w:rStyle w:val="Strong"/>
          <w:rFonts w:asciiTheme="minorHAnsi" w:hAnsiTheme="minorHAnsi"/>
          <w:b w:val="0"/>
          <w:lang w:val="es-ES_tradnl"/>
        </w:rPr>
        <w:t xml:space="preserve"> de carbono en los </w:t>
      </w:r>
      <w:r w:rsidR="0021716D" w:rsidRPr="0021716D">
        <w:rPr>
          <w:rStyle w:val="Strong"/>
          <w:rFonts w:asciiTheme="minorHAnsi" w:hAnsiTheme="minorHAnsi"/>
          <w:b w:val="0"/>
          <w:lang w:val="es-ES_tradnl"/>
        </w:rPr>
        <w:t>humedales</w:t>
      </w:r>
      <w:r w:rsidR="00471C86" w:rsidRPr="0021716D">
        <w:rPr>
          <w:rStyle w:val="Strong"/>
          <w:rFonts w:asciiTheme="minorHAnsi" w:hAnsiTheme="minorHAnsi"/>
          <w:b w:val="0"/>
          <w:lang w:val="es-ES_tradnl"/>
        </w:rPr>
        <w:t xml:space="preserve"> </w:t>
      </w:r>
      <w:r w:rsidR="00DE01FC">
        <w:rPr>
          <w:rStyle w:val="Strong"/>
          <w:rFonts w:asciiTheme="minorHAnsi" w:hAnsiTheme="minorHAnsi"/>
          <w:b w:val="0"/>
          <w:lang w:val="es-ES_tradnl"/>
        </w:rPr>
        <w:t>están comprendida</w:t>
      </w:r>
      <w:r w:rsidR="00DA754A">
        <w:rPr>
          <w:rStyle w:val="Strong"/>
          <w:rFonts w:asciiTheme="minorHAnsi" w:hAnsiTheme="minorHAnsi"/>
          <w:b w:val="0"/>
          <w:lang w:val="es-ES_tradnl"/>
        </w:rPr>
        <w:t xml:space="preserve">s </w:t>
      </w:r>
      <w:r w:rsidR="001D42CC">
        <w:rPr>
          <w:rStyle w:val="Strong"/>
          <w:rFonts w:asciiTheme="minorHAnsi" w:hAnsiTheme="minorHAnsi"/>
          <w:b w:val="0"/>
          <w:lang w:val="es-ES_tradnl"/>
        </w:rPr>
        <w:t>en el ámbito y l</w:t>
      </w:r>
      <w:r w:rsidR="00471C86" w:rsidRPr="0021716D">
        <w:rPr>
          <w:rStyle w:val="Strong"/>
          <w:rFonts w:asciiTheme="minorHAnsi" w:hAnsiTheme="minorHAnsi"/>
          <w:b w:val="0"/>
          <w:lang w:val="es-ES_tradnl"/>
        </w:rPr>
        <w:t xml:space="preserve">os </w:t>
      </w:r>
      <w:r w:rsidR="0021716D" w:rsidRPr="0021716D">
        <w:rPr>
          <w:rStyle w:val="Strong"/>
          <w:rFonts w:asciiTheme="minorHAnsi" w:hAnsiTheme="minorHAnsi"/>
          <w:b w:val="0"/>
          <w:lang w:val="es-ES_tradnl"/>
        </w:rPr>
        <w:t>intereses</w:t>
      </w:r>
      <w:r w:rsidR="00471C86" w:rsidRPr="0021716D">
        <w:rPr>
          <w:rStyle w:val="Strong"/>
          <w:rFonts w:asciiTheme="minorHAnsi" w:hAnsiTheme="minorHAnsi"/>
          <w:b w:val="0"/>
          <w:lang w:val="es-ES_tradnl"/>
        </w:rPr>
        <w:t xml:space="preserve"> de la CMNUCC.</w:t>
      </w:r>
    </w:p>
    <w:p w14:paraId="4F33A949" w14:textId="77777777" w:rsidR="00536ED0" w:rsidRPr="0021716D" w:rsidRDefault="00536ED0" w:rsidP="005522A4">
      <w:pPr>
        <w:pStyle w:val="ListParagraph"/>
        <w:ind w:left="426" w:hanging="426"/>
        <w:jc w:val="left"/>
        <w:rPr>
          <w:rFonts w:asciiTheme="minorHAnsi" w:eastAsiaTheme="minorHAnsi" w:hAnsiTheme="minorHAnsi" w:cs="Garamond"/>
          <w:lang w:val="es-ES_tradnl"/>
        </w:rPr>
      </w:pPr>
    </w:p>
    <w:p w14:paraId="0BF245D7" w14:textId="7CD8F1CB" w:rsidR="00536ED0" w:rsidRPr="0021716D" w:rsidRDefault="00471C86" w:rsidP="005522A4">
      <w:pPr>
        <w:pStyle w:val="ListParagraph"/>
        <w:numPr>
          <w:ilvl w:val="0"/>
          <w:numId w:val="19"/>
        </w:numPr>
        <w:autoSpaceDE w:val="0"/>
        <w:autoSpaceDN w:val="0"/>
        <w:adjustRightInd w:val="0"/>
        <w:ind w:left="426" w:hanging="426"/>
        <w:jc w:val="left"/>
        <w:rPr>
          <w:rFonts w:asciiTheme="minorHAnsi" w:hAnsiTheme="minorHAnsi"/>
          <w:bCs/>
          <w:lang w:val="es-ES_tradnl"/>
        </w:rPr>
      </w:pPr>
      <w:r w:rsidRPr="0021716D">
        <w:rPr>
          <w:rFonts w:asciiTheme="minorHAnsi" w:eastAsiaTheme="minorHAnsi" w:hAnsiTheme="minorHAnsi" w:cs="Garamond"/>
          <w:lang w:val="es-ES_tradnl"/>
        </w:rPr>
        <w:t xml:space="preserve">Se </w:t>
      </w:r>
      <w:r w:rsidR="0021716D" w:rsidRPr="0021716D">
        <w:rPr>
          <w:rFonts w:asciiTheme="minorHAnsi" w:eastAsiaTheme="minorHAnsi" w:hAnsiTheme="minorHAnsi" w:cs="Garamond"/>
          <w:lang w:val="es-ES_tradnl"/>
        </w:rPr>
        <w:t>mantienen</w:t>
      </w:r>
      <w:r w:rsidRPr="0021716D">
        <w:rPr>
          <w:rFonts w:asciiTheme="minorHAnsi" w:eastAsiaTheme="minorHAnsi" w:hAnsiTheme="minorHAnsi" w:cs="Garamond"/>
          <w:lang w:val="es-ES_tradnl"/>
        </w:rPr>
        <w:t xml:space="preserve"> relaciones estrechas con la </w:t>
      </w:r>
      <w:r w:rsidR="00DE01FC">
        <w:rPr>
          <w:rFonts w:asciiTheme="minorHAnsi" w:eastAsiaTheme="minorHAnsi" w:hAnsiTheme="minorHAnsi" w:cs="Garamond"/>
          <w:lang w:val="es-ES_tradnl"/>
        </w:rPr>
        <w:t>Comisión Económica de las Naciones Unidas para Europa (</w:t>
      </w:r>
      <w:r w:rsidRPr="0021716D">
        <w:rPr>
          <w:rFonts w:asciiTheme="minorHAnsi" w:eastAsiaTheme="minorHAnsi" w:hAnsiTheme="minorHAnsi" w:cs="Garamond"/>
          <w:lang w:val="es-ES_tradnl"/>
        </w:rPr>
        <w:t>CEPE</w:t>
      </w:r>
      <w:r w:rsidR="00DE01FC">
        <w:rPr>
          <w:rFonts w:asciiTheme="minorHAnsi" w:eastAsiaTheme="minorHAnsi" w:hAnsiTheme="minorHAnsi" w:cs="Garamond"/>
          <w:lang w:val="es-ES_tradnl"/>
        </w:rPr>
        <w:t>)</w:t>
      </w:r>
      <w:r w:rsidRPr="0021716D">
        <w:rPr>
          <w:rFonts w:asciiTheme="minorHAnsi" w:eastAsiaTheme="minorHAnsi" w:hAnsiTheme="minorHAnsi" w:cs="Garamond"/>
          <w:lang w:val="es-ES_tradnl"/>
        </w:rPr>
        <w:t xml:space="preserve"> </w:t>
      </w:r>
      <w:r w:rsidR="00293D1B">
        <w:rPr>
          <w:rFonts w:asciiTheme="minorHAnsi" w:eastAsiaTheme="minorHAnsi" w:hAnsiTheme="minorHAnsi" w:cs="Garamond"/>
          <w:lang w:val="es-ES_tradnl"/>
        </w:rPr>
        <w:t>como parte de</w:t>
      </w:r>
      <w:r w:rsidRPr="0021716D">
        <w:rPr>
          <w:rFonts w:asciiTheme="minorHAnsi" w:eastAsiaTheme="minorHAnsi" w:hAnsiTheme="minorHAnsi" w:cs="Garamond"/>
          <w:lang w:val="es-ES_tradnl"/>
        </w:rPr>
        <w:t xml:space="preserve"> nuestros </w:t>
      </w:r>
      <w:r w:rsidR="0021716D" w:rsidRPr="0021716D">
        <w:rPr>
          <w:rFonts w:asciiTheme="minorHAnsi" w:eastAsiaTheme="minorHAnsi" w:hAnsiTheme="minorHAnsi" w:cs="Garamond"/>
          <w:lang w:val="es-ES_tradnl"/>
        </w:rPr>
        <w:t>esfuerzos</w:t>
      </w:r>
      <w:r w:rsidRPr="0021716D">
        <w:rPr>
          <w:rFonts w:asciiTheme="minorHAnsi" w:eastAsiaTheme="minorHAnsi" w:hAnsiTheme="minorHAnsi" w:cs="Garamond"/>
          <w:lang w:val="es-ES_tradnl"/>
        </w:rPr>
        <w:t xml:space="preserve"> </w:t>
      </w:r>
      <w:r w:rsidR="00293D1B">
        <w:rPr>
          <w:rFonts w:asciiTheme="minorHAnsi" w:eastAsiaTheme="minorHAnsi" w:hAnsiTheme="minorHAnsi" w:cs="Garamond"/>
          <w:lang w:val="es-ES_tradnl"/>
        </w:rPr>
        <w:t>para</w:t>
      </w:r>
      <w:r w:rsidRPr="0021716D">
        <w:rPr>
          <w:rFonts w:asciiTheme="minorHAnsi" w:eastAsiaTheme="minorHAnsi" w:hAnsiTheme="minorHAnsi" w:cs="Garamond"/>
          <w:lang w:val="es-ES_tradnl"/>
        </w:rPr>
        <w:t xml:space="preserve"> vincular a Ramsar con la </w:t>
      </w:r>
      <w:r w:rsidR="0021716D" w:rsidRPr="0021716D">
        <w:rPr>
          <w:rFonts w:asciiTheme="minorHAnsi" w:eastAsiaTheme="minorHAnsi" w:hAnsiTheme="minorHAnsi" w:cs="Garamond"/>
          <w:lang w:val="es-ES_tradnl"/>
        </w:rPr>
        <w:t>aplicación</w:t>
      </w:r>
      <w:r w:rsidRPr="0021716D">
        <w:rPr>
          <w:rFonts w:asciiTheme="minorHAnsi" w:eastAsiaTheme="minorHAnsi" w:hAnsiTheme="minorHAnsi" w:cs="Garamond"/>
          <w:lang w:val="es-ES_tradnl"/>
        </w:rPr>
        <w:t xml:space="preserve"> de las políticas</w:t>
      </w:r>
      <w:r w:rsidR="00293D1B">
        <w:rPr>
          <w:rFonts w:asciiTheme="minorHAnsi" w:eastAsiaTheme="minorHAnsi" w:hAnsiTheme="minorHAnsi" w:cs="Garamond"/>
          <w:lang w:val="es-ES_tradnl"/>
        </w:rPr>
        <w:t xml:space="preserve"> del agua</w:t>
      </w:r>
      <w:r w:rsidRPr="0021716D">
        <w:rPr>
          <w:rFonts w:asciiTheme="minorHAnsi" w:eastAsiaTheme="minorHAnsi" w:hAnsiTheme="minorHAnsi" w:cs="Garamond"/>
          <w:lang w:val="es-ES_tradnl"/>
        </w:rPr>
        <w:t xml:space="preserve"> a escala de las cuencas y particularmente </w:t>
      </w:r>
      <w:r w:rsidRPr="00293D1B">
        <w:rPr>
          <w:rFonts w:asciiTheme="minorHAnsi" w:eastAsiaTheme="minorHAnsi" w:hAnsiTheme="minorHAnsi" w:cs="Garamond"/>
          <w:lang w:val="es-ES_tradnl"/>
        </w:rPr>
        <w:t xml:space="preserve">conforme </w:t>
      </w:r>
      <w:r w:rsidR="00293D1B" w:rsidRPr="00293D1B">
        <w:rPr>
          <w:rFonts w:asciiTheme="minorHAnsi" w:eastAsiaTheme="minorHAnsi" w:hAnsiTheme="minorHAnsi" w:cs="Garamond"/>
          <w:lang w:val="es-ES_tradnl"/>
        </w:rPr>
        <w:t>el Convenio del Agua de la CEPE</w:t>
      </w:r>
      <w:r w:rsidR="002A65F4" w:rsidRPr="00293D1B">
        <w:rPr>
          <w:rFonts w:asciiTheme="minorHAnsi" w:eastAsiaTheme="minorHAnsi" w:hAnsiTheme="minorHAnsi" w:cs="Garamond"/>
          <w:lang w:val="es-ES_tradnl"/>
        </w:rPr>
        <w:t xml:space="preserve"> </w:t>
      </w:r>
      <w:r w:rsidRPr="00293D1B">
        <w:rPr>
          <w:rFonts w:asciiTheme="minorHAnsi" w:eastAsiaTheme="minorHAnsi" w:hAnsiTheme="minorHAnsi" w:cs="Garamond"/>
          <w:lang w:val="es-ES_tradnl"/>
        </w:rPr>
        <w:t>se</w:t>
      </w:r>
      <w:r w:rsidR="00DE01FC">
        <w:rPr>
          <w:rFonts w:asciiTheme="minorHAnsi" w:eastAsiaTheme="minorHAnsi" w:hAnsiTheme="minorHAnsi" w:cs="Garamond"/>
          <w:lang w:val="es-ES_tradnl"/>
        </w:rPr>
        <w:t xml:space="preserve"> convierte gradualmente en una C</w:t>
      </w:r>
      <w:r w:rsidRPr="0021716D">
        <w:rPr>
          <w:rFonts w:asciiTheme="minorHAnsi" w:eastAsiaTheme="minorHAnsi" w:hAnsiTheme="minorHAnsi" w:cs="Garamond"/>
          <w:lang w:val="es-ES_tradnl"/>
        </w:rPr>
        <w:t xml:space="preserve">onvención mundial donde las sinergias entre </w:t>
      </w:r>
      <w:r w:rsidR="00293D1B">
        <w:rPr>
          <w:rFonts w:asciiTheme="minorHAnsi" w:eastAsiaTheme="minorHAnsi" w:hAnsiTheme="minorHAnsi" w:cs="Garamond"/>
          <w:lang w:val="es-ES_tradnl"/>
        </w:rPr>
        <w:t>nuestras dos C</w:t>
      </w:r>
      <w:r w:rsidRPr="0021716D">
        <w:rPr>
          <w:rFonts w:asciiTheme="minorHAnsi" w:eastAsiaTheme="minorHAnsi" w:hAnsiTheme="minorHAnsi" w:cs="Garamond"/>
          <w:lang w:val="es-ES_tradnl"/>
        </w:rPr>
        <w:t xml:space="preserve">onvenciones serán aún más relevantes y mutuamente </w:t>
      </w:r>
      <w:r w:rsidR="0021716D" w:rsidRPr="0021716D">
        <w:rPr>
          <w:rFonts w:asciiTheme="minorHAnsi" w:eastAsiaTheme="minorHAnsi" w:hAnsiTheme="minorHAnsi" w:cs="Garamond"/>
          <w:lang w:val="es-ES_tradnl"/>
        </w:rPr>
        <w:t>beneficiosas</w:t>
      </w:r>
      <w:r w:rsidRPr="0021716D">
        <w:rPr>
          <w:rFonts w:asciiTheme="minorHAnsi" w:eastAsiaTheme="minorHAnsi" w:hAnsiTheme="minorHAnsi" w:cs="Garamond"/>
          <w:lang w:val="es-ES_tradnl"/>
        </w:rPr>
        <w:t xml:space="preserve">. </w:t>
      </w:r>
      <w:r w:rsidRPr="00293D1B">
        <w:rPr>
          <w:rFonts w:asciiTheme="minorHAnsi" w:eastAsiaTheme="minorHAnsi" w:hAnsiTheme="minorHAnsi" w:cs="Garamond"/>
          <w:lang w:val="es-ES_tradnl"/>
        </w:rPr>
        <w:t xml:space="preserve">Participaremos </w:t>
      </w:r>
      <w:r w:rsidR="00293D1B" w:rsidRPr="00293D1B">
        <w:rPr>
          <w:rFonts w:asciiTheme="minorHAnsi" w:eastAsiaTheme="minorHAnsi" w:hAnsiTheme="minorHAnsi" w:cs="Garamond"/>
          <w:lang w:val="es-ES_tradnl"/>
        </w:rPr>
        <w:t xml:space="preserve">en la tercera evaluación de los ríos, lagos y aguas subterráneas </w:t>
      </w:r>
      <w:r w:rsidR="003B17E6" w:rsidRPr="00293D1B">
        <w:rPr>
          <w:rFonts w:asciiTheme="minorHAnsi" w:eastAsiaTheme="minorHAnsi" w:hAnsiTheme="minorHAnsi" w:cs="Garamond"/>
          <w:lang w:val="es-ES_tradnl"/>
        </w:rPr>
        <w:t>transfronterizos</w:t>
      </w:r>
      <w:r w:rsidR="00293D1B" w:rsidRPr="00293D1B">
        <w:rPr>
          <w:rFonts w:asciiTheme="minorHAnsi" w:eastAsiaTheme="minorHAnsi" w:hAnsiTheme="minorHAnsi" w:cs="Garamond"/>
          <w:lang w:val="es-ES_tradnl"/>
        </w:rPr>
        <w:t xml:space="preserve"> </w:t>
      </w:r>
      <w:r w:rsidRPr="00293D1B">
        <w:rPr>
          <w:rFonts w:asciiTheme="minorHAnsi" w:eastAsiaTheme="minorHAnsi" w:hAnsiTheme="minorHAnsi" w:cs="Garamond"/>
          <w:lang w:val="es-ES_tradnl"/>
        </w:rPr>
        <w:t>de la misma</w:t>
      </w:r>
      <w:r w:rsidRPr="0021716D">
        <w:rPr>
          <w:rFonts w:asciiTheme="minorHAnsi" w:eastAsiaTheme="minorHAnsi" w:hAnsiTheme="minorHAnsi" w:cs="Garamond"/>
          <w:lang w:val="es-ES_tradnl"/>
        </w:rPr>
        <w:t xml:space="preserve"> forma que </w:t>
      </w:r>
      <w:r w:rsidR="0021716D" w:rsidRPr="0021716D">
        <w:rPr>
          <w:rFonts w:asciiTheme="minorHAnsi" w:eastAsiaTheme="minorHAnsi" w:hAnsiTheme="minorHAnsi" w:cs="Garamond"/>
          <w:lang w:val="es-ES_tradnl"/>
        </w:rPr>
        <w:t>participamos</w:t>
      </w:r>
      <w:r w:rsidRPr="0021716D">
        <w:rPr>
          <w:rFonts w:asciiTheme="minorHAnsi" w:eastAsiaTheme="minorHAnsi" w:hAnsiTheme="minorHAnsi" w:cs="Garamond"/>
          <w:lang w:val="es-ES_tradnl"/>
        </w:rPr>
        <w:t xml:space="preserve"> en </w:t>
      </w:r>
      <w:r w:rsidR="00293D1B">
        <w:rPr>
          <w:rFonts w:asciiTheme="minorHAnsi" w:eastAsiaTheme="minorHAnsi" w:hAnsiTheme="minorHAnsi" w:cs="Garamond"/>
          <w:lang w:val="es-ES_tradnl"/>
        </w:rPr>
        <w:t xml:space="preserve">la segunda </w:t>
      </w:r>
      <w:r w:rsidR="003B17E6">
        <w:rPr>
          <w:rFonts w:asciiTheme="minorHAnsi" w:eastAsiaTheme="minorHAnsi" w:hAnsiTheme="minorHAnsi" w:cs="Garamond"/>
          <w:lang w:val="es-ES_tradnl"/>
        </w:rPr>
        <w:t>evaluación</w:t>
      </w:r>
      <w:r w:rsidR="00A222EB" w:rsidRPr="0021716D">
        <w:rPr>
          <w:rFonts w:asciiTheme="minorHAnsi" w:eastAsiaTheme="minorHAnsi" w:hAnsiTheme="minorHAnsi" w:cs="Garamond"/>
          <w:lang w:val="es-ES_tradnl"/>
        </w:rPr>
        <w:t>.</w:t>
      </w:r>
      <w:r w:rsidR="002A65F4" w:rsidRPr="0021716D">
        <w:rPr>
          <w:rFonts w:asciiTheme="minorHAnsi" w:eastAsiaTheme="minorHAnsi" w:hAnsiTheme="minorHAnsi" w:cs="Garamond"/>
          <w:lang w:val="es-ES_tradnl"/>
        </w:rPr>
        <w:t xml:space="preserve"> </w:t>
      </w:r>
      <w:r w:rsidR="00293D1B">
        <w:rPr>
          <w:rFonts w:asciiTheme="minorHAnsi" w:eastAsiaTheme="minorHAnsi" w:hAnsiTheme="minorHAnsi" w:cs="Garamond"/>
          <w:lang w:val="es-ES_tradnl"/>
        </w:rPr>
        <w:t xml:space="preserve">Nuestras Partes están deseosas que existan mayores </w:t>
      </w:r>
      <w:r w:rsidRPr="0021716D">
        <w:rPr>
          <w:rFonts w:asciiTheme="minorHAnsi" w:eastAsiaTheme="minorHAnsi" w:hAnsiTheme="minorHAnsi" w:cs="Garamond"/>
          <w:lang w:val="es-ES_tradnl"/>
        </w:rPr>
        <w:t xml:space="preserve">relaciones entre los </w:t>
      </w:r>
      <w:r w:rsidR="0021716D" w:rsidRPr="0021716D">
        <w:rPr>
          <w:rFonts w:asciiTheme="minorHAnsi" w:eastAsiaTheme="minorHAnsi" w:hAnsiTheme="minorHAnsi" w:cs="Garamond"/>
          <w:lang w:val="es-ES_tradnl"/>
        </w:rPr>
        <w:t>programas</w:t>
      </w:r>
      <w:r w:rsidR="0021716D">
        <w:rPr>
          <w:rFonts w:asciiTheme="minorHAnsi" w:eastAsiaTheme="minorHAnsi" w:hAnsiTheme="minorHAnsi" w:cs="Garamond"/>
          <w:lang w:val="es-ES_tradnl"/>
        </w:rPr>
        <w:t xml:space="preserve"> de la CEPE y de Ra</w:t>
      </w:r>
      <w:r w:rsidRPr="0021716D">
        <w:rPr>
          <w:rFonts w:asciiTheme="minorHAnsi" w:eastAsiaTheme="minorHAnsi" w:hAnsiTheme="minorHAnsi" w:cs="Garamond"/>
          <w:lang w:val="es-ES_tradnl"/>
        </w:rPr>
        <w:t>m</w:t>
      </w:r>
      <w:r w:rsidR="0021716D">
        <w:rPr>
          <w:rFonts w:asciiTheme="minorHAnsi" w:eastAsiaTheme="minorHAnsi" w:hAnsiTheme="minorHAnsi" w:cs="Garamond"/>
          <w:lang w:val="es-ES_tradnl"/>
        </w:rPr>
        <w:t>s</w:t>
      </w:r>
      <w:r w:rsidRPr="0021716D">
        <w:rPr>
          <w:rFonts w:asciiTheme="minorHAnsi" w:eastAsiaTheme="minorHAnsi" w:hAnsiTheme="minorHAnsi" w:cs="Garamond"/>
          <w:lang w:val="es-ES_tradnl"/>
        </w:rPr>
        <w:t xml:space="preserve">ar a escala nacional y </w:t>
      </w:r>
      <w:r w:rsidR="0021716D" w:rsidRPr="0021716D">
        <w:rPr>
          <w:rFonts w:asciiTheme="minorHAnsi" w:eastAsiaTheme="minorHAnsi" w:hAnsiTheme="minorHAnsi" w:cs="Garamond"/>
          <w:lang w:val="es-ES_tradnl"/>
        </w:rPr>
        <w:t>estamos</w:t>
      </w:r>
      <w:r w:rsidRPr="0021716D">
        <w:rPr>
          <w:rFonts w:asciiTheme="minorHAnsi" w:eastAsiaTheme="minorHAnsi" w:hAnsiTheme="minorHAnsi" w:cs="Garamond"/>
          <w:lang w:val="es-ES_tradnl"/>
        </w:rPr>
        <w:t xml:space="preserve"> trabajando para </w:t>
      </w:r>
      <w:r w:rsidR="00293D1B">
        <w:rPr>
          <w:rFonts w:asciiTheme="minorHAnsi" w:eastAsiaTheme="minorHAnsi" w:hAnsiTheme="minorHAnsi" w:cs="Garamond"/>
          <w:lang w:val="es-ES_tradnl"/>
        </w:rPr>
        <w:t>facilitarlo</w:t>
      </w:r>
      <w:r w:rsidRPr="0021716D">
        <w:rPr>
          <w:rFonts w:asciiTheme="minorHAnsi" w:eastAsiaTheme="minorHAnsi" w:hAnsiTheme="minorHAnsi" w:cs="Garamond"/>
          <w:lang w:val="es-ES_tradnl"/>
        </w:rPr>
        <w:t xml:space="preserve"> a través del apoyo </w:t>
      </w:r>
      <w:r w:rsidR="0021716D" w:rsidRPr="0021716D">
        <w:rPr>
          <w:rFonts w:asciiTheme="minorHAnsi" w:eastAsiaTheme="minorHAnsi" w:hAnsiTheme="minorHAnsi" w:cs="Garamond"/>
          <w:lang w:val="es-ES_tradnl"/>
        </w:rPr>
        <w:t>mutuo</w:t>
      </w:r>
      <w:r w:rsidRPr="0021716D">
        <w:rPr>
          <w:rFonts w:asciiTheme="minorHAnsi" w:eastAsiaTheme="minorHAnsi" w:hAnsiTheme="minorHAnsi" w:cs="Garamond"/>
          <w:lang w:val="es-ES_tradnl"/>
        </w:rPr>
        <w:t xml:space="preserve"> a todas las </w:t>
      </w:r>
      <w:r w:rsidR="0021716D" w:rsidRPr="0021716D">
        <w:rPr>
          <w:rFonts w:asciiTheme="minorHAnsi" w:eastAsiaTheme="minorHAnsi" w:hAnsiTheme="minorHAnsi" w:cs="Garamond"/>
          <w:lang w:val="es-ES_tradnl"/>
        </w:rPr>
        <w:t>reuniones</w:t>
      </w:r>
      <w:r w:rsidRPr="0021716D">
        <w:rPr>
          <w:rFonts w:asciiTheme="minorHAnsi" w:eastAsiaTheme="minorHAnsi" w:hAnsiTheme="minorHAnsi" w:cs="Garamond"/>
          <w:lang w:val="es-ES_tradnl"/>
        </w:rPr>
        <w:t xml:space="preserve"> e iniciativas.</w:t>
      </w:r>
    </w:p>
    <w:p w14:paraId="686E074B" w14:textId="77777777" w:rsidR="00536ED0" w:rsidRPr="0021716D" w:rsidRDefault="00536ED0" w:rsidP="005522A4">
      <w:pPr>
        <w:pStyle w:val="ListParagraph"/>
        <w:ind w:left="426" w:hanging="426"/>
        <w:jc w:val="left"/>
        <w:rPr>
          <w:rFonts w:asciiTheme="minorHAnsi" w:eastAsiaTheme="minorHAnsi" w:hAnsiTheme="minorHAnsi" w:cs="Garamond"/>
          <w:color w:val="FF0000"/>
          <w:lang w:val="es-ES_tradnl"/>
        </w:rPr>
      </w:pPr>
    </w:p>
    <w:p w14:paraId="601ABF4E" w14:textId="382D398C" w:rsidR="00536ED0" w:rsidRPr="0021716D" w:rsidRDefault="00293D1B"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lang w:val="es-ES_tradnl"/>
        </w:rPr>
      </w:pPr>
      <w:r>
        <w:rPr>
          <w:rFonts w:asciiTheme="minorHAnsi" w:eastAsiaTheme="minorHAnsi" w:hAnsiTheme="minorHAnsi" w:cs="Garamond"/>
          <w:lang w:val="es-ES_tradnl"/>
        </w:rPr>
        <w:t>Aunque q</w:t>
      </w:r>
      <w:r w:rsidRPr="00293D1B">
        <w:rPr>
          <w:rFonts w:asciiTheme="minorHAnsi" w:eastAsiaTheme="minorHAnsi" w:hAnsiTheme="minorHAnsi" w:cs="Garamond"/>
          <w:lang w:val="es-ES_tradnl"/>
        </w:rPr>
        <w:t>ueda mucho por hacer</w:t>
      </w:r>
      <w:r w:rsidR="002A65F4" w:rsidRPr="00293D1B">
        <w:rPr>
          <w:rFonts w:asciiTheme="minorHAnsi" w:eastAsiaTheme="minorHAnsi" w:hAnsiTheme="minorHAnsi" w:cs="Garamond"/>
          <w:lang w:val="es-ES_tradnl"/>
        </w:rPr>
        <w:t xml:space="preserve"> </w:t>
      </w:r>
      <w:r w:rsidR="00151CCE" w:rsidRPr="00293D1B">
        <w:rPr>
          <w:rFonts w:asciiTheme="minorHAnsi" w:eastAsiaTheme="minorHAnsi" w:hAnsiTheme="minorHAnsi" w:cs="Garamond"/>
          <w:lang w:val="es-ES_tradnl"/>
        </w:rPr>
        <w:t>para</w:t>
      </w:r>
      <w:r w:rsidR="00151CCE" w:rsidRPr="0021716D">
        <w:rPr>
          <w:rFonts w:asciiTheme="minorHAnsi" w:eastAsiaTheme="minorHAnsi" w:hAnsiTheme="minorHAnsi" w:cs="Garamond"/>
          <w:lang w:val="es-ES_tradnl"/>
        </w:rPr>
        <w:t xml:space="preserve"> </w:t>
      </w:r>
      <w:r>
        <w:rPr>
          <w:rFonts w:asciiTheme="minorHAnsi" w:eastAsiaTheme="minorHAnsi" w:hAnsiTheme="minorHAnsi" w:cs="Garamond"/>
          <w:lang w:val="es-ES_tradnl"/>
        </w:rPr>
        <w:t>desarrollar</w:t>
      </w:r>
      <w:r w:rsidR="00151CCE" w:rsidRPr="0021716D">
        <w:rPr>
          <w:rFonts w:asciiTheme="minorHAnsi" w:eastAsiaTheme="minorHAnsi" w:hAnsiTheme="minorHAnsi" w:cs="Garamond"/>
          <w:lang w:val="es-ES_tradnl"/>
        </w:rPr>
        <w:t xml:space="preserve"> todo </w:t>
      </w:r>
      <w:r>
        <w:rPr>
          <w:rFonts w:asciiTheme="minorHAnsi" w:eastAsiaTheme="minorHAnsi" w:hAnsiTheme="minorHAnsi" w:cs="Garamond"/>
          <w:lang w:val="es-ES_tradnl"/>
        </w:rPr>
        <w:t>el potencial de esta relación</w:t>
      </w:r>
      <w:r w:rsidR="00151CCE" w:rsidRPr="0021716D">
        <w:rPr>
          <w:rFonts w:asciiTheme="minorHAnsi" w:eastAsiaTheme="minorHAnsi" w:hAnsiTheme="minorHAnsi" w:cs="Garamond"/>
          <w:lang w:val="es-ES_tradnl"/>
        </w:rPr>
        <w:t xml:space="preserve">, el personal homólogo de la CEPE y las Partes europeas apoyan esta colaboración. Nuestra red de </w:t>
      </w:r>
      <w:r>
        <w:rPr>
          <w:rFonts w:asciiTheme="minorHAnsi" w:eastAsiaTheme="minorHAnsi" w:hAnsiTheme="minorHAnsi" w:cs="Garamond"/>
          <w:lang w:val="es-ES_tradnl"/>
        </w:rPr>
        <w:t>contactos en todo el mundo será útil</w:t>
      </w:r>
      <w:r w:rsidR="002A65F4" w:rsidRPr="0021716D">
        <w:rPr>
          <w:rFonts w:asciiTheme="minorHAnsi" w:eastAsiaTheme="minorHAnsi" w:hAnsiTheme="minorHAnsi" w:cs="Garamond"/>
          <w:lang w:val="es-ES_tradnl"/>
        </w:rPr>
        <w:t xml:space="preserve"> </w:t>
      </w:r>
      <w:r w:rsidR="00151CCE" w:rsidRPr="0021716D">
        <w:rPr>
          <w:rFonts w:asciiTheme="minorHAnsi" w:eastAsiaTheme="minorHAnsi" w:hAnsiTheme="minorHAnsi" w:cs="Garamond"/>
          <w:lang w:val="es-ES_tradnl"/>
        </w:rPr>
        <w:t xml:space="preserve">a la CEPE conforme se amplía su composición en todo el mundo. La </w:t>
      </w:r>
      <w:r>
        <w:rPr>
          <w:rFonts w:asciiTheme="minorHAnsi" w:eastAsiaTheme="minorHAnsi" w:hAnsiTheme="minorHAnsi" w:cs="Garamond"/>
          <w:lang w:val="es-ES_tradnl"/>
        </w:rPr>
        <w:t xml:space="preserve">creación de un centro del agua </w:t>
      </w:r>
      <w:r w:rsidRPr="00293D1B">
        <w:rPr>
          <w:rFonts w:asciiTheme="minorHAnsi" w:eastAsiaTheme="minorHAnsi" w:hAnsiTheme="minorHAnsi" w:cs="Garamond"/>
          <w:lang w:val="es-ES_tradnl"/>
        </w:rPr>
        <w:t>(</w:t>
      </w:r>
      <w:r w:rsidR="00DC3C16" w:rsidRPr="00293D1B">
        <w:rPr>
          <w:rFonts w:asciiTheme="minorHAnsi" w:eastAsiaTheme="minorHAnsi" w:hAnsiTheme="minorHAnsi" w:cs="Garamond"/>
          <w:i/>
          <w:lang w:val="es-ES_tradnl"/>
        </w:rPr>
        <w:t>Water</w:t>
      </w:r>
      <w:r w:rsidR="002A65F4" w:rsidRPr="00293D1B">
        <w:rPr>
          <w:rFonts w:asciiTheme="minorHAnsi" w:eastAsiaTheme="minorHAnsi" w:hAnsiTheme="minorHAnsi" w:cs="Garamond"/>
          <w:i/>
          <w:lang w:val="es-ES_tradnl"/>
        </w:rPr>
        <w:t xml:space="preserve"> </w:t>
      </w:r>
      <w:r w:rsidR="00DC3C16" w:rsidRPr="00293D1B">
        <w:rPr>
          <w:rFonts w:asciiTheme="minorHAnsi" w:eastAsiaTheme="minorHAnsi" w:hAnsiTheme="minorHAnsi" w:cs="Garamond"/>
          <w:i/>
          <w:lang w:val="es-ES_tradnl"/>
        </w:rPr>
        <w:t>Hub</w:t>
      </w:r>
      <w:r>
        <w:rPr>
          <w:rFonts w:asciiTheme="minorHAnsi" w:eastAsiaTheme="minorHAnsi" w:hAnsiTheme="minorHAnsi" w:cs="Garamond"/>
          <w:lang w:val="es-ES_tradnl"/>
        </w:rPr>
        <w:t>, en inglés)</w:t>
      </w:r>
      <w:r w:rsidR="00151CCE" w:rsidRPr="0021716D">
        <w:rPr>
          <w:rFonts w:asciiTheme="minorHAnsi" w:eastAsiaTheme="minorHAnsi" w:hAnsiTheme="minorHAnsi" w:cs="Garamond"/>
          <w:lang w:val="es-ES_tradnl"/>
        </w:rPr>
        <w:t xml:space="preserve"> en Ginebra por el </w:t>
      </w:r>
      <w:r w:rsidR="0021716D" w:rsidRPr="0021716D">
        <w:rPr>
          <w:rFonts w:asciiTheme="minorHAnsi" w:eastAsiaTheme="minorHAnsi" w:hAnsiTheme="minorHAnsi" w:cs="Garamond"/>
          <w:lang w:val="es-ES_tradnl"/>
        </w:rPr>
        <w:t>Gobierno</w:t>
      </w:r>
      <w:r w:rsidR="00151CCE" w:rsidRPr="0021716D">
        <w:rPr>
          <w:rFonts w:asciiTheme="minorHAnsi" w:eastAsiaTheme="minorHAnsi" w:hAnsiTheme="minorHAnsi" w:cs="Garamond"/>
          <w:lang w:val="es-ES_tradnl"/>
        </w:rPr>
        <w:t xml:space="preserve"> de Suiza también nos ayudará a consolidar unas relaciones más estrechas entre </w:t>
      </w:r>
      <w:r w:rsidR="0021716D" w:rsidRPr="0021716D">
        <w:rPr>
          <w:rFonts w:asciiTheme="minorHAnsi" w:eastAsiaTheme="minorHAnsi" w:hAnsiTheme="minorHAnsi" w:cs="Garamond"/>
          <w:lang w:val="es-ES_tradnl"/>
        </w:rPr>
        <w:t>todos</w:t>
      </w:r>
      <w:r w:rsidR="00151CCE" w:rsidRPr="0021716D">
        <w:rPr>
          <w:rFonts w:asciiTheme="minorHAnsi" w:eastAsiaTheme="minorHAnsi" w:hAnsiTheme="minorHAnsi" w:cs="Garamond"/>
          <w:lang w:val="es-ES_tradnl"/>
        </w:rPr>
        <w:t xml:space="preserve"> los órganos </w:t>
      </w:r>
      <w:r w:rsidR="0021716D" w:rsidRPr="0021716D">
        <w:rPr>
          <w:rFonts w:asciiTheme="minorHAnsi" w:eastAsiaTheme="minorHAnsi" w:hAnsiTheme="minorHAnsi" w:cs="Garamond"/>
          <w:lang w:val="es-ES_tradnl"/>
        </w:rPr>
        <w:t>que</w:t>
      </w:r>
      <w:r w:rsidR="00151CCE" w:rsidRPr="0021716D">
        <w:rPr>
          <w:rFonts w:asciiTheme="minorHAnsi" w:eastAsiaTheme="minorHAnsi" w:hAnsiTheme="minorHAnsi" w:cs="Garamond"/>
          <w:lang w:val="es-ES_tradnl"/>
        </w:rPr>
        <w:t xml:space="preserve"> trabajan en el ámbito del agua y los humedales.</w:t>
      </w:r>
    </w:p>
    <w:p w14:paraId="7D2A0539" w14:textId="77777777" w:rsidR="00536ED0" w:rsidRPr="0021716D" w:rsidRDefault="00536ED0" w:rsidP="005522A4">
      <w:pPr>
        <w:pStyle w:val="ListParagraph"/>
        <w:ind w:left="426" w:hanging="426"/>
        <w:jc w:val="left"/>
        <w:rPr>
          <w:rFonts w:asciiTheme="minorHAnsi" w:hAnsiTheme="minorHAnsi"/>
          <w:lang w:val="es-ES_tradnl"/>
        </w:rPr>
      </w:pPr>
    </w:p>
    <w:p w14:paraId="50175F81" w14:textId="68D5C8CF" w:rsidR="002B1E27" w:rsidRPr="00293D1B" w:rsidRDefault="00151CCE"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lang w:val="es-ES_tradnl"/>
        </w:rPr>
      </w:pPr>
      <w:r w:rsidRPr="0021716D">
        <w:rPr>
          <w:rFonts w:asciiTheme="minorHAnsi" w:hAnsiTheme="minorHAnsi"/>
          <w:lang w:val="es-ES_tradnl"/>
        </w:rPr>
        <w:t xml:space="preserve">Según se indica en la sección anterior, la Secretaría </w:t>
      </w:r>
      <w:r w:rsidR="00293D1B">
        <w:rPr>
          <w:rFonts w:asciiTheme="minorHAnsi" w:hAnsiTheme="minorHAnsi"/>
          <w:lang w:val="es-ES_tradnl"/>
        </w:rPr>
        <w:t>colabora</w:t>
      </w:r>
      <w:r w:rsidRPr="0021716D">
        <w:rPr>
          <w:rFonts w:asciiTheme="minorHAnsi" w:hAnsiTheme="minorHAnsi"/>
          <w:lang w:val="es-ES_tradnl"/>
        </w:rPr>
        <w:t xml:space="preserve"> </w:t>
      </w:r>
      <w:r w:rsidR="0021716D" w:rsidRPr="0021716D">
        <w:rPr>
          <w:rFonts w:asciiTheme="minorHAnsi" w:hAnsiTheme="minorHAnsi"/>
          <w:lang w:val="es-ES_tradnl"/>
        </w:rPr>
        <w:t>activamente</w:t>
      </w:r>
      <w:r w:rsidRPr="0021716D">
        <w:rPr>
          <w:rFonts w:asciiTheme="minorHAnsi" w:hAnsiTheme="minorHAnsi"/>
          <w:lang w:val="es-ES_tradnl"/>
        </w:rPr>
        <w:t xml:space="preserve"> con otr</w:t>
      </w:r>
      <w:r w:rsidR="00293D1B">
        <w:rPr>
          <w:rFonts w:asciiTheme="minorHAnsi" w:hAnsiTheme="minorHAnsi"/>
          <w:lang w:val="es-ES_tradnl"/>
        </w:rPr>
        <w:t xml:space="preserve">os AMMA </w:t>
      </w:r>
      <w:r w:rsidR="00D353C4" w:rsidRPr="0021716D">
        <w:rPr>
          <w:rFonts w:asciiTheme="minorHAnsi" w:hAnsiTheme="minorHAnsi"/>
          <w:lang w:val="es-ES_tradnl"/>
        </w:rPr>
        <w:t xml:space="preserve">y, </w:t>
      </w:r>
      <w:r w:rsidR="0021716D" w:rsidRPr="0021716D">
        <w:rPr>
          <w:rFonts w:asciiTheme="minorHAnsi" w:hAnsiTheme="minorHAnsi"/>
          <w:lang w:val="es-ES_tradnl"/>
        </w:rPr>
        <w:t>como</w:t>
      </w:r>
      <w:r w:rsidR="00D353C4" w:rsidRPr="0021716D">
        <w:rPr>
          <w:rFonts w:asciiTheme="minorHAnsi" w:hAnsiTheme="minorHAnsi"/>
          <w:lang w:val="es-ES_tradnl"/>
        </w:rPr>
        <w:t xml:space="preserve"> se </w:t>
      </w:r>
      <w:r w:rsidR="0021716D" w:rsidRPr="0021716D">
        <w:rPr>
          <w:rFonts w:asciiTheme="minorHAnsi" w:hAnsiTheme="minorHAnsi"/>
          <w:lang w:val="es-ES_tradnl"/>
        </w:rPr>
        <w:t>indica</w:t>
      </w:r>
      <w:r w:rsidR="00D353C4" w:rsidRPr="0021716D">
        <w:rPr>
          <w:rFonts w:asciiTheme="minorHAnsi" w:hAnsiTheme="minorHAnsi"/>
          <w:lang w:val="es-ES_tradnl"/>
        </w:rPr>
        <w:t xml:space="preserve"> en el </w:t>
      </w:r>
      <w:r w:rsidR="00A83FBB" w:rsidRPr="0021716D">
        <w:rPr>
          <w:rFonts w:asciiTheme="minorHAnsi" w:hAnsiTheme="minorHAnsi"/>
          <w:lang w:val="es-ES_tradnl"/>
        </w:rPr>
        <w:t>párrafo</w:t>
      </w:r>
      <w:r w:rsidR="002A65F4" w:rsidRPr="0021716D">
        <w:rPr>
          <w:rFonts w:asciiTheme="minorHAnsi" w:hAnsiTheme="minorHAnsi"/>
          <w:lang w:val="es-ES_tradnl"/>
        </w:rPr>
        <w:t xml:space="preserve"> </w:t>
      </w:r>
      <w:r w:rsidR="002B1E27" w:rsidRPr="0021716D">
        <w:rPr>
          <w:rFonts w:asciiTheme="minorHAnsi" w:hAnsiTheme="minorHAnsi"/>
          <w:lang w:val="es-ES_tradnl"/>
        </w:rPr>
        <w:t>44</w:t>
      </w:r>
      <w:r w:rsidR="002A65F4" w:rsidRPr="0021716D">
        <w:rPr>
          <w:rFonts w:asciiTheme="minorHAnsi" w:hAnsiTheme="minorHAnsi"/>
          <w:lang w:val="es-ES_tradnl"/>
        </w:rPr>
        <w:t xml:space="preserve"> </w:t>
      </w:r>
      <w:r w:rsidR="00D353C4" w:rsidRPr="0021716D">
        <w:rPr>
          <w:rFonts w:asciiTheme="minorHAnsi" w:hAnsiTheme="minorHAnsi"/>
          <w:lang w:val="es-ES_tradnl"/>
        </w:rPr>
        <w:t>de la</w:t>
      </w:r>
      <w:r w:rsidR="002A65F4" w:rsidRPr="0021716D">
        <w:rPr>
          <w:rFonts w:asciiTheme="minorHAnsi" w:hAnsiTheme="minorHAnsi"/>
          <w:lang w:val="es-ES_tradnl"/>
        </w:rPr>
        <w:t xml:space="preserve"> </w:t>
      </w:r>
      <w:r w:rsidR="00B149E4" w:rsidRPr="0021716D">
        <w:rPr>
          <w:rFonts w:asciiTheme="minorHAnsi" w:hAnsiTheme="minorHAnsi"/>
          <w:lang w:val="es-ES_tradnl"/>
        </w:rPr>
        <w:t>Resolución</w:t>
      </w:r>
      <w:r w:rsidR="002A65F4" w:rsidRPr="0021716D">
        <w:rPr>
          <w:rFonts w:asciiTheme="minorHAnsi" w:hAnsiTheme="minorHAnsi"/>
          <w:lang w:val="es-ES_tradnl"/>
        </w:rPr>
        <w:t xml:space="preserve"> </w:t>
      </w:r>
      <w:r w:rsidR="002B1E27" w:rsidRPr="0021716D">
        <w:rPr>
          <w:rFonts w:asciiTheme="minorHAnsi" w:hAnsiTheme="minorHAnsi"/>
          <w:lang w:val="es-ES_tradnl"/>
        </w:rPr>
        <w:t>XII.</w:t>
      </w:r>
      <w:r w:rsidR="00545DA3" w:rsidRPr="0021716D">
        <w:rPr>
          <w:rFonts w:asciiTheme="minorHAnsi" w:hAnsiTheme="minorHAnsi"/>
          <w:lang w:val="es-ES_tradnl"/>
        </w:rPr>
        <w:t>3,</w:t>
      </w:r>
      <w:r w:rsidR="002A65F4" w:rsidRPr="0021716D">
        <w:rPr>
          <w:rFonts w:asciiTheme="minorHAnsi" w:hAnsiTheme="minorHAnsi"/>
          <w:lang w:val="es-ES_tradnl"/>
        </w:rPr>
        <w:t xml:space="preserve"> </w:t>
      </w:r>
      <w:r w:rsidR="00B149E4" w:rsidRPr="0021716D">
        <w:rPr>
          <w:rFonts w:asciiTheme="minorHAnsi" w:hAnsiTheme="minorHAnsi"/>
          <w:lang w:val="es-ES_tradnl"/>
        </w:rPr>
        <w:t>la Secretaría</w:t>
      </w:r>
      <w:r w:rsidR="002A65F4" w:rsidRPr="0021716D">
        <w:rPr>
          <w:rFonts w:asciiTheme="minorHAnsi" w:hAnsiTheme="minorHAnsi"/>
          <w:lang w:val="es-ES_tradnl"/>
        </w:rPr>
        <w:t xml:space="preserve"> </w:t>
      </w:r>
      <w:r w:rsidR="0021716D" w:rsidRPr="0021716D">
        <w:rPr>
          <w:rFonts w:asciiTheme="minorHAnsi" w:hAnsiTheme="minorHAnsi"/>
          <w:lang w:val="es-ES_tradnl"/>
        </w:rPr>
        <w:t>seguirá</w:t>
      </w:r>
      <w:r w:rsidR="00D353C4" w:rsidRPr="0021716D">
        <w:rPr>
          <w:rFonts w:asciiTheme="minorHAnsi" w:hAnsiTheme="minorHAnsi"/>
          <w:lang w:val="es-ES_tradnl"/>
        </w:rPr>
        <w:t xml:space="preserve"> </w:t>
      </w:r>
      <w:r w:rsidR="0021716D" w:rsidRPr="0021716D">
        <w:rPr>
          <w:rFonts w:asciiTheme="minorHAnsi" w:hAnsiTheme="minorHAnsi"/>
          <w:lang w:val="es-ES_tradnl"/>
        </w:rPr>
        <w:t>investigando</w:t>
      </w:r>
      <w:r w:rsidR="00D353C4" w:rsidRPr="0021716D">
        <w:rPr>
          <w:rFonts w:asciiTheme="minorHAnsi" w:hAnsiTheme="minorHAnsi"/>
          <w:lang w:val="es-ES_tradnl"/>
        </w:rPr>
        <w:t xml:space="preserve">, dentro de los límites </w:t>
      </w:r>
      <w:r w:rsidR="00D353C4" w:rsidRPr="00293D1B">
        <w:rPr>
          <w:rFonts w:asciiTheme="minorHAnsi" w:hAnsiTheme="minorHAnsi"/>
          <w:lang w:val="es-ES_tradnl"/>
        </w:rPr>
        <w:t xml:space="preserve">de los recursos </w:t>
      </w:r>
      <w:r w:rsidR="0021716D" w:rsidRPr="00293D1B">
        <w:rPr>
          <w:rFonts w:asciiTheme="minorHAnsi" w:hAnsiTheme="minorHAnsi"/>
          <w:lang w:val="es-ES_tradnl"/>
        </w:rPr>
        <w:t>disponibles</w:t>
      </w:r>
      <w:r w:rsidR="00872A6F" w:rsidRPr="00293D1B">
        <w:rPr>
          <w:rFonts w:asciiTheme="minorHAnsi" w:hAnsiTheme="minorHAnsi"/>
          <w:lang w:val="es-ES_tradnl"/>
        </w:rPr>
        <w:t>,</w:t>
      </w:r>
      <w:r w:rsidR="002A65F4" w:rsidRPr="00293D1B">
        <w:rPr>
          <w:rFonts w:asciiTheme="minorHAnsi" w:hAnsiTheme="minorHAnsi"/>
          <w:lang w:val="es-ES_tradnl"/>
        </w:rPr>
        <w:t xml:space="preserve"> </w:t>
      </w:r>
      <w:r w:rsidR="00D353C4" w:rsidRPr="00293D1B">
        <w:rPr>
          <w:rFonts w:asciiTheme="minorHAnsi" w:hAnsiTheme="minorHAnsi"/>
          <w:lang w:val="es-ES_tradnl"/>
        </w:rPr>
        <w:t>cómo concentrar los esfuerzos</w:t>
      </w:r>
      <w:r w:rsidR="00293D1B" w:rsidRPr="00293D1B">
        <w:rPr>
          <w:rFonts w:asciiTheme="minorHAnsi" w:hAnsiTheme="minorHAnsi"/>
          <w:lang w:val="es-ES_tradnl"/>
        </w:rPr>
        <w:t xml:space="preserve"> para </w:t>
      </w:r>
      <w:r w:rsidR="00293D1B">
        <w:rPr>
          <w:rFonts w:asciiTheme="minorHAnsi" w:hAnsiTheme="minorHAnsi"/>
          <w:lang w:val="es-ES_tradnl"/>
        </w:rPr>
        <w:t>lograr</w:t>
      </w:r>
      <w:r w:rsidR="00293D1B" w:rsidRPr="00293D1B">
        <w:rPr>
          <w:rFonts w:asciiTheme="minorHAnsi" w:hAnsiTheme="minorHAnsi"/>
          <w:lang w:val="es-ES_tradnl"/>
        </w:rPr>
        <w:t xml:space="preserve"> lo siguiente</w:t>
      </w:r>
      <w:r w:rsidR="002B1E27" w:rsidRPr="00293D1B">
        <w:rPr>
          <w:rFonts w:asciiTheme="minorHAnsi" w:hAnsiTheme="minorHAnsi"/>
          <w:lang w:val="es-ES_tradnl"/>
        </w:rPr>
        <w:t>:</w:t>
      </w:r>
    </w:p>
    <w:p w14:paraId="44147670" w14:textId="5E0F88F6" w:rsidR="002B1E27" w:rsidRPr="0021716D" w:rsidRDefault="00293D1B" w:rsidP="00534542">
      <w:pPr>
        <w:numPr>
          <w:ilvl w:val="0"/>
          <w:numId w:val="24"/>
        </w:numPr>
        <w:spacing w:before="100" w:beforeAutospacing="1" w:after="100" w:afterAutospacing="1"/>
        <w:ind w:left="851" w:hanging="425"/>
        <w:rPr>
          <w:rFonts w:asciiTheme="minorHAnsi" w:hAnsiTheme="minorHAnsi"/>
          <w:lang w:val="es-ES_tradnl"/>
        </w:rPr>
      </w:pPr>
      <w:r w:rsidRPr="00293D1B">
        <w:rPr>
          <w:rFonts w:ascii="Calibri" w:eastAsiaTheme="minorHAnsi" w:hAnsi="Calibri"/>
          <w:sz w:val="22"/>
          <w:szCs w:val="22"/>
          <w:lang w:val="es-ES_tradnl" w:eastAsia="es-ES"/>
        </w:rPr>
        <w:t>A</w:t>
      </w:r>
      <w:r w:rsidR="00D353C4" w:rsidRPr="00293D1B">
        <w:rPr>
          <w:rFonts w:ascii="Calibri" w:eastAsiaTheme="minorHAnsi" w:hAnsi="Calibri"/>
          <w:sz w:val="22"/>
          <w:szCs w:val="22"/>
          <w:lang w:val="es-ES_tradnl" w:eastAsia="es-ES"/>
        </w:rPr>
        <w:t xml:space="preserve">umentar la </w:t>
      </w:r>
      <w:r w:rsidR="0021716D" w:rsidRPr="00293D1B">
        <w:rPr>
          <w:rFonts w:ascii="Calibri" w:eastAsiaTheme="minorHAnsi" w:hAnsi="Calibri"/>
          <w:sz w:val="22"/>
          <w:szCs w:val="22"/>
          <w:lang w:val="es-ES_tradnl" w:eastAsia="es-ES"/>
        </w:rPr>
        <w:t>cooperación</w:t>
      </w:r>
      <w:r w:rsidR="00D353C4" w:rsidRPr="0021716D">
        <w:rPr>
          <w:rFonts w:ascii="Calibri" w:eastAsiaTheme="minorHAnsi" w:hAnsi="Calibri"/>
          <w:sz w:val="22"/>
          <w:szCs w:val="22"/>
          <w:lang w:val="es-ES_tradnl" w:eastAsia="es-ES"/>
        </w:rPr>
        <w:t xml:space="preserve">, la </w:t>
      </w:r>
      <w:r w:rsidR="0021716D" w:rsidRPr="0021716D">
        <w:rPr>
          <w:rFonts w:ascii="Calibri" w:eastAsiaTheme="minorHAnsi" w:hAnsi="Calibri"/>
          <w:sz w:val="22"/>
          <w:szCs w:val="22"/>
          <w:lang w:val="es-ES_tradnl" w:eastAsia="es-ES"/>
        </w:rPr>
        <w:t>coordinación</w:t>
      </w:r>
      <w:r w:rsidR="00D353C4" w:rsidRPr="0021716D">
        <w:rPr>
          <w:rFonts w:ascii="Calibri" w:eastAsiaTheme="minorHAnsi" w:hAnsi="Calibri"/>
          <w:sz w:val="22"/>
          <w:szCs w:val="22"/>
          <w:lang w:val="es-ES_tradnl" w:eastAsia="es-ES"/>
        </w:rPr>
        <w:t xml:space="preserve"> y la </w:t>
      </w:r>
      <w:r w:rsidR="0021716D" w:rsidRPr="0021716D">
        <w:rPr>
          <w:rFonts w:ascii="Calibri" w:eastAsiaTheme="minorHAnsi" w:hAnsi="Calibri"/>
          <w:sz w:val="22"/>
          <w:szCs w:val="22"/>
          <w:lang w:val="es-ES_tradnl" w:eastAsia="es-ES"/>
        </w:rPr>
        <w:t>atención</w:t>
      </w:r>
      <w:r w:rsidR="00D353C4" w:rsidRPr="0021716D">
        <w:rPr>
          <w:rFonts w:ascii="Calibri" w:eastAsiaTheme="minorHAnsi" w:hAnsi="Calibri"/>
          <w:sz w:val="22"/>
          <w:szCs w:val="22"/>
          <w:lang w:val="es-ES_tradnl" w:eastAsia="es-ES"/>
        </w:rPr>
        <w:t xml:space="preserve"> a las sinergias en la </w:t>
      </w:r>
      <w:r w:rsidR="0021716D" w:rsidRPr="0021716D">
        <w:rPr>
          <w:rFonts w:ascii="Calibri" w:eastAsiaTheme="minorHAnsi" w:hAnsi="Calibri"/>
          <w:sz w:val="22"/>
          <w:szCs w:val="22"/>
          <w:lang w:val="es-ES_tradnl" w:eastAsia="es-ES"/>
        </w:rPr>
        <w:t>exploración</w:t>
      </w:r>
      <w:r w:rsidR="00D353C4" w:rsidRPr="0021716D">
        <w:rPr>
          <w:rFonts w:ascii="Calibri" w:eastAsiaTheme="minorHAnsi" w:hAnsi="Calibri"/>
          <w:sz w:val="22"/>
          <w:szCs w:val="22"/>
          <w:lang w:val="es-ES_tradnl" w:eastAsia="es-ES"/>
        </w:rPr>
        <w:t xml:space="preserve"> de sistemas de </w:t>
      </w:r>
      <w:r w:rsidR="0021716D" w:rsidRPr="0021716D">
        <w:rPr>
          <w:rFonts w:ascii="Calibri" w:eastAsiaTheme="minorHAnsi" w:hAnsi="Calibri"/>
          <w:sz w:val="22"/>
          <w:szCs w:val="22"/>
          <w:lang w:val="es-ES_tradnl" w:eastAsia="es-ES"/>
        </w:rPr>
        <w:t>presentación</w:t>
      </w:r>
      <w:r w:rsidR="00D353C4" w:rsidRPr="0021716D">
        <w:rPr>
          <w:rFonts w:ascii="Calibri" w:eastAsiaTheme="minorHAnsi" w:hAnsi="Calibri"/>
          <w:sz w:val="22"/>
          <w:szCs w:val="22"/>
          <w:lang w:val="es-ES_tradnl" w:eastAsia="es-ES"/>
        </w:rPr>
        <w:t xml:space="preserve"> de informes, en particular futuros sistemas de </w:t>
      </w:r>
      <w:r w:rsidR="0021716D" w:rsidRPr="0021716D">
        <w:rPr>
          <w:rFonts w:ascii="Calibri" w:eastAsiaTheme="minorHAnsi" w:hAnsi="Calibri"/>
          <w:sz w:val="22"/>
          <w:szCs w:val="22"/>
          <w:lang w:val="es-ES_tradnl" w:eastAsia="es-ES"/>
        </w:rPr>
        <w:t>presentación</w:t>
      </w:r>
      <w:r w:rsidR="00D353C4" w:rsidRPr="0021716D">
        <w:rPr>
          <w:rFonts w:ascii="Calibri" w:eastAsiaTheme="minorHAnsi" w:hAnsi="Calibri"/>
          <w:sz w:val="22"/>
          <w:szCs w:val="22"/>
          <w:lang w:val="es-ES_tradnl" w:eastAsia="es-ES"/>
        </w:rPr>
        <w:t xml:space="preserve"> de informes en </w:t>
      </w:r>
      <w:r w:rsidR="0021716D" w:rsidRPr="0021716D">
        <w:rPr>
          <w:rFonts w:ascii="Calibri" w:eastAsiaTheme="minorHAnsi" w:hAnsi="Calibri"/>
          <w:sz w:val="22"/>
          <w:szCs w:val="22"/>
          <w:lang w:val="es-ES_tradnl" w:eastAsia="es-ES"/>
        </w:rPr>
        <w:t>línea</w:t>
      </w:r>
      <w:r w:rsidR="00D353C4" w:rsidRPr="0021716D">
        <w:rPr>
          <w:rFonts w:ascii="Calibri" w:eastAsiaTheme="minorHAnsi" w:hAnsi="Calibri"/>
          <w:sz w:val="22"/>
          <w:szCs w:val="22"/>
          <w:lang w:val="es-ES_tradnl" w:eastAsia="es-ES"/>
        </w:rPr>
        <w:t xml:space="preserve"> e indicadores, como un medio de incrementar las sinergias en la </w:t>
      </w:r>
      <w:r w:rsidR="0021716D" w:rsidRPr="0021716D">
        <w:rPr>
          <w:rFonts w:ascii="Calibri" w:eastAsiaTheme="minorHAnsi" w:hAnsi="Calibri"/>
          <w:sz w:val="22"/>
          <w:szCs w:val="22"/>
          <w:lang w:val="es-ES_tradnl" w:eastAsia="es-ES"/>
        </w:rPr>
        <w:t>presentación</w:t>
      </w:r>
      <w:r w:rsidR="00D353C4" w:rsidRPr="0021716D">
        <w:rPr>
          <w:rFonts w:ascii="Calibri" w:eastAsiaTheme="minorHAnsi" w:hAnsi="Calibri"/>
          <w:sz w:val="22"/>
          <w:szCs w:val="22"/>
          <w:lang w:val="es-ES_tradnl" w:eastAsia="es-ES"/>
        </w:rPr>
        <w:t xml:space="preserve"> de informes nacionales en virtud de las Convenciones relacionadas con la biodiversidad;</w:t>
      </w:r>
    </w:p>
    <w:p w14:paraId="601082C6" w14:textId="1709E616" w:rsidR="002B1E27" w:rsidRPr="0021716D" w:rsidRDefault="00D353C4" w:rsidP="00534542">
      <w:pPr>
        <w:numPr>
          <w:ilvl w:val="0"/>
          <w:numId w:val="24"/>
        </w:numPr>
        <w:spacing w:before="100" w:beforeAutospacing="1" w:after="100" w:afterAutospacing="1"/>
        <w:ind w:left="851" w:hanging="425"/>
        <w:rPr>
          <w:rFonts w:asciiTheme="minorHAnsi" w:hAnsiTheme="minorHAnsi"/>
          <w:lang w:val="es-ES_tradnl"/>
        </w:rPr>
      </w:pPr>
      <w:r w:rsidRPr="0021716D">
        <w:rPr>
          <w:rFonts w:ascii="Calibri" w:eastAsiaTheme="minorHAnsi" w:hAnsi="Calibri"/>
          <w:sz w:val="22"/>
          <w:szCs w:val="22"/>
          <w:lang w:val="es-ES_tradnl" w:eastAsia="es-ES"/>
        </w:rPr>
        <w:t xml:space="preserve">Examinar medios de aumentar la </w:t>
      </w:r>
      <w:r w:rsidR="0021716D" w:rsidRPr="0021716D">
        <w:rPr>
          <w:rFonts w:ascii="Calibri" w:eastAsiaTheme="minorHAnsi" w:hAnsi="Calibri"/>
          <w:sz w:val="22"/>
          <w:szCs w:val="22"/>
          <w:lang w:val="es-ES_tradnl" w:eastAsia="es-ES"/>
        </w:rPr>
        <w:t>cooperación</w:t>
      </w:r>
      <w:r w:rsidRPr="0021716D">
        <w:rPr>
          <w:rFonts w:ascii="Calibri" w:eastAsiaTheme="minorHAnsi" w:hAnsi="Calibri"/>
          <w:sz w:val="22"/>
          <w:szCs w:val="22"/>
          <w:lang w:val="es-ES_tradnl" w:eastAsia="es-ES"/>
        </w:rPr>
        <w:t xml:space="preserve"> en </w:t>
      </w:r>
      <w:r w:rsidR="0021716D" w:rsidRPr="0021716D">
        <w:rPr>
          <w:rFonts w:ascii="Calibri" w:eastAsiaTheme="minorHAnsi" w:hAnsi="Calibri"/>
          <w:sz w:val="22"/>
          <w:szCs w:val="22"/>
          <w:lang w:val="es-ES_tradnl" w:eastAsia="es-ES"/>
        </w:rPr>
        <w:t>relación</w:t>
      </w:r>
      <w:r w:rsidRPr="0021716D">
        <w:rPr>
          <w:rFonts w:ascii="Calibri" w:eastAsiaTheme="minorHAnsi" w:hAnsi="Calibri"/>
          <w:sz w:val="22"/>
          <w:szCs w:val="22"/>
          <w:lang w:val="es-ES_tradnl" w:eastAsia="es-ES"/>
        </w:rPr>
        <w:t xml:space="preserve"> con las estrategias de </w:t>
      </w:r>
      <w:r w:rsidR="0021716D" w:rsidRPr="0021716D">
        <w:rPr>
          <w:rFonts w:ascii="Calibri" w:eastAsiaTheme="minorHAnsi" w:hAnsi="Calibri"/>
          <w:sz w:val="22"/>
          <w:szCs w:val="22"/>
          <w:lang w:val="es-ES_tradnl" w:eastAsia="es-ES"/>
        </w:rPr>
        <w:t>promoción</w:t>
      </w:r>
      <w:r w:rsidRPr="0021716D">
        <w:rPr>
          <w:rFonts w:ascii="Calibri" w:eastAsiaTheme="minorHAnsi" w:hAnsi="Calibri"/>
          <w:sz w:val="22"/>
          <w:szCs w:val="22"/>
          <w:lang w:val="es-ES_tradnl" w:eastAsia="es-ES"/>
        </w:rPr>
        <w:t xml:space="preserve"> y </w:t>
      </w:r>
      <w:r w:rsidR="0021716D" w:rsidRPr="0021716D">
        <w:rPr>
          <w:rFonts w:ascii="Calibri" w:eastAsiaTheme="minorHAnsi" w:hAnsi="Calibri"/>
          <w:sz w:val="22"/>
          <w:szCs w:val="22"/>
          <w:lang w:val="es-ES_tradnl" w:eastAsia="es-ES"/>
        </w:rPr>
        <w:t>comunicación</w:t>
      </w:r>
      <w:r w:rsidR="002B1E27" w:rsidRPr="0021716D">
        <w:rPr>
          <w:rFonts w:asciiTheme="minorHAnsi" w:hAnsiTheme="minorHAnsi"/>
          <w:lang w:val="es-ES_tradnl"/>
        </w:rPr>
        <w:t>;</w:t>
      </w:r>
    </w:p>
    <w:p w14:paraId="7475C8D5" w14:textId="38A1F45A" w:rsidR="002B1E27" w:rsidRPr="0021716D" w:rsidRDefault="000628E1" w:rsidP="00534542">
      <w:pPr>
        <w:pStyle w:val="ListParagraph"/>
        <w:numPr>
          <w:ilvl w:val="0"/>
          <w:numId w:val="24"/>
        </w:numPr>
        <w:autoSpaceDE w:val="0"/>
        <w:autoSpaceDN w:val="0"/>
        <w:adjustRightInd w:val="0"/>
        <w:ind w:left="851" w:hanging="425"/>
        <w:jc w:val="left"/>
        <w:rPr>
          <w:rFonts w:asciiTheme="minorHAnsi" w:hAnsiTheme="minorHAnsi"/>
          <w:lang w:val="es-ES_tradnl"/>
        </w:rPr>
      </w:pPr>
      <w:r>
        <w:rPr>
          <w:rFonts w:asciiTheme="minorHAnsi" w:eastAsia="Times New Roman" w:hAnsiTheme="minorHAnsi"/>
          <w:lang w:val="es-ES_tradnl" w:eastAsia="lv-LV"/>
        </w:rPr>
        <w:t xml:space="preserve">Encontrar </w:t>
      </w:r>
      <w:r w:rsidR="003B17E6">
        <w:rPr>
          <w:rFonts w:asciiTheme="minorHAnsi" w:eastAsia="Times New Roman" w:hAnsiTheme="minorHAnsi"/>
          <w:lang w:val="es-ES_tradnl" w:eastAsia="lv-LV"/>
        </w:rPr>
        <w:t>o</w:t>
      </w:r>
      <w:r w:rsidR="003B17E6" w:rsidRPr="0021716D">
        <w:rPr>
          <w:rFonts w:ascii="Calibri" w:eastAsia="Times New Roman" w:hAnsi="Calibri"/>
          <w:lang w:val="es-ES_tradnl"/>
        </w:rPr>
        <w:t>pciones</w:t>
      </w:r>
      <w:r w:rsidR="00D353C4" w:rsidRPr="0021716D">
        <w:rPr>
          <w:rFonts w:ascii="Calibri" w:eastAsia="Times New Roman" w:hAnsi="Calibri"/>
          <w:lang w:val="es-ES_tradnl"/>
        </w:rPr>
        <w:t xml:space="preserve"> para aumentar la </w:t>
      </w:r>
      <w:r w:rsidR="0021716D" w:rsidRPr="0021716D">
        <w:rPr>
          <w:rFonts w:ascii="Calibri" w:eastAsia="Times New Roman" w:hAnsi="Calibri"/>
          <w:lang w:val="es-ES_tradnl"/>
        </w:rPr>
        <w:t>cooperación</w:t>
      </w:r>
      <w:r w:rsidR="00D353C4" w:rsidRPr="0021716D">
        <w:rPr>
          <w:rFonts w:ascii="Calibri" w:eastAsia="Times New Roman" w:hAnsi="Calibri"/>
          <w:lang w:val="es-ES_tradnl"/>
        </w:rPr>
        <w:t xml:space="preserve"> en asuntos convergentes</w:t>
      </w:r>
      <w:r w:rsidR="002B1E27" w:rsidRPr="0021716D">
        <w:rPr>
          <w:rFonts w:asciiTheme="minorHAnsi" w:eastAsia="Times New Roman" w:hAnsiTheme="minorHAnsi"/>
          <w:lang w:val="es-ES_tradnl" w:eastAsia="lv-LV"/>
        </w:rPr>
        <w:t>;</w:t>
      </w:r>
    </w:p>
    <w:p w14:paraId="65A68A96" w14:textId="77777777" w:rsidR="002B1E27" w:rsidRPr="0021716D" w:rsidRDefault="002B1E27" w:rsidP="00BA510D">
      <w:pPr>
        <w:autoSpaceDE w:val="0"/>
        <w:autoSpaceDN w:val="0"/>
        <w:adjustRightInd w:val="0"/>
        <w:rPr>
          <w:rFonts w:asciiTheme="minorHAnsi" w:hAnsiTheme="minorHAnsi"/>
          <w:sz w:val="22"/>
          <w:szCs w:val="22"/>
          <w:lang w:val="es-ES_tradnl"/>
        </w:rPr>
      </w:pPr>
    </w:p>
    <w:p w14:paraId="411F9C65" w14:textId="530CEBD0" w:rsidR="00EB3C7C" w:rsidRPr="0021716D" w:rsidRDefault="00D353C4" w:rsidP="005522A4">
      <w:pPr>
        <w:autoSpaceDE w:val="0"/>
        <w:autoSpaceDN w:val="0"/>
        <w:adjustRightInd w:val="0"/>
        <w:ind w:left="426"/>
        <w:rPr>
          <w:rFonts w:asciiTheme="minorHAnsi" w:hAnsiTheme="minorHAnsi"/>
          <w:sz w:val="22"/>
          <w:szCs w:val="22"/>
          <w:lang w:val="es-ES_tradnl"/>
        </w:rPr>
      </w:pPr>
      <w:r w:rsidRPr="0021716D">
        <w:rPr>
          <w:rFonts w:asciiTheme="minorHAnsi" w:hAnsiTheme="minorHAnsi"/>
          <w:sz w:val="22"/>
          <w:szCs w:val="22"/>
          <w:lang w:val="es-ES_tradnl"/>
        </w:rPr>
        <w:t>A partir de lo</w:t>
      </w:r>
      <w:r w:rsidR="0021716D">
        <w:rPr>
          <w:rFonts w:asciiTheme="minorHAnsi" w:hAnsiTheme="minorHAnsi"/>
          <w:sz w:val="22"/>
          <w:szCs w:val="22"/>
          <w:lang w:val="es-ES_tradnl"/>
        </w:rPr>
        <w:t xml:space="preserve"> a</w:t>
      </w:r>
      <w:r w:rsidR="000628E1">
        <w:rPr>
          <w:rFonts w:asciiTheme="minorHAnsi" w:hAnsiTheme="minorHAnsi"/>
          <w:sz w:val="22"/>
          <w:szCs w:val="22"/>
          <w:lang w:val="es-ES_tradnl"/>
        </w:rPr>
        <w:t xml:space="preserve">nterior, </w:t>
      </w:r>
      <w:r w:rsidRPr="0021716D">
        <w:rPr>
          <w:rFonts w:asciiTheme="minorHAnsi" w:hAnsiTheme="minorHAnsi"/>
          <w:sz w:val="22"/>
          <w:szCs w:val="22"/>
          <w:lang w:val="es-ES_tradnl"/>
        </w:rPr>
        <w:t xml:space="preserve">la </w:t>
      </w:r>
      <w:r w:rsidR="00B149E4" w:rsidRPr="0021716D">
        <w:rPr>
          <w:rFonts w:asciiTheme="minorHAnsi" w:hAnsiTheme="minorHAnsi"/>
          <w:sz w:val="22"/>
          <w:szCs w:val="22"/>
          <w:lang w:val="es-ES_tradnl"/>
        </w:rPr>
        <w:t>Secretaría</w:t>
      </w:r>
      <w:r w:rsidR="002A65F4" w:rsidRPr="0021716D">
        <w:rPr>
          <w:rFonts w:asciiTheme="minorHAnsi" w:hAnsiTheme="minorHAnsi"/>
          <w:sz w:val="22"/>
          <w:szCs w:val="22"/>
          <w:lang w:val="es-ES_tradnl"/>
        </w:rPr>
        <w:t xml:space="preserve"> </w:t>
      </w:r>
      <w:r w:rsidR="00612874" w:rsidRPr="0021716D">
        <w:rPr>
          <w:rFonts w:asciiTheme="minorHAnsi" w:hAnsiTheme="minorHAnsi"/>
          <w:sz w:val="22"/>
          <w:szCs w:val="22"/>
          <w:lang w:val="es-ES_tradnl"/>
        </w:rPr>
        <w:t xml:space="preserve">presenta a la 51ª </w:t>
      </w:r>
      <w:r w:rsidR="0021716D" w:rsidRPr="0021716D">
        <w:rPr>
          <w:rFonts w:asciiTheme="minorHAnsi" w:hAnsiTheme="minorHAnsi"/>
          <w:sz w:val="22"/>
          <w:szCs w:val="22"/>
          <w:lang w:val="es-ES_tradnl"/>
        </w:rPr>
        <w:t>reunión</w:t>
      </w:r>
      <w:r w:rsidR="00612874" w:rsidRPr="0021716D">
        <w:rPr>
          <w:rFonts w:asciiTheme="minorHAnsi" w:hAnsiTheme="minorHAnsi"/>
          <w:sz w:val="22"/>
          <w:szCs w:val="22"/>
          <w:lang w:val="es-ES_tradnl"/>
        </w:rPr>
        <w:t xml:space="preserve"> del </w:t>
      </w:r>
      <w:r w:rsidR="00DE01FC">
        <w:rPr>
          <w:rFonts w:asciiTheme="minorHAnsi" w:hAnsiTheme="minorHAnsi"/>
          <w:sz w:val="22"/>
          <w:szCs w:val="22"/>
          <w:lang w:val="es-ES_tradnl"/>
        </w:rPr>
        <w:t>Comité Permanente</w:t>
      </w:r>
      <w:r w:rsidR="00612874" w:rsidRPr="0021716D">
        <w:rPr>
          <w:rFonts w:asciiTheme="minorHAnsi" w:hAnsiTheme="minorHAnsi"/>
          <w:sz w:val="22"/>
          <w:szCs w:val="22"/>
          <w:lang w:val="es-ES_tradnl"/>
        </w:rPr>
        <w:t xml:space="preserve"> el plan anexo para </w:t>
      </w:r>
      <w:r w:rsidR="00612874" w:rsidRPr="000628E1">
        <w:rPr>
          <w:rFonts w:asciiTheme="minorHAnsi" w:hAnsiTheme="minorHAnsi"/>
          <w:sz w:val="22"/>
          <w:szCs w:val="22"/>
          <w:lang w:val="es-ES_tradnl"/>
        </w:rPr>
        <w:t>aumentar</w:t>
      </w:r>
      <w:r w:rsidR="00612874" w:rsidRPr="0021716D">
        <w:rPr>
          <w:rFonts w:asciiTheme="minorHAnsi" w:hAnsiTheme="minorHAnsi"/>
          <w:sz w:val="22"/>
          <w:szCs w:val="22"/>
          <w:lang w:val="es-ES_tradnl"/>
        </w:rPr>
        <w:t xml:space="preserve"> la cooperación con otros AMMA para</w:t>
      </w:r>
      <w:r w:rsidR="000628E1">
        <w:rPr>
          <w:rFonts w:asciiTheme="minorHAnsi" w:hAnsiTheme="minorHAnsi"/>
          <w:sz w:val="22"/>
          <w:szCs w:val="22"/>
          <w:lang w:val="es-ES_tradnl"/>
        </w:rPr>
        <w:t xml:space="preserve"> que este lo examine y brinde su asesoramiento</w:t>
      </w:r>
      <w:r w:rsidR="00EB3C7C" w:rsidRPr="0021716D">
        <w:rPr>
          <w:rFonts w:asciiTheme="minorHAnsi" w:hAnsiTheme="minorHAnsi"/>
          <w:sz w:val="22"/>
          <w:szCs w:val="22"/>
          <w:lang w:val="es-ES_tradnl"/>
        </w:rPr>
        <w:t>.</w:t>
      </w:r>
    </w:p>
    <w:p w14:paraId="74BFAADA" w14:textId="77777777" w:rsidR="00EB3C7C" w:rsidRPr="003E4DC6" w:rsidRDefault="00EB3C7C" w:rsidP="00D56300">
      <w:pPr>
        <w:autoSpaceDE w:val="0"/>
        <w:autoSpaceDN w:val="0"/>
        <w:adjustRightInd w:val="0"/>
        <w:rPr>
          <w:rFonts w:asciiTheme="minorHAnsi" w:hAnsiTheme="minorHAnsi"/>
          <w:sz w:val="22"/>
          <w:szCs w:val="22"/>
          <w:lang w:val="es-ES"/>
        </w:rPr>
      </w:pPr>
    </w:p>
    <w:p w14:paraId="780A5711" w14:textId="77777777" w:rsidR="006E19DD" w:rsidRPr="003E4DC6" w:rsidRDefault="006E19DD" w:rsidP="00D56300">
      <w:pPr>
        <w:autoSpaceDE w:val="0"/>
        <w:autoSpaceDN w:val="0"/>
        <w:adjustRightInd w:val="0"/>
        <w:rPr>
          <w:rFonts w:asciiTheme="minorHAnsi" w:hAnsiTheme="minorHAnsi"/>
          <w:b/>
          <w:sz w:val="22"/>
          <w:szCs w:val="22"/>
          <w:lang w:val="es-ES"/>
        </w:rPr>
        <w:sectPr w:rsidR="006E19DD" w:rsidRPr="003E4DC6" w:rsidSect="006B6339">
          <w:footerReference w:type="default" r:id="rId9"/>
          <w:pgSz w:w="11906" w:h="16838"/>
          <w:pgMar w:top="1440" w:right="1440" w:bottom="1440" w:left="1440" w:header="708" w:footer="708" w:gutter="0"/>
          <w:cols w:space="708"/>
          <w:titlePg/>
          <w:docGrid w:linePitch="360"/>
        </w:sectPr>
      </w:pPr>
    </w:p>
    <w:p w14:paraId="3FBB1A57" w14:textId="13F670B1" w:rsidR="00EB3C7C" w:rsidRPr="003B17E6" w:rsidRDefault="00EB3C7C" w:rsidP="00D56300">
      <w:pPr>
        <w:autoSpaceDE w:val="0"/>
        <w:autoSpaceDN w:val="0"/>
        <w:adjustRightInd w:val="0"/>
        <w:rPr>
          <w:rFonts w:asciiTheme="minorHAnsi" w:hAnsiTheme="minorHAnsi"/>
          <w:b/>
          <w:sz w:val="22"/>
          <w:szCs w:val="22"/>
          <w:lang w:val="es-ES_tradnl"/>
        </w:rPr>
      </w:pPr>
      <w:r w:rsidRPr="003B17E6">
        <w:rPr>
          <w:rFonts w:asciiTheme="minorHAnsi" w:hAnsiTheme="minorHAnsi"/>
          <w:b/>
          <w:sz w:val="22"/>
          <w:szCs w:val="22"/>
          <w:lang w:val="es-ES_tradnl"/>
        </w:rPr>
        <w:lastRenderedPageBreak/>
        <w:t>Plan</w:t>
      </w:r>
      <w:r w:rsidR="002A65F4" w:rsidRPr="003B17E6">
        <w:rPr>
          <w:rFonts w:asciiTheme="minorHAnsi" w:hAnsiTheme="minorHAnsi"/>
          <w:b/>
          <w:sz w:val="22"/>
          <w:szCs w:val="22"/>
          <w:lang w:val="es-ES_tradnl"/>
        </w:rPr>
        <w:t xml:space="preserve"> </w:t>
      </w:r>
      <w:r w:rsidR="000628E1" w:rsidRPr="003B17E6">
        <w:rPr>
          <w:rFonts w:asciiTheme="minorHAnsi" w:hAnsiTheme="minorHAnsi"/>
          <w:b/>
          <w:sz w:val="22"/>
          <w:szCs w:val="22"/>
          <w:lang w:val="es-ES_tradnl"/>
        </w:rPr>
        <w:t>para aumentar la cooperació</w:t>
      </w:r>
      <w:r w:rsidR="00612874" w:rsidRPr="003B17E6">
        <w:rPr>
          <w:rFonts w:asciiTheme="minorHAnsi" w:hAnsiTheme="minorHAnsi"/>
          <w:b/>
          <w:sz w:val="22"/>
          <w:szCs w:val="22"/>
          <w:lang w:val="es-ES_tradnl"/>
        </w:rPr>
        <w:t>n con otros AMMA</w:t>
      </w:r>
    </w:p>
    <w:p w14:paraId="07EE5C7E" w14:textId="77777777" w:rsidR="00EB3C7C" w:rsidRPr="003B17E6" w:rsidRDefault="00EB3C7C" w:rsidP="00D56300">
      <w:pPr>
        <w:autoSpaceDE w:val="0"/>
        <w:autoSpaceDN w:val="0"/>
        <w:adjustRightInd w:val="0"/>
        <w:rPr>
          <w:rFonts w:asciiTheme="minorHAnsi" w:hAnsiTheme="minorHAnsi"/>
          <w:b/>
          <w:sz w:val="22"/>
          <w:szCs w:val="22"/>
          <w:lang w:val="es-ES_tradnl"/>
        </w:rPr>
      </w:pPr>
    </w:p>
    <w:tbl>
      <w:tblPr>
        <w:tblStyle w:val="TableGrid1"/>
        <w:tblW w:w="14368" w:type="dxa"/>
        <w:tblInd w:w="-85" w:type="dxa"/>
        <w:tblCellMar>
          <w:top w:w="57" w:type="dxa"/>
          <w:left w:w="57" w:type="dxa"/>
          <w:bottom w:w="57" w:type="dxa"/>
          <w:right w:w="57" w:type="dxa"/>
        </w:tblCellMar>
        <w:tblLook w:val="04A0" w:firstRow="1" w:lastRow="0" w:firstColumn="1" w:lastColumn="0" w:noHBand="0" w:noVBand="1"/>
      </w:tblPr>
      <w:tblGrid>
        <w:gridCol w:w="1985"/>
        <w:gridCol w:w="7938"/>
        <w:gridCol w:w="2977"/>
        <w:gridCol w:w="1468"/>
      </w:tblGrid>
      <w:tr w:rsidR="00D3141D" w:rsidRPr="003B17E6" w14:paraId="56CF187D" w14:textId="77777777" w:rsidTr="00B4267A">
        <w:trPr>
          <w:tblHeader/>
        </w:trPr>
        <w:tc>
          <w:tcPr>
            <w:tcW w:w="1985" w:type="dxa"/>
            <w:vAlign w:val="center"/>
          </w:tcPr>
          <w:p w14:paraId="5E5EFBEE" w14:textId="0DB6F5E9" w:rsidR="00D3141D" w:rsidRPr="003B17E6" w:rsidRDefault="0088481D" w:rsidP="00D3141D">
            <w:pPr>
              <w:autoSpaceDE w:val="0"/>
              <w:autoSpaceDN w:val="0"/>
              <w:adjustRightInd w:val="0"/>
              <w:jc w:val="center"/>
              <w:rPr>
                <w:rFonts w:asciiTheme="minorHAnsi" w:hAnsiTheme="minorHAnsi"/>
                <w:b/>
                <w:sz w:val="22"/>
                <w:szCs w:val="22"/>
                <w:lang w:val="es-ES_tradnl"/>
              </w:rPr>
            </w:pPr>
            <w:r w:rsidRPr="003B17E6">
              <w:rPr>
                <w:rFonts w:asciiTheme="minorHAnsi" w:hAnsiTheme="minorHAnsi"/>
                <w:b/>
                <w:sz w:val="22"/>
                <w:szCs w:val="22"/>
                <w:lang w:val="es-ES_tradnl"/>
              </w:rPr>
              <w:t>Conven</w:t>
            </w:r>
            <w:r w:rsidR="00612874" w:rsidRPr="003B17E6">
              <w:rPr>
                <w:rFonts w:asciiTheme="minorHAnsi" w:hAnsiTheme="minorHAnsi"/>
                <w:b/>
                <w:sz w:val="22"/>
                <w:szCs w:val="22"/>
                <w:lang w:val="es-ES_tradnl"/>
              </w:rPr>
              <w:t>ción</w:t>
            </w:r>
          </w:p>
        </w:tc>
        <w:tc>
          <w:tcPr>
            <w:tcW w:w="7938" w:type="dxa"/>
            <w:vAlign w:val="center"/>
          </w:tcPr>
          <w:p w14:paraId="7CF3AF1A" w14:textId="5E24E97B" w:rsidR="0088481D" w:rsidRPr="003B17E6" w:rsidRDefault="0088481D" w:rsidP="00D3141D">
            <w:pPr>
              <w:autoSpaceDE w:val="0"/>
              <w:autoSpaceDN w:val="0"/>
              <w:adjustRightInd w:val="0"/>
              <w:jc w:val="center"/>
              <w:rPr>
                <w:rFonts w:asciiTheme="minorHAnsi" w:hAnsiTheme="minorHAnsi"/>
                <w:b/>
                <w:sz w:val="22"/>
                <w:szCs w:val="22"/>
                <w:lang w:val="es-ES_tradnl"/>
              </w:rPr>
            </w:pPr>
            <w:r w:rsidRPr="003B17E6">
              <w:rPr>
                <w:rFonts w:asciiTheme="minorHAnsi" w:hAnsiTheme="minorHAnsi"/>
                <w:b/>
                <w:sz w:val="22"/>
                <w:szCs w:val="22"/>
                <w:lang w:val="es-ES_tradnl"/>
              </w:rPr>
              <w:t>Ac</w:t>
            </w:r>
            <w:r w:rsidR="00612874" w:rsidRPr="003B17E6">
              <w:rPr>
                <w:rFonts w:asciiTheme="minorHAnsi" w:hAnsiTheme="minorHAnsi"/>
                <w:b/>
                <w:sz w:val="22"/>
                <w:szCs w:val="22"/>
                <w:lang w:val="es-ES_tradnl"/>
              </w:rPr>
              <w:t>ción</w:t>
            </w:r>
          </w:p>
        </w:tc>
        <w:tc>
          <w:tcPr>
            <w:tcW w:w="2977" w:type="dxa"/>
            <w:vAlign w:val="center"/>
          </w:tcPr>
          <w:p w14:paraId="2B9169E3" w14:textId="1F52DB25" w:rsidR="0088481D" w:rsidRPr="003B17E6" w:rsidRDefault="0088481D" w:rsidP="00D3141D">
            <w:pPr>
              <w:autoSpaceDE w:val="0"/>
              <w:autoSpaceDN w:val="0"/>
              <w:adjustRightInd w:val="0"/>
              <w:jc w:val="center"/>
              <w:rPr>
                <w:rFonts w:asciiTheme="minorHAnsi" w:hAnsiTheme="minorHAnsi"/>
                <w:b/>
                <w:sz w:val="22"/>
                <w:szCs w:val="22"/>
                <w:lang w:val="es-ES_tradnl"/>
              </w:rPr>
            </w:pPr>
            <w:r w:rsidRPr="003B17E6">
              <w:rPr>
                <w:rFonts w:asciiTheme="minorHAnsi" w:hAnsiTheme="minorHAnsi"/>
                <w:b/>
                <w:sz w:val="22"/>
                <w:szCs w:val="22"/>
                <w:lang w:val="es-ES_tradnl"/>
              </w:rPr>
              <w:t>Indica</w:t>
            </w:r>
            <w:r w:rsidR="00612874" w:rsidRPr="003B17E6">
              <w:rPr>
                <w:rFonts w:asciiTheme="minorHAnsi" w:hAnsiTheme="minorHAnsi"/>
                <w:b/>
                <w:sz w:val="22"/>
                <w:szCs w:val="22"/>
                <w:lang w:val="es-ES_tradnl"/>
              </w:rPr>
              <w:t>d</w:t>
            </w:r>
            <w:r w:rsidRPr="003B17E6">
              <w:rPr>
                <w:rFonts w:asciiTheme="minorHAnsi" w:hAnsiTheme="minorHAnsi"/>
                <w:b/>
                <w:sz w:val="22"/>
                <w:szCs w:val="22"/>
                <w:lang w:val="es-ES_tradnl"/>
              </w:rPr>
              <w:t>or</w:t>
            </w:r>
          </w:p>
        </w:tc>
        <w:tc>
          <w:tcPr>
            <w:tcW w:w="1468" w:type="dxa"/>
            <w:vAlign w:val="center"/>
          </w:tcPr>
          <w:p w14:paraId="0498039C" w14:textId="5125C082" w:rsidR="0088481D" w:rsidRPr="003B17E6" w:rsidRDefault="00612874" w:rsidP="00612874">
            <w:pPr>
              <w:autoSpaceDE w:val="0"/>
              <w:autoSpaceDN w:val="0"/>
              <w:adjustRightInd w:val="0"/>
              <w:jc w:val="center"/>
              <w:rPr>
                <w:rFonts w:asciiTheme="minorHAnsi" w:hAnsiTheme="minorHAnsi"/>
                <w:b/>
                <w:sz w:val="22"/>
                <w:szCs w:val="22"/>
                <w:lang w:val="es-ES_tradnl"/>
              </w:rPr>
            </w:pPr>
            <w:r w:rsidRPr="003B17E6">
              <w:rPr>
                <w:rFonts w:asciiTheme="minorHAnsi" w:hAnsiTheme="minorHAnsi"/>
                <w:b/>
                <w:sz w:val="22"/>
                <w:szCs w:val="22"/>
                <w:lang w:val="es-ES_tradnl"/>
              </w:rPr>
              <w:t>Plazo</w:t>
            </w:r>
          </w:p>
        </w:tc>
      </w:tr>
      <w:tr w:rsidR="00D3141D" w:rsidRPr="003B17E6" w14:paraId="6D33BB7A" w14:textId="77777777" w:rsidTr="00B4267A">
        <w:tc>
          <w:tcPr>
            <w:tcW w:w="1985" w:type="dxa"/>
            <w:vMerge w:val="restart"/>
          </w:tcPr>
          <w:p w14:paraId="61EB62AD" w14:textId="1EB75C91" w:rsidR="0088481D" w:rsidRPr="003B17E6" w:rsidRDefault="00765E81"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Grupo de Enlace sobre la Diversidad Biológica</w:t>
            </w:r>
            <w:r w:rsidR="005522A4" w:rsidRPr="003B17E6">
              <w:rPr>
                <w:rFonts w:asciiTheme="minorHAnsi" w:hAnsiTheme="minorHAnsi"/>
                <w:sz w:val="22"/>
                <w:szCs w:val="22"/>
                <w:lang w:val="es-ES_tradnl"/>
              </w:rPr>
              <w:t xml:space="preserve"> (BLG)</w:t>
            </w:r>
          </w:p>
        </w:tc>
        <w:tc>
          <w:tcPr>
            <w:tcW w:w="7938" w:type="dxa"/>
          </w:tcPr>
          <w:p w14:paraId="1E357CF0" w14:textId="58DA54A0" w:rsidR="0088481D" w:rsidRPr="003B17E6" w:rsidRDefault="0088481D"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Participa</w:t>
            </w:r>
            <w:r w:rsidR="00612874" w:rsidRPr="003B17E6">
              <w:rPr>
                <w:rFonts w:asciiTheme="minorHAnsi" w:hAnsiTheme="minorHAnsi"/>
                <w:sz w:val="22"/>
                <w:szCs w:val="22"/>
                <w:lang w:val="es-ES_tradnl"/>
              </w:rPr>
              <w:t>ción en las reuniones del BLG y ejecución de las acciones acordadas.</w:t>
            </w:r>
          </w:p>
        </w:tc>
        <w:tc>
          <w:tcPr>
            <w:tcW w:w="2977" w:type="dxa"/>
          </w:tcPr>
          <w:p w14:paraId="0506C0DB" w14:textId="2E581AA8" w:rsidR="0088481D" w:rsidRPr="003B17E6" w:rsidRDefault="00612874"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Ejecución de las acciones acordadas e informe al Comité Permanente según proceda.</w:t>
            </w:r>
          </w:p>
        </w:tc>
        <w:tc>
          <w:tcPr>
            <w:tcW w:w="1468" w:type="dxa"/>
          </w:tcPr>
          <w:p w14:paraId="6F2157D7" w14:textId="4AFDCE5F" w:rsidR="0088481D" w:rsidRPr="003B17E6" w:rsidRDefault="00C011CC" w:rsidP="005522A4">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5522A4"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D3141D" w:rsidRPr="003B17E6" w14:paraId="3D630E5B" w14:textId="77777777" w:rsidTr="00B4267A">
        <w:tc>
          <w:tcPr>
            <w:tcW w:w="1985" w:type="dxa"/>
            <w:vMerge/>
          </w:tcPr>
          <w:p w14:paraId="74AC3892" w14:textId="77777777" w:rsidR="0088481D" w:rsidRPr="003B17E6" w:rsidRDefault="0088481D" w:rsidP="0088481D">
            <w:pPr>
              <w:autoSpaceDE w:val="0"/>
              <w:autoSpaceDN w:val="0"/>
              <w:adjustRightInd w:val="0"/>
              <w:rPr>
                <w:rFonts w:asciiTheme="minorHAnsi" w:hAnsiTheme="minorHAnsi"/>
                <w:sz w:val="22"/>
                <w:szCs w:val="22"/>
                <w:lang w:val="es-ES_tradnl"/>
              </w:rPr>
            </w:pPr>
          </w:p>
        </w:tc>
        <w:tc>
          <w:tcPr>
            <w:tcW w:w="7938" w:type="dxa"/>
          </w:tcPr>
          <w:p w14:paraId="0E031F9F" w14:textId="4B7FC7A7" w:rsidR="0088481D" w:rsidRPr="003B17E6" w:rsidRDefault="00C011CC" w:rsidP="00C011CC">
            <w:pPr>
              <w:rPr>
                <w:rFonts w:asciiTheme="minorHAnsi" w:hAnsiTheme="minorHAnsi"/>
                <w:sz w:val="22"/>
                <w:szCs w:val="22"/>
                <w:lang w:val="es-ES_tradnl"/>
              </w:rPr>
            </w:pPr>
            <w:r w:rsidRPr="003B17E6">
              <w:rPr>
                <w:rFonts w:asciiTheme="minorHAnsi" w:hAnsiTheme="minorHAnsi"/>
                <w:sz w:val="22"/>
                <w:szCs w:val="22"/>
                <w:lang w:val="es-ES_tradnl"/>
              </w:rPr>
              <w:t>Formular observaciones</w:t>
            </w:r>
            <w:r w:rsidR="0088481D" w:rsidRPr="003B17E6">
              <w:rPr>
                <w:rFonts w:asciiTheme="minorHAnsi" w:hAnsiTheme="minorHAnsi"/>
                <w:sz w:val="22"/>
                <w:szCs w:val="22"/>
                <w:lang w:val="es-ES_tradnl"/>
              </w:rPr>
              <w:t xml:space="preserve"> </w:t>
            </w:r>
            <w:r w:rsidR="002332AC" w:rsidRPr="003B17E6">
              <w:rPr>
                <w:rFonts w:asciiTheme="minorHAnsi" w:hAnsiTheme="minorHAnsi"/>
                <w:sz w:val="22"/>
                <w:szCs w:val="22"/>
                <w:lang w:val="es-ES_tradnl"/>
              </w:rPr>
              <w:t>para la ac</w:t>
            </w:r>
            <w:r w:rsidRPr="003B17E6">
              <w:rPr>
                <w:rFonts w:asciiTheme="minorHAnsi" w:hAnsiTheme="minorHAnsi"/>
                <w:sz w:val="22"/>
                <w:szCs w:val="22"/>
                <w:lang w:val="es-ES_tradnl"/>
              </w:rPr>
              <w:t xml:space="preserve">tualización del marco bienal </w:t>
            </w:r>
            <w:r w:rsidR="002332AC" w:rsidRPr="003B17E6">
              <w:rPr>
                <w:rFonts w:asciiTheme="minorHAnsi" w:hAnsiTheme="minorHAnsi"/>
                <w:sz w:val="22"/>
                <w:szCs w:val="22"/>
                <w:lang w:val="es-ES_tradnl"/>
              </w:rPr>
              <w:t>para la cooperación</w:t>
            </w:r>
            <w:r w:rsidRPr="003B17E6">
              <w:rPr>
                <w:rFonts w:asciiTheme="minorHAnsi" w:hAnsiTheme="minorHAnsi"/>
                <w:sz w:val="22"/>
                <w:szCs w:val="22"/>
                <w:lang w:val="es-ES_tradnl"/>
              </w:rPr>
              <w:t xml:space="preserve"> durante</w:t>
            </w:r>
            <w:r w:rsidR="0088481D" w:rsidRPr="003B17E6">
              <w:rPr>
                <w:rFonts w:asciiTheme="minorHAnsi" w:hAnsiTheme="minorHAnsi"/>
                <w:sz w:val="22"/>
                <w:szCs w:val="22"/>
                <w:lang w:val="es-ES_tradnl"/>
              </w:rPr>
              <w:t xml:space="preserve"> 2013-2014 </w:t>
            </w:r>
            <w:r w:rsidR="002332AC" w:rsidRPr="003B17E6">
              <w:rPr>
                <w:rFonts w:asciiTheme="minorHAnsi" w:hAnsiTheme="minorHAnsi"/>
                <w:sz w:val="22"/>
                <w:szCs w:val="22"/>
                <w:lang w:val="es-ES_tradnl"/>
              </w:rPr>
              <w:t>acordado por el B</w:t>
            </w:r>
            <w:r w:rsidR="0088481D" w:rsidRPr="003B17E6">
              <w:rPr>
                <w:rFonts w:asciiTheme="minorHAnsi" w:hAnsiTheme="minorHAnsi"/>
                <w:sz w:val="22"/>
                <w:szCs w:val="22"/>
                <w:lang w:val="es-ES_tradnl"/>
              </w:rPr>
              <w:t xml:space="preserve">LG </w:t>
            </w:r>
            <w:r w:rsidR="002332AC" w:rsidRPr="003B17E6">
              <w:rPr>
                <w:rFonts w:asciiTheme="minorHAnsi" w:hAnsiTheme="minorHAnsi"/>
                <w:sz w:val="22"/>
                <w:szCs w:val="22"/>
                <w:lang w:val="es-ES_tradnl"/>
              </w:rPr>
              <w:t>en su octava reunión</w:t>
            </w:r>
            <w:r w:rsidR="0088481D" w:rsidRPr="003B17E6">
              <w:rPr>
                <w:rFonts w:asciiTheme="minorHAnsi" w:hAnsiTheme="minorHAnsi"/>
                <w:sz w:val="22"/>
                <w:szCs w:val="22"/>
                <w:lang w:val="es-ES_tradnl"/>
              </w:rPr>
              <w:t xml:space="preserve">. </w:t>
            </w:r>
          </w:p>
        </w:tc>
        <w:tc>
          <w:tcPr>
            <w:tcW w:w="2977" w:type="dxa"/>
          </w:tcPr>
          <w:p w14:paraId="28E0BD80" w14:textId="3F9329C5" w:rsidR="0088481D" w:rsidRPr="003B17E6" w:rsidRDefault="002332AC" w:rsidP="002332AC">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Marco acordado para la </w:t>
            </w:r>
            <w:r w:rsidR="003B17E6" w:rsidRPr="003B17E6">
              <w:rPr>
                <w:rFonts w:asciiTheme="minorHAnsi" w:hAnsiTheme="minorHAnsi"/>
                <w:sz w:val="22"/>
                <w:szCs w:val="22"/>
                <w:lang w:val="es-ES_tradnl"/>
              </w:rPr>
              <w:t>cooperación</w:t>
            </w:r>
            <w:r w:rsidRPr="003B17E6">
              <w:rPr>
                <w:rFonts w:asciiTheme="minorHAnsi" w:hAnsiTheme="minorHAnsi"/>
                <w:sz w:val="22"/>
                <w:szCs w:val="22"/>
                <w:lang w:val="es-ES_tradnl"/>
              </w:rPr>
              <w:t xml:space="preserve"> en </w:t>
            </w:r>
            <w:r w:rsidR="0088481D" w:rsidRPr="003B17E6">
              <w:rPr>
                <w:rFonts w:asciiTheme="minorHAnsi" w:hAnsiTheme="minorHAnsi"/>
                <w:sz w:val="22"/>
                <w:szCs w:val="22"/>
                <w:lang w:val="es-ES_tradnl"/>
              </w:rPr>
              <w:t>2015-2016.</w:t>
            </w:r>
          </w:p>
        </w:tc>
        <w:tc>
          <w:tcPr>
            <w:tcW w:w="1468" w:type="dxa"/>
          </w:tcPr>
          <w:p w14:paraId="50D2ADD1" w14:textId="6B840208" w:rsidR="0088481D" w:rsidRPr="003B17E6" w:rsidRDefault="00C011CC"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5522A4"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D3141D" w:rsidRPr="003B17E6" w14:paraId="3F5E83A4" w14:textId="77777777" w:rsidTr="00B4267A">
        <w:tc>
          <w:tcPr>
            <w:tcW w:w="1985" w:type="dxa"/>
            <w:vMerge/>
          </w:tcPr>
          <w:p w14:paraId="1C2A9453" w14:textId="77777777" w:rsidR="0088481D" w:rsidRPr="003B17E6" w:rsidRDefault="0088481D" w:rsidP="0088481D">
            <w:pPr>
              <w:autoSpaceDE w:val="0"/>
              <w:autoSpaceDN w:val="0"/>
              <w:adjustRightInd w:val="0"/>
              <w:rPr>
                <w:rFonts w:asciiTheme="minorHAnsi" w:hAnsiTheme="minorHAnsi"/>
                <w:sz w:val="22"/>
                <w:szCs w:val="22"/>
                <w:lang w:val="es-ES_tradnl"/>
              </w:rPr>
            </w:pPr>
          </w:p>
        </w:tc>
        <w:tc>
          <w:tcPr>
            <w:tcW w:w="7938" w:type="dxa"/>
          </w:tcPr>
          <w:p w14:paraId="588818C3" w14:textId="3C8D873D" w:rsidR="00D3141D" w:rsidRPr="003B17E6" w:rsidRDefault="00570ECA" w:rsidP="00D3141D">
            <w:pPr>
              <w:contextualSpacing/>
              <w:rPr>
                <w:rFonts w:asciiTheme="minorHAnsi" w:hAnsiTheme="minorHAnsi"/>
                <w:sz w:val="22"/>
                <w:szCs w:val="22"/>
                <w:lang w:val="es-ES_tradnl"/>
              </w:rPr>
            </w:pPr>
            <w:r>
              <w:rPr>
                <w:rFonts w:asciiTheme="minorHAnsi" w:hAnsiTheme="minorHAnsi"/>
                <w:sz w:val="22"/>
                <w:szCs w:val="22"/>
                <w:lang w:val="es-ES_tradnl"/>
              </w:rPr>
              <w:t>Con arreglo</w:t>
            </w:r>
            <w:r w:rsidR="00C011CC" w:rsidRPr="003B17E6">
              <w:rPr>
                <w:rFonts w:asciiTheme="minorHAnsi" w:hAnsiTheme="minorHAnsi"/>
                <w:sz w:val="22"/>
                <w:szCs w:val="22"/>
                <w:lang w:val="es-ES_tradnl"/>
              </w:rPr>
              <w:t xml:space="preserve"> al</w:t>
            </w:r>
            <w:r w:rsidR="00D3141D" w:rsidRPr="003B17E6">
              <w:rPr>
                <w:rFonts w:asciiTheme="minorHAnsi" w:hAnsiTheme="minorHAnsi"/>
                <w:sz w:val="22"/>
                <w:szCs w:val="22"/>
                <w:lang w:val="es-ES_tradnl"/>
              </w:rPr>
              <w:t xml:space="preserve"> </w:t>
            </w:r>
            <w:r w:rsidR="00A83FBB" w:rsidRPr="003B17E6">
              <w:rPr>
                <w:rFonts w:asciiTheme="minorHAnsi" w:hAnsiTheme="minorHAnsi"/>
                <w:sz w:val="22"/>
                <w:szCs w:val="22"/>
                <w:lang w:val="es-ES_tradnl"/>
              </w:rPr>
              <w:t>párrafo</w:t>
            </w:r>
            <w:r w:rsidR="00D3141D" w:rsidRPr="003B17E6">
              <w:rPr>
                <w:rFonts w:asciiTheme="minorHAnsi" w:hAnsiTheme="minorHAnsi"/>
                <w:sz w:val="22"/>
                <w:szCs w:val="22"/>
                <w:lang w:val="es-ES_tradnl"/>
              </w:rPr>
              <w:t xml:space="preserve"> 44 </w:t>
            </w:r>
            <w:r w:rsidR="00CF714F" w:rsidRPr="003B17E6">
              <w:rPr>
                <w:rFonts w:asciiTheme="minorHAnsi" w:hAnsiTheme="minorHAnsi"/>
                <w:sz w:val="22"/>
                <w:szCs w:val="22"/>
                <w:lang w:val="es-ES_tradnl"/>
              </w:rPr>
              <w:t>de la</w:t>
            </w:r>
            <w:r w:rsidR="00D3141D" w:rsidRPr="003B17E6">
              <w:rPr>
                <w:rFonts w:asciiTheme="minorHAnsi" w:hAnsiTheme="minorHAnsi"/>
                <w:sz w:val="22"/>
                <w:szCs w:val="22"/>
                <w:lang w:val="es-ES_tradnl"/>
              </w:rPr>
              <w:t xml:space="preserve"> </w:t>
            </w:r>
            <w:r w:rsidR="00B149E4" w:rsidRPr="003B17E6">
              <w:rPr>
                <w:rFonts w:asciiTheme="minorHAnsi" w:hAnsiTheme="minorHAnsi"/>
                <w:sz w:val="22"/>
                <w:szCs w:val="22"/>
                <w:lang w:val="es-ES_tradnl"/>
              </w:rPr>
              <w:t>Resolución</w:t>
            </w:r>
            <w:r w:rsidR="00D3141D" w:rsidRPr="003B17E6">
              <w:rPr>
                <w:rFonts w:asciiTheme="minorHAnsi" w:hAnsiTheme="minorHAnsi"/>
                <w:sz w:val="22"/>
                <w:szCs w:val="22"/>
                <w:lang w:val="es-ES_tradnl"/>
              </w:rPr>
              <w:t xml:space="preserve"> XII.3:</w:t>
            </w:r>
          </w:p>
          <w:p w14:paraId="5BA2CC1E" w14:textId="77777777" w:rsidR="00D3141D" w:rsidRPr="003E4DC6" w:rsidRDefault="00D3141D" w:rsidP="00D3141D">
            <w:pPr>
              <w:contextualSpacing/>
              <w:rPr>
                <w:rFonts w:asciiTheme="minorHAnsi" w:hAnsiTheme="minorHAnsi"/>
                <w:sz w:val="16"/>
                <w:szCs w:val="16"/>
                <w:lang w:val="es-ES_tradnl"/>
              </w:rPr>
            </w:pPr>
          </w:p>
          <w:p w14:paraId="2888F0C5" w14:textId="3D21DF6E" w:rsidR="0088481D" w:rsidRPr="003B17E6" w:rsidRDefault="00C011CC" w:rsidP="00D3141D">
            <w:pPr>
              <w:numPr>
                <w:ilvl w:val="0"/>
                <w:numId w:val="26"/>
              </w:numPr>
              <w:ind w:left="318" w:hanging="284"/>
              <w:contextualSpacing/>
              <w:rPr>
                <w:rFonts w:asciiTheme="minorHAnsi" w:hAnsiTheme="minorHAnsi"/>
                <w:sz w:val="22"/>
                <w:szCs w:val="22"/>
                <w:lang w:val="es-ES_tradnl"/>
              </w:rPr>
            </w:pPr>
            <w:r w:rsidRPr="003B17E6">
              <w:rPr>
                <w:rFonts w:ascii="Calibri" w:eastAsiaTheme="minorHAnsi" w:hAnsi="Calibri"/>
                <w:sz w:val="22"/>
                <w:szCs w:val="22"/>
                <w:lang w:val="es-ES_tradnl" w:eastAsia="es-ES"/>
              </w:rPr>
              <w:t>Aumentar la cooperación, la coordinación y la atención a las sinergias en la exploración de sistemas de presentación de informes, en particular futuros sistemas de presentación de informes en línea e indicadores, como un medio de incrementar las sinergias en la presentación de informes nacionales en virtud de las Convenciones relacionadas con la biodiversidad</w:t>
            </w:r>
            <w:r w:rsidR="0088481D" w:rsidRPr="003B17E6">
              <w:rPr>
                <w:rFonts w:asciiTheme="minorHAnsi" w:hAnsiTheme="minorHAnsi"/>
                <w:sz w:val="22"/>
                <w:szCs w:val="22"/>
                <w:lang w:val="es-ES_tradnl"/>
              </w:rPr>
              <w:t>;</w:t>
            </w:r>
          </w:p>
          <w:p w14:paraId="0F7D8DC4" w14:textId="77777777" w:rsidR="00D3141D" w:rsidRPr="003E4DC6" w:rsidRDefault="00D3141D" w:rsidP="00D3141D">
            <w:pPr>
              <w:ind w:left="318"/>
              <w:contextualSpacing/>
              <w:rPr>
                <w:rFonts w:asciiTheme="minorHAnsi" w:hAnsiTheme="minorHAnsi"/>
                <w:sz w:val="16"/>
                <w:szCs w:val="16"/>
                <w:lang w:val="es-ES_tradnl"/>
              </w:rPr>
            </w:pPr>
          </w:p>
          <w:p w14:paraId="28898D62" w14:textId="4BD1E94B" w:rsidR="0088481D" w:rsidRPr="003B17E6" w:rsidRDefault="00C011CC" w:rsidP="005522A4">
            <w:pPr>
              <w:numPr>
                <w:ilvl w:val="0"/>
                <w:numId w:val="26"/>
              </w:numPr>
              <w:ind w:left="318" w:hanging="284"/>
              <w:contextualSpacing/>
              <w:rPr>
                <w:rFonts w:asciiTheme="minorHAnsi" w:hAnsiTheme="minorHAnsi"/>
                <w:sz w:val="22"/>
                <w:szCs w:val="22"/>
                <w:lang w:val="es-ES_tradnl"/>
              </w:rPr>
            </w:pPr>
            <w:r w:rsidRPr="003B17E6">
              <w:rPr>
                <w:rFonts w:ascii="Calibri" w:eastAsiaTheme="minorHAnsi" w:hAnsi="Calibri"/>
                <w:sz w:val="22"/>
                <w:szCs w:val="22"/>
                <w:lang w:val="es-ES_tradnl" w:eastAsia="es-ES"/>
              </w:rPr>
              <w:t>Examinar medios de aumentar la cooperación en relación con las estrategias de promoción y comunicación</w:t>
            </w:r>
            <w:r w:rsidR="0088481D" w:rsidRPr="003B17E6">
              <w:rPr>
                <w:rFonts w:asciiTheme="minorHAnsi" w:hAnsiTheme="minorHAnsi"/>
                <w:sz w:val="22"/>
                <w:szCs w:val="22"/>
                <w:lang w:val="es-ES_tradnl"/>
              </w:rPr>
              <w:t xml:space="preserve">; </w:t>
            </w:r>
          </w:p>
          <w:p w14:paraId="5EB45D23" w14:textId="77777777" w:rsidR="00D3141D" w:rsidRPr="003E4DC6" w:rsidRDefault="00D3141D" w:rsidP="00D3141D">
            <w:pPr>
              <w:ind w:left="318"/>
              <w:contextualSpacing/>
              <w:rPr>
                <w:rFonts w:asciiTheme="minorHAnsi" w:hAnsiTheme="minorHAnsi"/>
                <w:sz w:val="16"/>
                <w:szCs w:val="16"/>
                <w:lang w:val="es-ES_tradnl"/>
              </w:rPr>
            </w:pPr>
          </w:p>
          <w:p w14:paraId="4001BDF2" w14:textId="2B1F47AD" w:rsidR="00D3141D" w:rsidRPr="003B17E6" w:rsidRDefault="00CF714F" w:rsidP="00CF714F">
            <w:pPr>
              <w:numPr>
                <w:ilvl w:val="0"/>
                <w:numId w:val="26"/>
              </w:numPr>
              <w:ind w:left="318" w:hanging="284"/>
              <w:contextualSpacing/>
              <w:rPr>
                <w:rFonts w:asciiTheme="minorHAnsi" w:hAnsiTheme="minorHAnsi"/>
                <w:sz w:val="22"/>
                <w:szCs w:val="22"/>
                <w:lang w:val="es-ES_tradnl"/>
              </w:rPr>
            </w:pPr>
            <w:r w:rsidRPr="003B17E6">
              <w:rPr>
                <w:rFonts w:ascii="Calibri" w:eastAsiaTheme="minorHAnsi" w:hAnsi="Calibri"/>
                <w:sz w:val="22"/>
                <w:szCs w:val="22"/>
                <w:lang w:val="es-ES_tradnl" w:eastAsia="es-ES"/>
              </w:rPr>
              <w:t>Opciones para aumentar la cooperación en asuntos convergentes</w:t>
            </w:r>
            <w:r w:rsidR="0088481D" w:rsidRPr="003B17E6">
              <w:rPr>
                <w:rFonts w:ascii="Calibri" w:eastAsiaTheme="minorHAnsi" w:hAnsi="Calibri"/>
                <w:sz w:val="22"/>
                <w:szCs w:val="22"/>
                <w:lang w:val="es-ES_tradnl" w:eastAsia="es-ES"/>
              </w:rPr>
              <w:t>.</w:t>
            </w:r>
          </w:p>
        </w:tc>
        <w:tc>
          <w:tcPr>
            <w:tcW w:w="2977" w:type="dxa"/>
          </w:tcPr>
          <w:p w14:paraId="1DE0C27C" w14:textId="3A0A8446" w:rsidR="0088481D" w:rsidRPr="003B17E6" w:rsidRDefault="002332AC" w:rsidP="00CF714F">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Mejores sinergias en los informes nacionales en</w:t>
            </w:r>
            <w:r w:rsidR="00CF714F" w:rsidRPr="003B17E6">
              <w:rPr>
                <w:rFonts w:asciiTheme="minorHAnsi" w:hAnsiTheme="minorHAnsi"/>
                <w:sz w:val="22"/>
                <w:szCs w:val="22"/>
                <w:lang w:val="es-ES_tradnl"/>
              </w:rPr>
              <w:t xml:space="preserve"> </w:t>
            </w:r>
            <w:r w:rsidRPr="003B17E6">
              <w:rPr>
                <w:rFonts w:asciiTheme="minorHAnsi" w:hAnsiTheme="minorHAnsi"/>
                <w:sz w:val="22"/>
                <w:szCs w:val="22"/>
                <w:lang w:val="es-ES_tradnl"/>
              </w:rPr>
              <w:t xml:space="preserve">el marco de las convenciones relacionadas con la biodiversidad, </w:t>
            </w:r>
            <w:r w:rsidR="00CF714F" w:rsidRPr="003B17E6">
              <w:rPr>
                <w:rFonts w:asciiTheme="minorHAnsi" w:hAnsiTheme="minorHAnsi"/>
                <w:sz w:val="22"/>
                <w:szCs w:val="22"/>
                <w:lang w:val="es-ES_tradnl"/>
              </w:rPr>
              <w:t xml:space="preserve">actividades </w:t>
            </w:r>
            <w:r w:rsidRPr="003B17E6">
              <w:rPr>
                <w:rFonts w:asciiTheme="minorHAnsi" w:hAnsiTheme="minorHAnsi"/>
                <w:sz w:val="22"/>
                <w:szCs w:val="22"/>
                <w:lang w:val="es-ES_tradnl"/>
              </w:rPr>
              <w:t>y estrategias de comunicaci</w:t>
            </w:r>
            <w:r w:rsidR="00CF714F" w:rsidRPr="003B17E6">
              <w:rPr>
                <w:rFonts w:asciiTheme="minorHAnsi" w:hAnsiTheme="minorHAnsi"/>
                <w:sz w:val="22"/>
                <w:szCs w:val="22"/>
                <w:lang w:val="es-ES_tradnl"/>
              </w:rPr>
              <w:t>ón y cuestiones transversales</w:t>
            </w:r>
            <w:r w:rsidRPr="003B17E6">
              <w:rPr>
                <w:rFonts w:asciiTheme="minorHAnsi" w:hAnsiTheme="minorHAnsi"/>
                <w:sz w:val="22"/>
                <w:szCs w:val="22"/>
                <w:lang w:val="es-ES_tradnl"/>
              </w:rPr>
              <w:t xml:space="preserve">. Informe al </w:t>
            </w:r>
            <w:r w:rsidR="00B149E4" w:rsidRPr="003B17E6">
              <w:rPr>
                <w:rFonts w:asciiTheme="minorHAnsi" w:hAnsiTheme="minorHAnsi"/>
                <w:sz w:val="22"/>
                <w:szCs w:val="22"/>
                <w:lang w:val="es-ES_tradnl"/>
              </w:rPr>
              <w:t>Comité Permanente</w:t>
            </w:r>
            <w:r w:rsidR="0088481D" w:rsidRPr="003B17E6">
              <w:rPr>
                <w:rFonts w:asciiTheme="minorHAnsi" w:hAnsiTheme="minorHAnsi"/>
                <w:sz w:val="22"/>
                <w:szCs w:val="22"/>
                <w:lang w:val="es-ES_tradnl"/>
              </w:rPr>
              <w:t>.</w:t>
            </w:r>
          </w:p>
        </w:tc>
        <w:tc>
          <w:tcPr>
            <w:tcW w:w="1468" w:type="dxa"/>
          </w:tcPr>
          <w:p w14:paraId="5291D328" w14:textId="66E2D466" w:rsidR="0088481D" w:rsidRPr="003B17E6" w:rsidRDefault="00C011CC"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88481D"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D3141D" w:rsidRPr="003B17E6" w14:paraId="5E51045E" w14:textId="77777777" w:rsidTr="00B4267A">
        <w:tc>
          <w:tcPr>
            <w:tcW w:w="1985" w:type="dxa"/>
          </w:tcPr>
          <w:p w14:paraId="27ED09D0" w14:textId="68AF2A34" w:rsidR="0088481D" w:rsidRPr="003B17E6" w:rsidRDefault="0088481D" w:rsidP="002332AC">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Conve</w:t>
            </w:r>
            <w:r w:rsidR="002332AC" w:rsidRPr="003B17E6">
              <w:rPr>
                <w:rFonts w:asciiTheme="minorHAnsi" w:hAnsiTheme="minorHAnsi"/>
                <w:sz w:val="22"/>
                <w:szCs w:val="22"/>
                <w:lang w:val="es-ES_tradnl"/>
              </w:rPr>
              <w:t>nio sobre la Diversidad Biológica (CDB)</w:t>
            </w:r>
          </w:p>
        </w:tc>
        <w:tc>
          <w:tcPr>
            <w:tcW w:w="7938" w:type="dxa"/>
          </w:tcPr>
          <w:p w14:paraId="4B9E453B" w14:textId="642645F4" w:rsidR="0088481D" w:rsidRPr="00B4267A" w:rsidRDefault="00CF714F" w:rsidP="0088481D">
            <w:pPr>
              <w:autoSpaceDE w:val="0"/>
              <w:autoSpaceDN w:val="0"/>
              <w:adjustRightInd w:val="0"/>
              <w:rPr>
                <w:rFonts w:asciiTheme="minorHAnsi" w:hAnsiTheme="minorHAnsi"/>
                <w:sz w:val="22"/>
                <w:szCs w:val="22"/>
                <w:lang w:val="es-ES_tradnl"/>
              </w:rPr>
            </w:pPr>
            <w:r w:rsidRPr="00B4267A">
              <w:rPr>
                <w:rFonts w:asciiTheme="minorHAnsi" w:hAnsiTheme="minorHAnsi"/>
                <w:sz w:val="22"/>
                <w:szCs w:val="22"/>
                <w:lang w:val="es-ES_tradnl"/>
              </w:rPr>
              <w:t xml:space="preserve">Ejecución del </w:t>
            </w:r>
            <w:r w:rsidR="004E6774" w:rsidRPr="00B4267A">
              <w:rPr>
                <w:rFonts w:asciiTheme="minorHAnsi" w:hAnsiTheme="minorHAnsi"/>
                <w:sz w:val="22"/>
                <w:szCs w:val="22"/>
                <w:lang w:val="es-ES_tradnl"/>
              </w:rPr>
              <w:t>Quinto</w:t>
            </w:r>
            <w:r w:rsidR="0088481D" w:rsidRPr="00B4267A">
              <w:rPr>
                <w:rFonts w:asciiTheme="minorHAnsi" w:hAnsiTheme="minorHAnsi"/>
                <w:sz w:val="22"/>
                <w:szCs w:val="22"/>
                <w:lang w:val="es-ES_tradnl"/>
              </w:rPr>
              <w:t xml:space="preserve"> </w:t>
            </w:r>
            <w:r w:rsidR="00C839F6" w:rsidRPr="00B4267A">
              <w:rPr>
                <w:rFonts w:asciiTheme="minorHAnsi" w:hAnsiTheme="minorHAnsi"/>
                <w:sz w:val="22"/>
                <w:szCs w:val="22"/>
                <w:lang w:val="es-ES_tradnl"/>
              </w:rPr>
              <w:t>Plan de Trabajo Conjunto</w:t>
            </w:r>
            <w:r w:rsidR="0088481D" w:rsidRPr="00B4267A">
              <w:rPr>
                <w:rFonts w:asciiTheme="minorHAnsi" w:hAnsiTheme="minorHAnsi"/>
                <w:sz w:val="22"/>
                <w:szCs w:val="22"/>
                <w:lang w:val="es-ES_tradnl"/>
              </w:rPr>
              <w:t xml:space="preserve"> </w:t>
            </w:r>
            <w:r w:rsidR="004E6774" w:rsidRPr="00B4267A">
              <w:rPr>
                <w:rFonts w:asciiTheme="minorHAnsi" w:hAnsiTheme="minorHAnsi"/>
                <w:sz w:val="22"/>
                <w:szCs w:val="22"/>
                <w:lang w:val="es-ES_tradnl"/>
              </w:rPr>
              <w:t>con el</w:t>
            </w:r>
            <w:r w:rsidR="0088481D" w:rsidRPr="00B4267A">
              <w:rPr>
                <w:rFonts w:asciiTheme="minorHAnsi" w:hAnsiTheme="minorHAnsi"/>
                <w:sz w:val="22"/>
                <w:szCs w:val="22"/>
                <w:lang w:val="es-ES_tradnl"/>
              </w:rPr>
              <w:t xml:space="preserve"> CBD</w:t>
            </w:r>
            <w:r w:rsidR="004E6774" w:rsidRPr="00B4267A">
              <w:rPr>
                <w:rFonts w:asciiTheme="minorHAnsi" w:hAnsiTheme="minorHAnsi"/>
                <w:sz w:val="22"/>
                <w:szCs w:val="22"/>
                <w:lang w:val="es-ES_tradnl"/>
              </w:rPr>
              <w:t xml:space="preserve"> en esferas de interés común tales como las siguientes</w:t>
            </w:r>
            <w:r w:rsidR="0088481D" w:rsidRPr="00B4267A">
              <w:rPr>
                <w:rFonts w:asciiTheme="minorHAnsi" w:hAnsiTheme="minorHAnsi"/>
                <w:sz w:val="22"/>
                <w:szCs w:val="22"/>
                <w:lang w:val="es-ES_tradnl"/>
              </w:rPr>
              <w:t xml:space="preserve">: </w:t>
            </w:r>
          </w:p>
          <w:p w14:paraId="11D2CC04" w14:textId="77777777" w:rsidR="0088481D" w:rsidRPr="00B4267A" w:rsidRDefault="0088481D" w:rsidP="003E4DC6">
            <w:pPr>
              <w:autoSpaceDE w:val="0"/>
              <w:autoSpaceDN w:val="0"/>
              <w:adjustRightInd w:val="0"/>
              <w:ind w:firstLine="720"/>
              <w:rPr>
                <w:rFonts w:asciiTheme="minorHAnsi" w:hAnsiTheme="minorHAnsi"/>
                <w:sz w:val="16"/>
                <w:szCs w:val="16"/>
                <w:lang w:val="es-ES_tradnl"/>
              </w:rPr>
            </w:pPr>
          </w:p>
          <w:p w14:paraId="23C25B49" w14:textId="77777777" w:rsidR="003E4DC6" w:rsidRPr="00B4267A" w:rsidRDefault="004E6774" w:rsidP="003E4DC6">
            <w:pPr>
              <w:numPr>
                <w:ilvl w:val="0"/>
                <w:numId w:val="28"/>
              </w:numPr>
              <w:autoSpaceDE w:val="0"/>
              <w:autoSpaceDN w:val="0"/>
              <w:adjustRightInd w:val="0"/>
              <w:ind w:left="318" w:hanging="279"/>
              <w:contextualSpacing/>
              <w:rPr>
                <w:rFonts w:asciiTheme="minorHAnsi" w:eastAsiaTheme="minorHAnsi" w:hAnsiTheme="minorHAnsi"/>
                <w:color w:val="000000"/>
                <w:sz w:val="22"/>
                <w:szCs w:val="22"/>
                <w:lang w:val="es-ES_tradnl"/>
              </w:rPr>
            </w:pPr>
            <w:r w:rsidRPr="00B4267A">
              <w:rPr>
                <w:rFonts w:asciiTheme="minorHAnsi" w:eastAsiaTheme="minorHAnsi" w:hAnsiTheme="minorHAnsi"/>
                <w:color w:val="000000"/>
                <w:sz w:val="22"/>
                <w:szCs w:val="22"/>
                <w:lang w:val="es-ES_tradnl"/>
              </w:rPr>
              <w:t xml:space="preserve">apoyar la </w:t>
            </w:r>
            <w:r w:rsidR="003B17E6" w:rsidRPr="00B4267A">
              <w:rPr>
                <w:rFonts w:asciiTheme="minorHAnsi" w:eastAsiaTheme="minorHAnsi" w:hAnsiTheme="minorHAnsi"/>
                <w:color w:val="000000"/>
                <w:sz w:val="22"/>
                <w:szCs w:val="22"/>
                <w:lang w:val="es-ES_tradnl"/>
              </w:rPr>
              <w:t>presentación</w:t>
            </w:r>
            <w:r w:rsidRPr="00B4267A">
              <w:rPr>
                <w:rFonts w:asciiTheme="minorHAnsi" w:eastAsiaTheme="minorHAnsi" w:hAnsiTheme="minorHAnsi"/>
                <w:color w:val="000000"/>
                <w:sz w:val="22"/>
                <w:szCs w:val="22"/>
                <w:lang w:val="es-ES_tradnl"/>
              </w:rPr>
              <w:t xml:space="preserve"> complementaria y/o armonizada de informes nacionales, </w:t>
            </w:r>
            <w:r w:rsidR="00DE01FC" w:rsidRPr="00B4267A">
              <w:rPr>
                <w:rFonts w:asciiTheme="minorHAnsi" w:eastAsiaTheme="minorHAnsi" w:hAnsiTheme="minorHAnsi"/>
                <w:color w:val="000000"/>
                <w:sz w:val="22"/>
                <w:szCs w:val="22"/>
                <w:lang w:val="es-ES_tradnl"/>
              </w:rPr>
              <w:t>teniendo en cuenta</w:t>
            </w:r>
            <w:r w:rsidR="005A740C" w:rsidRPr="00B4267A">
              <w:rPr>
                <w:rFonts w:asciiTheme="minorHAnsi" w:eastAsiaTheme="minorHAnsi" w:hAnsiTheme="minorHAnsi"/>
                <w:color w:val="000000"/>
                <w:sz w:val="22"/>
                <w:szCs w:val="22"/>
                <w:lang w:val="es-ES_tradnl"/>
              </w:rPr>
              <w:t xml:space="preserve"> el papel de</w:t>
            </w:r>
            <w:r w:rsidR="00997970" w:rsidRPr="00B4267A">
              <w:rPr>
                <w:rFonts w:asciiTheme="minorHAnsi" w:eastAsiaTheme="minorHAnsi" w:hAnsiTheme="minorHAnsi"/>
                <w:color w:val="000000"/>
                <w:sz w:val="22"/>
                <w:szCs w:val="22"/>
                <w:lang w:val="es-ES_tradnl"/>
              </w:rPr>
              <w:t xml:space="preserve"> los informes </w:t>
            </w:r>
            <w:r w:rsidR="003B17E6" w:rsidRPr="00B4267A">
              <w:rPr>
                <w:rFonts w:asciiTheme="minorHAnsi" w:eastAsiaTheme="minorHAnsi" w:hAnsiTheme="minorHAnsi"/>
                <w:color w:val="000000"/>
                <w:sz w:val="22"/>
                <w:szCs w:val="22"/>
                <w:lang w:val="es-ES_tradnl"/>
              </w:rPr>
              <w:t>nacionales</w:t>
            </w:r>
            <w:r w:rsidR="00997970" w:rsidRPr="00B4267A">
              <w:rPr>
                <w:rFonts w:asciiTheme="minorHAnsi" w:eastAsiaTheme="minorHAnsi" w:hAnsiTheme="minorHAnsi"/>
                <w:color w:val="000000"/>
                <w:sz w:val="22"/>
                <w:szCs w:val="22"/>
                <w:lang w:val="es-ES_tradnl"/>
              </w:rPr>
              <w:t xml:space="preserve"> del CDB y de Ramsar para medir la </w:t>
            </w:r>
            <w:r w:rsidR="003B17E6" w:rsidRPr="00B4267A">
              <w:rPr>
                <w:rFonts w:asciiTheme="minorHAnsi" w:eastAsiaTheme="minorHAnsi" w:hAnsiTheme="minorHAnsi"/>
                <w:color w:val="000000"/>
                <w:sz w:val="22"/>
                <w:szCs w:val="22"/>
                <w:lang w:val="es-ES_tradnl"/>
              </w:rPr>
              <w:t>aplicación</w:t>
            </w:r>
            <w:r w:rsidR="00997970" w:rsidRPr="00B4267A">
              <w:rPr>
                <w:rFonts w:asciiTheme="minorHAnsi" w:eastAsiaTheme="minorHAnsi" w:hAnsiTheme="minorHAnsi"/>
                <w:color w:val="000000"/>
                <w:sz w:val="22"/>
                <w:szCs w:val="22"/>
                <w:lang w:val="es-ES_tradnl"/>
              </w:rPr>
              <w:t xml:space="preserve"> de dicho Plan de Trabajo Conjunto</w:t>
            </w:r>
            <w:r w:rsidR="003B17E6" w:rsidRPr="00B4267A">
              <w:rPr>
                <w:rFonts w:asciiTheme="minorHAnsi" w:eastAsiaTheme="minorHAnsi" w:hAnsiTheme="minorHAnsi"/>
                <w:color w:val="000000"/>
                <w:sz w:val="22"/>
                <w:szCs w:val="22"/>
                <w:lang w:val="es-ES_tradnl"/>
              </w:rPr>
              <w:t>;</w:t>
            </w:r>
          </w:p>
          <w:p w14:paraId="7021B47D" w14:textId="77777777" w:rsidR="003E4DC6" w:rsidRPr="00B4267A" w:rsidRDefault="003E4DC6" w:rsidP="003E4DC6">
            <w:pPr>
              <w:autoSpaceDE w:val="0"/>
              <w:autoSpaceDN w:val="0"/>
              <w:adjustRightInd w:val="0"/>
              <w:ind w:left="318"/>
              <w:contextualSpacing/>
              <w:rPr>
                <w:rFonts w:asciiTheme="minorHAnsi" w:eastAsiaTheme="minorHAnsi" w:hAnsiTheme="minorHAnsi"/>
                <w:color w:val="000000"/>
                <w:sz w:val="16"/>
                <w:szCs w:val="16"/>
                <w:lang w:val="es-ES_tradnl"/>
              </w:rPr>
            </w:pPr>
          </w:p>
          <w:p w14:paraId="6B847153" w14:textId="7234D6CF" w:rsidR="0088481D" w:rsidRPr="00B4267A" w:rsidRDefault="00997970" w:rsidP="003E4DC6">
            <w:pPr>
              <w:numPr>
                <w:ilvl w:val="0"/>
                <w:numId w:val="28"/>
              </w:numPr>
              <w:autoSpaceDE w:val="0"/>
              <w:autoSpaceDN w:val="0"/>
              <w:adjustRightInd w:val="0"/>
              <w:ind w:left="318" w:hanging="279"/>
              <w:contextualSpacing/>
              <w:rPr>
                <w:rFonts w:asciiTheme="minorHAnsi" w:eastAsiaTheme="minorHAnsi" w:hAnsiTheme="minorHAnsi"/>
                <w:color w:val="000000"/>
                <w:sz w:val="22"/>
                <w:szCs w:val="22"/>
                <w:lang w:val="es-ES_tradnl"/>
              </w:rPr>
            </w:pPr>
            <w:r w:rsidRPr="00B4267A">
              <w:rPr>
                <w:rFonts w:asciiTheme="minorHAnsi" w:eastAsiaTheme="minorHAnsi" w:hAnsiTheme="minorHAnsi"/>
                <w:color w:val="000000"/>
                <w:sz w:val="22"/>
                <w:szCs w:val="22"/>
                <w:lang w:val="es-ES_tradnl"/>
              </w:rPr>
              <w:t>colaborar para cumplir los objetivos de los planes estratégicos de ambas Convenciones a fin de realizar un seguimiento y una evaluación óptimos de los respectivos logros en el contexto de la biodiversidad y los humedales;</w:t>
            </w:r>
          </w:p>
          <w:p w14:paraId="62D2AEBC" w14:textId="77777777" w:rsidR="003E4DC6" w:rsidRPr="00B4267A" w:rsidRDefault="003E4DC6" w:rsidP="003E4DC6">
            <w:pPr>
              <w:pStyle w:val="ListParagraph"/>
              <w:rPr>
                <w:rFonts w:asciiTheme="minorHAnsi" w:eastAsiaTheme="minorHAnsi" w:hAnsiTheme="minorHAnsi"/>
                <w:color w:val="000000"/>
                <w:sz w:val="16"/>
                <w:szCs w:val="16"/>
                <w:lang w:val="es-ES_tradnl"/>
              </w:rPr>
            </w:pPr>
          </w:p>
          <w:p w14:paraId="39A731B9" w14:textId="073685E7" w:rsidR="005522A4" w:rsidRPr="00B4267A" w:rsidRDefault="00997970" w:rsidP="005522A4">
            <w:pPr>
              <w:numPr>
                <w:ilvl w:val="0"/>
                <w:numId w:val="28"/>
              </w:numPr>
              <w:autoSpaceDE w:val="0"/>
              <w:autoSpaceDN w:val="0"/>
              <w:adjustRightInd w:val="0"/>
              <w:ind w:left="318" w:hanging="279"/>
              <w:contextualSpacing/>
              <w:rPr>
                <w:rFonts w:asciiTheme="minorHAnsi" w:eastAsia="Calibri" w:hAnsiTheme="minorHAnsi"/>
                <w:sz w:val="22"/>
                <w:szCs w:val="22"/>
                <w:lang w:val="es-ES_tradnl" w:eastAsia="en-US"/>
              </w:rPr>
            </w:pPr>
            <w:r w:rsidRPr="00B4267A">
              <w:rPr>
                <w:rFonts w:asciiTheme="minorHAnsi" w:hAnsiTheme="minorHAnsi"/>
                <w:sz w:val="22"/>
                <w:szCs w:val="22"/>
                <w:lang w:val="es-ES_tradnl"/>
              </w:rPr>
              <w:t xml:space="preserve">colaborar con los principales grupos y asociados en la </w:t>
            </w:r>
            <w:r w:rsidR="003B17E6" w:rsidRPr="00B4267A">
              <w:rPr>
                <w:rFonts w:asciiTheme="minorHAnsi" w:hAnsiTheme="minorHAnsi"/>
                <w:sz w:val="22"/>
                <w:szCs w:val="22"/>
                <w:lang w:val="es-ES_tradnl"/>
              </w:rPr>
              <w:t>plena</w:t>
            </w:r>
            <w:r w:rsidRPr="00B4267A">
              <w:rPr>
                <w:rFonts w:asciiTheme="minorHAnsi" w:hAnsiTheme="minorHAnsi"/>
                <w:sz w:val="22"/>
                <w:szCs w:val="22"/>
                <w:lang w:val="es-ES_tradnl"/>
              </w:rPr>
              <w:t xml:space="preserve"> aplicación de las </w:t>
            </w:r>
            <w:r w:rsidRPr="00B4267A">
              <w:rPr>
                <w:rFonts w:asciiTheme="minorHAnsi" w:hAnsiTheme="minorHAnsi"/>
                <w:sz w:val="22"/>
                <w:szCs w:val="22"/>
                <w:lang w:val="es-ES_tradnl"/>
              </w:rPr>
              <w:lastRenderedPageBreak/>
              <w:t xml:space="preserve">disposiciones de ambas Convenciones </w:t>
            </w:r>
            <w:r w:rsidR="008F7583" w:rsidRPr="00B4267A">
              <w:rPr>
                <w:rFonts w:asciiTheme="minorHAnsi" w:hAnsiTheme="minorHAnsi"/>
                <w:sz w:val="22"/>
                <w:szCs w:val="22"/>
                <w:lang w:val="es-ES_tradnl"/>
              </w:rPr>
              <w:t>en lo relativo a las cuestiones prioritarias para la conservación, el uso racional y la cooperación internacional en materia de humedales.</w:t>
            </w:r>
          </w:p>
        </w:tc>
        <w:tc>
          <w:tcPr>
            <w:tcW w:w="2977" w:type="dxa"/>
          </w:tcPr>
          <w:p w14:paraId="5E2B5508" w14:textId="6B3BB57A" w:rsidR="0088481D" w:rsidRPr="003B17E6" w:rsidRDefault="002332AC" w:rsidP="00997970">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lastRenderedPageBreak/>
              <w:t xml:space="preserve">Aplicación de las </w:t>
            </w:r>
            <w:r w:rsidR="00997970" w:rsidRPr="003B17E6">
              <w:rPr>
                <w:rFonts w:asciiTheme="minorHAnsi" w:hAnsiTheme="minorHAnsi"/>
                <w:sz w:val="22"/>
                <w:szCs w:val="22"/>
                <w:lang w:val="es-ES_tradnl"/>
              </w:rPr>
              <w:t xml:space="preserve">medidas </w:t>
            </w:r>
            <w:r w:rsidR="003B17E6" w:rsidRPr="003B17E6">
              <w:rPr>
                <w:rFonts w:asciiTheme="minorHAnsi" w:hAnsiTheme="minorHAnsi"/>
                <w:sz w:val="22"/>
                <w:szCs w:val="22"/>
                <w:lang w:val="es-ES_tradnl"/>
              </w:rPr>
              <w:t>conjuntas</w:t>
            </w:r>
            <w:r w:rsidRPr="003B17E6">
              <w:rPr>
                <w:rFonts w:asciiTheme="minorHAnsi" w:hAnsiTheme="minorHAnsi"/>
                <w:sz w:val="22"/>
                <w:szCs w:val="22"/>
                <w:lang w:val="es-ES_tradnl"/>
              </w:rPr>
              <w:t xml:space="preserve"> e informe a los órganos </w:t>
            </w:r>
            <w:r w:rsidR="003B17E6" w:rsidRPr="003B17E6">
              <w:rPr>
                <w:rFonts w:asciiTheme="minorHAnsi" w:hAnsiTheme="minorHAnsi"/>
                <w:sz w:val="22"/>
                <w:szCs w:val="22"/>
                <w:lang w:val="es-ES_tradnl"/>
              </w:rPr>
              <w:t>respectivos</w:t>
            </w:r>
            <w:r w:rsidRPr="003B17E6">
              <w:rPr>
                <w:rFonts w:asciiTheme="minorHAnsi" w:hAnsiTheme="minorHAnsi"/>
                <w:sz w:val="22"/>
                <w:szCs w:val="22"/>
                <w:lang w:val="es-ES_tradnl"/>
              </w:rPr>
              <w:t xml:space="preserve"> de la</w:t>
            </w:r>
            <w:r w:rsidR="00997970" w:rsidRPr="003B17E6">
              <w:rPr>
                <w:rFonts w:asciiTheme="minorHAnsi" w:hAnsiTheme="minorHAnsi"/>
                <w:sz w:val="22"/>
                <w:szCs w:val="22"/>
                <w:lang w:val="es-ES_tradnl"/>
              </w:rPr>
              <w:t xml:space="preserve">s </w:t>
            </w:r>
            <w:r w:rsidR="003B17E6" w:rsidRPr="003B17E6">
              <w:rPr>
                <w:rFonts w:asciiTheme="minorHAnsi" w:hAnsiTheme="minorHAnsi"/>
                <w:sz w:val="22"/>
                <w:szCs w:val="22"/>
                <w:lang w:val="es-ES_tradnl"/>
              </w:rPr>
              <w:t>Convenciones</w:t>
            </w:r>
          </w:p>
        </w:tc>
        <w:tc>
          <w:tcPr>
            <w:tcW w:w="1468" w:type="dxa"/>
          </w:tcPr>
          <w:p w14:paraId="3F69F10B" w14:textId="10A1DC3B" w:rsidR="0088481D" w:rsidRPr="003B17E6" w:rsidRDefault="00C011CC"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88481D"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5522A4" w:rsidRPr="003B17E6" w14:paraId="49F3B923" w14:textId="77777777" w:rsidTr="00B4267A">
        <w:tc>
          <w:tcPr>
            <w:tcW w:w="1985" w:type="dxa"/>
          </w:tcPr>
          <w:p w14:paraId="65216E07" w14:textId="7F626703" w:rsidR="005522A4" w:rsidRPr="003B17E6" w:rsidRDefault="008F7583" w:rsidP="00B4267A">
            <w:pPr>
              <w:autoSpaceDE w:val="0"/>
              <w:autoSpaceDN w:val="0"/>
              <w:adjustRightInd w:val="0"/>
              <w:rPr>
                <w:rFonts w:asciiTheme="minorHAnsi" w:hAnsiTheme="minorHAnsi"/>
                <w:sz w:val="22"/>
                <w:szCs w:val="22"/>
                <w:lang w:val="es-ES_tradnl"/>
              </w:rPr>
            </w:pPr>
            <w:r w:rsidRPr="003B17E6">
              <w:rPr>
                <w:rFonts w:ascii="Calibri" w:eastAsiaTheme="minorHAnsi" w:hAnsi="Calibri" w:cs="Calibri"/>
                <w:sz w:val="22"/>
                <w:szCs w:val="22"/>
                <w:lang w:val="es-ES_tradnl"/>
              </w:rPr>
              <w:lastRenderedPageBreak/>
              <w:t>Convención sobre la conservación de las especies migratorias de animales silvestres</w:t>
            </w:r>
            <w:r w:rsidR="002332AC" w:rsidRPr="003B17E6">
              <w:rPr>
                <w:rFonts w:asciiTheme="minorHAnsi" w:eastAsiaTheme="minorHAnsi" w:hAnsiTheme="minorHAnsi"/>
                <w:color w:val="000000"/>
                <w:sz w:val="22"/>
                <w:szCs w:val="22"/>
                <w:lang w:val="es-ES_tradnl" w:eastAsia="en-US"/>
              </w:rPr>
              <w:t xml:space="preserve"> (CEM)</w:t>
            </w:r>
          </w:p>
        </w:tc>
        <w:tc>
          <w:tcPr>
            <w:tcW w:w="7938" w:type="dxa"/>
          </w:tcPr>
          <w:p w14:paraId="4E86E140" w14:textId="737759FA" w:rsidR="005522A4" w:rsidRPr="003B17E6" w:rsidRDefault="00570ECA" w:rsidP="00B4267A">
            <w:pPr>
              <w:autoSpaceDE w:val="0"/>
              <w:autoSpaceDN w:val="0"/>
              <w:adjustRightInd w:val="0"/>
              <w:rPr>
                <w:rFonts w:asciiTheme="minorHAnsi" w:hAnsiTheme="minorHAnsi"/>
                <w:sz w:val="22"/>
                <w:szCs w:val="22"/>
                <w:lang w:val="es-ES_tradnl"/>
              </w:rPr>
            </w:pPr>
            <w:r>
              <w:rPr>
                <w:rFonts w:asciiTheme="minorHAnsi" w:hAnsiTheme="minorHAnsi"/>
                <w:sz w:val="22"/>
                <w:szCs w:val="22"/>
                <w:lang w:val="es-ES_tradnl"/>
              </w:rPr>
              <w:t>Con arreglo</w:t>
            </w:r>
            <w:r w:rsidR="008F7583" w:rsidRPr="00DE01FC">
              <w:rPr>
                <w:rFonts w:asciiTheme="minorHAnsi" w:hAnsiTheme="minorHAnsi"/>
                <w:sz w:val="22"/>
                <w:szCs w:val="22"/>
                <w:lang w:val="es-ES_tradnl"/>
              </w:rPr>
              <w:t xml:space="preserve"> al marco para el </w:t>
            </w:r>
            <w:r w:rsidR="00DE01FC" w:rsidRPr="00DE01FC">
              <w:rPr>
                <w:rFonts w:asciiTheme="minorHAnsi" w:hAnsiTheme="minorHAnsi"/>
                <w:sz w:val="22"/>
                <w:szCs w:val="22"/>
                <w:lang w:val="es-ES_tradnl"/>
              </w:rPr>
              <w:t>memorando de entendimiento</w:t>
            </w:r>
            <w:r w:rsidR="008F7583" w:rsidRPr="00DE01FC">
              <w:rPr>
                <w:rFonts w:asciiTheme="minorHAnsi" w:hAnsiTheme="minorHAnsi"/>
                <w:sz w:val="22"/>
                <w:szCs w:val="22"/>
                <w:lang w:val="es-ES_tradnl"/>
              </w:rPr>
              <w:t xml:space="preserve"> sobre</w:t>
            </w:r>
            <w:r w:rsidR="008F7583" w:rsidRPr="003B17E6">
              <w:rPr>
                <w:rFonts w:asciiTheme="minorHAnsi" w:hAnsiTheme="minorHAnsi"/>
                <w:sz w:val="22"/>
                <w:szCs w:val="22"/>
                <w:lang w:val="es-ES_tradnl"/>
              </w:rPr>
              <w:t xml:space="preserve"> cooperación y al P</w:t>
            </w:r>
            <w:r w:rsidR="00C839F6" w:rsidRPr="003B17E6">
              <w:rPr>
                <w:rFonts w:asciiTheme="minorHAnsi" w:hAnsiTheme="minorHAnsi"/>
                <w:sz w:val="22"/>
                <w:szCs w:val="22"/>
                <w:lang w:val="es-ES_tradnl"/>
              </w:rPr>
              <w:t>lan de Trabajo Conjunto</w:t>
            </w:r>
            <w:r w:rsidR="005522A4" w:rsidRPr="003B17E6">
              <w:rPr>
                <w:rFonts w:asciiTheme="minorHAnsi" w:hAnsiTheme="minorHAnsi"/>
                <w:sz w:val="22"/>
                <w:szCs w:val="22"/>
                <w:lang w:val="es-ES_tradnl"/>
              </w:rPr>
              <w:t xml:space="preserve"> 2015-2017:</w:t>
            </w:r>
          </w:p>
          <w:p w14:paraId="277C44DE" w14:textId="77777777" w:rsidR="005522A4" w:rsidRPr="003E4DC6" w:rsidRDefault="005522A4" w:rsidP="00B4267A">
            <w:pPr>
              <w:autoSpaceDE w:val="0"/>
              <w:autoSpaceDN w:val="0"/>
              <w:adjustRightInd w:val="0"/>
              <w:rPr>
                <w:rFonts w:asciiTheme="minorHAnsi" w:eastAsiaTheme="minorHAnsi" w:hAnsiTheme="minorHAnsi" w:cs="Garamond"/>
                <w:color w:val="000000"/>
                <w:sz w:val="16"/>
                <w:szCs w:val="16"/>
                <w:lang w:val="es-ES_tradnl" w:eastAsia="en-US"/>
              </w:rPr>
            </w:pPr>
          </w:p>
          <w:p w14:paraId="656AD2B6" w14:textId="6948EA75" w:rsidR="005522A4" w:rsidRPr="003B17E6" w:rsidRDefault="008F7583" w:rsidP="00B4267A">
            <w:pPr>
              <w:pStyle w:val="ListParagraph"/>
              <w:numPr>
                <w:ilvl w:val="0"/>
                <w:numId w:val="31"/>
              </w:numPr>
              <w:autoSpaceDE w:val="0"/>
              <w:autoSpaceDN w:val="0"/>
              <w:adjustRightInd w:val="0"/>
              <w:ind w:left="318" w:hanging="284"/>
              <w:jc w:val="left"/>
              <w:rPr>
                <w:rFonts w:asciiTheme="minorHAnsi" w:eastAsiaTheme="minorHAnsi" w:hAnsiTheme="minorHAnsi" w:cs="Garamond"/>
                <w:color w:val="000000"/>
                <w:lang w:val="es-ES_tradnl"/>
              </w:rPr>
            </w:pPr>
            <w:r w:rsidRPr="003B17E6">
              <w:rPr>
                <w:rFonts w:asciiTheme="minorHAnsi" w:eastAsiaTheme="minorHAnsi" w:hAnsiTheme="minorHAnsi" w:cs="Garamond"/>
                <w:color w:val="000000"/>
                <w:lang w:val="es-ES_tradnl"/>
              </w:rPr>
              <w:t xml:space="preserve">Apoyar las iniciativas de política nacional para la aplicación coordinada de las Convenciones de la </w:t>
            </w:r>
            <w:r w:rsidR="00DE01FC" w:rsidRPr="00DE01FC">
              <w:rPr>
                <w:rFonts w:asciiTheme="minorHAnsi" w:eastAsiaTheme="minorHAnsi" w:hAnsiTheme="minorHAnsi" w:cs="Garamond"/>
                <w:lang w:val="es-ES_tradnl"/>
              </w:rPr>
              <w:t>CEM</w:t>
            </w:r>
            <w:r w:rsidR="00DE01FC">
              <w:rPr>
                <w:rFonts w:asciiTheme="minorHAnsi" w:eastAsiaTheme="minorHAnsi" w:hAnsiTheme="minorHAnsi" w:cs="Garamond"/>
                <w:color w:val="000000"/>
                <w:lang w:val="es-ES_tradnl"/>
              </w:rPr>
              <w:t xml:space="preserve"> y Ramsar</w:t>
            </w:r>
            <w:r w:rsidR="005522A4" w:rsidRPr="003B17E6">
              <w:rPr>
                <w:rFonts w:asciiTheme="minorHAnsi" w:eastAsiaTheme="minorHAnsi" w:hAnsiTheme="minorHAnsi" w:cs="Garamond"/>
                <w:color w:val="000000"/>
                <w:lang w:val="es-ES_tradnl"/>
              </w:rPr>
              <w:t>.</w:t>
            </w:r>
          </w:p>
          <w:p w14:paraId="306A2BC4" w14:textId="77777777" w:rsidR="003E4DC6" w:rsidRPr="003E4DC6" w:rsidRDefault="003E4DC6" w:rsidP="00B4267A">
            <w:pPr>
              <w:autoSpaceDE w:val="0"/>
              <w:autoSpaceDN w:val="0"/>
              <w:adjustRightInd w:val="0"/>
              <w:rPr>
                <w:rFonts w:asciiTheme="minorHAnsi" w:eastAsiaTheme="minorHAnsi" w:hAnsiTheme="minorHAnsi" w:cs="Garamond"/>
                <w:color w:val="000000"/>
                <w:sz w:val="16"/>
                <w:szCs w:val="16"/>
                <w:lang w:val="es-ES_tradnl" w:eastAsia="en-US"/>
              </w:rPr>
            </w:pPr>
          </w:p>
          <w:p w14:paraId="1B3057B1" w14:textId="10B4F08D" w:rsidR="005522A4" w:rsidRPr="003B17E6" w:rsidRDefault="008F7583" w:rsidP="00B4267A">
            <w:pPr>
              <w:pStyle w:val="ListParagraph"/>
              <w:numPr>
                <w:ilvl w:val="0"/>
                <w:numId w:val="31"/>
              </w:numPr>
              <w:autoSpaceDE w:val="0"/>
              <w:autoSpaceDN w:val="0"/>
              <w:adjustRightInd w:val="0"/>
              <w:ind w:left="318" w:hanging="284"/>
              <w:jc w:val="left"/>
              <w:rPr>
                <w:rFonts w:asciiTheme="minorHAnsi" w:eastAsiaTheme="minorHAnsi" w:hAnsiTheme="minorHAnsi" w:cs="Garamond"/>
                <w:color w:val="000000"/>
                <w:lang w:val="es-ES_tradnl"/>
              </w:rPr>
            </w:pPr>
            <w:r w:rsidRPr="003B17E6">
              <w:rPr>
                <w:rFonts w:asciiTheme="minorHAnsi" w:eastAsiaTheme="minorHAnsi" w:hAnsiTheme="minorHAnsi" w:cs="Garamond"/>
                <w:color w:val="000000"/>
                <w:lang w:val="es-ES_tradnl"/>
              </w:rPr>
              <w:t xml:space="preserve">Aprovechar las oportunidades para facilitar la participación mutua en las reuniones pertinentes en el marco de cualquiera de las Convenciones, incluidas las Iniciativas Regionales de Ramsar y las organizadas </w:t>
            </w:r>
            <w:r w:rsidR="003B17E6" w:rsidRPr="003B17E6">
              <w:rPr>
                <w:rFonts w:asciiTheme="minorHAnsi" w:eastAsiaTheme="minorHAnsi" w:hAnsiTheme="minorHAnsi" w:cs="Garamond"/>
                <w:color w:val="000000"/>
                <w:lang w:val="es-ES_tradnl"/>
              </w:rPr>
              <w:t>bajo</w:t>
            </w:r>
            <w:r w:rsidRPr="003B17E6">
              <w:rPr>
                <w:rFonts w:asciiTheme="minorHAnsi" w:eastAsiaTheme="minorHAnsi" w:hAnsiTheme="minorHAnsi" w:cs="Garamond"/>
                <w:color w:val="000000"/>
                <w:lang w:val="es-ES_tradnl"/>
              </w:rPr>
              <w:t xml:space="preserve"> los auspicios de la </w:t>
            </w:r>
            <w:r w:rsidR="00570ECA" w:rsidRPr="00570ECA">
              <w:rPr>
                <w:rFonts w:asciiTheme="minorHAnsi" w:eastAsiaTheme="minorHAnsi" w:hAnsiTheme="minorHAnsi" w:cs="Garamond"/>
                <w:lang w:val="es-ES_tradnl"/>
              </w:rPr>
              <w:t>CEM</w:t>
            </w:r>
            <w:r w:rsidRPr="003B17E6">
              <w:rPr>
                <w:rFonts w:asciiTheme="minorHAnsi" w:eastAsiaTheme="minorHAnsi" w:hAnsiTheme="minorHAnsi" w:cs="Garamond"/>
                <w:color w:val="000000"/>
                <w:lang w:val="es-ES_tradnl"/>
              </w:rPr>
              <w:t xml:space="preserve"> y talleres sobre temas técnicos de interés mutuo.</w:t>
            </w:r>
          </w:p>
          <w:p w14:paraId="741DBB44" w14:textId="77777777" w:rsidR="003E4DC6" w:rsidRPr="003E4DC6" w:rsidRDefault="003E4DC6" w:rsidP="00B4267A">
            <w:pPr>
              <w:autoSpaceDE w:val="0"/>
              <w:autoSpaceDN w:val="0"/>
              <w:adjustRightInd w:val="0"/>
              <w:rPr>
                <w:rFonts w:asciiTheme="minorHAnsi" w:eastAsiaTheme="minorHAnsi" w:hAnsiTheme="minorHAnsi" w:cs="Garamond"/>
                <w:color w:val="000000"/>
                <w:sz w:val="16"/>
                <w:szCs w:val="16"/>
                <w:lang w:val="es-ES_tradnl" w:eastAsia="en-US"/>
              </w:rPr>
            </w:pPr>
          </w:p>
          <w:p w14:paraId="413CF7DB" w14:textId="6B887CEA" w:rsidR="005522A4" w:rsidRPr="003B17E6" w:rsidRDefault="00AB5E15" w:rsidP="00B4267A">
            <w:pPr>
              <w:pStyle w:val="ListParagraph"/>
              <w:numPr>
                <w:ilvl w:val="0"/>
                <w:numId w:val="31"/>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 xml:space="preserve">Definir y operar (seguimiento, evaluación, informes) los indicadores de diversidad biológica pertinentes para evaluar la efectividad de la </w:t>
            </w:r>
            <w:r w:rsidR="003B17E6" w:rsidRPr="003B17E6">
              <w:rPr>
                <w:rFonts w:asciiTheme="minorHAnsi" w:hAnsiTheme="minorHAnsi"/>
                <w:lang w:val="es-ES_tradnl"/>
              </w:rPr>
              <w:t>aplicación</w:t>
            </w:r>
            <w:r w:rsidRPr="003B17E6">
              <w:rPr>
                <w:rFonts w:asciiTheme="minorHAnsi" w:hAnsiTheme="minorHAnsi"/>
                <w:lang w:val="es-ES_tradnl"/>
              </w:rPr>
              <w:t xml:space="preserve"> de la Convención.</w:t>
            </w:r>
          </w:p>
          <w:p w14:paraId="33A62155" w14:textId="77777777" w:rsidR="003E4DC6" w:rsidRPr="003E4DC6" w:rsidRDefault="003E4DC6" w:rsidP="00B4267A">
            <w:pPr>
              <w:autoSpaceDE w:val="0"/>
              <w:autoSpaceDN w:val="0"/>
              <w:adjustRightInd w:val="0"/>
              <w:rPr>
                <w:rFonts w:asciiTheme="minorHAnsi" w:eastAsiaTheme="minorHAnsi" w:hAnsiTheme="minorHAnsi" w:cs="Garamond"/>
                <w:color w:val="000000"/>
                <w:sz w:val="16"/>
                <w:szCs w:val="16"/>
                <w:lang w:val="es-ES_tradnl" w:eastAsia="en-US"/>
              </w:rPr>
            </w:pPr>
          </w:p>
          <w:p w14:paraId="467666EA" w14:textId="61A6663F" w:rsidR="005522A4" w:rsidRPr="003B17E6" w:rsidRDefault="005522A4" w:rsidP="00B4267A">
            <w:pPr>
              <w:pStyle w:val="ListParagraph"/>
              <w:numPr>
                <w:ilvl w:val="0"/>
                <w:numId w:val="31"/>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Informa</w:t>
            </w:r>
            <w:r w:rsidR="00AB5E15" w:rsidRPr="003B17E6">
              <w:rPr>
                <w:rFonts w:asciiTheme="minorHAnsi" w:hAnsiTheme="minorHAnsi"/>
                <w:lang w:val="es-ES_tradnl"/>
              </w:rPr>
              <w:t>ción, divulgación y creación de capacidad.</w:t>
            </w:r>
          </w:p>
        </w:tc>
        <w:tc>
          <w:tcPr>
            <w:tcW w:w="2977" w:type="dxa"/>
          </w:tcPr>
          <w:p w14:paraId="47570B6E" w14:textId="77B22AD3" w:rsidR="005522A4" w:rsidRPr="003B17E6" w:rsidRDefault="002332AC" w:rsidP="00B4267A">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Ejecución de las actividades de interés mutuo acordadas e </w:t>
            </w:r>
            <w:r w:rsidRPr="00570ECA">
              <w:rPr>
                <w:rFonts w:asciiTheme="minorHAnsi" w:hAnsiTheme="minorHAnsi"/>
                <w:sz w:val="22"/>
                <w:szCs w:val="22"/>
                <w:lang w:val="es-ES_tradnl"/>
              </w:rPr>
              <w:t>informe</w:t>
            </w:r>
            <w:r w:rsidRPr="003B17E6">
              <w:rPr>
                <w:rFonts w:asciiTheme="minorHAnsi" w:hAnsiTheme="minorHAnsi"/>
                <w:sz w:val="22"/>
                <w:szCs w:val="22"/>
                <w:lang w:val="es-ES_tradnl"/>
              </w:rPr>
              <w:t xml:space="preserve"> al Comité Permanente según proceda.</w:t>
            </w:r>
          </w:p>
        </w:tc>
        <w:tc>
          <w:tcPr>
            <w:tcW w:w="1468" w:type="dxa"/>
          </w:tcPr>
          <w:p w14:paraId="715E4E6E" w14:textId="588A6899" w:rsidR="005522A4" w:rsidRPr="003B17E6" w:rsidRDefault="00C011CC" w:rsidP="00B4267A">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5522A4"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5522A4" w:rsidRPr="003B17E6" w14:paraId="46C01E19" w14:textId="77777777" w:rsidTr="00B4267A">
        <w:tc>
          <w:tcPr>
            <w:tcW w:w="1985" w:type="dxa"/>
          </w:tcPr>
          <w:p w14:paraId="5A8A3DAA" w14:textId="774408AE" w:rsidR="0088481D" w:rsidRPr="003B17E6" w:rsidRDefault="00AC634A" w:rsidP="00B4267A">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Convención sobre la protección del patrimonio mundial, cultural y natural</w:t>
            </w:r>
            <w:r w:rsidR="0088481D" w:rsidRPr="003B17E6">
              <w:rPr>
                <w:rFonts w:asciiTheme="minorHAnsi" w:hAnsiTheme="minorHAnsi"/>
                <w:sz w:val="22"/>
                <w:szCs w:val="22"/>
                <w:lang w:val="es-ES_tradnl"/>
              </w:rPr>
              <w:t xml:space="preserve"> (</w:t>
            </w:r>
            <w:r w:rsidRPr="003B17E6">
              <w:rPr>
                <w:rFonts w:asciiTheme="minorHAnsi" w:hAnsiTheme="minorHAnsi"/>
                <w:sz w:val="22"/>
                <w:szCs w:val="22"/>
                <w:lang w:val="es-ES_tradnl"/>
              </w:rPr>
              <w:t>Convención del Patrimonio Mundial</w:t>
            </w:r>
            <w:r w:rsidR="00570ECA">
              <w:rPr>
                <w:rFonts w:asciiTheme="minorHAnsi" w:hAnsiTheme="minorHAnsi"/>
                <w:sz w:val="22"/>
                <w:szCs w:val="22"/>
                <w:lang w:val="es-ES_tradnl"/>
              </w:rPr>
              <w:t>, UNESCO</w:t>
            </w:r>
            <w:r w:rsidRPr="003B17E6">
              <w:rPr>
                <w:rFonts w:asciiTheme="minorHAnsi" w:hAnsiTheme="minorHAnsi"/>
                <w:sz w:val="22"/>
                <w:szCs w:val="22"/>
                <w:lang w:val="es-ES_tradnl"/>
              </w:rPr>
              <w:t>)</w:t>
            </w:r>
          </w:p>
        </w:tc>
        <w:tc>
          <w:tcPr>
            <w:tcW w:w="7938" w:type="dxa"/>
          </w:tcPr>
          <w:p w14:paraId="046C84B1" w14:textId="7877ABE3" w:rsidR="0088481D" w:rsidRPr="00B4267A" w:rsidRDefault="00570ECA" w:rsidP="00B4267A">
            <w:pPr>
              <w:autoSpaceDE w:val="0"/>
              <w:autoSpaceDN w:val="0"/>
              <w:adjustRightInd w:val="0"/>
              <w:rPr>
                <w:rFonts w:asciiTheme="minorHAnsi" w:hAnsiTheme="minorHAnsi"/>
                <w:spacing w:val="-4"/>
                <w:sz w:val="22"/>
                <w:szCs w:val="22"/>
                <w:lang w:val="es-ES_tradnl"/>
              </w:rPr>
            </w:pPr>
            <w:r w:rsidRPr="00B4267A">
              <w:rPr>
                <w:rFonts w:asciiTheme="minorHAnsi" w:hAnsiTheme="minorHAnsi"/>
                <w:spacing w:val="-4"/>
                <w:sz w:val="22"/>
                <w:szCs w:val="22"/>
                <w:lang w:val="es-ES_tradnl"/>
              </w:rPr>
              <w:t>Con arreglo a</w:t>
            </w:r>
            <w:r w:rsidR="00AC634A" w:rsidRPr="00B4267A">
              <w:rPr>
                <w:rFonts w:asciiTheme="minorHAnsi" w:hAnsiTheme="minorHAnsi"/>
                <w:spacing w:val="-4"/>
                <w:sz w:val="22"/>
                <w:szCs w:val="22"/>
                <w:lang w:val="es-ES_tradnl"/>
              </w:rPr>
              <w:t>l memorando de entendimiento:</w:t>
            </w:r>
          </w:p>
          <w:p w14:paraId="075976A6" w14:textId="77777777" w:rsidR="003E4DC6" w:rsidRPr="00B4267A" w:rsidRDefault="003E4DC6" w:rsidP="00B4267A">
            <w:pPr>
              <w:autoSpaceDE w:val="0"/>
              <w:autoSpaceDN w:val="0"/>
              <w:adjustRightInd w:val="0"/>
              <w:rPr>
                <w:rFonts w:asciiTheme="minorHAnsi" w:eastAsiaTheme="minorHAnsi" w:hAnsiTheme="minorHAnsi" w:cs="Garamond"/>
                <w:color w:val="000000"/>
                <w:spacing w:val="-4"/>
                <w:sz w:val="16"/>
                <w:szCs w:val="16"/>
                <w:lang w:val="es-ES_tradnl" w:eastAsia="en-US"/>
              </w:rPr>
            </w:pPr>
          </w:p>
          <w:p w14:paraId="522B3D49" w14:textId="0A1810EF" w:rsidR="0088481D" w:rsidRPr="00B4267A" w:rsidRDefault="00AC634A" w:rsidP="00B4267A">
            <w:pPr>
              <w:pStyle w:val="ListParagraph"/>
              <w:numPr>
                <w:ilvl w:val="0"/>
                <w:numId w:val="34"/>
              </w:numPr>
              <w:autoSpaceDE w:val="0"/>
              <w:autoSpaceDN w:val="0"/>
              <w:adjustRightInd w:val="0"/>
              <w:ind w:left="318" w:hanging="284"/>
              <w:jc w:val="left"/>
              <w:rPr>
                <w:rFonts w:asciiTheme="minorHAnsi" w:hAnsiTheme="minorHAnsi"/>
                <w:spacing w:val="-4"/>
                <w:lang w:val="es-ES_tradnl"/>
              </w:rPr>
            </w:pPr>
            <w:r w:rsidRPr="00B4267A">
              <w:rPr>
                <w:rFonts w:asciiTheme="minorHAnsi" w:hAnsiTheme="minorHAnsi"/>
                <w:spacing w:val="-4"/>
                <w:lang w:val="es-ES_tradnl"/>
              </w:rPr>
              <w:t>Compartir periódicamente inf</w:t>
            </w:r>
            <w:r w:rsidR="00570ECA" w:rsidRPr="00B4267A">
              <w:rPr>
                <w:rFonts w:asciiTheme="minorHAnsi" w:hAnsiTheme="minorHAnsi"/>
                <w:spacing w:val="-4"/>
                <w:lang w:val="es-ES_tradnl"/>
              </w:rPr>
              <w:t>ormación sobre aspectos concret</w:t>
            </w:r>
            <w:r w:rsidRPr="00B4267A">
              <w:rPr>
                <w:rFonts w:asciiTheme="minorHAnsi" w:hAnsiTheme="minorHAnsi"/>
                <w:spacing w:val="-4"/>
                <w:lang w:val="es-ES_tradnl"/>
              </w:rPr>
              <w:t xml:space="preserve">os que sean de interés y beneficio </w:t>
            </w:r>
            <w:r w:rsidR="003B17E6" w:rsidRPr="00B4267A">
              <w:rPr>
                <w:rFonts w:asciiTheme="minorHAnsi" w:hAnsiTheme="minorHAnsi"/>
                <w:spacing w:val="-4"/>
                <w:lang w:val="es-ES_tradnl"/>
              </w:rPr>
              <w:t>mutuos</w:t>
            </w:r>
            <w:r w:rsidRPr="00B4267A">
              <w:rPr>
                <w:rFonts w:asciiTheme="minorHAnsi" w:hAnsiTheme="minorHAnsi"/>
                <w:spacing w:val="-4"/>
                <w:lang w:val="es-ES_tradnl"/>
              </w:rPr>
              <w:t>;</w:t>
            </w:r>
          </w:p>
          <w:p w14:paraId="0E297DB3" w14:textId="77777777" w:rsidR="003E4DC6" w:rsidRPr="00B4267A" w:rsidRDefault="003E4DC6" w:rsidP="00B4267A">
            <w:pPr>
              <w:autoSpaceDE w:val="0"/>
              <w:autoSpaceDN w:val="0"/>
              <w:adjustRightInd w:val="0"/>
              <w:rPr>
                <w:rFonts w:asciiTheme="minorHAnsi" w:eastAsiaTheme="minorHAnsi" w:hAnsiTheme="minorHAnsi" w:cs="Garamond"/>
                <w:color w:val="000000"/>
                <w:spacing w:val="-4"/>
                <w:sz w:val="16"/>
                <w:szCs w:val="16"/>
                <w:lang w:val="es-ES_tradnl" w:eastAsia="en-US"/>
              </w:rPr>
            </w:pPr>
          </w:p>
          <w:p w14:paraId="5FDB0231" w14:textId="584E5473" w:rsidR="0088481D" w:rsidRPr="00B4267A" w:rsidRDefault="003B17E6" w:rsidP="00B4267A">
            <w:pPr>
              <w:pStyle w:val="ListParagraph"/>
              <w:numPr>
                <w:ilvl w:val="0"/>
                <w:numId w:val="34"/>
              </w:numPr>
              <w:autoSpaceDE w:val="0"/>
              <w:autoSpaceDN w:val="0"/>
              <w:adjustRightInd w:val="0"/>
              <w:ind w:left="318" w:hanging="284"/>
              <w:jc w:val="left"/>
              <w:rPr>
                <w:rFonts w:asciiTheme="minorHAnsi" w:hAnsiTheme="minorHAnsi"/>
                <w:spacing w:val="-4"/>
                <w:lang w:val="es-ES_tradnl"/>
              </w:rPr>
            </w:pPr>
            <w:r w:rsidRPr="00B4267A">
              <w:rPr>
                <w:rFonts w:asciiTheme="minorHAnsi" w:hAnsiTheme="minorHAnsi"/>
                <w:spacing w:val="-4"/>
                <w:lang w:val="es-ES_tradnl"/>
              </w:rPr>
              <w:t>Compartir</w:t>
            </w:r>
            <w:r w:rsidR="00AC634A" w:rsidRPr="00B4267A">
              <w:rPr>
                <w:rFonts w:asciiTheme="minorHAnsi" w:hAnsiTheme="minorHAnsi"/>
                <w:spacing w:val="-4"/>
                <w:lang w:val="es-ES_tradnl"/>
              </w:rPr>
              <w:t xml:space="preserve"> información a fin de </w:t>
            </w:r>
            <w:r w:rsidRPr="00B4267A">
              <w:rPr>
                <w:rFonts w:asciiTheme="minorHAnsi" w:hAnsiTheme="minorHAnsi"/>
                <w:spacing w:val="-4"/>
                <w:lang w:val="es-ES_tradnl"/>
              </w:rPr>
              <w:t>identificar</w:t>
            </w:r>
            <w:r w:rsidR="00AC634A" w:rsidRPr="00B4267A">
              <w:rPr>
                <w:rFonts w:asciiTheme="minorHAnsi" w:hAnsiTheme="minorHAnsi"/>
                <w:spacing w:val="-4"/>
                <w:lang w:val="es-ES_tradnl"/>
              </w:rPr>
              <w:t xml:space="preserve"> y designar sitios de humedales que satisfagan los </w:t>
            </w:r>
            <w:r w:rsidRPr="00B4267A">
              <w:rPr>
                <w:rFonts w:asciiTheme="minorHAnsi" w:hAnsiTheme="minorHAnsi"/>
                <w:spacing w:val="-4"/>
                <w:lang w:val="es-ES_tradnl"/>
              </w:rPr>
              <w:t>criterios</w:t>
            </w:r>
            <w:r w:rsidR="00AC634A" w:rsidRPr="00B4267A">
              <w:rPr>
                <w:rFonts w:asciiTheme="minorHAnsi" w:hAnsiTheme="minorHAnsi"/>
                <w:spacing w:val="-4"/>
                <w:lang w:val="es-ES_tradnl"/>
              </w:rPr>
              <w:t xml:space="preserve"> para la </w:t>
            </w:r>
            <w:r w:rsidRPr="00B4267A">
              <w:rPr>
                <w:rFonts w:asciiTheme="minorHAnsi" w:hAnsiTheme="minorHAnsi"/>
                <w:spacing w:val="-4"/>
                <w:lang w:val="es-ES_tradnl"/>
              </w:rPr>
              <w:t>designación</w:t>
            </w:r>
            <w:r w:rsidR="00AC634A" w:rsidRPr="00B4267A">
              <w:rPr>
                <w:rFonts w:asciiTheme="minorHAnsi" w:hAnsiTheme="minorHAnsi"/>
                <w:spacing w:val="-4"/>
                <w:lang w:val="es-ES_tradnl"/>
              </w:rPr>
              <w:t xml:space="preserve"> como Patrimonio Mundial y/o Humedales de Importancia </w:t>
            </w:r>
            <w:r w:rsidRPr="00B4267A">
              <w:rPr>
                <w:rFonts w:asciiTheme="minorHAnsi" w:hAnsiTheme="minorHAnsi"/>
                <w:spacing w:val="-4"/>
                <w:lang w:val="es-ES_tradnl"/>
              </w:rPr>
              <w:t>Internacional</w:t>
            </w:r>
            <w:r w:rsidR="00AC634A" w:rsidRPr="00B4267A">
              <w:rPr>
                <w:rFonts w:asciiTheme="minorHAnsi" w:hAnsiTheme="minorHAnsi"/>
                <w:spacing w:val="-4"/>
                <w:lang w:val="es-ES_tradnl"/>
              </w:rPr>
              <w:t>, c</w:t>
            </w:r>
            <w:r w:rsidR="00570ECA" w:rsidRPr="00B4267A">
              <w:rPr>
                <w:rFonts w:asciiTheme="minorHAnsi" w:hAnsiTheme="minorHAnsi"/>
                <w:spacing w:val="-4"/>
                <w:lang w:val="es-ES_tradnl"/>
              </w:rPr>
              <w:t>on i</w:t>
            </w:r>
            <w:r w:rsidR="00AC634A" w:rsidRPr="00B4267A">
              <w:rPr>
                <w:rFonts w:asciiTheme="minorHAnsi" w:hAnsiTheme="minorHAnsi"/>
                <w:spacing w:val="-4"/>
                <w:lang w:val="es-ES_tradnl"/>
              </w:rPr>
              <w:t xml:space="preserve">nclusión de los sitios y hábitats </w:t>
            </w:r>
            <w:r w:rsidRPr="00B4267A">
              <w:rPr>
                <w:rFonts w:asciiTheme="minorHAnsi" w:hAnsiTheme="minorHAnsi"/>
                <w:spacing w:val="-4"/>
                <w:lang w:val="es-ES_tradnl"/>
              </w:rPr>
              <w:t>transfronterizos</w:t>
            </w:r>
            <w:r w:rsidR="00AC634A" w:rsidRPr="00B4267A">
              <w:rPr>
                <w:rFonts w:asciiTheme="minorHAnsi" w:hAnsiTheme="minorHAnsi"/>
                <w:spacing w:val="-4"/>
                <w:lang w:val="es-ES_tradnl"/>
              </w:rPr>
              <w:t xml:space="preserve"> que puedan tener una </w:t>
            </w:r>
            <w:r w:rsidRPr="00B4267A">
              <w:rPr>
                <w:rFonts w:asciiTheme="minorHAnsi" w:hAnsiTheme="minorHAnsi"/>
                <w:spacing w:val="-4"/>
                <w:lang w:val="es-ES_tradnl"/>
              </w:rPr>
              <w:t>importancia</w:t>
            </w:r>
            <w:r w:rsidR="00AC634A" w:rsidRPr="00B4267A">
              <w:rPr>
                <w:rFonts w:asciiTheme="minorHAnsi" w:hAnsiTheme="minorHAnsi"/>
                <w:spacing w:val="-4"/>
                <w:lang w:val="es-ES_tradnl"/>
              </w:rPr>
              <w:t xml:space="preserve"> fundamental para la protección </w:t>
            </w:r>
            <w:r w:rsidRPr="00B4267A">
              <w:rPr>
                <w:rFonts w:asciiTheme="minorHAnsi" w:hAnsiTheme="minorHAnsi"/>
                <w:spacing w:val="-4"/>
                <w:lang w:val="es-ES_tradnl"/>
              </w:rPr>
              <w:t>de</w:t>
            </w:r>
            <w:r w:rsidR="00AC634A" w:rsidRPr="00B4267A">
              <w:rPr>
                <w:rFonts w:asciiTheme="minorHAnsi" w:hAnsiTheme="minorHAnsi"/>
                <w:spacing w:val="-4"/>
                <w:lang w:val="es-ES_tradnl"/>
              </w:rPr>
              <w:t xml:space="preserve"> cuencas hidrográficas</w:t>
            </w:r>
            <w:r w:rsidR="0088481D" w:rsidRPr="00B4267A">
              <w:rPr>
                <w:rFonts w:asciiTheme="minorHAnsi" w:hAnsiTheme="minorHAnsi"/>
                <w:spacing w:val="-4"/>
                <w:lang w:val="es-ES_tradnl"/>
              </w:rPr>
              <w:t xml:space="preserve">. </w:t>
            </w:r>
          </w:p>
          <w:p w14:paraId="68C7E2C3" w14:textId="77777777" w:rsidR="003E4DC6" w:rsidRPr="00B4267A" w:rsidRDefault="003E4DC6" w:rsidP="00B4267A">
            <w:pPr>
              <w:autoSpaceDE w:val="0"/>
              <w:autoSpaceDN w:val="0"/>
              <w:adjustRightInd w:val="0"/>
              <w:rPr>
                <w:rFonts w:asciiTheme="minorHAnsi" w:eastAsiaTheme="minorHAnsi" w:hAnsiTheme="minorHAnsi" w:cs="Garamond"/>
                <w:color w:val="000000"/>
                <w:spacing w:val="-4"/>
                <w:sz w:val="16"/>
                <w:szCs w:val="16"/>
                <w:lang w:val="es-ES_tradnl" w:eastAsia="en-US"/>
              </w:rPr>
            </w:pPr>
          </w:p>
          <w:p w14:paraId="6FF0087C" w14:textId="779DC6B0" w:rsidR="0088481D" w:rsidRPr="00B4267A" w:rsidRDefault="00AC634A" w:rsidP="00B4267A">
            <w:pPr>
              <w:pStyle w:val="ListParagraph"/>
              <w:numPr>
                <w:ilvl w:val="0"/>
                <w:numId w:val="34"/>
              </w:numPr>
              <w:autoSpaceDE w:val="0"/>
              <w:autoSpaceDN w:val="0"/>
              <w:adjustRightInd w:val="0"/>
              <w:ind w:left="318" w:hanging="284"/>
              <w:jc w:val="left"/>
              <w:rPr>
                <w:rFonts w:asciiTheme="minorHAnsi" w:hAnsiTheme="minorHAnsi"/>
                <w:spacing w:val="-4"/>
                <w:lang w:val="es-ES_tradnl"/>
              </w:rPr>
            </w:pPr>
            <w:r w:rsidRPr="00B4267A">
              <w:rPr>
                <w:rFonts w:asciiTheme="minorHAnsi" w:hAnsiTheme="minorHAnsi"/>
                <w:spacing w:val="-4"/>
                <w:lang w:val="es-ES_tradnl"/>
              </w:rPr>
              <w:t xml:space="preserve">Compartir </w:t>
            </w:r>
            <w:r w:rsidR="003B17E6" w:rsidRPr="00B4267A">
              <w:rPr>
                <w:rFonts w:asciiTheme="minorHAnsi" w:hAnsiTheme="minorHAnsi"/>
                <w:spacing w:val="-4"/>
                <w:lang w:val="es-ES_tradnl"/>
              </w:rPr>
              <w:t>información</w:t>
            </w:r>
            <w:r w:rsidRPr="00B4267A">
              <w:rPr>
                <w:rFonts w:asciiTheme="minorHAnsi" w:hAnsiTheme="minorHAnsi"/>
                <w:spacing w:val="-4"/>
                <w:lang w:val="es-ES_tradnl"/>
              </w:rPr>
              <w:t xml:space="preserve">, bases de datos, </w:t>
            </w:r>
            <w:r w:rsidR="00570ECA" w:rsidRPr="00B4267A">
              <w:rPr>
                <w:rFonts w:asciiTheme="minorHAnsi" w:hAnsiTheme="minorHAnsi"/>
                <w:spacing w:val="-4"/>
                <w:lang w:val="es-ES_tradnl"/>
              </w:rPr>
              <w:t>informes</w:t>
            </w:r>
            <w:r w:rsidRPr="00B4267A">
              <w:rPr>
                <w:rFonts w:asciiTheme="minorHAnsi" w:hAnsiTheme="minorHAnsi"/>
                <w:spacing w:val="-4"/>
                <w:lang w:val="es-ES_tradnl"/>
              </w:rPr>
              <w:t xml:space="preserve"> de misiones y otros materiales </w:t>
            </w:r>
            <w:r w:rsidR="00570ECA" w:rsidRPr="00B4267A">
              <w:rPr>
                <w:rFonts w:asciiTheme="minorHAnsi" w:hAnsiTheme="minorHAnsi"/>
                <w:spacing w:val="-4"/>
                <w:lang w:val="es-ES_tradnl"/>
              </w:rPr>
              <w:t>y realizar misiones conjuntas</w:t>
            </w:r>
            <w:r w:rsidRPr="00B4267A">
              <w:rPr>
                <w:rFonts w:asciiTheme="minorHAnsi" w:hAnsiTheme="minorHAnsi"/>
                <w:spacing w:val="-4"/>
                <w:lang w:val="es-ES_tradnl"/>
              </w:rPr>
              <w:t xml:space="preserve"> para </w:t>
            </w:r>
            <w:r w:rsidR="003B17E6" w:rsidRPr="00B4267A">
              <w:rPr>
                <w:rFonts w:asciiTheme="minorHAnsi" w:hAnsiTheme="minorHAnsi"/>
                <w:spacing w:val="-4"/>
                <w:lang w:val="es-ES_tradnl"/>
              </w:rPr>
              <w:t>permitir</w:t>
            </w:r>
            <w:r w:rsidRPr="00B4267A">
              <w:rPr>
                <w:rFonts w:asciiTheme="minorHAnsi" w:hAnsiTheme="minorHAnsi"/>
                <w:spacing w:val="-4"/>
                <w:lang w:val="es-ES_tradnl"/>
              </w:rPr>
              <w:t xml:space="preserve"> la detección temprana de amenazas a los sitios Ramsar </w:t>
            </w:r>
            <w:r w:rsidR="003B17E6" w:rsidRPr="00B4267A">
              <w:rPr>
                <w:rFonts w:asciiTheme="minorHAnsi" w:hAnsiTheme="minorHAnsi"/>
                <w:spacing w:val="-4"/>
                <w:lang w:val="es-ES_tradnl"/>
              </w:rPr>
              <w:t>designados</w:t>
            </w:r>
            <w:r w:rsidRPr="00B4267A">
              <w:rPr>
                <w:rFonts w:asciiTheme="minorHAnsi" w:hAnsiTheme="minorHAnsi"/>
                <w:spacing w:val="-4"/>
                <w:lang w:val="es-ES_tradnl"/>
              </w:rPr>
              <w:t xml:space="preserve"> como Sitios del Patrimonio Mundial y llevar a cabo los </w:t>
            </w:r>
            <w:r w:rsidRPr="00B4267A">
              <w:rPr>
                <w:rFonts w:asciiTheme="minorHAnsi" w:hAnsiTheme="minorHAnsi"/>
                <w:spacing w:val="-4"/>
                <w:lang w:val="es-ES_tradnl"/>
              </w:rPr>
              <w:lastRenderedPageBreak/>
              <w:t>estudios y análisis necesarios identificar medidas encaminadas a reducir esas amenazas</w:t>
            </w:r>
            <w:r w:rsidR="0088481D" w:rsidRPr="00B4267A">
              <w:rPr>
                <w:rFonts w:asciiTheme="minorHAnsi" w:hAnsiTheme="minorHAnsi"/>
                <w:spacing w:val="-4"/>
                <w:lang w:val="es-ES_tradnl"/>
              </w:rPr>
              <w:t>;</w:t>
            </w:r>
          </w:p>
          <w:p w14:paraId="57534F85" w14:textId="77777777" w:rsidR="003E4DC6" w:rsidRPr="00B4267A" w:rsidRDefault="003E4DC6" w:rsidP="00B4267A">
            <w:pPr>
              <w:autoSpaceDE w:val="0"/>
              <w:autoSpaceDN w:val="0"/>
              <w:adjustRightInd w:val="0"/>
              <w:rPr>
                <w:rFonts w:asciiTheme="minorHAnsi" w:eastAsiaTheme="minorHAnsi" w:hAnsiTheme="minorHAnsi" w:cs="Garamond"/>
                <w:color w:val="000000"/>
                <w:spacing w:val="-4"/>
                <w:sz w:val="16"/>
                <w:szCs w:val="16"/>
                <w:lang w:val="es-ES_tradnl" w:eastAsia="en-US"/>
              </w:rPr>
            </w:pPr>
          </w:p>
          <w:p w14:paraId="66827275" w14:textId="28495EFD" w:rsidR="0088481D" w:rsidRPr="00B4267A" w:rsidRDefault="00AC634A" w:rsidP="00B4267A">
            <w:pPr>
              <w:pStyle w:val="ListParagraph"/>
              <w:numPr>
                <w:ilvl w:val="0"/>
                <w:numId w:val="34"/>
              </w:numPr>
              <w:autoSpaceDE w:val="0"/>
              <w:autoSpaceDN w:val="0"/>
              <w:adjustRightInd w:val="0"/>
              <w:ind w:left="318" w:hanging="284"/>
              <w:jc w:val="left"/>
              <w:rPr>
                <w:rFonts w:asciiTheme="minorHAnsi" w:hAnsiTheme="minorHAnsi"/>
                <w:spacing w:val="-4"/>
                <w:lang w:val="es-ES_tradnl"/>
              </w:rPr>
            </w:pPr>
            <w:r w:rsidRPr="00B4267A">
              <w:rPr>
                <w:rFonts w:asciiTheme="minorHAnsi" w:hAnsiTheme="minorHAnsi"/>
                <w:spacing w:val="-4"/>
                <w:lang w:val="es-ES_tradnl"/>
              </w:rPr>
              <w:t xml:space="preserve">Elaborar, en cooperación con las Partes </w:t>
            </w:r>
            <w:r w:rsidR="003B17E6" w:rsidRPr="00B4267A">
              <w:rPr>
                <w:rFonts w:asciiTheme="minorHAnsi" w:hAnsiTheme="minorHAnsi"/>
                <w:spacing w:val="-4"/>
                <w:lang w:val="es-ES_tradnl"/>
              </w:rPr>
              <w:t>Contratantes</w:t>
            </w:r>
            <w:r w:rsidRPr="00B4267A">
              <w:rPr>
                <w:rFonts w:asciiTheme="minorHAnsi" w:hAnsiTheme="minorHAnsi"/>
                <w:spacing w:val="-4"/>
                <w:lang w:val="es-ES_tradnl"/>
              </w:rPr>
              <w:t xml:space="preserve"> de ambas Convenciones, </w:t>
            </w:r>
            <w:r w:rsidR="003B17E6" w:rsidRPr="00B4267A">
              <w:rPr>
                <w:rFonts w:asciiTheme="minorHAnsi" w:hAnsiTheme="minorHAnsi"/>
                <w:spacing w:val="-4"/>
                <w:lang w:val="es-ES_tradnl"/>
              </w:rPr>
              <w:t>programas</w:t>
            </w:r>
            <w:r w:rsidRPr="00B4267A">
              <w:rPr>
                <w:rFonts w:asciiTheme="minorHAnsi" w:hAnsiTheme="minorHAnsi"/>
                <w:spacing w:val="-4"/>
                <w:lang w:val="es-ES_tradnl"/>
              </w:rPr>
              <w:t xml:space="preserve"> y proyectos que tengan por objeto fortalecer la conservación de sitios específicos reconocidos por ambas </w:t>
            </w:r>
            <w:r w:rsidR="003B17E6" w:rsidRPr="00B4267A">
              <w:rPr>
                <w:rFonts w:asciiTheme="minorHAnsi" w:hAnsiTheme="minorHAnsi"/>
                <w:spacing w:val="-4"/>
                <w:lang w:val="es-ES_tradnl"/>
              </w:rPr>
              <w:t>Convenciones</w:t>
            </w:r>
            <w:r w:rsidRPr="00B4267A">
              <w:rPr>
                <w:rFonts w:asciiTheme="minorHAnsi" w:hAnsiTheme="minorHAnsi"/>
                <w:spacing w:val="-4"/>
                <w:lang w:val="es-ES_tradnl"/>
              </w:rPr>
              <w:t>;</w:t>
            </w:r>
          </w:p>
          <w:p w14:paraId="321E84BF" w14:textId="77777777" w:rsidR="003E4DC6" w:rsidRPr="00B4267A" w:rsidRDefault="003E4DC6" w:rsidP="00B4267A">
            <w:pPr>
              <w:autoSpaceDE w:val="0"/>
              <w:autoSpaceDN w:val="0"/>
              <w:adjustRightInd w:val="0"/>
              <w:rPr>
                <w:rFonts w:asciiTheme="minorHAnsi" w:eastAsiaTheme="minorHAnsi" w:hAnsiTheme="minorHAnsi" w:cs="Garamond"/>
                <w:color w:val="000000"/>
                <w:spacing w:val="-4"/>
                <w:sz w:val="16"/>
                <w:szCs w:val="16"/>
                <w:lang w:val="es-ES_tradnl" w:eastAsia="en-US"/>
              </w:rPr>
            </w:pPr>
          </w:p>
          <w:p w14:paraId="53E873BD" w14:textId="23127A7D" w:rsidR="0088481D" w:rsidRPr="00B4267A" w:rsidRDefault="0088481D" w:rsidP="00B4267A">
            <w:pPr>
              <w:autoSpaceDE w:val="0"/>
              <w:autoSpaceDN w:val="0"/>
              <w:adjustRightInd w:val="0"/>
              <w:ind w:left="318" w:hanging="284"/>
              <w:rPr>
                <w:rFonts w:asciiTheme="minorHAnsi" w:hAnsiTheme="minorHAnsi"/>
                <w:spacing w:val="-4"/>
                <w:sz w:val="22"/>
                <w:szCs w:val="22"/>
                <w:lang w:val="es-ES_tradnl"/>
              </w:rPr>
            </w:pPr>
            <w:r w:rsidRPr="00B4267A">
              <w:rPr>
                <w:rFonts w:asciiTheme="minorHAnsi" w:eastAsia="Calibri" w:hAnsiTheme="minorHAnsi"/>
                <w:spacing w:val="-4"/>
                <w:sz w:val="22"/>
                <w:szCs w:val="22"/>
                <w:lang w:val="es-ES_tradnl" w:eastAsia="en-US"/>
              </w:rPr>
              <w:t xml:space="preserve">e. </w:t>
            </w:r>
            <w:r w:rsidR="00AC634A" w:rsidRPr="00B4267A">
              <w:rPr>
                <w:rFonts w:asciiTheme="minorHAnsi" w:eastAsia="Calibri" w:hAnsiTheme="minorHAnsi"/>
                <w:spacing w:val="-4"/>
                <w:sz w:val="22"/>
                <w:szCs w:val="22"/>
                <w:lang w:val="es-ES_tradnl" w:eastAsia="en-US"/>
              </w:rPr>
              <w:t xml:space="preserve">Promover la </w:t>
            </w:r>
            <w:r w:rsidR="003B17E6" w:rsidRPr="00B4267A">
              <w:rPr>
                <w:rFonts w:asciiTheme="minorHAnsi" w:eastAsia="Calibri" w:hAnsiTheme="minorHAnsi"/>
                <w:spacing w:val="-4"/>
                <w:sz w:val="22"/>
                <w:szCs w:val="22"/>
                <w:lang w:val="es-ES_tradnl" w:eastAsia="en-US"/>
              </w:rPr>
              <w:t>participación</w:t>
            </w:r>
            <w:r w:rsidR="00AC634A" w:rsidRPr="00B4267A">
              <w:rPr>
                <w:rFonts w:asciiTheme="minorHAnsi" w:eastAsia="Calibri" w:hAnsiTheme="minorHAnsi"/>
                <w:spacing w:val="-4"/>
                <w:sz w:val="22"/>
                <w:szCs w:val="22"/>
                <w:lang w:val="es-ES_tradnl" w:eastAsia="en-US"/>
              </w:rPr>
              <w:t xml:space="preserve"> recíproca y la asistencia, si procede, en reuniones, visitas a sitios, elaboración, organización y realización de actividades de capacitación, educación y </w:t>
            </w:r>
            <w:r w:rsidR="003B17E6" w:rsidRPr="00B4267A">
              <w:rPr>
                <w:rFonts w:asciiTheme="minorHAnsi" w:eastAsia="Calibri" w:hAnsiTheme="minorHAnsi"/>
                <w:spacing w:val="-4"/>
                <w:sz w:val="22"/>
                <w:szCs w:val="22"/>
                <w:lang w:val="es-ES_tradnl" w:eastAsia="en-US"/>
              </w:rPr>
              <w:t>difusión</w:t>
            </w:r>
            <w:r w:rsidR="00AC634A" w:rsidRPr="00B4267A">
              <w:rPr>
                <w:rFonts w:asciiTheme="minorHAnsi" w:eastAsia="Calibri" w:hAnsiTheme="minorHAnsi"/>
                <w:spacing w:val="-4"/>
                <w:sz w:val="22"/>
                <w:szCs w:val="22"/>
                <w:lang w:val="es-ES_tradnl" w:eastAsia="en-US"/>
              </w:rPr>
              <w:t xml:space="preserve"> de información, y de otra índole, a fin de </w:t>
            </w:r>
            <w:r w:rsidR="003B17E6" w:rsidRPr="00B4267A">
              <w:rPr>
                <w:rFonts w:asciiTheme="minorHAnsi" w:eastAsia="Calibri" w:hAnsiTheme="minorHAnsi"/>
                <w:spacing w:val="-4"/>
                <w:sz w:val="22"/>
                <w:szCs w:val="22"/>
                <w:lang w:val="es-ES_tradnl" w:eastAsia="en-US"/>
              </w:rPr>
              <w:t>promover</w:t>
            </w:r>
            <w:r w:rsidR="00AC634A" w:rsidRPr="00B4267A">
              <w:rPr>
                <w:rFonts w:asciiTheme="minorHAnsi" w:eastAsia="Calibri" w:hAnsiTheme="minorHAnsi"/>
                <w:spacing w:val="-4"/>
                <w:sz w:val="22"/>
                <w:szCs w:val="22"/>
                <w:lang w:val="es-ES_tradnl" w:eastAsia="en-US"/>
              </w:rPr>
              <w:t xml:space="preserve"> la </w:t>
            </w:r>
            <w:r w:rsidR="003B17E6" w:rsidRPr="00B4267A">
              <w:rPr>
                <w:rFonts w:asciiTheme="minorHAnsi" w:eastAsia="Calibri" w:hAnsiTheme="minorHAnsi"/>
                <w:spacing w:val="-4"/>
                <w:sz w:val="22"/>
                <w:szCs w:val="22"/>
                <w:lang w:val="es-ES_tradnl" w:eastAsia="en-US"/>
              </w:rPr>
              <w:t>concienciación</w:t>
            </w:r>
            <w:r w:rsidR="00AC634A" w:rsidRPr="00B4267A">
              <w:rPr>
                <w:rFonts w:asciiTheme="minorHAnsi" w:eastAsia="Calibri" w:hAnsiTheme="minorHAnsi"/>
                <w:spacing w:val="-4"/>
                <w:sz w:val="22"/>
                <w:szCs w:val="22"/>
                <w:lang w:val="es-ES_tradnl" w:eastAsia="en-US"/>
              </w:rPr>
              <w:t xml:space="preserve"> de las Partes sobre la </w:t>
            </w:r>
            <w:r w:rsidR="003B17E6" w:rsidRPr="00B4267A">
              <w:rPr>
                <w:rFonts w:asciiTheme="minorHAnsi" w:eastAsia="Calibri" w:hAnsiTheme="minorHAnsi"/>
                <w:spacing w:val="-4"/>
                <w:sz w:val="22"/>
                <w:szCs w:val="22"/>
                <w:lang w:val="es-ES_tradnl" w:eastAsia="en-US"/>
              </w:rPr>
              <w:t>vinculación</w:t>
            </w:r>
            <w:r w:rsidR="00AC634A" w:rsidRPr="00B4267A">
              <w:rPr>
                <w:rFonts w:asciiTheme="minorHAnsi" w:eastAsia="Calibri" w:hAnsiTheme="minorHAnsi"/>
                <w:spacing w:val="-4"/>
                <w:sz w:val="22"/>
                <w:szCs w:val="22"/>
                <w:lang w:val="es-ES_tradnl" w:eastAsia="en-US"/>
              </w:rPr>
              <w:t xml:space="preserve"> entre la aplicación de ambas </w:t>
            </w:r>
            <w:r w:rsidR="003B17E6" w:rsidRPr="00B4267A">
              <w:rPr>
                <w:rFonts w:asciiTheme="minorHAnsi" w:eastAsia="Calibri" w:hAnsiTheme="minorHAnsi"/>
                <w:spacing w:val="-4"/>
                <w:sz w:val="22"/>
                <w:szCs w:val="22"/>
                <w:lang w:val="es-ES_tradnl" w:eastAsia="en-US"/>
              </w:rPr>
              <w:t>Convenciones</w:t>
            </w:r>
            <w:r w:rsidR="00AC634A" w:rsidRPr="00B4267A">
              <w:rPr>
                <w:rFonts w:asciiTheme="minorHAnsi" w:eastAsia="Calibri" w:hAnsiTheme="minorHAnsi"/>
                <w:spacing w:val="-4"/>
                <w:sz w:val="22"/>
                <w:szCs w:val="22"/>
                <w:lang w:val="es-ES_tradnl" w:eastAsia="en-US"/>
              </w:rPr>
              <w:t>.</w:t>
            </w:r>
          </w:p>
        </w:tc>
        <w:tc>
          <w:tcPr>
            <w:tcW w:w="2977" w:type="dxa"/>
          </w:tcPr>
          <w:p w14:paraId="17ACFA8C" w14:textId="00E53E78" w:rsidR="0088481D" w:rsidRPr="003B17E6" w:rsidRDefault="00AC634A" w:rsidP="00B4267A">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lastRenderedPageBreak/>
              <w:t xml:space="preserve"> </w:t>
            </w:r>
          </w:p>
        </w:tc>
        <w:tc>
          <w:tcPr>
            <w:tcW w:w="1468" w:type="dxa"/>
          </w:tcPr>
          <w:p w14:paraId="62147B03" w14:textId="13A981EF" w:rsidR="0088481D" w:rsidRPr="003B17E6" w:rsidRDefault="00C011CC" w:rsidP="00B4267A">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88481D" w:rsidRPr="003B17E6">
              <w:rPr>
                <w:rFonts w:asciiTheme="minorHAnsi" w:hAnsiTheme="minorHAnsi"/>
                <w:sz w:val="22"/>
                <w:szCs w:val="22"/>
                <w:lang w:val="es-ES_tradnl"/>
              </w:rPr>
              <w:t>SC52,</w:t>
            </w:r>
            <w:r w:rsidRPr="003B17E6">
              <w:rPr>
                <w:rFonts w:asciiTheme="minorHAnsi" w:hAnsiTheme="minorHAnsi"/>
                <w:sz w:val="22"/>
                <w:szCs w:val="22"/>
                <w:lang w:val="es-ES_tradnl"/>
              </w:rPr>
              <w:t xml:space="preserve"> 53 y 54</w:t>
            </w:r>
          </w:p>
        </w:tc>
      </w:tr>
      <w:tr w:rsidR="005522A4" w:rsidRPr="003B17E6" w14:paraId="48AE2B50" w14:textId="77777777" w:rsidTr="00B4267A">
        <w:tc>
          <w:tcPr>
            <w:tcW w:w="1985" w:type="dxa"/>
          </w:tcPr>
          <w:p w14:paraId="534F7029" w14:textId="20FD3D54" w:rsidR="001803EE" w:rsidRPr="003B17E6" w:rsidRDefault="003B17E6" w:rsidP="0088481D">
            <w:pPr>
              <w:autoSpaceDE w:val="0"/>
              <w:autoSpaceDN w:val="0"/>
              <w:adjustRightInd w:val="0"/>
              <w:rPr>
                <w:rFonts w:asciiTheme="minorHAnsi" w:hAnsiTheme="minorHAnsi"/>
                <w:sz w:val="22"/>
                <w:szCs w:val="22"/>
                <w:lang w:val="es-ES_tradnl"/>
              </w:rPr>
            </w:pPr>
            <w:r>
              <w:rPr>
                <w:rFonts w:asciiTheme="minorHAnsi" w:hAnsiTheme="minorHAnsi"/>
                <w:sz w:val="22"/>
                <w:szCs w:val="22"/>
                <w:lang w:val="es-ES_tradnl"/>
              </w:rPr>
              <w:lastRenderedPageBreak/>
              <w:t xml:space="preserve">Convención de las </w:t>
            </w:r>
            <w:r w:rsidR="00483D0A" w:rsidRPr="003B17E6">
              <w:rPr>
                <w:rFonts w:asciiTheme="minorHAnsi" w:hAnsiTheme="minorHAnsi"/>
                <w:sz w:val="22"/>
                <w:szCs w:val="22"/>
                <w:lang w:val="es-ES_tradnl"/>
              </w:rPr>
              <w:t xml:space="preserve">Naciones Unidas de lucha contra la desertificación en los países afectados por sequía grave o desertificación, en </w:t>
            </w:r>
            <w:r w:rsidRPr="003B17E6">
              <w:rPr>
                <w:rFonts w:asciiTheme="minorHAnsi" w:hAnsiTheme="minorHAnsi"/>
                <w:sz w:val="22"/>
                <w:szCs w:val="22"/>
                <w:lang w:val="es-ES_tradnl"/>
              </w:rPr>
              <w:t>particular</w:t>
            </w:r>
            <w:r w:rsidR="00483D0A" w:rsidRPr="003B17E6">
              <w:rPr>
                <w:rFonts w:asciiTheme="minorHAnsi" w:hAnsiTheme="minorHAnsi"/>
                <w:sz w:val="22"/>
                <w:szCs w:val="22"/>
                <w:lang w:val="es-ES_tradnl"/>
              </w:rPr>
              <w:t xml:space="preserve"> en África (</w:t>
            </w:r>
            <w:r w:rsidR="00483D0A" w:rsidRPr="00570ECA">
              <w:rPr>
                <w:rFonts w:asciiTheme="minorHAnsi" w:hAnsiTheme="minorHAnsi"/>
                <w:sz w:val="22"/>
                <w:szCs w:val="22"/>
                <w:lang w:val="es-ES_tradnl"/>
              </w:rPr>
              <w:t>CLD</w:t>
            </w:r>
            <w:r w:rsidR="00483D0A" w:rsidRPr="003B17E6">
              <w:rPr>
                <w:rFonts w:asciiTheme="minorHAnsi" w:hAnsiTheme="minorHAnsi"/>
                <w:sz w:val="22"/>
                <w:szCs w:val="22"/>
                <w:lang w:val="es-ES_tradnl"/>
              </w:rPr>
              <w:t>)</w:t>
            </w:r>
          </w:p>
        </w:tc>
        <w:tc>
          <w:tcPr>
            <w:tcW w:w="7938" w:type="dxa"/>
          </w:tcPr>
          <w:p w14:paraId="298EAEE3" w14:textId="635DCFAC" w:rsidR="0088481D" w:rsidRPr="003B17E6" w:rsidRDefault="00570ECA" w:rsidP="001803EE">
            <w:pPr>
              <w:autoSpaceDE w:val="0"/>
              <w:autoSpaceDN w:val="0"/>
              <w:adjustRightInd w:val="0"/>
              <w:rPr>
                <w:rFonts w:asciiTheme="minorHAnsi" w:hAnsiTheme="minorHAnsi"/>
                <w:sz w:val="22"/>
                <w:szCs w:val="22"/>
                <w:lang w:val="es-ES_tradnl"/>
              </w:rPr>
            </w:pPr>
            <w:r w:rsidRPr="00570ECA">
              <w:rPr>
                <w:rFonts w:asciiTheme="minorHAnsi" w:hAnsiTheme="minorHAnsi"/>
                <w:sz w:val="22"/>
                <w:szCs w:val="22"/>
                <w:lang w:val="es-ES_tradnl"/>
              </w:rPr>
              <w:t>Con arreglo a</w:t>
            </w:r>
            <w:r w:rsidR="00C61885" w:rsidRPr="00570ECA">
              <w:rPr>
                <w:rFonts w:asciiTheme="minorHAnsi" w:hAnsiTheme="minorHAnsi"/>
                <w:sz w:val="22"/>
                <w:szCs w:val="22"/>
                <w:lang w:val="es-ES_tradnl"/>
              </w:rPr>
              <w:t>l memorando</w:t>
            </w:r>
            <w:r w:rsidR="00C61885" w:rsidRPr="003B17E6">
              <w:rPr>
                <w:rFonts w:asciiTheme="minorHAnsi" w:hAnsiTheme="minorHAnsi"/>
                <w:sz w:val="22"/>
                <w:szCs w:val="22"/>
                <w:lang w:val="es-ES_tradnl"/>
              </w:rPr>
              <w:t xml:space="preserve"> de entendimiento, preparar un programa de trabajo y elaborar un </w:t>
            </w:r>
            <w:r w:rsidR="00C839F6" w:rsidRPr="003B17E6">
              <w:rPr>
                <w:rFonts w:asciiTheme="minorHAnsi" w:hAnsiTheme="minorHAnsi"/>
                <w:sz w:val="22"/>
                <w:szCs w:val="22"/>
                <w:lang w:val="es-ES_tradnl"/>
              </w:rPr>
              <w:t>Plan de Trabajo Conjunto</w:t>
            </w:r>
            <w:r w:rsidR="0088481D" w:rsidRPr="003B17E6">
              <w:rPr>
                <w:rFonts w:asciiTheme="minorHAnsi" w:hAnsiTheme="minorHAnsi"/>
                <w:sz w:val="22"/>
                <w:szCs w:val="22"/>
                <w:lang w:val="es-ES_tradnl"/>
              </w:rPr>
              <w:t xml:space="preserve"> </w:t>
            </w:r>
            <w:r w:rsidR="00C61885" w:rsidRPr="003B17E6">
              <w:rPr>
                <w:rFonts w:asciiTheme="minorHAnsi" w:hAnsiTheme="minorHAnsi"/>
                <w:sz w:val="22"/>
                <w:szCs w:val="22"/>
                <w:lang w:val="es-ES_tradnl"/>
              </w:rPr>
              <w:t>sobre las siguientes esferas de colaboración:</w:t>
            </w:r>
          </w:p>
          <w:p w14:paraId="57D76EA6" w14:textId="77777777" w:rsidR="003E4DC6" w:rsidRPr="003E4DC6" w:rsidRDefault="003E4DC6" w:rsidP="003E4DC6">
            <w:pPr>
              <w:autoSpaceDE w:val="0"/>
              <w:autoSpaceDN w:val="0"/>
              <w:adjustRightInd w:val="0"/>
              <w:rPr>
                <w:rFonts w:asciiTheme="minorHAnsi" w:eastAsiaTheme="minorHAnsi" w:hAnsiTheme="minorHAnsi" w:cs="Garamond"/>
                <w:color w:val="000000"/>
                <w:sz w:val="16"/>
                <w:szCs w:val="16"/>
                <w:lang w:val="es-ES_tradnl" w:eastAsia="en-US"/>
              </w:rPr>
            </w:pPr>
            <w:bookmarkStart w:id="0" w:name="_GoBack"/>
            <w:bookmarkEnd w:id="0"/>
          </w:p>
          <w:p w14:paraId="34AD5E44" w14:textId="6263DC58" w:rsidR="0088481D" w:rsidRPr="003B17E6" w:rsidRDefault="00C61885"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 xml:space="preserve">estudiar la posibilidad de armonizar los requisitos de </w:t>
            </w:r>
            <w:r w:rsidR="003B17E6" w:rsidRPr="003B17E6">
              <w:rPr>
                <w:rFonts w:asciiTheme="minorHAnsi" w:hAnsiTheme="minorHAnsi"/>
                <w:lang w:val="es-ES_tradnl"/>
              </w:rPr>
              <w:t>presentación</w:t>
            </w:r>
            <w:r w:rsidRPr="003B17E6">
              <w:rPr>
                <w:rFonts w:asciiTheme="minorHAnsi" w:hAnsiTheme="minorHAnsi"/>
                <w:lang w:val="es-ES_tradnl"/>
              </w:rPr>
              <w:t xml:space="preserve"> de informes de las Partes Contratantes </w:t>
            </w:r>
            <w:r w:rsidRPr="00570ECA">
              <w:rPr>
                <w:rFonts w:asciiTheme="minorHAnsi" w:hAnsiTheme="minorHAnsi"/>
                <w:lang w:val="es-ES_tradnl"/>
              </w:rPr>
              <w:t>en</w:t>
            </w:r>
            <w:r w:rsidRPr="003B17E6">
              <w:rPr>
                <w:rFonts w:asciiTheme="minorHAnsi" w:hAnsiTheme="minorHAnsi"/>
                <w:lang w:val="es-ES_tradnl"/>
              </w:rPr>
              <w:t xml:space="preserve"> ambas </w:t>
            </w:r>
            <w:r w:rsidR="003B17E6" w:rsidRPr="003B17E6">
              <w:rPr>
                <w:rFonts w:asciiTheme="minorHAnsi" w:hAnsiTheme="minorHAnsi"/>
                <w:lang w:val="es-ES_tradnl"/>
              </w:rPr>
              <w:t>Convenciones</w:t>
            </w:r>
            <w:r w:rsidRPr="003B17E6">
              <w:rPr>
                <w:rFonts w:asciiTheme="minorHAnsi" w:hAnsiTheme="minorHAnsi"/>
                <w:lang w:val="es-ES_tradnl"/>
              </w:rPr>
              <w:t>;</w:t>
            </w:r>
          </w:p>
          <w:p w14:paraId="7A0625AD" w14:textId="15540D32" w:rsidR="0088481D" w:rsidRPr="003B17E6" w:rsidRDefault="00C61885"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cooperación institucional;</w:t>
            </w:r>
          </w:p>
          <w:p w14:paraId="58E048EB" w14:textId="60D9DC08" w:rsidR="0088481D" w:rsidRPr="003B17E6" w:rsidRDefault="00C61885"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 xml:space="preserve">intercambio de </w:t>
            </w:r>
            <w:r w:rsidR="003B17E6" w:rsidRPr="003B17E6">
              <w:rPr>
                <w:rFonts w:asciiTheme="minorHAnsi" w:hAnsiTheme="minorHAnsi"/>
                <w:lang w:val="es-ES_tradnl"/>
              </w:rPr>
              <w:t>información</w:t>
            </w:r>
            <w:r w:rsidRPr="003B17E6">
              <w:rPr>
                <w:rFonts w:asciiTheme="minorHAnsi" w:hAnsiTheme="minorHAnsi"/>
                <w:lang w:val="es-ES_tradnl"/>
              </w:rPr>
              <w:t xml:space="preserve"> y experiencias;</w:t>
            </w:r>
          </w:p>
          <w:p w14:paraId="2F5A4EF1" w14:textId="26D74662" w:rsidR="0088481D" w:rsidRPr="003B17E6" w:rsidRDefault="00C61885"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creación de capacidad o capacitación;</w:t>
            </w:r>
          </w:p>
          <w:p w14:paraId="369338C9" w14:textId="140DAC56" w:rsidR="0088481D" w:rsidRPr="003B17E6" w:rsidRDefault="003B17E6"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Pr>
                <w:rFonts w:asciiTheme="minorHAnsi" w:hAnsiTheme="minorHAnsi"/>
                <w:lang w:val="es-ES_tradnl"/>
              </w:rPr>
              <w:t>ciencia</w:t>
            </w:r>
            <w:r w:rsidR="00C61885" w:rsidRPr="003B17E6">
              <w:rPr>
                <w:rFonts w:asciiTheme="minorHAnsi" w:hAnsiTheme="minorHAnsi"/>
                <w:lang w:val="es-ES_tradnl"/>
              </w:rPr>
              <w:t xml:space="preserve"> y tecnología</w:t>
            </w:r>
            <w:r w:rsidR="001803EE" w:rsidRPr="003B17E6">
              <w:rPr>
                <w:rFonts w:asciiTheme="minorHAnsi" w:hAnsiTheme="minorHAnsi"/>
                <w:lang w:val="es-ES_tradnl"/>
              </w:rPr>
              <w:t>;</w:t>
            </w:r>
          </w:p>
          <w:p w14:paraId="48F64A90" w14:textId="2CF66F29" w:rsidR="0088481D" w:rsidRPr="003B17E6" w:rsidRDefault="001803EE" w:rsidP="001803EE">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w:t>
            </w:r>
            <w:r w:rsidR="00C61885" w:rsidRPr="003B17E6">
              <w:rPr>
                <w:rFonts w:asciiTheme="minorHAnsi" w:hAnsiTheme="minorHAnsi"/>
                <w:lang w:val="es-ES_tradnl"/>
              </w:rPr>
              <w:t>Desafío de Bonn” para ayudar a restaurar 150 millones de hectáreas mediante la colaboración para lograr la restauración de humedales y tierras secas;</w:t>
            </w:r>
          </w:p>
          <w:p w14:paraId="2B976475" w14:textId="20F4DE1E" w:rsidR="0088481D" w:rsidRPr="003B17E6" w:rsidRDefault="00C61885" w:rsidP="00570ECA">
            <w:pPr>
              <w:pStyle w:val="ListParagraph"/>
              <w:numPr>
                <w:ilvl w:val="0"/>
                <w:numId w:val="32"/>
              </w:numPr>
              <w:autoSpaceDE w:val="0"/>
              <w:autoSpaceDN w:val="0"/>
              <w:adjustRightInd w:val="0"/>
              <w:ind w:left="318" w:hanging="284"/>
              <w:jc w:val="left"/>
              <w:rPr>
                <w:rFonts w:asciiTheme="minorHAnsi" w:hAnsiTheme="minorHAnsi"/>
                <w:lang w:val="es-ES_tradnl"/>
              </w:rPr>
            </w:pPr>
            <w:r w:rsidRPr="003B17E6">
              <w:rPr>
                <w:rFonts w:asciiTheme="minorHAnsi" w:hAnsiTheme="minorHAnsi"/>
                <w:lang w:val="es-ES_tradnl"/>
              </w:rPr>
              <w:t>establecer una plataforma de cooperación adecuada con el objetivo de brindar apoyo científico y técnico y de facilitar el acceso a los recursos financieros para los países afectados</w:t>
            </w:r>
            <w:r w:rsidR="00D3141D" w:rsidRPr="003B17E6">
              <w:rPr>
                <w:rFonts w:asciiTheme="minorHAnsi" w:hAnsiTheme="minorHAnsi"/>
                <w:lang w:val="es-ES_tradnl"/>
              </w:rPr>
              <w:t>.</w:t>
            </w:r>
          </w:p>
        </w:tc>
        <w:tc>
          <w:tcPr>
            <w:tcW w:w="2977" w:type="dxa"/>
          </w:tcPr>
          <w:p w14:paraId="69F5B6CA" w14:textId="2CC17B14" w:rsidR="0088481D" w:rsidRPr="003B17E6" w:rsidRDefault="00C61885" w:rsidP="00C61885">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Programa de trabajo acordado y </w:t>
            </w:r>
            <w:r w:rsidR="00C839F6" w:rsidRPr="003B17E6">
              <w:rPr>
                <w:rFonts w:asciiTheme="minorHAnsi" w:hAnsiTheme="minorHAnsi"/>
                <w:sz w:val="22"/>
                <w:szCs w:val="22"/>
                <w:lang w:val="es-ES_tradnl"/>
              </w:rPr>
              <w:t>Plan de Trabajo Conjunto</w:t>
            </w:r>
            <w:r w:rsidRPr="003B17E6">
              <w:rPr>
                <w:rFonts w:asciiTheme="minorHAnsi" w:hAnsiTheme="minorHAnsi"/>
                <w:sz w:val="22"/>
                <w:szCs w:val="22"/>
                <w:lang w:val="es-ES_tradnl"/>
              </w:rPr>
              <w:t xml:space="preserve"> </w:t>
            </w:r>
            <w:r w:rsidR="003B17E6" w:rsidRPr="003B17E6">
              <w:rPr>
                <w:rFonts w:asciiTheme="minorHAnsi" w:hAnsiTheme="minorHAnsi"/>
                <w:sz w:val="22"/>
                <w:szCs w:val="22"/>
                <w:lang w:val="es-ES_tradnl"/>
              </w:rPr>
              <w:t>anual</w:t>
            </w:r>
            <w:r w:rsidRPr="003B17E6">
              <w:rPr>
                <w:rFonts w:asciiTheme="minorHAnsi" w:hAnsiTheme="minorHAnsi"/>
                <w:sz w:val="22"/>
                <w:szCs w:val="22"/>
                <w:lang w:val="es-ES_tradnl"/>
              </w:rPr>
              <w:t xml:space="preserve"> sobre esferas de interés común e </w:t>
            </w:r>
            <w:r w:rsidR="003B17E6" w:rsidRPr="003B17E6">
              <w:rPr>
                <w:rFonts w:asciiTheme="minorHAnsi" w:hAnsiTheme="minorHAnsi"/>
                <w:sz w:val="22"/>
                <w:szCs w:val="22"/>
                <w:lang w:val="es-ES_tradnl"/>
              </w:rPr>
              <w:t>informes</w:t>
            </w:r>
            <w:r w:rsidRPr="003B17E6">
              <w:rPr>
                <w:rFonts w:asciiTheme="minorHAnsi" w:hAnsiTheme="minorHAnsi"/>
                <w:sz w:val="22"/>
                <w:szCs w:val="22"/>
                <w:lang w:val="es-ES_tradnl"/>
              </w:rPr>
              <w:t xml:space="preserve"> según proceda al Comité Permanente.</w:t>
            </w:r>
          </w:p>
        </w:tc>
        <w:tc>
          <w:tcPr>
            <w:tcW w:w="1468" w:type="dxa"/>
          </w:tcPr>
          <w:p w14:paraId="12725EDE" w14:textId="02F6F4E6" w:rsidR="0088481D" w:rsidRPr="003B17E6" w:rsidRDefault="00C011CC" w:rsidP="0088481D">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88481D" w:rsidRPr="003B17E6">
              <w:rPr>
                <w:rFonts w:asciiTheme="minorHAnsi" w:hAnsiTheme="minorHAnsi"/>
                <w:sz w:val="22"/>
                <w:szCs w:val="22"/>
                <w:lang w:val="es-ES_tradnl"/>
              </w:rPr>
              <w:t xml:space="preserve">SC52, </w:t>
            </w:r>
            <w:r w:rsidRPr="003B17E6">
              <w:rPr>
                <w:rFonts w:asciiTheme="minorHAnsi" w:hAnsiTheme="minorHAnsi"/>
                <w:sz w:val="22"/>
                <w:szCs w:val="22"/>
                <w:lang w:val="es-ES_tradnl"/>
              </w:rPr>
              <w:t>53 y 54</w:t>
            </w:r>
          </w:p>
        </w:tc>
      </w:tr>
      <w:tr w:rsidR="005522A4" w:rsidRPr="003B17E6" w14:paraId="64BB5829" w14:textId="77777777" w:rsidTr="00B4267A">
        <w:tc>
          <w:tcPr>
            <w:tcW w:w="1985" w:type="dxa"/>
          </w:tcPr>
          <w:p w14:paraId="5CC06C89" w14:textId="7BAF1BB0" w:rsidR="0088481D" w:rsidRPr="003B17E6" w:rsidRDefault="003B17E6" w:rsidP="00D3141D">
            <w:pPr>
              <w:autoSpaceDE w:val="0"/>
              <w:autoSpaceDN w:val="0"/>
              <w:adjustRightInd w:val="0"/>
              <w:rPr>
                <w:rFonts w:asciiTheme="minorHAnsi" w:eastAsiaTheme="minorHAnsi" w:hAnsiTheme="minorHAnsi"/>
                <w:sz w:val="22"/>
                <w:szCs w:val="22"/>
                <w:lang w:val="es-ES_tradnl"/>
              </w:rPr>
            </w:pPr>
            <w:r w:rsidRPr="003B17E6">
              <w:rPr>
                <w:rFonts w:asciiTheme="minorHAnsi" w:hAnsiTheme="minorHAnsi"/>
                <w:sz w:val="22"/>
                <w:szCs w:val="22"/>
                <w:lang w:val="es-ES_tradnl"/>
              </w:rPr>
              <w:t>Convención</w:t>
            </w:r>
            <w:r w:rsidR="00C61885" w:rsidRPr="003B17E6">
              <w:rPr>
                <w:rFonts w:asciiTheme="minorHAnsi" w:hAnsiTheme="minorHAnsi"/>
                <w:sz w:val="22"/>
                <w:szCs w:val="22"/>
                <w:lang w:val="es-ES_tradnl"/>
              </w:rPr>
              <w:t xml:space="preserve"> Marco de las Naciones Unidas sobre el Cambio Climático (CMNUCC)</w:t>
            </w:r>
          </w:p>
        </w:tc>
        <w:tc>
          <w:tcPr>
            <w:tcW w:w="7938" w:type="dxa"/>
          </w:tcPr>
          <w:p w14:paraId="5D10A0C1" w14:textId="0A14CD3E" w:rsidR="0088481D" w:rsidRPr="003B17E6" w:rsidRDefault="0088481D" w:rsidP="00C61885">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Participa</w:t>
            </w:r>
            <w:r w:rsidR="00C61885" w:rsidRPr="003B17E6">
              <w:rPr>
                <w:rFonts w:asciiTheme="minorHAnsi" w:hAnsiTheme="minorHAnsi"/>
                <w:sz w:val="22"/>
                <w:szCs w:val="22"/>
                <w:lang w:val="es-ES_tradnl"/>
              </w:rPr>
              <w:t xml:space="preserve">ción en el </w:t>
            </w:r>
            <w:r w:rsidRPr="003B17E6">
              <w:rPr>
                <w:rFonts w:asciiTheme="minorHAnsi" w:hAnsiTheme="minorHAnsi"/>
                <w:sz w:val="22"/>
                <w:szCs w:val="22"/>
                <w:lang w:val="es-ES_tradnl"/>
              </w:rPr>
              <w:t xml:space="preserve">IPCC </w:t>
            </w:r>
            <w:r w:rsidR="00C61885" w:rsidRPr="003B17E6">
              <w:rPr>
                <w:rFonts w:asciiTheme="minorHAnsi" w:hAnsiTheme="minorHAnsi"/>
                <w:sz w:val="22"/>
                <w:szCs w:val="22"/>
                <w:lang w:val="es-ES_tradnl"/>
              </w:rPr>
              <w:t xml:space="preserve">y </w:t>
            </w:r>
            <w:r w:rsidR="003B17E6" w:rsidRPr="003B17E6">
              <w:rPr>
                <w:rFonts w:asciiTheme="minorHAnsi" w:hAnsiTheme="minorHAnsi"/>
                <w:sz w:val="22"/>
                <w:szCs w:val="22"/>
                <w:lang w:val="es-ES_tradnl"/>
              </w:rPr>
              <w:t>preparación</w:t>
            </w:r>
            <w:r w:rsidR="00C61885" w:rsidRPr="003B17E6">
              <w:rPr>
                <w:rFonts w:asciiTheme="minorHAnsi" w:hAnsiTheme="minorHAnsi"/>
                <w:sz w:val="22"/>
                <w:szCs w:val="22"/>
                <w:lang w:val="es-ES_tradnl"/>
              </w:rPr>
              <w:t xml:space="preserve"> de un </w:t>
            </w:r>
            <w:r w:rsidR="00C839F6" w:rsidRPr="003B17E6">
              <w:rPr>
                <w:rFonts w:asciiTheme="minorHAnsi" w:hAnsiTheme="minorHAnsi"/>
                <w:sz w:val="22"/>
                <w:szCs w:val="22"/>
                <w:lang w:val="es-ES_tradnl"/>
              </w:rPr>
              <w:t>Plan de Trabajo Conjunto</w:t>
            </w:r>
            <w:r w:rsidRPr="003B17E6">
              <w:rPr>
                <w:rFonts w:asciiTheme="minorHAnsi" w:hAnsiTheme="minorHAnsi"/>
                <w:sz w:val="22"/>
                <w:szCs w:val="22"/>
                <w:lang w:val="es-ES_tradnl"/>
              </w:rPr>
              <w:t xml:space="preserve"> </w:t>
            </w:r>
            <w:r w:rsidR="00C61885" w:rsidRPr="003B17E6">
              <w:rPr>
                <w:rFonts w:asciiTheme="minorHAnsi" w:hAnsiTheme="minorHAnsi"/>
                <w:sz w:val="22"/>
                <w:szCs w:val="22"/>
                <w:lang w:val="es-ES_tradnl"/>
              </w:rPr>
              <w:t xml:space="preserve">en el marco de Ramsar </w:t>
            </w:r>
            <w:r w:rsidR="00C61885" w:rsidRPr="00570ECA">
              <w:rPr>
                <w:rFonts w:asciiTheme="minorHAnsi" w:hAnsiTheme="minorHAnsi"/>
                <w:sz w:val="22"/>
                <w:szCs w:val="22"/>
                <w:lang w:val="es-ES_tradnl"/>
              </w:rPr>
              <w:t>sobre</w:t>
            </w:r>
            <w:r w:rsidR="00C61885" w:rsidRPr="003B17E6">
              <w:rPr>
                <w:rFonts w:asciiTheme="minorHAnsi" w:hAnsiTheme="minorHAnsi"/>
                <w:sz w:val="22"/>
                <w:szCs w:val="22"/>
                <w:lang w:val="es-ES_tradnl"/>
              </w:rPr>
              <w:t xml:space="preserve"> el cambio climático</w:t>
            </w:r>
            <w:r w:rsidRPr="003B17E6">
              <w:rPr>
                <w:rFonts w:asciiTheme="minorHAnsi" w:hAnsiTheme="minorHAnsi"/>
                <w:sz w:val="22"/>
                <w:szCs w:val="22"/>
                <w:lang w:val="es-ES_tradnl"/>
              </w:rPr>
              <w:t xml:space="preserve">. </w:t>
            </w:r>
          </w:p>
        </w:tc>
        <w:tc>
          <w:tcPr>
            <w:tcW w:w="2977" w:type="dxa"/>
          </w:tcPr>
          <w:p w14:paraId="61F3F5E9" w14:textId="55CC8F46" w:rsidR="0088481D" w:rsidRPr="003B17E6" w:rsidRDefault="00C61885" w:rsidP="00C61885">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Logros alcanzados en las esferas de trabajo para la colaboración con el IPCC y Plan de Trabajo Conjunto con la CMNUCC </w:t>
            </w:r>
            <w:r w:rsidR="003B17E6" w:rsidRPr="003B17E6">
              <w:rPr>
                <w:rFonts w:asciiTheme="minorHAnsi" w:hAnsiTheme="minorHAnsi"/>
                <w:sz w:val="22"/>
                <w:szCs w:val="22"/>
                <w:lang w:val="es-ES_tradnl"/>
              </w:rPr>
              <w:t>preparado</w:t>
            </w:r>
            <w:r w:rsidR="0088481D" w:rsidRPr="003B17E6">
              <w:rPr>
                <w:rFonts w:asciiTheme="minorHAnsi" w:hAnsiTheme="minorHAnsi"/>
                <w:sz w:val="22"/>
                <w:szCs w:val="22"/>
                <w:lang w:val="es-ES_tradnl"/>
              </w:rPr>
              <w:t>.</w:t>
            </w:r>
          </w:p>
        </w:tc>
        <w:tc>
          <w:tcPr>
            <w:tcW w:w="1468" w:type="dxa"/>
          </w:tcPr>
          <w:p w14:paraId="672DD7C4" w14:textId="7297A181" w:rsidR="0088481D" w:rsidRPr="003B17E6" w:rsidRDefault="00C011CC" w:rsidP="00C011CC">
            <w:pPr>
              <w:autoSpaceDE w:val="0"/>
              <w:autoSpaceDN w:val="0"/>
              <w:adjustRightInd w:val="0"/>
              <w:rPr>
                <w:rFonts w:asciiTheme="minorHAnsi" w:hAnsiTheme="minorHAnsi"/>
                <w:sz w:val="22"/>
                <w:szCs w:val="22"/>
                <w:lang w:val="es-ES_tradnl"/>
              </w:rPr>
            </w:pPr>
            <w:r w:rsidRPr="003B17E6">
              <w:rPr>
                <w:rFonts w:asciiTheme="minorHAnsi" w:hAnsiTheme="minorHAnsi"/>
                <w:sz w:val="22"/>
                <w:szCs w:val="22"/>
                <w:lang w:val="es-ES_tradnl"/>
              </w:rPr>
              <w:t xml:space="preserve">Reuniones </w:t>
            </w:r>
            <w:r w:rsidR="0088481D" w:rsidRPr="003B17E6">
              <w:rPr>
                <w:rFonts w:asciiTheme="minorHAnsi" w:hAnsiTheme="minorHAnsi"/>
                <w:sz w:val="22"/>
                <w:szCs w:val="22"/>
                <w:lang w:val="es-ES_tradnl"/>
              </w:rPr>
              <w:t>SC52, 53</w:t>
            </w:r>
            <w:r w:rsidRPr="003B17E6">
              <w:rPr>
                <w:rFonts w:asciiTheme="minorHAnsi" w:hAnsiTheme="minorHAnsi"/>
                <w:sz w:val="22"/>
                <w:szCs w:val="22"/>
                <w:lang w:val="es-ES_tradnl"/>
              </w:rPr>
              <w:t xml:space="preserve"> y</w:t>
            </w:r>
            <w:r w:rsidR="0088481D" w:rsidRPr="003B17E6">
              <w:rPr>
                <w:rFonts w:asciiTheme="minorHAnsi" w:hAnsiTheme="minorHAnsi"/>
                <w:sz w:val="22"/>
                <w:szCs w:val="22"/>
                <w:lang w:val="es-ES_tradnl"/>
              </w:rPr>
              <w:t xml:space="preserve"> 54 </w:t>
            </w:r>
          </w:p>
        </w:tc>
      </w:tr>
    </w:tbl>
    <w:p w14:paraId="0232148F" w14:textId="77777777" w:rsidR="00936945" w:rsidRPr="003B17E6" w:rsidRDefault="00936945" w:rsidP="00B4267A">
      <w:pPr>
        <w:autoSpaceDE w:val="0"/>
        <w:autoSpaceDN w:val="0"/>
        <w:adjustRightInd w:val="0"/>
        <w:rPr>
          <w:rFonts w:asciiTheme="minorHAnsi" w:hAnsiTheme="minorHAnsi"/>
          <w:sz w:val="22"/>
          <w:szCs w:val="22"/>
          <w:lang w:val="es-ES_tradnl"/>
        </w:rPr>
      </w:pPr>
    </w:p>
    <w:sectPr w:rsidR="00936945" w:rsidRPr="003B17E6" w:rsidSect="005522A4">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B2A4" w14:textId="77777777" w:rsidR="00DE01FC" w:rsidRDefault="00DE01FC" w:rsidP="00FF697B">
      <w:r>
        <w:separator/>
      </w:r>
    </w:p>
  </w:endnote>
  <w:endnote w:type="continuationSeparator" w:id="0">
    <w:p w14:paraId="240E93EC" w14:textId="77777777" w:rsidR="00DE01FC" w:rsidRDefault="00DE01FC" w:rsidP="00FF697B">
      <w:r>
        <w:continuationSeparator/>
      </w:r>
    </w:p>
  </w:endnote>
  <w:endnote w:type="continuationNotice" w:id="1">
    <w:p w14:paraId="5D5FBD68" w14:textId="77777777" w:rsidR="00DE01FC" w:rsidRDefault="00DE0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42995360"/>
      <w:docPartObj>
        <w:docPartGallery w:val="Page Numbers (Bottom of Page)"/>
        <w:docPartUnique/>
      </w:docPartObj>
    </w:sdtPr>
    <w:sdtEndPr/>
    <w:sdtContent>
      <w:p w14:paraId="564B687F" w14:textId="44461B2B" w:rsidR="00DE01FC" w:rsidRPr="002714E9" w:rsidRDefault="00DE01FC" w:rsidP="006B6339">
        <w:pPr>
          <w:pStyle w:val="Footer"/>
          <w:tabs>
            <w:tab w:val="clear" w:pos="9360"/>
            <w:tab w:val="left" w:pos="8222"/>
            <w:tab w:val="right" w:pos="8931"/>
          </w:tabs>
          <w:rPr>
            <w:rFonts w:asciiTheme="minorHAnsi" w:hAnsiTheme="minorHAnsi"/>
            <w:sz w:val="20"/>
            <w:szCs w:val="20"/>
          </w:rPr>
        </w:pPr>
        <w:r>
          <w:rPr>
            <w:rFonts w:asciiTheme="minorHAnsi" w:hAnsiTheme="minorHAnsi"/>
            <w:sz w:val="20"/>
            <w:szCs w:val="20"/>
          </w:rPr>
          <w:t>SC51-10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B4267A">
          <w:rPr>
            <w:rFonts w:asciiTheme="minorHAnsi" w:hAnsiTheme="minorHAnsi"/>
            <w:noProof/>
            <w:sz w:val="20"/>
            <w:szCs w:val="20"/>
          </w:rPr>
          <w:t>5</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86939314"/>
      <w:docPartObj>
        <w:docPartGallery w:val="Page Numbers (Bottom of Page)"/>
        <w:docPartUnique/>
      </w:docPartObj>
    </w:sdtPr>
    <w:sdtEndPr/>
    <w:sdtContent>
      <w:p w14:paraId="20FC02BB" w14:textId="77777777" w:rsidR="00DE01FC" w:rsidRPr="002714E9" w:rsidRDefault="00DE01FC" w:rsidP="005522A4">
        <w:pPr>
          <w:pStyle w:val="Footer"/>
          <w:tabs>
            <w:tab w:val="clear" w:pos="9360"/>
            <w:tab w:val="right" w:pos="14175"/>
          </w:tabs>
          <w:rPr>
            <w:rFonts w:asciiTheme="minorHAnsi" w:hAnsiTheme="minorHAnsi"/>
            <w:sz w:val="20"/>
            <w:szCs w:val="20"/>
          </w:rPr>
        </w:pPr>
        <w:r>
          <w:rPr>
            <w:rFonts w:asciiTheme="minorHAnsi" w:hAnsiTheme="minorHAnsi"/>
            <w:sz w:val="20"/>
            <w:szCs w:val="20"/>
          </w:rPr>
          <w:t>SC51-10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B4267A">
          <w:rPr>
            <w:rFonts w:asciiTheme="minorHAnsi" w:hAnsiTheme="minorHAnsi"/>
            <w:noProof/>
            <w:sz w:val="20"/>
            <w:szCs w:val="20"/>
          </w:rPr>
          <w:t>8</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906CA" w14:textId="77777777" w:rsidR="00DE01FC" w:rsidRDefault="00DE01FC" w:rsidP="00FF697B">
      <w:r>
        <w:separator/>
      </w:r>
    </w:p>
  </w:footnote>
  <w:footnote w:type="continuationSeparator" w:id="0">
    <w:p w14:paraId="48ACC432" w14:textId="77777777" w:rsidR="00DE01FC" w:rsidRDefault="00DE01FC" w:rsidP="00FF697B">
      <w:r>
        <w:continuationSeparator/>
      </w:r>
    </w:p>
  </w:footnote>
  <w:footnote w:type="continuationNotice" w:id="1">
    <w:p w14:paraId="4E22DC50" w14:textId="77777777" w:rsidR="00DE01FC" w:rsidRDefault="00DE0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84892"/>
    <w:multiLevelType w:val="multilevel"/>
    <w:tmpl w:val="AE16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C4334E"/>
    <w:multiLevelType w:val="hybridMultilevel"/>
    <w:tmpl w:val="5C989A58"/>
    <w:lvl w:ilvl="0" w:tplc="BC12AE0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47FBE"/>
    <w:multiLevelType w:val="hybridMultilevel"/>
    <w:tmpl w:val="848EB2BA"/>
    <w:lvl w:ilvl="0" w:tplc="2ABCEAD8">
      <w:start w:val="1"/>
      <w:numFmt w:val="lowerLetter"/>
      <w:lvlText w:val="%1."/>
      <w:lvlJc w:val="left"/>
      <w:pPr>
        <w:ind w:left="720" w:hanging="360"/>
      </w:pPr>
      <w:rPr>
        <w:sz w:val="22"/>
        <w:szCs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3247155B"/>
    <w:multiLevelType w:val="multilevel"/>
    <w:tmpl w:val="D7CE82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8F56E7"/>
    <w:multiLevelType w:val="multilevel"/>
    <w:tmpl w:val="2A58ED3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B37AC"/>
    <w:multiLevelType w:val="multilevel"/>
    <w:tmpl w:val="143E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BA5FB4"/>
    <w:multiLevelType w:val="multilevel"/>
    <w:tmpl w:val="A4F6116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FC04F5"/>
    <w:multiLevelType w:val="multilevel"/>
    <w:tmpl w:val="9E70AE1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2039"/>
    <w:multiLevelType w:val="multilevel"/>
    <w:tmpl w:val="B31021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14"/>
  </w:num>
  <w:num w:numId="4">
    <w:abstractNumId w:val="3"/>
  </w:num>
  <w:num w:numId="5">
    <w:abstractNumId w:val="10"/>
  </w:num>
  <w:num w:numId="6">
    <w:abstractNumId w:val="6"/>
  </w:num>
  <w:num w:numId="7">
    <w:abstractNumId w:val="30"/>
  </w:num>
  <w:num w:numId="8">
    <w:abstractNumId w:val="5"/>
  </w:num>
  <w:num w:numId="9">
    <w:abstractNumId w:val="12"/>
  </w:num>
  <w:num w:numId="10">
    <w:abstractNumId w:val="36"/>
  </w:num>
  <w:num w:numId="11">
    <w:abstractNumId w:val="19"/>
  </w:num>
  <w:num w:numId="12">
    <w:abstractNumId w:val="31"/>
  </w:num>
  <w:num w:numId="13">
    <w:abstractNumId w:val="25"/>
  </w:num>
  <w:num w:numId="14">
    <w:abstractNumId w:val="9"/>
  </w:num>
  <w:num w:numId="15">
    <w:abstractNumId w:val="38"/>
  </w:num>
  <w:num w:numId="16">
    <w:abstractNumId w:val="39"/>
  </w:num>
  <w:num w:numId="17">
    <w:abstractNumId w:val="11"/>
  </w:num>
  <w:num w:numId="18">
    <w:abstractNumId w:val="40"/>
  </w:num>
  <w:num w:numId="19">
    <w:abstractNumId w:val="4"/>
  </w:num>
  <w:num w:numId="20">
    <w:abstractNumId w:val="37"/>
  </w:num>
  <w:num w:numId="21">
    <w:abstractNumId w:val="33"/>
  </w:num>
  <w:num w:numId="22">
    <w:abstractNumId w:val="20"/>
  </w:num>
  <w:num w:numId="23">
    <w:abstractNumId w:val="23"/>
  </w:num>
  <w:num w:numId="24">
    <w:abstractNumId w:val="17"/>
  </w:num>
  <w:num w:numId="25">
    <w:abstractNumId w:val="15"/>
  </w:num>
  <w:num w:numId="26">
    <w:abstractNumId w:val="0"/>
  </w:num>
  <w:num w:numId="27">
    <w:abstractNumId w:val="7"/>
  </w:num>
  <w:num w:numId="28">
    <w:abstractNumId w:val="26"/>
  </w:num>
  <w:num w:numId="29">
    <w:abstractNumId w:val="13"/>
  </w:num>
  <w:num w:numId="30">
    <w:abstractNumId w:val="24"/>
  </w:num>
  <w:num w:numId="31">
    <w:abstractNumId w:val="35"/>
  </w:num>
  <w:num w:numId="32">
    <w:abstractNumId w:val="16"/>
  </w:num>
  <w:num w:numId="33">
    <w:abstractNumId w:val="1"/>
  </w:num>
  <w:num w:numId="34">
    <w:abstractNumId w:val="8"/>
  </w:num>
  <w:num w:numId="35">
    <w:abstractNumId w:val="28"/>
  </w:num>
  <w:num w:numId="36">
    <w:abstractNumId w:val="22"/>
  </w:num>
  <w:num w:numId="37">
    <w:abstractNumId w:val="29"/>
  </w:num>
  <w:num w:numId="38">
    <w:abstractNumId w:val="32"/>
  </w:num>
  <w:num w:numId="39">
    <w:abstractNumId w:val="18"/>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EF0"/>
    <w:rsid w:val="000119F7"/>
    <w:rsid w:val="00015F2A"/>
    <w:rsid w:val="00032C51"/>
    <w:rsid w:val="00033522"/>
    <w:rsid w:val="00041AFD"/>
    <w:rsid w:val="00051CDC"/>
    <w:rsid w:val="0005674C"/>
    <w:rsid w:val="00057770"/>
    <w:rsid w:val="000628E1"/>
    <w:rsid w:val="000728A7"/>
    <w:rsid w:val="00073599"/>
    <w:rsid w:val="0007671F"/>
    <w:rsid w:val="00080B42"/>
    <w:rsid w:val="000815CF"/>
    <w:rsid w:val="00081961"/>
    <w:rsid w:val="00092540"/>
    <w:rsid w:val="00094BDE"/>
    <w:rsid w:val="000A170F"/>
    <w:rsid w:val="000A5223"/>
    <w:rsid w:val="000A6728"/>
    <w:rsid w:val="000A6883"/>
    <w:rsid w:val="000B3C8C"/>
    <w:rsid w:val="000B4FCC"/>
    <w:rsid w:val="000C7803"/>
    <w:rsid w:val="000E0DD8"/>
    <w:rsid w:val="000E19EC"/>
    <w:rsid w:val="000F1D6E"/>
    <w:rsid w:val="001006BE"/>
    <w:rsid w:val="00100888"/>
    <w:rsid w:val="00104BBE"/>
    <w:rsid w:val="0010584A"/>
    <w:rsid w:val="0011563D"/>
    <w:rsid w:val="00117941"/>
    <w:rsid w:val="001233DE"/>
    <w:rsid w:val="001348B6"/>
    <w:rsid w:val="0013737A"/>
    <w:rsid w:val="00141F99"/>
    <w:rsid w:val="00146F43"/>
    <w:rsid w:val="00151CCE"/>
    <w:rsid w:val="00172DDC"/>
    <w:rsid w:val="0017359A"/>
    <w:rsid w:val="00174630"/>
    <w:rsid w:val="001803EE"/>
    <w:rsid w:val="00183A30"/>
    <w:rsid w:val="00186C60"/>
    <w:rsid w:val="001A0160"/>
    <w:rsid w:val="001C02DA"/>
    <w:rsid w:val="001C64CD"/>
    <w:rsid w:val="001C7254"/>
    <w:rsid w:val="001D0F43"/>
    <w:rsid w:val="001D265C"/>
    <w:rsid w:val="001D42CC"/>
    <w:rsid w:val="001D4A5C"/>
    <w:rsid w:val="001E3547"/>
    <w:rsid w:val="001F1FBB"/>
    <w:rsid w:val="00212D24"/>
    <w:rsid w:val="0021716D"/>
    <w:rsid w:val="002261FC"/>
    <w:rsid w:val="002332AC"/>
    <w:rsid w:val="00243645"/>
    <w:rsid w:val="002447E7"/>
    <w:rsid w:val="00246C2F"/>
    <w:rsid w:val="002504E6"/>
    <w:rsid w:val="002514F1"/>
    <w:rsid w:val="002646FA"/>
    <w:rsid w:val="002660B1"/>
    <w:rsid w:val="002714E9"/>
    <w:rsid w:val="002835A3"/>
    <w:rsid w:val="002934B0"/>
    <w:rsid w:val="00293D1B"/>
    <w:rsid w:val="002953F3"/>
    <w:rsid w:val="002A65F4"/>
    <w:rsid w:val="002B1E27"/>
    <w:rsid w:val="002B3E2C"/>
    <w:rsid w:val="002B4098"/>
    <w:rsid w:val="002B42B8"/>
    <w:rsid w:val="002B7D26"/>
    <w:rsid w:val="002C0479"/>
    <w:rsid w:val="002C0555"/>
    <w:rsid w:val="002C1151"/>
    <w:rsid w:val="002C537A"/>
    <w:rsid w:val="002D6856"/>
    <w:rsid w:val="002E64DF"/>
    <w:rsid w:val="002F58A7"/>
    <w:rsid w:val="00302362"/>
    <w:rsid w:val="003148C8"/>
    <w:rsid w:val="0032502F"/>
    <w:rsid w:val="00325679"/>
    <w:rsid w:val="00326F22"/>
    <w:rsid w:val="003320A7"/>
    <w:rsid w:val="00337C92"/>
    <w:rsid w:val="003417FD"/>
    <w:rsid w:val="00376063"/>
    <w:rsid w:val="00376DDC"/>
    <w:rsid w:val="00382E89"/>
    <w:rsid w:val="00384807"/>
    <w:rsid w:val="0039115C"/>
    <w:rsid w:val="003915FB"/>
    <w:rsid w:val="00391C56"/>
    <w:rsid w:val="00392E1D"/>
    <w:rsid w:val="003B050A"/>
    <w:rsid w:val="003B17E6"/>
    <w:rsid w:val="003B253B"/>
    <w:rsid w:val="003B5014"/>
    <w:rsid w:val="003C128F"/>
    <w:rsid w:val="003C20FF"/>
    <w:rsid w:val="003C6A54"/>
    <w:rsid w:val="003C7BF0"/>
    <w:rsid w:val="003E0E4E"/>
    <w:rsid w:val="003E11F9"/>
    <w:rsid w:val="003E4DC6"/>
    <w:rsid w:val="003F2F88"/>
    <w:rsid w:val="003F7B34"/>
    <w:rsid w:val="00400BE4"/>
    <w:rsid w:val="004070EF"/>
    <w:rsid w:val="00417045"/>
    <w:rsid w:val="00427D6B"/>
    <w:rsid w:val="00434554"/>
    <w:rsid w:val="004427DB"/>
    <w:rsid w:val="00446641"/>
    <w:rsid w:val="00457E6A"/>
    <w:rsid w:val="00471C86"/>
    <w:rsid w:val="004731DE"/>
    <w:rsid w:val="004819CC"/>
    <w:rsid w:val="00482DC9"/>
    <w:rsid w:val="00483D0A"/>
    <w:rsid w:val="00487333"/>
    <w:rsid w:val="004A08F0"/>
    <w:rsid w:val="004B4F43"/>
    <w:rsid w:val="004C3C9F"/>
    <w:rsid w:val="004C7A23"/>
    <w:rsid w:val="004D7848"/>
    <w:rsid w:val="004E1F6C"/>
    <w:rsid w:val="004E6774"/>
    <w:rsid w:val="004F034D"/>
    <w:rsid w:val="004F5DCB"/>
    <w:rsid w:val="004F5DCD"/>
    <w:rsid w:val="004F6FD2"/>
    <w:rsid w:val="00500752"/>
    <w:rsid w:val="00504F5D"/>
    <w:rsid w:val="005153CF"/>
    <w:rsid w:val="005312F9"/>
    <w:rsid w:val="00533213"/>
    <w:rsid w:val="00534542"/>
    <w:rsid w:val="00536ED0"/>
    <w:rsid w:val="0053736B"/>
    <w:rsid w:val="005459B2"/>
    <w:rsid w:val="00545DA3"/>
    <w:rsid w:val="005502D2"/>
    <w:rsid w:val="005518CD"/>
    <w:rsid w:val="005522A4"/>
    <w:rsid w:val="005526B6"/>
    <w:rsid w:val="00552FAB"/>
    <w:rsid w:val="005630B6"/>
    <w:rsid w:val="005667AA"/>
    <w:rsid w:val="00570ECA"/>
    <w:rsid w:val="00581EC3"/>
    <w:rsid w:val="00582948"/>
    <w:rsid w:val="00587498"/>
    <w:rsid w:val="005876A0"/>
    <w:rsid w:val="00590622"/>
    <w:rsid w:val="00592107"/>
    <w:rsid w:val="00596A96"/>
    <w:rsid w:val="005A0D1E"/>
    <w:rsid w:val="005A4493"/>
    <w:rsid w:val="005A740C"/>
    <w:rsid w:val="005B581C"/>
    <w:rsid w:val="005B769D"/>
    <w:rsid w:val="005D2A79"/>
    <w:rsid w:val="005D5FFC"/>
    <w:rsid w:val="005D7F8A"/>
    <w:rsid w:val="005E538D"/>
    <w:rsid w:val="005F4ABE"/>
    <w:rsid w:val="00612874"/>
    <w:rsid w:val="00617BD2"/>
    <w:rsid w:val="00631532"/>
    <w:rsid w:val="00644D00"/>
    <w:rsid w:val="0064540F"/>
    <w:rsid w:val="00645412"/>
    <w:rsid w:val="00645FEF"/>
    <w:rsid w:val="0064751D"/>
    <w:rsid w:val="00651E2D"/>
    <w:rsid w:val="00657000"/>
    <w:rsid w:val="00667F55"/>
    <w:rsid w:val="006820B0"/>
    <w:rsid w:val="00685DA0"/>
    <w:rsid w:val="00694AC4"/>
    <w:rsid w:val="006961B7"/>
    <w:rsid w:val="006A4A76"/>
    <w:rsid w:val="006B4949"/>
    <w:rsid w:val="006B6339"/>
    <w:rsid w:val="006D0C5F"/>
    <w:rsid w:val="006D12B3"/>
    <w:rsid w:val="006E19DD"/>
    <w:rsid w:val="006E3610"/>
    <w:rsid w:val="006F4786"/>
    <w:rsid w:val="006F6844"/>
    <w:rsid w:val="00720D5C"/>
    <w:rsid w:val="00760D4B"/>
    <w:rsid w:val="00764684"/>
    <w:rsid w:val="00765E81"/>
    <w:rsid w:val="00771876"/>
    <w:rsid w:val="00776D8F"/>
    <w:rsid w:val="00776F3B"/>
    <w:rsid w:val="00782506"/>
    <w:rsid w:val="007831BE"/>
    <w:rsid w:val="00787545"/>
    <w:rsid w:val="007A16D7"/>
    <w:rsid w:val="007A5606"/>
    <w:rsid w:val="007A738C"/>
    <w:rsid w:val="007B419C"/>
    <w:rsid w:val="007D072E"/>
    <w:rsid w:val="007E615D"/>
    <w:rsid w:val="007E7B4D"/>
    <w:rsid w:val="007F1BF9"/>
    <w:rsid w:val="007F1E7B"/>
    <w:rsid w:val="007F38E9"/>
    <w:rsid w:val="007F4615"/>
    <w:rsid w:val="00803E9B"/>
    <w:rsid w:val="00806209"/>
    <w:rsid w:val="00806CA6"/>
    <w:rsid w:val="00810F0C"/>
    <w:rsid w:val="00812CC5"/>
    <w:rsid w:val="008200FA"/>
    <w:rsid w:val="0082444A"/>
    <w:rsid w:val="00826A02"/>
    <w:rsid w:val="00837832"/>
    <w:rsid w:val="00863FEF"/>
    <w:rsid w:val="00870DF6"/>
    <w:rsid w:val="008723F0"/>
    <w:rsid w:val="00872A6F"/>
    <w:rsid w:val="00873D23"/>
    <w:rsid w:val="008769EA"/>
    <w:rsid w:val="00877BF7"/>
    <w:rsid w:val="0088481D"/>
    <w:rsid w:val="00892E1A"/>
    <w:rsid w:val="00896DF7"/>
    <w:rsid w:val="008A43C7"/>
    <w:rsid w:val="008A6402"/>
    <w:rsid w:val="008A769A"/>
    <w:rsid w:val="008B2CBB"/>
    <w:rsid w:val="008C0144"/>
    <w:rsid w:val="008C445B"/>
    <w:rsid w:val="008D14FE"/>
    <w:rsid w:val="008E03AA"/>
    <w:rsid w:val="008E23DC"/>
    <w:rsid w:val="008E4ED0"/>
    <w:rsid w:val="008E7A2A"/>
    <w:rsid w:val="008F7583"/>
    <w:rsid w:val="00906F6C"/>
    <w:rsid w:val="00912820"/>
    <w:rsid w:val="009157D4"/>
    <w:rsid w:val="0092099E"/>
    <w:rsid w:val="00920D91"/>
    <w:rsid w:val="009211DF"/>
    <w:rsid w:val="00936945"/>
    <w:rsid w:val="00941D6F"/>
    <w:rsid w:val="00952C58"/>
    <w:rsid w:val="00954E10"/>
    <w:rsid w:val="00955DFF"/>
    <w:rsid w:val="00985239"/>
    <w:rsid w:val="00997970"/>
    <w:rsid w:val="009D1E33"/>
    <w:rsid w:val="009D2039"/>
    <w:rsid w:val="009D31E5"/>
    <w:rsid w:val="009D4081"/>
    <w:rsid w:val="009D7EE2"/>
    <w:rsid w:val="009F1447"/>
    <w:rsid w:val="00A018CD"/>
    <w:rsid w:val="00A02F36"/>
    <w:rsid w:val="00A07D4F"/>
    <w:rsid w:val="00A10C01"/>
    <w:rsid w:val="00A14906"/>
    <w:rsid w:val="00A158A4"/>
    <w:rsid w:val="00A16BDF"/>
    <w:rsid w:val="00A222EB"/>
    <w:rsid w:val="00A228B2"/>
    <w:rsid w:val="00A36B41"/>
    <w:rsid w:val="00A43C7D"/>
    <w:rsid w:val="00A46E45"/>
    <w:rsid w:val="00A55093"/>
    <w:rsid w:val="00A6690C"/>
    <w:rsid w:val="00A83FBB"/>
    <w:rsid w:val="00A8614B"/>
    <w:rsid w:val="00AA5FEC"/>
    <w:rsid w:val="00AB28A1"/>
    <w:rsid w:val="00AB5E15"/>
    <w:rsid w:val="00AB7590"/>
    <w:rsid w:val="00AC634A"/>
    <w:rsid w:val="00AC669A"/>
    <w:rsid w:val="00AD39A4"/>
    <w:rsid w:val="00AE05E7"/>
    <w:rsid w:val="00AE6962"/>
    <w:rsid w:val="00AF2442"/>
    <w:rsid w:val="00AF391D"/>
    <w:rsid w:val="00AF5059"/>
    <w:rsid w:val="00AF63F3"/>
    <w:rsid w:val="00B03A42"/>
    <w:rsid w:val="00B149E4"/>
    <w:rsid w:val="00B30085"/>
    <w:rsid w:val="00B31BC1"/>
    <w:rsid w:val="00B4267A"/>
    <w:rsid w:val="00B446EE"/>
    <w:rsid w:val="00B447BA"/>
    <w:rsid w:val="00B8388D"/>
    <w:rsid w:val="00B94F41"/>
    <w:rsid w:val="00B96189"/>
    <w:rsid w:val="00BA1F7B"/>
    <w:rsid w:val="00BA2127"/>
    <w:rsid w:val="00BA308D"/>
    <w:rsid w:val="00BA4D61"/>
    <w:rsid w:val="00BA510D"/>
    <w:rsid w:val="00BA6D1A"/>
    <w:rsid w:val="00BA70B5"/>
    <w:rsid w:val="00BB14C9"/>
    <w:rsid w:val="00BC245F"/>
    <w:rsid w:val="00BC3A93"/>
    <w:rsid w:val="00BC621C"/>
    <w:rsid w:val="00BD0330"/>
    <w:rsid w:val="00BD5EA5"/>
    <w:rsid w:val="00BE5EAD"/>
    <w:rsid w:val="00BF3184"/>
    <w:rsid w:val="00BF44E2"/>
    <w:rsid w:val="00C011CC"/>
    <w:rsid w:val="00C012D2"/>
    <w:rsid w:val="00C14182"/>
    <w:rsid w:val="00C14551"/>
    <w:rsid w:val="00C17766"/>
    <w:rsid w:val="00C25602"/>
    <w:rsid w:val="00C442D4"/>
    <w:rsid w:val="00C4689B"/>
    <w:rsid w:val="00C53DB5"/>
    <w:rsid w:val="00C545EA"/>
    <w:rsid w:val="00C552A9"/>
    <w:rsid w:val="00C55392"/>
    <w:rsid w:val="00C57997"/>
    <w:rsid w:val="00C606CD"/>
    <w:rsid w:val="00C61885"/>
    <w:rsid w:val="00C65B9B"/>
    <w:rsid w:val="00C7225E"/>
    <w:rsid w:val="00C74B34"/>
    <w:rsid w:val="00C770A9"/>
    <w:rsid w:val="00C80D1A"/>
    <w:rsid w:val="00C839F6"/>
    <w:rsid w:val="00C863DD"/>
    <w:rsid w:val="00C92309"/>
    <w:rsid w:val="00C931F7"/>
    <w:rsid w:val="00CA36DC"/>
    <w:rsid w:val="00CB4D8B"/>
    <w:rsid w:val="00CC52A6"/>
    <w:rsid w:val="00CD26B4"/>
    <w:rsid w:val="00CE06B5"/>
    <w:rsid w:val="00CE31CC"/>
    <w:rsid w:val="00CF714F"/>
    <w:rsid w:val="00CF7DBE"/>
    <w:rsid w:val="00D12244"/>
    <w:rsid w:val="00D21621"/>
    <w:rsid w:val="00D21F4A"/>
    <w:rsid w:val="00D221FF"/>
    <w:rsid w:val="00D3141D"/>
    <w:rsid w:val="00D33954"/>
    <w:rsid w:val="00D353C4"/>
    <w:rsid w:val="00D36866"/>
    <w:rsid w:val="00D55DD9"/>
    <w:rsid w:val="00D56300"/>
    <w:rsid w:val="00D75281"/>
    <w:rsid w:val="00D76D82"/>
    <w:rsid w:val="00D8166D"/>
    <w:rsid w:val="00D82669"/>
    <w:rsid w:val="00D91024"/>
    <w:rsid w:val="00D94A4D"/>
    <w:rsid w:val="00D94C75"/>
    <w:rsid w:val="00DA754A"/>
    <w:rsid w:val="00DB2DBD"/>
    <w:rsid w:val="00DB7D67"/>
    <w:rsid w:val="00DC3C16"/>
    <w:rsid w:val="00DC4D8F"/>
    <w:rsid w:val="00DC7754"/>
    <w:rsid w:val="00DE01FC"/>
    <w:rsid w:val="00DE135D"/>
    <w:rsid w:val="00DE297C"/>
    <w:rsid w:val="00DE6164"/>
    <w:rsid w:val="00DF047C"/>
    <w:rsid w:val="00DF0CB9"/>
    <w:rsid w:val="00DF1E83"/>
    <w:rsid w:val="00DF5AF4"/>
    <w:rsid w:val="00E01B8C"/>
    <w:rsid w:val="00E039B7"/>
    <w:rsid w:val="00E06543"/>
    <w:rsid w:val="00E077BC"/>
    <w:rsid w:val="00E26DD6"/>
    <w:rsid w:val="00E36DCD"/>
    <w:rsid w:val="00E441CB"/>
    <w:rsid w:val="00E656E6"/>
    <w:rsid w:val="00E7270C"/>
    <w:rsid w:val="00E74E07"/>
    <w:rsid w:val="00E8018B"/>
    <w:rsid w:val="00E8264A"/>
    <w:rsid w:val="00E86897"/>
    <w:rsid w:val="00E929EF"/>
    <w:rsid w:val="00E959F6"/>
    <w:rsid w:val="00EA3FBC"/>
    <w:rsid w:val="00EB3C7C"/>
    <w:rsid w:val="00EB42CB"/>
    <w:rsid w:val="00EB447F"/>
    <w:rsid w:val="00EE0E62"/>
    <w:rsid w:val="00EF17EF"/>
    <w:rsid w:val="00EF2796"/>
    <w:rsid w:val="00EF2B14"/>
    <w:rsid w:val="00EF2E30"/>
    <w:rsid w:val="00EF3281"/>
    <w:rsid w:val="00EF4815"/>
    <w:rsid w:val="00F05AA5"/>
    <w:rsid w:val="00F110D1"/>
    <w:rsid w:val="00F35761"/>
    <w:rsid w:val="00F401EC"/>
    <w:rsid w:val="00F41CFD"/>
    <w:rsid w:val="00F427E1"/>
    <w:rsid w:val="00F45DE6"/>
    <w:rsid w:val="00F507B8"/>
    <w:rsid w:val="00F65FDA"/>
    <w:rsid w:val="00F66E12"/>
    <w:rsid w:val="00F73267"/>
    <w:rsid w:val="00F83863"/>
    <w:rsid w:val="00F85A79"/>
    <w:rsid w:val="00F86463"/>
    <w:rsid w:val="00F93B73"/>
    <w:rsid w:val="00FA2B25"/>
    <w:rsid w:val="00FA633D"/>
    <w:rsid w:val="00FB5873"/>
    <w:rsid w:val="00FC2FD7"/>
    <w:rsid w:val="00FC4460"/>
    <w:rsid w:val="00FD01E5"/>
    <w:rsid w:val="00FD04F2"/>
    <w:rsid w:val="00FD0F57"/>
    <w:rsid w:val="00FE0FAB"/>
    <w:rsid w:val="00FE3C74"/>
    <w:rsid w:val="00FE77CD"/>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030">
      <w:bodyDiv w:val="1"/>
      <w:marLeft w:val="0"/>
      <w:marRight w:val="0"/>
      <w:marTop w:val="0"/>
      <w:marBottom w:val="0"/>
      <w:divBdr>
        <w:top w:val="none" w:sz="0" w:space="0" w:color="auto"/>
        <w:left w:val="none" w:sz="0" w:space="0" w:color="auto"/>
        <w:bottom w:val="none" w:sz="0" w:space="0" w:color="auto"/>
        <w:right w:val="none" w:sz="0" w:space="0" w:color="auto"/>
      </w:divBdr>
    </w:div>
    <w:div w:id="397241223">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5912922">
      <w:bodyDiv w:val="1"/>
      <w:marLeft w:val="0"/>
      <w:marRight w:val="0"/>
      <w:marTop w:val="0"/>
      <w:marBottom w:val="0"/>
      <w:divBdr>
        <w:top w:val="none" w:sz="0" w:space="0" w:color="auto"/>
        <w:left w:val="none" w:sz="0" w:space="0" w:color="auto"/>
        <w:bottom w:val="none" w:sz="0" w:space="0" w:color="auto"/>
        <w:right w:val="none" w:sz="0" w:space="0" w:color="auto"/>
      </w:divBdr>
    </w:div>
    <w:div w:id="804852946">
      <w:bodyDiv w:val="1"/>
      <w:marLeft w:val="0"/>
      <w:marRight w:val="0"/>
      <w:marTop w:val="0"/>
      <w:marBottom w:val="0"/>
      <w:divBdr>
        <w:top w:val="none" w:sz="0" w:space="0" w:color="auto"/>
        <w:left w:val="none" w:sz="0" w:space="0" w:color="auto"/>
        <w:bottom w:val="none" w:sz="0" w:space="0" w:color="auto"/>
        <w:right w:val="none" w:sz="0" w:space="0" w:color="auto"/>
      </w:divBdr>
    </w:div>
    <w:div w:id="1170370835">
      <w:bodyDiv w:val="1"/>
      <w:marLeft w:val="0"/>
      <w:marRight w:val="0"/>
      <w:marTop w:val="0"/>
      <w:marBottom w:val="0"/>
      <w:divBdr>
        <w:top w:val="none" w:sz="0" w:space="0" w:color="auto"/>
        <w:left w:val="none" w:sz="0" w:space="0" w:color="auto"/>
        <w:bottom w:val="none" w:sz="0" w:space="0" w:color="auto"/>
        <w:right w:val="none" w:sz="0" w:space="0" w:color="auto"/>
      </w:divBdr>
    </w:div>
    <w:div w:id="1195969322">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20381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96AA-B264-4513-B296-D97F89D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19430</Characters>
  <Application>Microsoft Office Word</Application>
  <DocSecurity>4</DocSecurity>
  <Lines>451</Lines>
  <Paragraphs>141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2015-08-27T10:24:00Z</dcterms:created>
  <dcterms:modified xsi:type="dcterms:W3CDTF">2015-08-27T10:24:00Z</dcterms:modified>
</cp:coreProperties>
</file>