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CONVENTION ON WETLANDS (Ramsar, Iran, 1971)</w:t>
      </w:r>
    </w:p>
    <w:p w:rsidR="002660B1" w:rsidRDefault="003D708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51</w:t>
      </w:r>
      <w:r>
        <w:rPr>
          <w:rFonts w:asciiTheme="minorHAnsi" w:hAnsiTheme="minorHAnsi" w:cstheme="minorHAnsi"/>
          <w:bCs/>
          <w:szCs w:val="20"/>
          <w:vertAlign w:val="superscript"/>
        </w:rPr>
        <w:t>st</w:t>
      </w:r>
      <w:r w:rsidR="002660B1">
        <w:rPr>
          <w:rFonts w:asciiTheme="minorHAnsi" w:hAnsiTheme="minorHAnsi" w:cstheme="minorHAnsi"/>
          <w:bCs/>
          <w:szCs w:val="20"/>
        </w:rPr>
        <w:t xml:space="preserve"> Meeting of the Standing Committee</w:t>
      </w:r>
    </w:p>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Gland, Switzerland, </w:t>
      </w:r>
      <w:r w:rsidR="00AD39A4">
        <w:rPr>
          <w:rFonts w:asciiTheme="minorHAnsi" w:hAnsiTheme="minorHAnsi" w:cstheme="minorHAnsi"/>
          <w:bCs/>
          <w:szCs w:val="20"/>
        </w:rPr>
        <w:t>2</w:t>
      </w:r>
      <w:r w:rsidR="004F5DCD">
        <w:rPr>
          <w:rFonts w:asciiTheme="minorHAnsi" w:hAnsiTheme="minorHAnsi" w:cstheme="minorHAnsi"/>
          <w:bCs/>
          <w:szCs w:val="20"/>
        </w:rPr>
        <w:t>3</w:t>
      </w:r>
      <w:r w:rsidR="00AD39A4">
        <w:rPr>
          <w:rFonts w:asciiTheme="minorHAnsi" w:hAnsiTheme="minorHAnsi" w:cstheme="minorHAnsi"/>
          <w:bCs/>
          <w:szCs w:val="20"/>
        </w:rPr>
        <w:t>-</w:t>
      </w:r>
      <w:r w:rsidR="004F5DCD">
        <w:rPr>
          <w:rFonts w:asciiTheme="minorHAnsi" w:hAnsiTheme="minorHAnsi" w:cstheme="minorHAnsi"/>
          <w:bCs/>
          <w:szCs w:val="20"/>
        </w:rPr>
        <w:t>27</w:t>
      </w:r>
      <w:r w:rsidR="00AD39A4">
        <w:rPr>
          <w:rFonts w:asciiTheme="minorHAnsi" w:hAnsiTheme="minorHAnsi" w:cstheme="minorHAnsi"/>
          <w:bCs/>
          <w:szCs w:val="20"/>
        </w:rPr>
        <w:t xml:space="preserve"> </w:t>
      </w:r>
      <w:r w:rsidR="004F5DCD">
        <w:rPr>
          <w:rFonts w:asciiTheme="minorHAnsi" w:hAnsiTheme="minorHAnsi" w:cstheme="minorHAnsi"/>
          <w:bCs/>
          <w:szCs w:val="20"/>
        </w:rPr>
        <w:t>November</w:t>
      </w:r>
      <w:r>
        <w:rPr>
          <w:rFonts w:asciiTheme="minorHAnsi" w:hAnsiTheme="minorHAnsi" w:cstheme="minorHAnsi"/>
          <w:bCs/>
          <w:szCs w:val="20"/>
        </w:rPr>
        <w:t xml:space="preserve"> 2015</w:t>
      </w:r>
    </w:p>
    <w:p w:rsidR="002660B1" w:rsidRPr="009E4C08" w:rsidRDefault="002660B1">
      <w:pPr>
        <w:rPr>
          <w:sz w:val="28"/>
          <w:szCs w:val="28"/>
        </w:rPr>
      </w:pPr>
    </w:p>
    <w:p w:rsidR="002660B1" w:rsidRPr="00146F43" w:rsidRDefault="002660B1" w:rsidP="002660B1">
      <w:pPr>
        <w:jc w:val="right"/>
        <w:rPr>
          <w:rFonts w:asciiTheme="minorHAnsi" w:hAnsiTheme="minorHAnsi" w:cstheme="minorHAnsi"/>
          <w:b/>
          <w:sz w:val="28"/>
          <w:szCs w:val="28"/>
        </w:rPr>
      </w:pPr>
      <w:r w:rsidRPr="00146F43">
        <w:rPr>
          <w:rFonts w:asciiTheme="minorHAnsi" w:hAnsiTheme="minorHAnsi" w:cstheme="minorHAnsi"/>
          <w:b/>
          <w:sz w:val="28"/>
          <w:szCs w:val="28"/>
        </w:rPr>
        <w:t>SC</w:t>
      </w:r>
      <w:r w:rsidR="004F5DCD">
        <w:rPr>
          <w:rFonts w:asciiTheme="minorHAnsi" w:hAnsiTheme="minorHAnsi" w:cstheme="minorHAnsi"/>
          <w:b/>
          <w:sz w:val="28"/>
          <w:szCs w:val="28"/>
        </w:rPr>
        <w:t>51</w:t>
      </w:r>
      <w:r w:rsidRPr="00146F43">
        <w:rPr>
          <w:rFonts w:asciiTheme="minorHAnsi" w:hAnsiTheme="minorHAnsi" w:cstheme="minorHAnsi"/>
          <w:b/>
          <w:sz w:val="28"/>
          <w:szCs w:val="28"/>
        </w:rPr>
        <w:t>-</w:t>
      </w:r>
      <w:r w:rsidR="009E4C08">
        <w:rPr>
          <w:rFonts w:asciiTheme="minorHAnsi" w:hAnsiTheme="minorHAnsi" w:cstheme="minorHAnsi"/>
          <w:b/>
          <w:sz w:val="28"/>
          <w:szCs w:val="28"/>
        </w:rPr>
        <w:t>09</w:t>
      </w:r>
    </w:p>
    <w:p w:rsidR="001233DE" w:rsidRPr="00146F43" w:rsidRDefault="001233DE" w:rsidP="001233DE">
      <w:pPr>
        <w:jc w:val="center"/>
        <w:rPr>
          <w:rFonts w:asciiTheme="minorHAnsi" w:hAnsiTheme="minorHAnsi"/>
          <w:b/>
          <w:sz w:val="28"/>
          <w:szCs w:val="28"/>
        </w:rPr>
      </w:pPr>
    </w:p>
    <w:p w:rsidR="00D94C75" w:rsidRDefault="0005674C" w:rsidP="00D94C75">
      <w:pPr>
        <w:autoSpaceDE w:val="0"/>
        <w:autoSpaceDN w:val="0"/>
        <w:adjustRightInd w:val="0"/>
        <w:jc w:val="center"/>
        <w:rPr>
          <w:rFonts w:asciiTheme="minorHAnsi" w:eastAsiaTheme="minorHAnsi" w:hAnsiTheme="minorHAnsi" w:cs="Garamond-Bold"/>
          <w:b/>
          <w:bCs/>
          <w:sz w:val="28"/>
          <w:szCs w:val="28"/>
          <w:lang w:eastAsia="en-US"/>
        </w:rPr>
      </w:pPr>
      <w:r>
        <w:rPr>
          <w:rFonts w:asciiTheme="minorHAnsi" w:eastAsiaTheme="minorHAnsi" w:hAnsiTheme="minorHAnsi" w:cs="Garamond-Bold"/>
          <w:b/>
          <w:bCs/>
          <w:sz w:val="28"/>
          <w:szCs w:val="28"/>
          <w:lang w:eastAsia="en-US"/>
        </w:rPr>
        <w:t xml:space="preserve">Progress report on the </w:t>
      </w:r>
      <w:r w:rsidR="00457E6A">
        <w:rPr>
          <w:rFonts w:asciiTheme="minorHAnsi" w:eastAsiaTheme="minorHAnsi" w:hAnsiTheme="minorHAnsi" w:cs="Garamond-Bold"/>
          <w:b/>
          <w:bCs/>
          <w:sz w:val="28"/>
          <w:szCs w:val="28"/>
          <w:lang w:eastAsia="en-US"/>
        </w:rPr>
        <w:t xml:space="preserve">development of the </w:t>
      </w:r>
      <w:r w:rsidR="00D03226">
        <w:rPr>
          <w:rFonts w:asciiTheme="minorHAnsi" w:eastAsiaTheme="minorHAnsi" w:hAnsiTheme="minorHAnsi" w:cs="Garamond-Bold"/>
          <w:b/>
          <w:bCs/>
          <w:sz w:val="28"/>
          <w:szCs w:val="28"/>
          <w:lang w:eastAsia="en-US"/>
        </w:rPr>
        <w:t>f</w:t>
      </w:r>
      <w:r w:rsidR="009E4C08">
        <w:rPr>
          <w:rFonts w:asciiTheme="minorHAnsi" w:eastAsiaTheme="minorHAnsi" w:hAnsiTheme="minorHAnsi" w:cs="Garamond-Bold"/>
          <w:b/>
          <w:bCs/>
          <w:sz w:val="28"/>
          <w:szCs w:val="28"/>
          <w:lang w:eastAsia="en-US"/>
        </w:rPr>
        <w:t xml:space="preserve">ormat </w:t>
      </w:r>
      <w:r>
        <w:rPr>
          <w:rFonts w:asciiTheme="minorHAnsi" w:eastAsiaTheme="minorHAnsi" w:hAnsiTheme="minorHAnsi" w:cs="Garamond-Bold"/>
          <w:b/>
          <w:bCs/>
          <w:sz w:val="28"/>
          <w:szCs w:val="28"/>
          <w:lang w:eastAsia="en-US"/>
        </w:rPr>
        <w:t>for National Reports to COP13</w:t>
      </w:r>
    </w:p>
    <w:p w:rsidR="00D94C75" w:rsidRPr="009E4C08" w:rsidRDefault="00D94C75" w:rsidP="00D94C75">
      <w:pPr>
        <w:autoSpaceDE w:val="0"/>
        <w:autoSpaceDN w:val="0"/>
        <w:adjustRightInd w:val="0"/>
        <w:jc w:val="center"/>
        <w:rPr>
          <w:rFonts w:asciiTheme="minorHAnsi" w:eastAsiaTheme="minorHAnsi" w:hAnsiTheme="minorHAnsi" w:cs="Garamond"/>
          <w:sz w:val="28"/>
          <w:szCs w:val="28"/>
          <w:lang w:eastAsia="en-US"/>
        </w:rPr>
      </w:pPr>
    </w:p>
    <w:p w:rsidR="00E7270C" w:rsidRPr="00BA6D1A" w:rsidRDefault="00C74B34" w:rsidP="00D94C75">
      <w:pPr>
        <w:autoSpaceDE w:val="0"/>
        <w:autoSpaceDN w:val="0"/>
        <w:adjustRightInd w:val="0"/>
        <w:jc w:val="center"/>
        <w:rPr>
          <w:rFonts w:asciiTheme="minorHAnsi" w:eastAsiaTheme="minorHAnsi" w:hAnsiTheme="minorHAnsi" w:cs="Garamond"/>
          <w:sz w:val="22"/>
          <w:szCs w:val="22"/>
          <w:lang w:eastAsia="en-US"/>
        </w:rPr>
      </w:pPr>
      <w:r>
        <w:rPr>
          <w:noProof/>
          <w:szCs w:val="20"/>
        </w:rPr>
        <mc:AlternateContent>
          <mc:Choice Requires="wps">
            <w:drawing>
              <wp:inline distT="0" distB="0" distL="0" distR="0" wp14:anchorId="1939949D" wp14:editId="5107021B">
                <wp:extent cx="5842635" cy="1023938"/>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23938"/>
                        </a:xfrm>
                        <a:prstGeom prst="rect">
                          <a:avLst/>
                        </a:prstGeom>
                        <a:solidFill>
                          <a:srgbClr val="FFFFFF"/>
                        </a:solidFill>
                        <a:ln w="9525">
                          <a:solidFill>
                            <a:srgbClr val="000000"/>
                          </a:solidFill>
                          <a:miter lim="800000"/>
                          <a:headEnd/>
                          <a:tailEnd/>
                        </a:ln>
                      </wps:spPr>
                      <wps:txbx>
                        <w:txbxContent>
                          <w:p w:rsidR="00E7270C" w:rsidRPr="00FC4460" w:rsidRDefault="00E7270C" w:rsidP="003D7081">
                            <w:pPr>
                              <w:rPr>
                                <w:rFonts w:ascii="Calibri" w:hAnsi="Calibri"/>
                                <w:b/>
                                <w:bCs/>
                                <w:sz w:val="22"/>
                                <w:szCs w:val="22"/>
                              </w:rPr>
                            </w:pPr>
                            <w:r w:rsidRPr="00FC4460">
                              <w:rPr>
                                <w:rFonts w:ascii="Calibri" w:hAnsi="Calibri"/>
                                <w:b/>
                                <w:bCs/>
                                <w:sz w:val="22"/>
                                <w:szCs w:val="22"/>
                              </w:rPr>
                              <w:t xml:space="preserve">Actions requested: </w:t>
                            </w:r>
                          </w:p>
                          <w:p w:rsidR="00837832" w:rsidRPr="00837832" w:rsidRDefault="0005674C" w:rsidP="003D7081">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w:t>
                            </w:r>
                            <w:r w:rsidR="006A4A76">
                              <w:rPr>
                                <w:rFonts w:asciiTheme="minorHAnsi" w:hAnsiTheme="minorHAnsi"/>
                                <w:sz w:val="22"/>
                                <w:szCs w:val="22"/>
                              </w:rPr>
                              <w:t xml:space="preserve">the </w:t>
                            </w:r>
                            <w:r>
                              <w:rPr>
                                <w:rFonts w:asciiTheme="minorHAnsi" w:hAnsiTheme="minorHAnsi"/>
                                <w:sz w:val="22"/>
                                <w:szCs w:val="22"/>
                              </w:rPr>
                              <w:t xml:space="preserve">actions </w:t>
                            </w:r>
                            <w:r w:rsidR="00E929EF">
                              <w:rPr>
                                <w:rFonts w:asciiTheme="minorHAnsi" w:hAnsiTheme="minorHAnsi"/>
                                <w:sz w:val="22"/>
                                <w:szCs w:val="22"/>
                              </w:rPr>
                              <w:t>a</w:t>
                            </w:r>
                            <w:r w:rsidR="006A4A76">
                              <w:rPr>
                                <w:rFonts w:asciiTheme="minorHAnsi" w:hAnsiTheme="minorHAnsi"/>
                                <w:sz w:val="22"/>
                                <w:szCs w:val="22"/>
                              </w:rPr>
                              <w:t xml:space="preserve">nd timeframe </w:t>
                            </w:r>
                            <w:r>
                              <w:rPr>
                                <w:rFonts w:asciiTheme="minorHAnsi" w:hAnsiTheme="minorHAnsi"/>
                                <w:sz w:val="22"/>
                                <w:szCs w:val="22"/>
                              </w:rPr>
                              <w:t xml:space="preserve">for the </w:t>
                            </w:r>
                            <w:r w:rsidR="00015F2A">
                              <w:rPr>
                                <w:rFonts w:asciiTheme="minorHAnsi" w:hAnsiTheme="minorHAnsi"/>
                                <w:sz w:val="22"/>
                                <w:szCs w:val="22"/>
                              </w:rPr>
                              <w:t>development</w:t>
                            </w:r>
                            <w:r>
                              <w:rPr>
                                <w:rFonts w:asciiTheme="minorHAnsi" w:hAnsiTheme="minorHAnsi"/>
                                <w:sz w:val="22"/>
                                <w:szCs w:val="22"/>
                              </w:rPr>
                              <w:t xml:space="preserve"> of</w:t>
                            </w:r>
                            <w:r w:rsidR="003D7081">
                              <w:rPr>
                                <w:rFonts w:asciiTheme="minorHAnsi" w:hAnsiTheme="minorHAnsi"/>
                                <w:sz w:val="22"/>
                                <w:szCs w:val="22"/>
                              </w:rPr>
                              <w:t xml:space="preserve"> the</w:t>
                            </w:r>
                            <w:r>
                              <w:rPr>
                                <w:rFonts w:asciiTheme="minorHAnsi" w:hAnsiTheme="minorHAnsi"/>
                                <w:sz w:val="22"/>
                                <w:szCs w:val="22"/>
                              </w:rPr>
                              <w:t xml:space="preserve"> COP13 </w:t>
                            </w:r>
                            <w:r w:rsidRPr="0005674C">
                              <w:rPr>
                                <w:rFonts w:asciiTheme="minorHAnsi" w:hAnsiTheme="minorHAnsi"/>
                                <w:sz w:val="22"/>
                                <w:szCs w:val="22"/>
                              </w:rPr>
                              <w:t xml:space="preserve">National Report </w:t>
                            </w:r>
                            <w:r w:rsidR="00A97E73">
                              <w:rPr>
                                <w:rFonts w:asciiTheme="minorHAnsi" w:hAnsiTheme="minorHAnsi"/>
                                <w:sz w:val="22"/>
                                <w:szCs w:val="22"/>
                              </w:rPr>
                              <w:t>F</w:t>
                            </w:r>
                            <w:r w:rsidR="00A97E73" w:rsidRPr="0005674C">
                              <w:rPr>
                                <w:rFonts w:asciiTheme="minorHAnsi" w:hAnsiTheme="minorHAnsi"/>
                                <w:sz w:val="22"/>
                                <w:szCs w:val="22"/>
                              </w:rPr>
                              <w:t>orm</w:t>
                            </w:r>
                            <w:r w:rsidR="00837832">
                              <w:rPr>
                                <w:rFonts w:asciiTheme="minorHAnsi" w:hAnsiTheme="minorHAnsi"/>
                                <w:sz w:val="22"/>
                                <w:szCs w:val="22"/>
                              </w:rPr>
                              <w:t xml:space="preserve">, </w:t>
                            </w:r>
                            <w:r w:rsidR="00596A96">
                              <w:rPr>
                                <w:rFonts w:asciiTheme="minorHAnsi" w:hAnsiTheme="minorHAnsi"/>
                                <w:sz w:val="22"/>
                                <w:szCs w:val="22"/>
                              </w:rPr>
                              <w:t>provide advice on</w:t>
                            </w:r>
                            <w:r w:rsidR="00E929EF" w:rsidRPr="003F7B34">
                              <w:rPr>
                                <w:rFonts w:asciiTheme="minorHAnsi" w:hAnsiTheme="minorHAnsi"/>
                                <w:sz w:val="22"/>
                                <w:szCs w:val="22"/>
                              </w:rPr>
                              <w:t xml:space="preserve"> the overall approach </w:t>
                            </w:r>
                            <w:r w:rsidR="003D7081">
                              <w:rPr>
                                <w:rFonts w:asciiTheme="minorHAnsi" w:hAnsiTheme="minorHAnsi"/>
                                <w:sz w:val="22"/>
                                <w:szCs w:val="22"/>
                              </w:rPr>
                              <w:t xml:space="preserve">to </w:t>
                            </w:r>
                            <w:r w:rsidR="00015F2A">
                              <w:rPr>
                                <w:rFonts w:asciiTheme="minorHAnsi" w:hAnsiTheme="minorHAnsi"/>
                                <w:sz w:val="22"/>
                                <w:szCs w:val="22"/>
                              </w:rPr>
                              <w:t xml:space="preserve">its </w:t>
                            </w:r>
                            <w:r w:rsidR="00E929EF">
                              <w:rPr>
                                <w:rFonts w:asciiTheme="minorHAnsi" w:hAnsiTheme="minorHAnsi"/>
                                <w:sz w:val="22"/>
                                <w:szCs w:val="22"/>
                              </w:rPr>
                              <w:t>development</w:t>
                            </w:r>
                            <w:r w:rsidR="003D7081">
                              <w:rPr>
                                <w:rFonts w:asciiTheme="minorHAnsi" w:hAnsiTheme="minorHAnsi"/>
                                <w:sz w:val="22"/>
                                <w:szCs w:val="22"/>
                              </w:rPr>
                              <w:t>,</w:t>
                            </w:r>
                            <w:r w:rsidR="00EC3AF4">
                              <w:rPr>
                                <w:rFonts w:asciiTheme="minorHAnsi" w:hAnsiTheme="minorHAnsi"/>
                                <w:sz w:val="22"/>
                                <w:szCs w:val="22"/>
                              </w:rPr>
                              <w:t xml:space="preserve"> </w:t>
                            </w:r>
                            <w:r w:rsidR="00015F2A">
                              <w:rPr>
                                <w:rFonts w:asciiTheme="minorHAnsi" w:hAnsiTheme="minorHAnsi"/>
                                <w:sz w:val="22"/>
                                <w:szCs w:val="22"/>
                              </w:rPr>
                              <w:t>a</w:t>
                            </w:r>
                            <w:r w:rsidR="00837832">
                              <w:rPr>
                                <w:rFonts w:asciiTheme="minorHAnsi" w:hAnsiTheme="minorHAnsi"/>
                                <w:sz w:val="22"/>
                                <w:szCs w:val="22"/>
                              </w:rPr>
                              <w:t xml:space="preserve">nd </w:t>
                            </w:r>
                            <w:r w:rsidR="00837832" w:rsidRPr="00837832">
                              <w:rPr>
                                <w:rFonts w:asciiTheme="minorHAnsi" w:hAnsiTheme="minorHAnsi"/>
                                <w:sz w:val="22"/>
                                <w:szCs w:val="22"/>
                              </w:rPr>
                              <w:t xml:space="preserve">request the Secretariat to prepare a draft </w:t>
                            </w:r>
                            <w:r w:rsidR="00596A96" w:rsidRPr="0005674C">
                              <w:rPr>
                                <w:rFonts w:asciiTheme="minorHAnsi" w:hAnsiTheme="minorHAnsi"/>
                                <w:sz w:val="22"/>
                                <w:szCs w:val="22"/>
                              </w:rPr>
                              <w:t xml:space="preserve">National Report </w:t>
                            </w:r>
                            <w:r w:rsidR="00596A96">
                              <w:rPr>
                                <w:rFonts w:asciiTheme="minorHAnsi" w:hAnsiTheme="minorHAnsi"/>
                                <w:sz w:val="22"/>
                                <w:szCs w:val="22"/>
                              </w:rPr>
                              <w:t>F</w:t>
                            </w:r>
                            <w:r w:rsidR="00596A96" w:rsidRPr="0005674C">
                              <w:rPr>
                                <w:rFonts w:asciiTheme="minorHAnsi" w:hAnsiTheme="minorHAnsi"/>
                                <w:sz w:val="22"/>
                                <w:szCs w:val="22"/>
                              </w:rPr>
                              <w:t>orm</w:t>
                            </w:r>
                            <w:r w:rsidR="00596A96" w:rsidRPr="00837832">
                              <w:rPr>
                                <w:rFonts w:asciiTheme="minorHAnsi" w:hAnsiTheme="minorHAnsi"/>
                                <w:sz w:val="22"/>
                                <w:szCs w:val="22"/>
                              </w:rPr>
                              <w:t xml:space="preserve"> </w:t>
                            </w:r>
                            <w:r w:rsidR="00596A96">
                              <w:rPr>
                                <w:rFonts w:asciiTheme="minorHAnsi" w:hAnsiTheme="minorHAnsi"/>
                                <w:sz w:val="22"/>
                                <w:szCs w:val="22"/>
                              </w:rPr>
                              <w:t xml:space="preserve">for </w:t>
                            </w:r>
                            <w:r w:rsidR="00837832" w:rsidRPr="00837832">
                              <w:rPr>
                                <w:rFonts w:asciiTheme="minorHAnsi" w:hAnsiTheme="minorHAnsi"/>
                                <w:sz w:val="22"/>
                                <w:szCs w:val="22"/>
                              </w:rPr>
                              <w:t>COP1</w:t>
                            </w:r>
                            <w:r w:rsidR="00837832">
                              <w:rPr>
                                <w:rFonts w:asciiTheme="minorHAnsi" w:hAnsiTheme="minorHAnsi"/>
                                <w:sz w:val="22"/>
                                <w:szCs w:val="22"/>
                              </w:rPr>
                              <w:t>3</w:t>
                            </w:r>
                            <w:r w:rsidR="00837832" w:rsidRPr="00837832">
                              <w:rPr>
                                <w:rFonts w:asciiTheme="minorHAnsi" w:hAnsiTheme="minorHAnsi"/>
                                <w:sz w:val="22"/>
                                <w:szCs w:val="22"/>
                              </w:rPr>
                              <w:t xml:space="preserve"> for consideration at its </w:t>
                            </w:r>
                            <w:r w:rsidR="009E4C08">
                              <w:rPr>
                                <w:rFonts w:asciiTheme="minorHAnsi" w:hAnsiTheme="minorHAnsi"/>
                                <w:sz w:val="22"/>
                                <w:szCs w:val="22"/>
                              </w:rPr>
                              <w:t>52</w:t>
                            </w:r>
                            <w:r w:rsidR="009E4C08">
                              <w:rPr>
                                <w:rFonts w:asciiTheme="minorHAnsi" w:hAnsiTheme="minorHAnsi"/>
                                <w:sz w:val="22"/>
                                <w:szCs w:val="22"/>
                                <w:vertAlign w:val="superscript"/>
                              </w:rPr>
                              <w:t>nd</w:t>
                            </w:r>
                            <w:r w:rsidR="009E4C08" w:rsidRPr="00837832">
                              <w:rPr>
                                <w:rFonts w:asciiTheme="minorHAnsi" w:hAnsiTheme="minorHAnsi"/>
                                <w:sz w:val="22"/>
                                <w:szCs w:val="22"/>
                              </w:rPr>
                              <w:t xml:space="preserve"> </w:t>
                            </w:r>
                            <w:r w:rsidR="00837832" w:rsidRPr="00837832">
                              <w:rPr>
                                <w:rFonts w:asciiTheme="minorHAnsi" w:hAnsiTheme="minorHAnsi"/>
                                <w:sz w:val="22"/>
                                <w:szCs w:val="22"/>
                              </w:rPr>
                              <w:t>meeting</w:t>
                            </w:r>
                            <w:r w:rsidR="00015F2A">
                              <w:rPr>
                                <w:rFonts w:asciiTheme="minorHAnsi" w:hAnsiTheme="minorHAnsi"/>
                                <w:sz w:val="22"/>
                                <w:szCs w:val="22"/>
                              </w:rPr>
                              <w:t>.</w:t>
                            </w:r>
                          </w:p>
                          <w:p w:rsidR="00694AC4" w:rsidRPr="0005674C" w:rsidRDefault="0005674C"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">
                <v:textbox>
                  <w:txbxContent>
                    <w:p w:rsidR="00E7270C" w:rsidRPr="00FC4460" w:rsidRDefault="00E7270C" w:rsidP="003D7081">
                      <w:pPr>
                        <w:rPr>
                          <w:rFonts w:ascii="Calibri" w:hAnsi="Calibri"/>
                          <w:b/>
                          <w:bCs/>
                          <w:sz w:val="22"/>
                          <w:szCs w:val="22"/>
                        </w:rPr>
                      </w:pPr>
                      <w:r w:rsidRPr="00FC4460">
                        <w:rPr>
                          <w:rFonts w:ascii="Calibri" w:hAnsi="Calibri"/>
                          <w:b/>
                          <w:bCs/>
                          <w:sz w:val="22"/>
                          <w:szCs w:val="22"/>
                        </w:rPr>
                        <w:t xml:space="preserve">Actions requested: </w:t>
                      </w:r>
                    </w:p>
                    <w:p w:rsidR="00837832" w:rsidRPr="00837832" w:rsidRDefault="0005674C" w:rsidP="003D7081">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w:t>
                      </w:r>
                      <w:r w:rsidR="006A4A76">
                        <w:rPr>
                          <w:rFonts w:asciiTheme="minorHAnsi" w:hAnsiTheme="minorHAnsi"/>
                          <w:sz w:val="22"/>
                          <w:szCs w:val="22"/>
                        </w:rPr>
                        <w:t xml:space="preserve">the </w:t>
                      </w:r>
                      <w:r>
                        <w:rPr>
                          <w:rFonts w:asciiTheme="minorHAnsi" w:hAnsiTheme="minorHAnsi"/>
                          <w:sz w:val="22"/>
                          <w:szCs w:val="22"/>
                        </w:rPr>
                        <w:t xml:space="preserve">actions </w:t>
                      </w:r>
                      <w:r w:rsidR="00E929EF">
                        <w:rPr>
                          <w:rFonts w:asciiTheme="minorHAnsi" w:hAnsiTheme="minorHAnsi"/>
                          <w:sz w:val="22"/>
                          <w:szCs w:val="22"/>
                        </w:rPr>
                        <w:t>a</w:t>
                      </w:r>
                      <w:r w:rsidR="006A4A76">
                        <w:rPr>
                          <w:rFonts w:asciiTheme="minorHAnsi" w:hAnsiTheme="minorHAnsi"/>
                          <w:sz w:val="22"/>
                          <w:szCs w:val="22"/>
                        </w:rPr>
                        <w:t xml:space="preserve">nd timeframe </w:t>
                      </w:r>
                      <w:r>
                        <w:rPr>
                          <w:rFonts w:asciiTheme="minorHAnsi" w:hAnsiTheme="minorHAnsi"/>
                          <w:sz w:val="22"/>
                          <w:szCs w:val="22"/>
                        </w:rPr>
                        <w:t xml:space="preserve">for the </w:t>
                      </w:r>
                      <w:r w:rsidR="00015F2A">
                        <w:rPr>
                          <w:rFonts w:asciiTheme="minorHAnsi" w:hAnsiTheme="minorHAnsi"/>
                          <w:sz w:val="22"/>
                          <w:szCs w:val="22"/>
                        </w:rPr>
                        <w:t>development</w:t>
                      </w:r>
                      <w:r>
                        <w:rPr>
                          <w:rFonts w:asciiTheme="minorHAnsi" w:hAnsiTheme="minorHAnsi"/>
                          <w:sz w:val="22"/>
                          <w:szCs w:val="22"/>
                        </w:rPr>
                        <w:t xml:space="preserve"> of</w:t>
                      </w:r>
                      <w:r w:rsidR="003D7081">
                        <w:rPr>
                          <w:rFonts w:asciiTheme="minorHAnsi" w:hAnsiTheme="minorHAnsi"/>
                          <w:sz w:val="22"/>
                          <w:szCs w:val="22"/>
                        </w:rPr>
                        <w:t xml:space="preserve"> the</w:t>
                      </w:r>
                      <w:r>
                        <w:rPr>
                          <w:rFonts w:asciiTheme="minorHAnsi" w:hAnsiTheme="minorHAnsi"/>
                          <w:sz w:val="22"/>
                          <w:szCs w:val="22"/>
                        </w:rPr>
                        <w:t xml:space="preserve"> COP13 </w:t>
                      </w:r>
                      <w:r w:rsidRPr="0005674C">
                        <w:rPr>
                          <w:rFonts w:asciiTheme="minorHAnsi" w:hAnsiTheme="minorHAnsi"/>
                          <w:sz w:val="22"/>
                          <w:szCs w:val="22"/>
                        </w:rPr>
                        <w:t xml:space="preserve">National Report </w:t>
                      </w:r>
                      <w:r w:rsidR="00A97E73">
                        <w:rPr>
                          <w:rFonts w:asciiTheme="minorHAnsi" w:hAnsiTheme="minorHAnsi"/>
                          <w:sz w:val="22"/>
                          <w:szCs w:val="22"/>
                        </w:rPr>
                        <w:t>F</w:t>
                      </w:r>
                      <w:r w:rsidR="00A97E73" w:rsidRPr="0005674C">
                        <w:rPr>
                          <w:rFonts w:asciiTheme="minorHAnsi" w:hAnsiTheme="minorHAnsi"/>
                          <w:sz w:val="22"/>
                          <w:szCs w:val="22"/>
                        </w:rPr>
                        <w:t>orm</w:t>
                      </w:r>
                      <w:r w:rsidR="00837832">
                        <w:rPr>
                          <w:rFonts w:asciiTheme="minorHAnsi" w:hAnsiTheme="minorHAnsi"/>
                          <w:sz w:val="22"/>
                          <w:szCs w:val="22"/>
                        </w:rPr>
                        <w:t xml:space="preserve">, </w:t>
                      </w:r>
                      <w:r w:rsidR="00596A96">
                        <w:rPr>
                          <w:rFonts w:asciiTheme="minorHAnsi" w:hAnsiTheme="minorHAnsi"/>
                          <w:sz w:val="22"/>
                          <w:szCs w:val="22"/>
                        </w:rPr>
                        <w:t>provide advice on</w:t>
                      </w:r>
                      <w:r w:rsidR="00E929EF" w:rsidRPr="003F7B34">
                        <w:rPr>
                          <w:rFonts w:asciiTheme="minorHAnsi" w:hAnsiTheme="minorHAnsi"/>
                          <w:sz w:val="22"/>
                          <w:szCs w:val="22"/>
                        </w:rPr>
                        <w:t xml:space="preserve"> the overall approach </w:t>
                      </w:r>
                      <w:r w:rsidR="003D7081">
                        <w:rPr>
                          <w:rFonts w:asciiTheme="minorHAnsi" w:hAnsiTheme="minorHAnsi"/>
                          <w:sz w:val="22"/>
                          <w:szCs w:val="22"/>
                        </w:rPr>
                        <w:t xml:space="preserve">to </w:t>
                      </w:r>
                      <w:r w:rsidR="00015F2A">
                        <w:rPr>
                          <w:rFonts w:asciiTheme="minorHAnsi" w:hAnsiTheme="minorHAnsi"/>
                          <w:sz w:val="22"/>
                          <w:szCs w:val="22"/>
                        </w:rPr>
                        <w:t xml:space="preserve">its </w:t>
                      </w:r>
                      <w:r w:rsidR="00E929EF">
                        <w:rPr>
                          <w:rFonts w:asciiTheme="minorHAnsi" w:hAnsiTheme="minorHAnsi"/>
                          <w:sz w:val="22"/>
                          <w:szCs w:val="22"/>
                        </w:rPr>
                        <w:t>development</w:t>
                      </w:r>
                      <w:r w:rsidR="003D7081">
                        <w:rPr>
                          <w:rFonts w:asciiTheme="minorHAnsi" w:hAnsiTheme="minorHAnsi"/>
                          <w:sz w:val="22"/>
                          <w:szCs w:val="22"/>
                        </w:rPr>
                        <w:t>,</w:t>
                      </w:r>
                      <w:r w:rsidR="00EC3AF4">
                        <w:rPr>
                          <w:rFonts w:asciiTheme="minorHAnsi" w:hAnsiTheme="minorHAnsi"/>
                          <w:sz w:val="22"/>
                          <w:szCs w:val="22"/>
                        </w:rPr>
                        <w:t xml:space="preserve"> </w:t>
                      </w:r>
                      <w:r w:rsidR="00015F2A">
                        <w:rPr>
                          <w:rFonts w:asciiTheme="minorHAnsi" w:hAnsiTheme="minorHAnsi"/>
                          <w:sz w:val="22"/>
                          <w:szCs w:val="22"/>
                        </w:rPr>
                        <w:t>a</w:t>
                      </w:r>
                      <w:r w:rsidR="00837832">
                        <w:rPr>
                          <w:rFonts w:asciiTheme="minorHAnsi" w:hAnsiTheme="minorHAnsi"/>
                          <w:sz w:val="22"/>
                          <w:szCs w:val="22"/>
                        </w:rPr>
                        <w:t xml:space="preserve">nd </w:t>
                      </w:r>
                      <w:r w:rsidR="00837832" w:rsidRPr="00837832">
                        <w:rPr>
                          <w:rFonts w:asciiTheme="minorHAnsi" w:hAnsiTheme="minorHAnsi"/>
                          <w:sz w:val="22"/>
                          <w:szCs w:val="22"/>
                        </w:rPr>
                        <w:t xml:space="preserve">request the Secretariat to prepare a draft </w:t>
                      </w:r>
                      <w:r w:rsidR="00596A96" w:rsidRPr="0005674C">
                        <w:rPr>
                          <w:rFonts w:asciiTheme="minorHAnsi" w:hAnsiTheme="minorHAnsi"/>
                          <w:sz w:val="22"/>
                          <w:szCs w:val="22"/>
                        </w:rPr>
                        <w:t xml:space="preserve">National Report </w:t>
                      </w:r>
                      <w:r w:rsidR="00596A96">
                        <w:rPr>
                          <w:rFonts w:asciiTheme="minorHAnsi" w:hAnsiTheme="minorHAnsi"/>
                          <w:sz w:val="22"/>
                          <w:szCs w:val="22"/>
                        </w:rPr>
                        <w:t>F</w:t>
                      </w:r>
                      <w:r w:rsidR="00596A96" w:rsidRPr="0005674C">
                        <w:rPr>
                          <w:rFonts w:asciiTheme="minorHAnsi" w:hAnsiTheme="minorHAnsi"/>
                          <w:sz w:val="22"/>
                          <w:szCs w:val="22"/>
                        </w:rPr>
                        <w:t>orm</w:t>
                      </w:r>
                      <w:r w:rsidR="00596A96" w:rsidRPr="00837832">
                        <w:rPr>
                          <w:rFonts w:asciiTheme="minorHAnsi" w:hAnsiTheme="minorHAnsi"/>
                          <w:sz w:val="22"/>
                          <w:szCs w:val="22"/>
                        </w:rPr>
                        <w:t xml:space="preserve"> </w:t>
                      </w:r>
                      <w:r w:rsidR="00596A96">
                        <w:rPr>
                          <w:rFonts w:asciiTheme="minorHAnsi" w:hAnsiTheme="minorHAnsi"/>
                          <w:sz w:val="22"/>
                          <w:szCs w:val="22"/>
                        </w:rPr>
                        <w:t xml:space="preserve">for </w:t>
                      </w:r>
                      <w:r w:rsidR="00837832" w:rsidRPr="00837832">
                        <w:rPr>
                          <w:rFonts w:asciiTheme="minorHAnsi" w:hAnsiTheme="minorHAnsi"/>
                          <w:sz w:val="22"/>
                          <w:szCs w:val="22"/>
                        </w:rPr>
                        <w:t>COP1</w:t>
                      </w:r>
                      <w:r w:rsidR="00837832">
                        <w:rPr>
                          <w:rFonts w:asciiTheme="minorHAnsi" w:hAnsiTheme="minorHAnsi"/>
                          <w:sz w:val="22"/>
                          <w:szCs w:val="22"/>
                        </w:rPr>
                        <w:t>3</w:t>
                      </w:r>
                      <w:r w:rsidR="00837832" w:rsidRPr="00837832">
                        <w:rPr>
                          <w:rFonts w:asciiTheme="minorHAnsi" w:hAnsiTheme="minorHAnsi"/>
                          <w:sz w:val="22"/>
                          <w:szCs w:val="22"/>
                        </w:rPr>
                        <w:t xml:space="preserve"> for consideration at its </w:t>
                      </w:r>
                      <w:r w:rsidR="009E4C08">
                        <w:rPr>
                          <w:rFonts w:asciiTheme="minorHAnsi" w:hAnsiTheme="minorHAnsi"/>
                          <w:sz w:val="22"/>
                          <w:szCs w:val="22"/>
                        </w:rPr>
                        <w:t>52</w:t>
                      </w:r>
                      <w:r w:rsidR="009E4C08">
                        <w:rPr>
                          <w:rFonts w:asciiTheme="minorHAnsi" w:hAnsiTheme="minorHAnsi"/>
                          <w:sz w:val="22"/>
                          <w:szCs w:val="22"/>
                          <w:vertAlign w:val="superscript"/>
                        </w:rPr>
                        <w:t>nd</w:t>
                      </w:r>
                      <w:r w:rsidR="009E4C08" w:rsidRPr="00837832">
                        <w:rPr>
                          <w:rFonts w:asciiTheme="minorHAnsi" w:hAnsiTheme="minorHAnsi"/>
                          <w:sz w:val="22"/>
                          <w:szCs w:val="22"/>
                        </w:rPr>
                        <w:t xml:space="preserve"> </w:t>
                      </w:r>
                      <w:r w:rsidR="00837832" w:rsidRPr="00837832">
                        <w:rPr>
                          <w:rFonts w:asciiTheme="minorHAnsi" w:hAnsiTheme="minorHAnsi"/>
                          <w:sz w:val="22"/>
                          <w:szCs w:val="22"/>
                        </w:rPr>
                        <w:t>meeting</w:t>
                      </w:r>
                      <w:r w:rsidR="00015F2A">
                        <w:rPr>
                          <w:rFonts w:asciiTheme="minorHAnsi" w:hAnsiTheme="minorHAnsi"/>
                          <w:sz w:val="22"/>
                          <w:szCs w:val="22"/>
                        </w:rPr>
                        <w:t>.</w:t>
                      </w:r>
                    </w:p>
                    <w:p w:rsidR="00694AC4" w:rsidRPr="0005674C" w:rsidRDefault="0005674C"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v:textbox>
                <w10:anchorlock/>
              </v:shape>
            </w:pict>
          </mc:Fallback>
        </mc:AlternateContent>
      </w:r>
    </w:p>
    <w:p w:rsidR="00D94C75" w:rsidRPr="006B6339" w:rsidRDefault="00D94C75" w:rsidP="00BA6D1A">
      <w:pPr>
        <w:autoSpaceDE w:val="0"/>
        <w:autoSpaceDN w:val="0"/>
        <w:adjustRightInd w:val="0"/>
        <w:jc w:val="center"/>
        <w:rPr>
          <w:rFonts w:asciiTheme="minorHAnsi" w:eastAsiaTheme="minorHAnsi" w:hAnsiTheme="minorHAnsi" w:cs="Calibri-Bold"/>
          <w:b/>
          <w:bCs/>
          <w:sz w:val="22"/>
          <w:szCs w:val="22"/>
          <w:lang w:eastAsia="en-US"/>
        </w:rPr>
      </w:pPr>
    </w:p>
    <w:p w:rsidR="00D94C75" w:rsidRDefault="00D94C75" w:rsidP="003D7081">
      <w:pPr>
        <w:autoSpaceDE w:val="0"/>
        <w:autoSpaceDN w:val="0"/>
        <w:adjustRightInd w:val="0"/>
        <w:rPr>
          <w:rFonts w:asciiTheme="minorHAnsi" w:eastAsiaTheme="minorHAnsi" w:hAnsiTheme="minorHAnsi" w:cs="Calibri-Bold"/>
          <w:b/>
          <w:bCs/>
          <w:sz w:val="22"/>
          <w:szCs w:val="22"/>
          <w:lang w:eastAsia="en-US"/>
        </w:rPr>
      </w:pPr>
      <w:r w:rsidRPr="006B6339">
        <w:rPr>
          <w:rFonts w:asciiTheme="minorHAnsi" w:eastAsiaTheme="minorHAnsi" w:hAnsiTheme="minorHAnsi" w:cs="Calibri-Bold"/>
          <w:b/>
          <w:bCs/>
          <w:sz w:val="22"/>
          <w:szCs w:val="22"/>
          <w:lang w:eastAsia="en-US"/>
        </w:rPr>
        <w:t xml:space="preserve">Background </w:t>
      </w:r>
    </w:p>
    <w:p w:rsidR="00BE5EAD" w:rsidRDefault="00BE5EAD" w:rsidP="003D7081">
      <w:pPr>
        <w:autoSpaceDE w:val="0"/>
        <w:autoSpaceDN w:val="0"/>
        <w:adjustRightInd w:val="0"/>
        <w:rPr>
          <w:rFonts w:asciiTheme="minorHAnsi" w:eastAsiaTheme="minorHAnsi" w:hAnsiTheme="minorHAnsi" w:cs="Calibri-Bold"/>
          <w:b/>
          <w:bCs/>
          <w:sz w:val="22"/>
          <w:szCs w:val="22"/>
          <w:lang w:eastAsia="en-US"/>
        </w:rPr>
      </w:pPr>
    </w:p>
    <w:p w:rsidR="00BE5EAD" w:rsidRPr="00B30085" w:rsidRDefault="00BE5EAD" w:rsidP="003D7081">
      <w:pPr>
        <w:pStyle w:val="ListParagraph"/>
        <w:numPr>
          <w:ilvl w:val="0"/>
          <w:numId w:val="19"/>
        </w:numPr>
        <w:autoSpaceDE w:val="0"/>
        <w:autoSpaceDN w:val="0"/>
        <w:adjustRightInd w:val="0"/>
        <w:ind w:left="426" w:hanging="426"/>
        <w:jc w:val="left"/>
        <w:rPr>
          <w:rFonts w:asciiTheme="minorHAnsi" w:hAnsiTheme="minorHAnsi"/>
        </w:rPr>
      </w:pPr>
      <w:r w:rsidRPr="00B30085">
        <w:rPr>
          <w:rFonts w:asciiTheme="minorHAnsi" w:hAnsiTheme="minorHAnsi"/>
        </w:rPr>
        <w:t xml:space="preserve">Following </w:t>
      </w:r>
      <w:r w:rsidR="00596A96">
        <w:rPr>
          <w:rFonts w:asciiTheme="minorHAnsi" w:hAnsiTheme="minorHAnsi"/>
        </w:rPr>
        <w:t xml:space="preserve">previous </w:t>
      </w:r>
      <w:r w:rsidRPr="00B30085">
        <w:rPr>
          <w:rFonts w:asciiTheme="minorHAnsi" w:hAnsiTheme="minorHAnsi"/>
        </w:rPr>
        <w:t>Standing Committee discussions during the 2013-2015 triennium, the National Report Form (NRF) for the 12</w:t>
      </w:r>
      <w:r w:rsidRPr="00B30085">
        <w:rPr>
          <w:rFonts w:asciiTheme="minorHAnsi" w:hAnsiTheme="minorHAnsi"/>
          <w:vertAlign w:val="superscript"/>
        </w:rPr>
        <w:t>th</w:t>
      </w:r>
      <w:r w:rsidRPr="00B30085">
        <w:rPr>
          <w:rFonts w:asciiTheme="minorHAnsi" w:hAnsiTheme="minorHAnsi"/>
        </w:rPr>
        <w:t xml:space="preserve"> meeting of the Conference of the Contracting Parties (COP12) was developed by the Secretariat, approved by Standing Committee, and issued to all Contracting Parties.</w:t>
      </w:r>
    </w:p>
    <w:p w:rsidR="00BE5EAD" w:rsidRDefault="00BE5EAD" w:rsidP="003D7081">
      <w:pPr>
        <w:autoSpaceDE w:val="0"/>
        <w:autoSpaceDN w:val="0"/>
        <w:adjustRightInd w:val="0"/>
        <w:ind w:left="426" w:hanging="426"/>
        <w:rPr>
          <w:rFonts w:asciiTheme="minorHAnsi" w:hAnsiTheme="minorHAnsi"/>
          <w:sz w:val="22"/>
          <w:szCs w:val="22"/>
        </w:rPr>
      </w:pPr>
    </w:p>
    <w:p w:rsidR="00BE5EAD" w:rsidRPr="00B30085" w:rsidRDefault="00BE5EAD" w:rsidP="003D7081">
      <w:pPr>
        <w:pStyle w:val="ListParagraph"/>
        <w:numPr>
          <w:ilvl w:val="0"/>
          <w:numId w:val="19"/>
        </w:numPr>
        <w:ind w:left="426" w:hanging="426"/>
        <w:jc w:val="left"/>
        <w:rPr>
          <w:rFonts w:asciiTheme="minorHAnsi" w:hAnsiTheme="minorHAnsi"/>
        </w:rPr>
      </w:pPr>
      <w:r w:rsidRPr="00B30085">
        <w:rPr>
          <w:rFonts w:asciiTheme="minorHAnsi" w:hAnsiTheme="minorHAnsi"/>
        </w:rPr>
        <w:t>COP1</w:t>
      </w:r>
      <w:r w:rsidR="00E26DD6" w:rsidRPr="00B30085">
        <w:rPr>
          <w:rFonts w:asciiTheme="minorHAnsi" w:hAnsiTheme="minorHAnsi"/>
        </w:rPr>
        <w:t>2</w:t>
      </w:r>
      <w:r w:rsidRPr="00B30085">
        <w:rPr>
          <w:rFonts w:asciiTheme="minorHAnsi" w:hAnsiTheme="minorHAnsi"/>
        </w:rPr>
        <w:t xml:space="preserve"> National Reports were received from 1</w:t>
      </w:r>
      <w:r w:rsidR="00FF5C21" w:rsidRPr="00B30085">
        <w:rPr>
          <w:rFonts w:asciiTheme="minorHAnsi" w:hAnsiTheme="minorHAnsi"/>
        </w:rPr>
        <w:t>46</w:t>
      </w:r>
      <w:r w:rsidRPr="00B30085">
        <w:rPr>
          <w:rFonts w:asciiTheme="minorHAnsi" w:hAnsiTheme="minorHAnsi"/>
        </w:rPr>
        <w:t xml:space="preserve"> Contracting Parties, of which 131 were received in sufficient time prior to COP1</w:t>
      </w:r>
      <w:r w:rsidR="003B050A" w:rsidRPr="00B30085">
        <w:rPr>
          <w:rFonts w:asciiTheme="minorHAnsi" w:hAnsiTheme="minorHAnsi"/>
        </w:rPr>
        <w:t>2</w:t>
      </w:r>
      <w:r w:rsidRPr="00B30085">
        <w:rPr>
          <w:rFonts w:asciiTheme="minorHAnsi" w:hAnsiTheme="minorHAnsi"/>
        </w:rPr>
        <w:t xml:space="preserve"> to be included in the global and regional analyses</w:t>
      </w:r>
      <w:r w:rsidR="003B050A" w:rsidRPr="00B30085">
        <w:rPr>
          <w:rFonts w:asciiTheme="minorHAnsi" w:hAnsiTheme="minorHAnsi"/>
        </w:rPr>
        <w:t xml:space="preserve"> and </w:t>
      </w:r>
      <w:r w:rsidR="009E4C08">
        <w:rPr>
          <w:rFonts w:asciiTheme="minorHAnsi" w:hAnsiTheme="minorHAnsi"/>
        </w:rPr>
        <w:t xml:space="preserve">in the </w:t>
      </w:r>
      <w:r w:rsidR="003B050A" w:rsidRPr="00B30085">
        <w:rPr>
          <w:rFonts w:asciiTheme="minorHAnsi" w:hAnsiTheme="minorHAnsi"/>
        </w:rPr>
        <w:t>overview of the implementation of the Convention’s CEPA Programme 2012-2015</w:t>
      </w:r>
      <w:r w:rsidR="00596A96">
        <w:rPr>
          <w:rFonts w:asciiTheme="minorHAnsi" w:hAnsiTheme="minorHAnsi"/>
        </w:rPr>
        <w:t>. All of these papers were</w:t>
      </w:r>
      <w:r w:rsidR="003B050A" w:rsidRPr="00B30085">
        <w:rPr>
          <w:rFonts w:asciiTheme="minorHAnsi" w:hAnsiTheme="minorHAnsi"/>
        </w:rPr>
        <w:t xml:space="preserve"> </w:t>
      </w:r>
      <w:r w:rsidRPr="00B30085">
        <w:rPr>
          <w:rFonts w:asciiTheme="minorHAnsi" w:hAnsiTheme="minorHAnsi"/>
        </w:rPr>
        <w:t xml:space="preserve">submitted to the COP as Information Papers. This </w:t>
      </w:r>
      <w:r w:rsidR="00596A96">
        <w:rPr>
          <w:rFonts w:asciiTheme="minorHAnsi" w:hAnsiTheme="minorHAnsi"/>
        </w:rPr>
        <w:t xml:space="preserve">level of reporting demonstrates </w:t>
      </w:r>
      <w:r w:rsidR="003B050A" w:rsidRPr="00B30085">
        <w:rPr>
          <w:rFonts w:asciiTheme="minorHAnsi" w:hAnsiTheme="minorHAnsi"/>
        </w:rPr>
        <w:t xml:space="preserve">the commitment of Parties to providing up-to-date information on their implementation of the Convention. </w:t>
      </w:r>
    </w:p>
    <w:p w:rsidR="00BE5EAD" w:rsidRDefault="00BE5EAD" w:rsidP="003D7081">
      <w:pPr>
        <w:ind w:left="426" w:hanging="426"/>
        <w:rPr>
          <w:rFonts w:ascii="Garamond" w:hAnsi="Garamond"/>
        </w:rPr>
      </w:pPr>
    </w:p>
    <w:p w:rsidR="00BE5EAD" w:rsidRPr="00B30085" w:rsidRDefault="00BE5EAD" w:rsidP="003D7081">
      <w:pPr>
        <w:pStyle w:val="ListParagraph"/>
        <w:numPr>
          <w:ilvl w:val="0"/>
          <w:numId w:val="19"/>
        </w:numPr>
        <w:ind w:left="426" w:hanging="426"/>
        <w:jc w:val="left"/>
        <w:rPr>
          <w:rFonts w:asciiTheme="minorHAnsi" w:hAnsiTheme="minorHAnsi"/>
        </w:rPr>
      </w:pPr>
      <w:r w:rsidRPr="00B30085">
        <w:rPr>
          <w:rFonts w:asciiTheme="minorHAnsi" w:hAnsiTheme="minorHAnsi"/>
        </w:rPr>
        <w:t>The Secretariat now holds National Report information from COP8, COP9</w:t>
      </w:r>
      <w:r w:rsidR="00E26DD6" w:rsidRPr="00B30085">
        <w:rPr>
          <w:rFonts w:asciiTheme="minorHAnsi" w:hAnsiTheme="minorHAnsi"/>
        </w:rPr>
        <w:t>,</w:t>
      </w:r>
      <w:r w:rsidRPr="00B30085">
        <w:rPr>
          <w:rFonts w:asciiTheme="minorHAnsi" w:hAnsiTheme="minorHAnsi"/>
        </w:rPr>
        <w:t xml:space="preserve"> COP10</w:t>
      </w:r>
      <w:r w:rsidR="00E26DD6" w:rsidRPr="00B30085">
        <w:rPr>
          <w:rFonts w:asciiTheme="minorHAnsi" w:hAnsiTheme="minorHAnsi"/>
        </w:rPr>
        <w:t>, COP11 and COP12</w:t>
      </w:r>
      <w:r w:rsidRPr="00B30085">
        <w:rPr>
          <w:rFonts w:asciiTheme="minorHAnsi" w:hAnsiTheme="minorHAnsi"/>
        </w:rPr>
        <w:t xml:space="preserve"> National Reports</w:t>
      </w:r>
      <w:r w:rsidR="003D7081">
        <w:rPr>
          <w:rFonts w:asciiTheme="minorHAnsi" w:hAnsiTheme="minorHAnsi"/>
        </w:rPr>
        <w:t>,</w:t>
      </w:r>
      <w:r w:rsidRPr="00B30085">
        <w:rPr>
          <w:rFonts w:asciiTheme="minorHAnsi" w:hAnsiTheme="minorHAnsi"/>
        </w:rPr>
        <w:t xml:space="preserve"> in databases which permit</w:t>
      </w:r>
      <w:r w:rsidR="00596A96">
        <w:rPr>
          <w:rFonts w:asciiTheme="minorHAnsi" w:hAnsiTheme="minorHAnsi"/>
        </w:rPr>
        <w:t xml:space="preserve"> an</w:t>
      </w:r>
      <w:r w:rsidRPr="00B30085">
        <w:rPr>
          <w:rFonts w:asciiTheme="minorHAnsi" w:hAnsiTheme="minorHAnsi"/>
        </w:rPr>
        <w:t xml:space="preserve"> </w:t>
      </w:r>
      <w:r w:rsidR="003D7081" w:rsidRPr="00B30085">
        <w:rPr>
          <w:rFonts w:asciiTheme="minorHAnsi" w:hAnsiTheme="minorHAnsi"/>
        </w:rPr>
        <w:t>analys</w:t>
      </w:r>
      <w:r w:rsidR="003D7081">
        <w:rPr>
          <w:rFonts w:asciiTheme="minorHAnsi" w:hAnsiTheme="minorHAnsi"/>
        </w:rPr>
        <w:t>i</w:t>
      </w:r>
      <w:r w:rsidR="003D7081" w:rsidRPr="00B30085">
        <w:rPr>
          <w:rFonts w:asciiTheme="minorHAnsi" w:hAnsiTheme="minorHAnsi"/>
        </w:rPr>
        <w:t xml:space="preserve">s </w:t>
      </w:r>
      <w:r w:rsidRPr="00B30085">
        <w:rPr>
          <w:rFonts w:asciiTheme="minorHAnsi" w:hAnsiTheme="minorHAnsi"/>
        </w:rPr>
        <w:t>of trends in implementation over time</w:t>
      </w:r>
      <w:r w:rsidR="003D7081">
        <w:rPr>
          <w:rFonts w:asciiTheme="minorHAnsi" w:hAnsiTheme="minorHAnsi"/>
        </w:rPr>
        <w:t>,</w:t>
      </w:r>
      <w:r w:rsidRPr="00B30085">
        <w:rPr>
          <w:rFonts w:asciiTheme="minorHAnsi" w:hAnsiTheme="minorHAnsi"/>
        </w:rPr>
        <w:t xml:space="preserve"> </w:t>
      </w:r>
      <w:r w:rsidR="003D7081">
        <w:rPr>
          <w:rFonts w:asciiTheme="minorHAnsi" w:hAnsiTheme="minorHAnsi"/>
        </w:rPr>
        <w:t xml:space="preserve">from the </w:t>
      </w:r>
      <w:r w:rsidRPr="00B30085">
        <w:rPr>
          <w:rFonts w:asciiTheme="minorHAnsi" w:hAnsiTheme="minorHAnsi"/>
        </w:rPr>
        <w:t>2002-2005</w:t>
      </w:r>
      <w:r w:rsidR="003B050A" w:rsidRPr="00B30085">
        <w:rPr>
          <w:rFonts w:asciiTheme="minorHAnsi" w:hAnsiTheme="minorHAnsi"/>
        </w:rPr>
        <w:t xml:space="preserve"> </w:t>
      </w:r>
      <w:r w:rsidR="003D7081">
        <w:rPr>
          <w:rFonts w:asciiTheme="minorHAnsi" w:hAnsiTheme="minorHAnsi"/>
        </w:rPr>
        <w:t xml:space="preserve">triennium </w:t>
      </w:r>
      <w:r w:rsidR="003B050A" w:rsidRPr="00B30085">
        <w:rPr>
          <w:rFonts w:asciiTheme="minorHAnsi" w:hAnsiTheme="minorHAnsi"/>
        </w:rPr>
        <w:t>to 2012-2015</w:t>
      </w:r>
      <w:r w:rsidRPr="00B30085">
        <w:rPr>
          <w:rFonts w:asciiTheme="minorHAnsi" w:hAnsiTheme="minorHAnsi"/>
        </w:rPr>
        <w:t>.</w:t>
      </w:r>
    </w:p>
    <w:p w:rsidR="00BE5EAD" w:rsidRPr="00E26DD6" w:rsidRDefault="00BE5EAD" w:rsidP="003D7081">
      <w:pPr>
        <w:ind w:left="426" w:hanging="426"/>
        <w:rPr>
          <w:rFonts w:asciiTheme="minorHAnsi" w:hAnsiTheme="minorHAnsi"/>
          <w:sz w:val="22"/>
          <w:szCs w:val="22"/>
        </w:rPr>
      </w:pPr>
    </w:p>
    <w:p w:rsidR="00E26DD6" w:rsidRPr="00B30085" w:rsidRDefault="00E26DD6" w:rsidP="003D7081">
      <w:pPr>
        <w:pStyle w:val="ListParagraph"/>
        <w:numPr>
          <w:ilvl w:val="0"/>
          <w:numId w:val="19"/>
        </w:numPr>
        <w:ind w:left="426" w:hanging="426"/>
        <w:jc w:val="left"/>
        <w:rPr>
          <w:rFonts w:asciiTheme="minorHAnsi" w:hAnsiTheme="minorHAnsi"/>
        </w:rPr>
      </w:pPr>
      <w:bookmarkStart w:id="0" w:name="_GoBack"/>
      <w:r w:rsidRPr="00B30085">
        <w:rPr>
          <w:rFonts w:asciiTheme="minorHAnsi" w:hAnsiTheme="minorHAnsi"/>
        </w:rPr>
        <w:t xml:space="preserve">The </w:t>
      </w:r>
      <w:r w:rsidR="003F1DA1">
        <w:rPr>
          <w:rFonts w:asciiTheme="minorHAnsi" w:hAnsiTheme="minorHAnsi"/>
        </w:rPr>
        <w:t xml:space="preserve">COP12 </w:t>
      </w:r>
      <w:bookmarkEnd w:id="0"/>
      <w:r w:rsidRPr="00B30085">
        <w:rPr>
          <w:rFonts w:asciiTheme="minorHAnsi" w:hAnsiTheme="minorHAnsi"/>
        </w:rPr>
        <w:t>NRF information is also importantly a key data source for the STRP in its work assessing the indicators of the effectiveness of the implementation of the Convention</w:t>
      </w:r>
      <w:r w:rsidR="00A6690C" w:rsidRPr="00B30085">
        <w:rPr>
          <w:rFonts w:asciiTheme="minorHAnsi" w:hAnsiTheme="minorHAnsi"/>
        </w:rPr>
        <w:t>.</w:t>
      </w:r>
    </w:p>
    <w:p w:rsidR="00E26DD6" w:rsidRPr="00FF5C21" w:rsidRDefault="00E26DD6" w:rsidP="003D7081">
      <w:pPr>
        <w:ind w:left="426" w:hanging="426"/>
        <w:rPr>
          <w:rFonts w:asciiTheme="minorHAnsi" w:hAnsiTheme="minorHAnsi"/>
          <w:sz w:val="22"/>
          <w:szCs w:val="22"/>
        </w:rPr>
      </w:pPr>
    </w:p>
    <w:p w:rsidR="00E26DD6" w:rsidRPr="00B30085" w:rsidRDefault="00E26DD6" w:rsidP="003D7081">
      <w:pPr>
        <w:pStyle w:val="ListParagraph"/>
        <w:numPr>
          <w:ilvl w:val="0"/>
          <w:numId w:val="19"/>
        </w:numPr>
        <w:ind w:left="426" w:hanging="426"/>
        <w:jc w:val="left"/>
        <w:rPr>
          <w:rFonts w:asciiTheme="minorHAnsi" w:hAnsiTheme="minorHAnsi"/>
        </w:rPr>
      </w:pPr>
      <w:r w:rsidRPr="00B30085">
        <w:rPr>
          <w:rFonts w:asciiTheme="minorHAnsi" w:hAnsiTheme="minorHAnsi"/>
        </w:rPr>
        <w:t xml:space="preserve">In addition, under the </w:t>
      </w:r>
      <w:r w:rsidR="00FF5C21" w:rsidRPr="00B30085">
        <w:rPr>
          <w:rFonts w:asciiTheme="minorHAnsi" w:hAnsiTheme="minorHAnsi"/>
        </w:rPr>
        <w:t>5</w:t>
      </w:r>
      <w:r w:rsidRPr="00B30085">
        <w:rPr>
          <w:rFonts w:asciiTheme="minorHAnsi" w:hAnsiTheme="minorHAnsi"/>
          <w:vertAlign w:val="superscript"/>
        </w:rPr>
        <w:t>th</w:t>
      </w:r>
      <w:r w:rsidRPr="00B30085">
        <w:rPr>
          <w:rFonts w:asciiTheme="minorHAnsi" w:hAnsiTheme="minorHAnsi"/>
        </w:rPr>
        <w:t xml:space="preserve"> </w:t>
      </w:r>
      <w:r w:rsidR="005A66E2" w:rsidRPr="00B30085">
        <w:rPr>
          <w:rFonts w:asciiTheme="minorHAnsi" w:hAnsiTheme="minorHAnsi"/>
        </w:rPr>
        <w:t>Joint Work Plan</w:t>
      </w:r>
      <w:r w:rsidR="005A66E2">
        <w:rPr>
          <w:rFonts w:asciiTheme="minorHAnsi" w:hAnsiTheme="minorHAnsi"/>
        </w:rPr>
        <w:t xml:space="preserve"> of the</w:t>
      </w:r>
      <w:r w:rsidR="005A66E2" w:rsidRPr="00B30085">
        <w:rPr>
          <w:rFonts w:asciiTheme="minorHAnsi" w:hAnsiTheme="minorHAnsi"/>
        </w:rPr>
        <w:t xml:space="preserve"> Convention on Biological Diversity</w:t>
      </w:r>
      <w:r w:rsidR="005A66E2">
        <w:rPr>
          <w:rFonts w:asciiTheme="minorHAnsi" w:hAnsiTheme="minorHAnsi"/>
        </w:rPr>
        <w:t xml:space="preserve"> and </w:t>
      </w:r>
      <w:r w:rsidRPr="00B30085">
        <w:rPr>
          <w:rFonts w:asciiTheme="minorHAnsi" w:hAnsiTheme="minorHAnsi"/>
        </w:rPr>
        <w:t>Ramsar</w:t>
      </w:r>
      <w:r w:rsidR="005A66E2">
        <w:rPr>
          <w:rFonts w:asciiTheme="minorHAnsi" w:hAnsiTheme="minorHAnsi"/>
        </w:rPr>
        <w:t>,</w:t>
      </w:r>
      <w:r w:rsidRPr="00B30085">
        <w:rPr>
          <w:rFonts w:asciiTheme="minorHAnsi" w:hAnsiTheme="minorHAnsi"/>
        </w:rPr>
        <w:t xml:space="preserve"> and Ramsar’s lead implementation role for wetlands for the</w:t>
      </w:r>
      <w:r w:rsidR="005A66E2">
        <w:rPr>
          <w:rFonts w:asciiTheme="minorHAnsi" w:hAnsiTheme="minorHAnsi"/>
        </w:rPr>
        <w:t xml:space="preserve"> CBD</w:t>
      </w:r>
      <w:r w:rsidRPr="00B30085">
        <w:rPr>
          <w:rFonts w:asciiTheme="minorHAnsi" w:hAnsiTheme="minorHAnsi"/>
        </w:rPr>
        <w:t>, the COP1</w:t>
      </w:r>
      <w:r w:rsidR="00FF5C21" w:rsidRPr="00B30085">
        <w:rPr>
          <w:rFonts w:asciiTheme="minorHAnsi" w:hAnsiTheme="minorHAnsi"/>
        </w:rPr>
        <w:t>2</w:t>
      </w:r>
      <w:r w:rsidRPr="00B30085">
        <w:rPr>
          <w:rFonts w:asciiTheme="minorHAnsi" w:hAnsiTheme="minorHAnsi"/>
        </w:rPr>
        <w:t xml:space="preserve"> NRF indicators are a key source of information to assess and report to the </w:t>
      </w:r>
      <w:r w:rsidR="005A66E2">
        <w:rPr>
          <w:rFonts w:asciiTheme="minorHAnsi" w:hAnsiTheme="minorHAnsi"/>
        </w:rPr>
        <w:t>CBD</w:t>
      </w:r>
      <w:r w:rsidRPr="00B30085">
        <w:rPr>
          <w:rFonts w:asciiTheme="minorHAnsi" w:hAnsiTheme="minorHAnsi"/>
        </w:rPr>
        <w:t xml:space="preserve"> on the Biological Diversity of Inland Waters.</w:t>
      </w:r>
    </w:p>
    <w:p w:rsidR="00BE5EAD" w:rsidRDefault="00BE5EAD" w:rsidP="003D7081">
      <w:pPr>
        <w:autoSpaceDE w:val="0"/>
        <w:autoSpaceDN w:val="0"/>
        <w:adjustRightInd w:val="0"/>
        <w:rPr>
          <w:rFonts w:asciiTheme="minorHAnsi" w:hAnsiTheme="minorHAnsi"/>
          <w:sz w:val="22"/>
          <w:szCs w:val="22"/>
        </w:rPr>
      </w:pPr>
    </w:p>
    <w:p w:rsidR="00FE3C74" w:rsidRPr="00D12244" w:rsidRDefault="00D12244" w:rsidP="003D7081">
      <w:pPr>
        <w:ind w:left="720" w:hanging="720"/>
        <w:rPr>
          <w:rFonts w:asciiTheme="minorHAnsi" w:hAnsiTheme="minorHAnsi"/>
          <w:b/>
          <w:sz w:val="22"/>
          <w:szCs w:val="22"/>
        </w:rPr>
      </w:pPr>
      <w:r>
        <w:rPr>
          <w:rFonts w:asciiTheme="minorHAnsi" w:hAnsiTheme="minorHAnsi"/>
          <w:b/>
          <w:sz w:val="22"/>
          <w:szCs w:val="22"/>
        </w:rPr>
        <w:t xml:space="preserve">Consideration </w:t>
      </w:r>
      <w:r w:rsidR="00FE3C74" w:rsidRPr="00D12244">
        <w:rPr>
          <w:rFonts w:asciiTheme="minorHAnsi" w:hAnsiTheme="minorHAnsi"/>
          <w:b/>
          <w:sz w:val="22"/>
          <w:szCs w:val="22"/>
        </w:rPr>
        <w:t>and timings for developing a National Report Form for COP1</w:t>
      </w:r>
      <w:r w:rsidR="00A46E45" w:rsidRPr="00D12244">
        <w:rPr>
          <w:rFonts w:asciiTheme="minorHAnsi" w:hAnsiTheme="minorHAnsi"/>
          <w:b/>
          <w:sz w:val="22"/>
          <w:szCs w:val="22"/>
        </w:rPr>
        <w:t>3</w:t>
      </w:r>
    </w:p>
    <w:p w:rsidR="00A46E45" w:rsidRPr="00D12244" w:rsidRDefault="00A46E45" w:rsidP="003D7081">
      <w:pPr>
        <w:ind w:left="720" w:hanging="720"/>
        <w:rPr>
          <w:rFonts w:asciiTheme="minorHAnsi" w:hAnsiTheme="minorHAnsi"/>
          <w:b/>
          <w:sz w:val="22"/>
          <w:szCs w:val="22"/>
        </w:rPr>
      </w:pPr>
    </w:p>
    <w:p w:rsidR="00A46E45" w:rsidRPr="005153CF" w:rsidRDefault="005A66E2" w:rsidP="005A66E2">
      <w:pPr>
        <w:pStyle w:val="ListParagraph"/>
        <w:numPr>
          <w:ilvl w:val="0"/>
          <w:numId w:val="19"/>
        </w:numPr>
        <w:ind w:left="426" w:hanging="426"/>
        <w:jc w:val="left"/>
        <w:rPr>
          <w:rFonts w:asciiTheme="minorHAnsi" w:hAnsiTheme="minorHAnsi"/>
          <w:b/>
        </w:rPr>
      </w:pPr>
      <w:r>
        <w:rPr>
          <w:rFonts w:asciiTheme="minorHAnsi" w:hAnsiTheme="minorHAnsi"/>
        </w:rPr>
        <w:t xml:space="preserve">In </w:t>
      </w:r>
      <w:r w:rsidRPr="005153CF">
        <w:rPr>
          <w:rFonts w:asciiTheme="minorHAnsi" w:hAnsiTheme="minorHAnsi"/>
        </w:rPr>
        <w:t xml:space="preserve">Resolution XII.2 </w:t>
      </w:r>
      <w:r w:rsidRPr="005A66E2">
        <w:rPr>
          <w:rFonts w:asciiTheme="minorHAnsi" w:hAnsiTheme="minorHAnsi"/>
          <w:i/>
        </w:rPr>
        <w:t>The Ramsar Strategic Plan 2016-2024</w:t>
      </w:r>
      <w:r>
        <w:rPr>
          <w:rFonts w:asciiTheme="minorHAnsi" w:hAnsiTheme="minorHAnsi"/>
        </w:rPr>
        <w:t>, the Contracting Parties at COP12</w:t>
      </w:r>
      <w:r w:rsidR="00657000" w:rsidRPr="005153CF">
        <w:rPr>
          <w:rFonts w:asciiTheme="minorHAnsi" w:hAnsiTheme="minorHAnsi"/>
        </w:rPr>
        <w:t xml:space="preserve"> </w:t>
      </w:r>
      <w:r w:rsidR="00AB7590" w:rsidRPr="005153CF">
        <w:rPr>
          <w:rFonts w:ascii="Calibri" w:hAnsi="Calibri"/>
          <w:bCs/>
          <w:lang w:val="en-US"/>
        </w:rPr>
        <w:t>request</w:t>
      </w:r>
      <w:r>
        <w:rPr>
          <w:rFonts w:ascii="Calibri" w:hAnsi="Calibri"/>
          <w:bCs/>
          <w:lang w:val="en-US"/>
        </w:rPr>
        <w:t>ed</w:t>
      </w:r>
      <w:r w:rsidR="00AB7590" w:rsidRPr="005153CF">
        <w:rPr>
          <w:rFonts w:ascii="Calibri" w:hAnsi="Calibri"/>
          <w:bCs/>
          <w:lang w:val="en-US"/>
        </w:rPr>
        <w:t xml:space="preserve"> </w:t>
      </w:r>
      <w:r w:rsidR="00A46E45" w:rsidRPr="005153CF">
        <w:rPr>
          <w:rFonts w:ascii="Calibri" w:hAnsi="Calibri"/>
        </w:rPr>
        <w:t xml:space="preserve">the Secretariat and the Standing Committee to develop the COP13 National Report </w:t>
      </w:r>
      <w:r w:rsidR="00D03226">
        <w:rPr>
          <w:rFonts w:ascii="Calibri" w:hAnsi="Calibri"/>
        </w:rPr>
        <w:t>f</w:t>
      </w:r>
      <w:r w:rsidR="00D03226">
        <w:rPr>
          <w:rFonts w:ascii="Calibri" w:hAnsi="Calibri"/>
        </w:rPr>
        <w:t>ormat</w:t>
      </w:r>
      <w:r w:rsidR="00D03226" w:rsidRPr="005153CF">
        <w:rPr>
          <w:rFonts w:ascii="Calibri" w:hAnsi="Calibri"/>
        </w:rPr>
        <w:t xml:space="preserve"> </w:t>
      </w:r>
      <w:r w:rsidR="00A46E45" w:rsidRPr="005153CF">
        <w:rPr>
          <w:rFonts w:ascii="Calibri" w:hAnsi="Calibri"/>
        </w:rPr>
        <w:t>to provide a more user-friendly instrument that reflects the goals and targets of the new Ramsar Strategic Plan, for consideration at the 51</w:t>
      </w:r>
      <w:r w:rsidR="00A46E45" w:rsidRPr="005153CF">
        <w:rPr>
          <w:rFonts w:ascii="Calibri" w:hAnsi="Calibri"/>
          <w:vertAlign w:val="superscript"/>
        </w:rPr>
        <w:t>st</w:t>
      </w:r>
      <w:r w:rsidR="00A46E45" w:rsidRPr="005153CF">
        <w:rPr>
          <w:rFonts w:ascii="Calibri" w:hAnsi="Calibri"/>
        </w:rPr>
        <w:t xml:space="preserve"> Meeting of the Standing Committee (SC51)</w:t>
      </w:r>
      <w:r w:rsidR="00954E10" w:rsidRPr="005153CF">
        <w:rPr>
          <w:rFonts w:ascii="Calibri" w:hAnsi="Calibri"/>
        </w:rPr>
        <w:t>.</w:t>
      </w:r>
    </w:p>
    <w:p w:rsidR="00FE3C74" w:rsidRDefault="00FE3C74" w:rsidP="003D7081">
      <w:pPr>
        <w:ind w:left="426" w:hanging="426"/>
        <w:rPr>
          <w:rFonts w:asciiTheme="minorHAnsi" w:hAnsiTheme="minorHAnsi"/>
          <w:b/>
          <w:sz w:val="22"/>
          <w:szCs w:val="22"/>
          <w:highlight w:val="yellow"/>
        </w:rPr>
      </w:pPr>
    </w:p>
    <w:p w:rsidR="00FE3C74" w:rsidRPr="00B30085" w:rsidRDefault="00954E10" w:rsidP="003D7081">
      <w:pPr>
        <w:pStyle w:val="ListParagraph"/>
        <w:numPr>
          <w:ilvl w:val="0"/>
          <w:numId w:val="19"/>
        </w:numPr>
        <w:ind w:left="426" w:hanging="426"/>
        <w:jc w:val="left"/>
        <w:rPr>
          <w:rFonts w:asciiTheme="minorHAnsi" w:hAnsiTheme="minorHAnsi"/>
        </w:rPr>
      </w:pPr>
      <w:r w:rsidRPr="00B30085">
        <w:rPr>
          <w:rFonts w:asciiTheme="minorHAnsi" w:hAnsiTheme="minorHAnsi"/>
        </w:rPr>
        <w:lastRenderedPageBreak/>
        <w:t>T</w:t>
      </w:r>
      <w:r w:rsidR="00FE3C74" w:rsidRPr="00B30085">
        <w:rPr>
          <w:rFonts w:asciiTheme="minorHAnsi" w:hAnsiTheme="minorHAnsi"/>
        </w:rPr>
        <w:t>he COP1</w:t>
      </w:r>
      <w:r w:rsidRPr="00B30085">
        <w:rPr>
          <w:rFonts w:asciiTheme="minorHAnsi" w:hAnsiTheme="minorHAnsi"/>
        </w:rPr>
        <w:t>3</w:t>
      </w:r>
      <w:r w:rsidR="00FE3C74" w:rsidRPr="00B30085">
        <w:rPr>
          <w:rFonts w:asciiTheme="minorHAnsi" w:hAnsiTheme="minorHAnsi"/>
        </w:rPr>
        <w:t xml:space="preserve"> NRF will need to be developed and approved by the Standing Committee considerably in advance so that it can be issued to the Parties with sufficient time for them to complete and submit their reports for analysis prior to COP1</w:t>
      </w:r>
      <w:r w:rsidRPr="00B30085">
        <w:rPr>
          <w:rFonts w:asciiTheme="minorHAnsi" w:hAnsiTheme="minorHAnsi"/>
        </w:rPr>
        <w:t>3</w:t>
      </w:r>
      <w:r w:rsidR="00FE3C74" w:rsidRPr="00B30085">
        <w:rPr>
          <w:rFonts w:asciiTheme="minorHAnsi" w:hAnsiTheme="minorHAnsi"/>
        </w:rPr>
        <w:t>.</w:t>
      </w:r>
    </w:p>
    <w:p w:rsidR="00FE3C74" w:rsidRPr="00A46E45" w:rsidRDefault="00FE3C74" w:rsidP="003D7081">
      <w:pPr>
        <w:ind w:left="426" w:hanging="426"/>
        <w:rPr>
          <w:rFonts w:asciiTheme="minorHAnsi" w:hAnsiTheme="minorHAnsi"/>
          <w:sz w:val="22"/>
          <w:szCs w:val="22"/>
          <w:highlight w:val="yellow"/>
        </w:rPr>
      </w:pPr>
    </w:p>
    <w:p w:rsidR="00DF1E83" w:rsidRPr="00B30085" w:rsidRDefault="00DF1E83" w:rsidP="003D7081">
      <w:pPr>
        <w:pStyle w:val="ListParagraph"/>
        <w:numPr>
          <w:ilvl w:val="0"/>
          <w:numId w:val="19"/>
        </w:numPr>
        <w:ind w:left="426" w:hanging="426"/>
        <w:jc w:val="left"/>
        <w:rPr>
          <w:rFonts w:asciiTheme="minorHAnsi" w:hAnsiTheme="minorHAnsi"/>
        </w:rPr>
      </w:pPr>
      <w:r w:rsidRPr="00B30085">
        <w:rPr>
          <w:rFonts w:asciiTheme="minorHAnsi" w:hAnsiTheme="minorHAnsi"/>
        </w:rPr>
        <w:t>Accordingly</w:t>
      </w:r>
      <w:r w:rsidR="00F73267">
        <w:rPr>
          <w:rFonts w:asciiTheme="minorHAnsi" w:hAnsiTheme="minorHAnsi"/>
        </w:rPr>
        <w:t>,</w:t>
      </w:r>
      <w:r w:rsidRPr="00B30085">
        <w:rPr>
          <w:rFonts w:asciiTheme="minorHAnsi" w:hAnsiTheme="minorHAnsi"/>
        </w:rPr>
        <w:t xml:space="preserve"> the Secretariat will need to </w:t>
      </w:r>
      <w:r w:rsidR="00400BE4" w:rsidRPr="00B30085">
        <w:rPr>
          <w:rFonts w:asciiTheme="minorHAnsi" w:hAnsiTheme="minorHAnsi"/>
        </w:rPr>
        <w:t xml:space="preserve">start to </w:t>
      </w:r>
      <w:r w:rsidRPr="00B30085">
        <w:rPr>
          <w:rFonts w:asciiTheme="minorHAnsi" w:hAnsiTheme="minorHAnsi"/>
        </w:rPr>
        <w:t>develop proposals for the COP13 NRF during 201</w:t>
      </w:r>
      <w:r w:rsidR="00400BE4" w:rsidRPr="00B30085">
        <w:rPr>
          <w:rFonts w:asciiTheme="minorHAnsi" w:hAnsiTheme="minorHAnsi"/>
        </w:rPr>
        <w:t>5</w:t>
      </w:r>
      <w:r w:rsidRPr="00B30085">
        <w:rPr>
          <w:rFonts w:asciiTheme="minorHAnsi" w:hAnsiTheme="minorHAnsi"/>
        </w:rPr>
        <w:t>/201</w:t>
      </w:r>
      <w:r w:rsidR="00400BE4" w:rsidRPr="00B30085">
        <w:rPr>
          <w:rFonts w:asciiTheme="minorHAnsi" w:hAnsiTheme="minorHAnsi"/>
        </w:rPr>
        <w:t>6</w:t>
      </w:r>
      <w:r w:rsidR="00B94F41" w:rsidRPr="00B30085">
        <w:rPr>
          <w:rFonts w:asciiTheme="minorHAnsi" w:hAnsiTheme="minorHAnsi"/>
        </w:rPr>
        <w:t xml:space="preserve"> </w:t>
      </w:r>
      <w:r w:rsidRPr="00B30085">
        <w:rPr>
          <w:rFonts w:asciiTheme="minorHAnsi" w:hAnsiTheme="minorHAnsi"/>
        </w:rPr>
        <w:t xml:space="preserve">for approval by </w:t>
      </w:r>
      <w:r w:rsidR="00A97E73">
        <w:rPr>
          <w:rFonts w:asciiTheme="minorHAnsi" w:hAnsiTheme="minorHAnsi"/>
        </w:rPr>
        <w:t>SC52</w:t>
      </w:r>
      <w:r w:rsidRPr="00B30085">
        <w:rPr>
          <w:rFonts w:asciiTheme="minorHAnsi" w:hAnsiTheme="minorHAnsi"/>
        </w:rPr>
        <w:t xml:space="preserve"> so that the COP1</w:t>
      </w:r>
      <w:r w:rsidR="00B94F41" w:rsidRPr="00B30085">
        <w:rPr>
          <w:rFonts w:asciiTheme="minorHAnsi" w:hAnsiTheme="minorHAnsi"/>
        </w:rPr>
        <w:t>3</w:t>
      </w:r>
      <w:r w:rsidRPr="00B30085">
        <w:rPr>
          <w:rFonts w:asciiTheme="minorHAnsi" w:hAnsiTheme="minorHAnsi"/>
        </w:rPr>
        <w:t xml:space="preserve"> NRF can be issued to Parties </w:t>
      </w:r>
      <w:r w:rsidR="00892E1A" w:rsidRPr="00B30085">
        <w:rPr>
          <w:rFonts w:asciiTheme="minorHAnsi" w:hAnsiTheme="minorHAnsi"/>
        </w:rPr>
        <w:t>well in advance</w:t>
      </w:r>
      <w:r w:rsidRPr="00B30085">
        <w:rPr>
          <w:rFonts w:asciiTheme="minorHAnsi" w:hAnsiTheme="minorHAnsi"/>
        </w:rPr>
        <w:t xml:space="preserve">. </w:t>
      </w:r>
    </w:p>
    <w:p w:rsidR="00DF1E83" w:rsidRDefault="00DF1E83" w:rsidP="003D7081">
      <w:pPr>
        <w:ind w:left="426" w:hanging="426"/>
        <w:rPr>
          <w:rFonts w:asciiTheme="minorHAnsi" w:hAnsiTheme="minorHAnsi"/>
          <w:sz w:val="22"/>
          <w:szCs w:val="22"/>
          <w:highlight w:val="yellow"/>
        </w:rPr>
      </w:pPr>
    </w:p>
    <w:p w:rsidR="00892E1A" w:rsidRPr="00B30085" w:rsidRDefault="00892E1A" w:rsidP="003D7081">
      <w:pPr>
        <w:pStyle w:val="ListParagraph"/>
        <w:numPr>
          <w:ilvl w:val="0"/>
          <w:numId w:val="19"/>
        </w:numPr>
        <w:ind w:left="426" w:hanging="426"/>
        <w:jc w:val="left"/>
        <w:rPr>
          <w:rFonts w:asciiTheme="minorHAnsi" w:hAnsiTheme="minorHAnsi"/>
        </w:rPr>
      </w:pPr>
      <w:r w:rsidRPr="00B30085">
        <w:rPr>
          <w:rFonts w:asciiTheme="minorHAnsi" w:hAnsiTheme="minorHAnsi"/>
        </w:rPr>
        <w:t>As i</w:t>
      </w:r>
      <w:r w:rsidR="00920D91" w:rsidRPr="00B30085">
        <w:rPr>
          <w:rFonts w:asciiTheme="minorHAnsi" w:hAnsiTheme="minorHAnsi"/>
        </w:rPr>
        <w:t xml:space="preserve">n recent triennia, the </w:t>
      </w:r>
      <w:r w:rsidRPr="00B30085">
        <w:rPr>
          <w:rFonts w:asciiTheme="minorHAnsi" w:hAnsiTheme="minorHAnsi"/>
        </w:rPr>
        <w:t xml:space="preserve">Secretariat suggests that the format be finalized and issued </w:t>
      </w:r>
      <w:r w:rsidR="008E23DC" w:rsidRPr="00B30085">
        <w:rPr>
          <w:rFonts w:asciiTheme="minorHAnsi" w:hAnsiTheme="minorHAnsi"/>
        </w:rPr>
        <w:t>as soon as possible after SC52</w:t>
      </w:r>
      <w:r w:rsidRPr="00B30085">
        <w:rPr>
          <w:rFonts w:asciiTheme="minorHAnsi" w:hAnsiTheme="minorHAnsi"/>
        </w:rPr>
        <w:t xml:space="preserve">. This would allow Parties to have the NRF available as early as possible in the triennium so </w:t>
      </w:r>
      <w:r w:rsidR="00A97E73">
        <w:rPr>
          <w:rFonts w:asciiTheme="minorHAnsi" w:hAnsiTheme="minorHAnsi"/>
        </w:rPr>
        <w:t>they can</w:t>
      </w:r>
      <w:r w:rsidRPr="00B30085">
        <w:rPr>
          <w:rFonts w:asciiTheme="minorHAnsi" w:hAnsiTheme="minorHAnsi"/>
        </w:rPr>
        <w:t xml:space="preserve"> use it to guide their continuing implementation and prepare for its completion </w:t>
      </w:r>
      <w:r w:rsidR="00E077BC" w:rsidRPr="00B30085">
        <w:rPr>
          <w:rFonts w:asciiTheme="minorHAnsi" w:hAnsiTheme="minorHAnsi"/>
        </w:rPr>
        <w:t>in a timely manner</w:t>
      </w:r>
      <w:r w:rsidRPr="00B30085">
        <w:rPr>
          <w:rFonts w:asciiTheme="minorHAnsi" w:hAnsiTheme="minorHAnsi"/>
        </w:rPr>
        <w:t>. The deadline for submission of completed reports should remain as nine months before COP, for the COP13 National Reports, in September 2017. This timetable will be updated once the dates for SC52 and COP13 are agreed.</w:t>
      </w:r>
    </w:p>
    <w:p w:rsidR="00892E1A" w:rsidRDefault="00892E1A" w:rsidP="003D7081">
      <w:pPr>
        <w:ind w:left="426" w:hanging="426"/>
        <w:rPr>
          <w:rFonts w:asciiTheme="minorHAnsi" w:hAnsiTheme="minorHAnsi"/>
          <w:sz w:val="22"/>
          <w:szCs w:val="22"/>
          <w:highlight w:val="yellow"/>
        </w:rPr>
      </w:pPr>
    </w:p>
    <w:p w:rsidR="00FE3C74" w:rsidRPr="00B30085" w:rsidRDefault="003F7B34" w:rsidP="003D7081">
      <w:pPr>
        <w:pStyle w:val="ListParagraph"/>
        <w:numPr>
          <w:ilvl w:val="0"/>
          <w:numId w:val="19"/>
        </w:numPr>
        <w:ind w:left="426" w:hanging="426"/>
        <w:jc w:val="left"/>
        <w:rPr>
          <w:rFonts w:asciiTheme="minorHAnsi" w:hAnsiTheme="minorHAnsi"/>
        </w:rPr>
      </w:pPr>
      <w:r w:rsidRPr="00B30085">
        <w:rPr>
          <w:rFonts w:asciiTheme="minorHAnsi" w:hAnsiTheme="minorHAnsi"/>
        </w:rPr>
        <w:t>In the preparation of the C</w:t>
      </w:r>
      <w:r w:rsidR="00FE3C74" w:rsidRPr="00B30085">
        <w:rPr>
          <w:rFonts w:asciiTheme="minorHAnsi" w:hAnsiTheme="minorHAnsi"/>
        </w:rPr>
        <w:t>OP1</w:t>
      </w:r>
      <w:r w:rsidRPr="00B30085">
        <w:rPr>
          <w:rFonts w:asciiTheme="minorHAnsi" w:hAnsiTheme="minorHAnsi"/>
        </w:rPr>
        <w:t>3</w:t>
      </w:r>
      <w:r w:rsidR="00FE3C74" w:rsidRPr="00B30085">
        <w:rPr>
          <w:rFonts w:asciiTheme="minorHAnsi" w:hAnsiTheme="minorHAnsi"/>
        </w:rPr>
        <w:t xml:space="preserve"> NRF, </w:t>
      </w:r>
      <w:r w:rsidRPr="00B30085">
        <w:rPr>
          <w:rFonts w:asciiTheme="minorHAnsi" w:hAnsiTheme="minorHAnsi"/>
        </w:rPr>
        <w:t xml:space="preserve">the </w:t>
      </w:r>
      <w:r w:rsidR="00FE3C74" w:rsidRPr="00B30085">
        <w:rPr>
          <w:rFonts w:asciiTheme="minorHAnsi" w:hAnsiTheme="minorHAnsi"/>
        </w:rPr>
        <w:t xml:space="preserve">Secretariat </w:t>
      </w:r>
      <w:r w:rsidRPr="00B30085">
        <w:rPr>
          <w:rFonts w:asciiTheme="minorHAnsi" w:hAnsiTheme="minorHAnsi"/>
        </w:rPr>
        <w:t xml:space="preserve">would like </w:t>
      </w:r>
      <w:r w:rsidR="00FE3C74" w:rsidRPr="00B30085">
        <w:rPr>
          <w:rFonts w:asciiTheme="minorHAnsi" w:hAnsiTheme="minorHAnsi"/>
        </w:rPr>
        <w:t>to receive the guidance of the Standing Committee at its present meeting concerning the overall approach of the COP1</w:t>
      </w:r>
      <w:r w:rsidR="002953F3" w:rsidRPr="00B30085">
        <w:rPr>
          <w:rFonts w:asciiTheme="minorHAnsi" w:hAnsiTheme="minorHAnsi"/>
        </w:rPr>
        <w:t>3</w:t>
      </w:r>
      <w:r w:rsidR="00FE3C74" w:rsidRPr="00B30085">
        <w:rPr>
          <w:rFonts w:asciiTheme="minorHAnsi" w:hAnsiTheme="minorHAnsi"/>
        </w:rPr>
        <w:t xml:space="preserve"> NRF. In doing so, the Standing Committee might wish to take into account that:</w:t>
      </w:r>
    </w:p>
    <w:p w:rsidR="00FE3C74" w:rsidRPr="00A46E45" w:rsidRDefault="00FE3C74" w:rsidP="003D7081">
      <w:pPr>
        <w:ind w:left="720" w:hanging="720"/>
        <w:rPr>
          <w:rFonts w:asciiTheme="minorHAnsi" w:hAnsiTheme="minorHAnsi"/>
          <w:sz w:val="22"/>
          <w:szCs w:val="22"/>
          <w:highlight w:val="yellow"/>
        </w:rPr>
      </w:pPr>
    </w:p>
    <w:p w:rsidR="002953F3" w:rsidRDefault="00FE3C74" w:rsidP="003D7081">
      <w:pPr>
        <w:pStyle w:val="ListParagraph"/>
        <w:numPr>
          <w:ilvl w:val="0"/>
          <w:numId w:val="18"/>
        </w:numPr>
        <w:ind w:left="851" w:hanging="425"/>
        <w:jc w:val="left"/>
        <w:rPr>
          <w:rFonts w:asciiTheme="minorHAnsi" w:hAnsiTheme="minorHAnsi"/>
        </w:rPr>
      </w:pPr>
      <w:r w:rsidRPr="002953F3">
        <w:rPr>
          <w:rFonts w:asciiTheme="minorHAnsi" w:hAnsiTheme="minorHAnsi"/>
        </w:rPr>
        <w:t xml:space="preserve">the </w:t>
      </w:r>
      <w:r w:rsidR="003F7B34" w:rsidRPr="002953F3">
        <w:rPr>
          <w:rFonts w:asciiTheme="minorHAnsi" w:hAnsiTheme="minorHAnsi"/>
        </w:rPr>
        <w:t xml:space="preserve">new </w:t>
      </w:r>
      <w:r w:rsidRPr="002953F3">
        <w:rPr>
          <w:rFonts w:asciiTheme="minorHAnsi" w:hAnsiTheme="minorHAnsi"/>
        </w:rPr>
        <w:t>COP1</w:t>
      </w:r>
      <w:r w:rsidR="003F7B34" w:rsidRPr="002953F3">
        <w:rPr>
          <w:rFonts w:asciiTheme="minorHAnsi" w:hAnsiTheme="minorHAnsi"/>
        </w:rPr>
        <w:t>3</w:t>
      </w:r>
      <w:r w:rsidRPr="002953F3">
        <w:rPr>
          <w:rFonts w:asciiTheme="minorHAnsi" w:hAnsiTheme="minorHAnsi"/>
        </w:rPr>
        <w:t xml:space="preserve"> NRF should be structured in line with the Goals and </w:t>
      </w:r>
      <w:r w:rsidR="003F7B34" w:rsidRPr="002953F3">
        <w:rPr>
          <w:rFonts w:asciiTheme="minorHAnsi" w:hAnsiTheme="minorHAnsi"/>
        </w:rPr>
        <w:t xml:space="preserve">Targets </w:t>
      </w:r>
      <w:r w:rsidRPr="002953F3">
        <w:rPr>
          <w:rFonts w:asciiTheme="minorHAnsi" w:hAnsiTheme="minorHAnsi"/>
        </w:rPr>
        <w:t>of the new 20</w:t>
      </w:r>
      <w:r w:rsidR="003F7B34" w:rsidRPr="002953F3">
        <w:rPr>
          <w:rFonts w:asciiTheme="minorHAnsi" w:hAnsiTheme="minorHAnsi"/>
        </w:rPr>
        <w:t>16-2024</w:t>
      </w:r>
      <w:r w:rsidRPr="002953F3">
        <w:rPr>
          <w:rFonts w:asciiTheme="minorHAnsi" w:hAnsiTheme="minorHAnsi"/>
        </w:rPr>
        <w:t xml:space="preserve"> Ramsar Strategic Plan adopted at COP1</w:t>
      </w:r>
      <w:r w:rsidR="003F7B34" w:rsidRPr="002953F3">
        <w:rPr>
          <w:rFonts w:asciiTheme="minorHAnsi" w:hAnsiTheme="minorHAnsi"/>
        </w:rPr>
        <w:t>2</w:t>
      </w:r>
      <w:r w:rsidRPr="002953F3">
        <w:rPr>
          <w:rFonts w:asciiTheme="minorHAnsi" w:hAnsiTheme="minorHAnsi"/>
        </w:rPr>
        <w:t xml:space="preserve"> as Resolution X</w:t>
      </w:r>
      <w:r w:rsidR="003F7B34" w:rsidRPr="002953F3">
        <w:rPr>
          <w:rFonts w:asciiTheme="minorHAnsi" w:hAnsiTheme="minorHAnsi"/>
        </w:rPr>
        <w:t>II</w:t>
      </w:r>
      <w:r w:rsidRPr="002953F3">
        <w:rPr>
          <w:rFonts w:asciiTheme="minorHAnsi" w:hAnsiTheme="minorHAnsi"/>
        </w:rPr>
        <w:t>.</w:t>
      </w:r>
      <w:r w:rsidR="003F7B34" w:rsidRPr="002953F3">
        <w:rPr>
          <w:rFonts w:asciiTheme="minorHAnsi" w:hAnsiTheme="minorHAnsi"/>
        </w:rPr>
        <w:t>2</w:t>
      </w:r>
      <w:r w:rsidRPr="002953F3">
        <w:rPr>
          <w:rFonts w:asciiTheme="minorHAnsi" w:hAnsiTheme="minorHAnsi"/>
        </w:rPr>
        <w:t>;</w:t>
      </w:r>
    </w:p>
    <w:p w:rsidR="003D7081" w:rsidRPr="002953F3" w:rsidRDefault="003D7081" w:rsidP="003D7081">
      <w:pPr>
        <w:pStyle w:val="ListParagraph"/>
        <w:ind w:left="851"/>
        <w:jc w:val="left"/>
        <w:rPr>
          <w:rFonts w:asciiTheme="minorHAnsi" w:hAnsiTheme="minorHAnsi"/>
        </w:rPr>
      </w:pPr>
    </w:p>
    <w:p w:rsidR="00FE3C74" w:rsidRDefault="00FE3C74" w:rsidP="003D7081">
      <w:pPr>
        <w:pStyle w:val="ListParagraph"/>
        <w:numPr>
          <w:ilvl w:val="0"/>
          <w:numId w:val="18"/>
        </w:numPr>
        <w:ind w:left="851" w:hanging="425"/>
        <w:jc w:val="left"/>
        <w:rPr>
          <w:rFonts w:asciiTheme="minorHAnsi" w:hAnsiTheme="minorHAnsi"/>
        </w:rPr>
      </w:pPr>
      <w:r w:rsidRPr="002953F3">
        <w:rPr>
          <w:rFonts w:asciiTheme="minorHAnsi" w:hAnsiTheme="minorHAnsi"/>
        </w:rPr>
        <w:t>for continuity, and to permit time-series analysis and report of implementation progress, COP1</w:t>
      </w:r>
      <w:r w:rsidR="00A8614B" w:rsidRPr="002953F3">
        <w:rPr>
          <w:rFonts w:asciiTheme="minorHAnsi" w:hAnsiTheme="minorHAnsi"/>
        </w:rPr>
        <w:t>3</w:t>
      </w:r>
      <w:r w:rsidRPr="002953F3">
        <w:rPr>
          <w:rFonts w:asciiTheme="minorHAnsi" w:hAnsiTheme="minorHAnsi"/>
        </w:rPr>
        <w:t xml:space="preserve"> NRF indicators should as far as possible be consistent with those in previous NRFs</w:t>
      </w:r>
      <w:r w:rsidR="00A8614B" w:rsidRPr="002953F3">
        <w:rPr>
          <w:rFonts w:asciiTheme="minorHAnsi" w:hAnsiTheme="minorHAnsi"/>
        </w:rPr>
        <w:t xml:space="preserve"> and </w:t>
      </w:r>
      <w:r w:rsidR="00F73267">
        <w:rPr>
          <w:rFonts w:asciiTheme="minorHAnsi" w:hAnsiTheme="minorHAnsi"/>
        </w:rPr>
        <w:t xml:space="preserve">only </w:t>
      </w:r>
      <w:r w:rsidR="00A8614B" w:rsidRPr="002953F3">
        <w:rPr>
          <w:rFonts w:asciiTheme="minorHAnsi" w:hAnsiTheme="minorHAnsi"/>
        </w:rPr>
        <w:t>develop new indicators as appropriate to the new goals and targets of the Strategic Plan</w:t>
      </w:r>
      <w:r w:rsidRPr="002953F3">
        <w:rPr>
          <w:rFonts w:asciiTheme="minorHAnsi" w:hAnsiTheme="minorHAnsi"/>
        </w:rPr>
        <w:t>;</w:t>
      </w:r>
    </w:p>
    <w:p w:rsidR="003D7081" w:rsidRPr="003D7081" w:rsidRDefault="003D7081" w:rsidP="003D7081">
      <w:pPr>
        <w:pStyle w:val="ListParagraph"/>
        <w:ind w:left="851"/>
        <w:rPr>
          <w:rFonts w:asciiTheme="minorHAnsi" w:hAnsiTheme="minorHAnsi"/>
        </w:rPr>
      </w:pPr>
    </w:p>
    <w:p w:rsidR="00A16BDF" w:rsidRDefault="00FE3C74" w:rsidP="003D7081">
      <w:pPr>
        <w:pStyle w:val="ListParagraph"/>
        <w:numPr>
          <w:ilvl w:val="0"/>
          <w:numId w:val="18"/>
        </w:numPr>
        <w:ind w:left="851" w:hanging="425"/>
        <w:jc w:val="left"/>
        <w:rPr>
          <w:rFonts w:asciiTheme="minorHAnsi" w:hAnsiTheme="minorHAnsi"/>
        </w:rPr>
      </w:pPr>
      <w:r w:rsidRPr="002953F3">
        <w:rPr>
          <w:rFonts w:asciiTheme="minorHAnsi" w:hAnsiTheme="minorHAnsi"/>
        </w:rPr>
        <w:t xml:space="preserve">the advice of </w:t>
      </w:r>
      <w:r w:rsidR="008E03AA" w:rsidRPr="002953F3">
        <w:rPr>
          <w:rFonts w:asciiTheme="minorHAnsi" w:hAnsiTheme="minorHAnsi"/>
        </w:rPr>
        <w:t xml:space="preserve">the STRP and other relevant </w:t>
      </w:r>
      <w:r w:rsidR="00694AC4" w:rsidRPr="002953F3">
        <w:rPr>
          <w:rFonts w:asciiTheme="minorHAnsi" w:hAnsiTheme="minorHAnsi"/>
        </w:rPr>
        <w:t xml:space="preserve">group of </w:t>
      </w:r>
      <w:r w:rsidR="008E03AA" w:rsidRPr="002953F3">
        <w:rPr>
          <w:rFonts w:asciiTheme="minorHAnsi" w:hAnsiTheme="minorHAnsi"/>
        </w:rPr>
        <w:t>experts</w:t>
      </w:r>
      <w:r w:rsidR="00694AC4" w:rsidRPr="002953F3">
        <w:rPr>
          <w:rFonts w:asciiTheme="minorHAnsi" w:hAnsiTheme="minorHAnsi"/>
        </w:rPr>
        <w:t xml:space="preserve"> in indicators</w:t>
      </w:r>
      <w:r w:rsidR="008E03AA" w:rsidRPr="002953F3">
        <w:rPr>
          <w:rFonts w:asciiTheme="minorHAnsi" w:hAnsiTheme="minorHAnsi"/>
        </w:rPr>
        <w:t>, MEAs</w:t>
      </w:r>
      <w:r w:rsidR="00A16BDF" w:rsidRPr="002953F3">
        <w:rPr>
          <w:rFonts w:asciiTheme="minorHAnsi" w:hAnsiTheme="minorHAnsi"/>
        </w:rPr>
        <w:t xml:space="preserve">, </w:t>
      </w:r>
      <w:r w:rsidR="008E03AA" w:rsidRPr="002953F3">
        <w:rPr>
          <w:rFonts w:asciiTheme="minorHAnsi" w:hAnsiTheme="minorHAnsi"/>
        </w:rPr>
        <w:t xml:space="preserve">organizations </w:t>
      </w:r>
      <w:r w:rsidR="00A16BDF" w:rsidRPr="002953F3">
        <w:rPr>
          <w:rFonts w:asciiTheme="minorHAnsi" w:hAnsiTheme="minorHAnsi"/>
        </w:rPr>
        <w:t>and processe</w:t>
      </w:r>
      <w:r w:rsidRPr="002953F3">
        <w:rPr>
          <w:rFonts w:asciiTheme="minorHAnsi" w:hAnsiTheme="minorHAnsi"/>
        </w:rPr>
        <w:t>s</w:t>
      </w:r>
      <w:r w:rsidR="00A16BDF" w:rsidRPr="002953F3">
        <w:rPr>
          <w:rFonts w:asciiTheme="minorHAnsi" w:hAnsiTheme="minorHAnsi"/>
        </w:rPr>
        <w:t xml:space="preserve"> s</w:t>
      </w:r>
      <w:r w:rsidRPr="002953F3">
        <w:rPr>
          <w:rFonts w:asciiTheme="minorHAnsi" w:hAnsiTheme="minorHAnsi"/>
        </w:rPr>
        <w:t>hould be sought concerning the adjustments or additional need for indicators</w:t>
      </w:r>
      <w:r w:rsidR="00A16BDF" w:rsidRPr="002953F3">
        <w:rPr>
          <w:rFonts w:asciiTheme="minorHAnsi" w:hAnsiTheme="minorHAnsi"/>
        </w:rPr>
        <w:t>;</w:t>
      </w:r>
    </w:p>
    <w:p w:rsidR="003D7081" w:rsidRPr="003D7081" w:rsidRDefault="003D7081" w:rsidP="003D7081">
      <w:pPr>
        <w:pStyle w:val="ListParagraph"/>
        <w:ind w:left="851"/>
        <w:rPr>
          <w:rFonts w:asciiTheme="minorHAnsi" w:hAnsiTheme="minorHAnsi"/>
        </w:rPr>
      </w:pPr>
    </w:p>
    <w:p w:rsidR="00FE3C74" w:rsidRDefault="00FE3C74" w:rsidP="003D7081">
      <w:pPr>
        <w:pStyle w:val="ListParagraph"/>
        <w:numPr>
          <w:ilvl w:val="0"/>
          <w:numId w:val="18"/>
        </w:numPr>
        <w:ind w:left="851" w:hanging="425"/>
        <w:jc w:val="left"/>
        <w:rPr>
          <w:rFonts w:asciiTheme="minorHAnsi" w:hAnsiTheme="minorHAnsi"/>
        </w:rPr>
      </w:pPr>
      <w:r w:rsidRPr="002953F3">
        <w:rPr>
          <w:rFonts w:asciiTheme="minorHAnsi" w:hAnsiTheme="minorHAnsi"/>
        </w:rPr>
        <w:t xml:space="preserve">the advice of the CEPA Oversight Panel </w:t>
      </w:r>
      <w:r w:rsidR="00A16BDF" w:rsidRPr="002953F3">
        <w:rPr>
          <w:rFonts w:asciiTheme="minorHAnsi" w:hAnsiTheme="minorHAnsi"/>
        </w:rPr>
        <w:t xml:space="preserve">and CEPA Working Group </w:t>
      </w:r>
      <w:r w:rsidRPr="002953F3">
        <w:rPr>
          <w:rFonts w:asciiTheme="minorHAnsi" w:hAnsiTheme="minorHAnsi"/>
        </w:rPr>
        <w:t>should likewise be sought concerning indicators for</w:t>
      </w:r>
      <w:r w:rsidR="00694AC4" w:rsidRPr="002953F3">
        <w:rPr>
          <w:rFonts w:asciiTheme="minorHAnsi" w:hAnsiTheme="minorHAnsi"/>
        </w:rPr>
        <w:t xml:space="preserve"> targets 16 and 19 </w:t>
      </w:r>
      <w:r w:rsidRPr="002953F3">
        <w:rPr>
          <w:rFonts w:asciiTheme="minorHAnsi" w:hAnsiTheme="minorHAnsi"/>
        </w:rPr>
        <w:t>of the Strategic Plan</w:t>
      </w:r>
      <w:r w:rsidR="00BA70B5">
        <w:rPr>
          <w:rFonts w:asciiTheme="minorHAnsi" w:hAnsiTheme="minorHAnsi"/>
        </w:rPr>
        <w:t>;</w:t>
      </w:r>
    </w:p>
    <w:p w:rsidR="003D7081" w:rsidRPr="003D7081" w:rsidRDefault="003D7081" w:rsidP="003D7081">
      <w:pPr>
        <w:pStyle w:val="ListParagraph"/>
        <w:ind w:left="851"/>
        <w:rPr>
          <w:rFonts w:asciiTheme="minorHAnsi" w:hAnsiTheme="minorHAnsi"/>
        </w:rPr>
      </w:pPr>
    </w:p>
    <w:p w:rsidR="002953F3" w:rsidRDefault="00D12244" w:rsidP="003D7081">
      <w:pPr>
        <w:pStyle w:val="ListParagraph"/>
        <w:numPr>
          <w:ilvl w:val="0"/>
          <w:numId w:val="18"/>
        </w:numPr>
        <w:ind w:left="851" w:hanging="425"/>
        <w:jc w:val="left"/>
        <w:rPr>
          <w:rFonts w:asciiTheme="minorHAnsi" w:hAnsiTheme="minorHAnsi"/>
        </w:rPr>
      </w:pPr>
      <w:r>
        <w:rPr>
          <w:rFonts w:asciiTheme="minorHAnsi" w:hAnsiTheme="minorHAnsi"/>
        </w:rPr>
        <w:t>t</w:t>
      </w:r>
      <w:r w:rsidR="002953F3">
        <w:rPr>
          <w:rFonts w:asciiTheme="minorHAnsi" w:hAnsiTheme="minorHAnsi"/>
        </w:rPr>
        <w:t xml:space="preserve">he regional input from Contracting Parties is essential in the preparation of </w:t>
      </w:r>
      <w:r w:rsidR="003D7081">
        <w:rPr>
          <w:rFonts w:asciiTheme="minorHAnsi" w:hAnsiTheme="minorHAnsi"/>
        </w:rPr>
        <w:t>the NRF;</w:t>
      </w:r>
      <w:r w:rsidR="00A97E73">
        <w:rPr>
          <w:rFonts w:asciiTheme="minorHAnsi" w:hAnsiTheme="minorHAnsi"/>
        </w:rPr>
        <w:t xml:space="preserve"> and</w:t>
      </w:r>
    </w:p>
    <w:p w:rsidR="003D7081" w:rsidRPr="003D7081" w:rsidRDefault="003D7081" w:rsidP="003D7081">
      <w:pPr>
        <w:pStyle w:val="ListParagraph"/>
        <w:ind w:left="851"/>
        <w:rPr>
          <w:rFonts w:asciiTheme="minorHAnsi" w:hAnsiTheme="minorHAnsi"/>
        </w:rPr>
      </w:pPr>
    </w:p>
    <w:p w:rsidR="00FE3C74" w:rsidRPr="008E23DC" w:rsidRDefault="00EE0E62" w:rsidP="003D7081">
      <w:pPr>
        <w:pStyle w:val="ListParagraph"/>
        <w:numPr>
          <w:ilvl w:val="0"/>
          <w:numId w:val="18"/>
        </w:numPr>
        <w:ind w:left="851" w:hanging="425"/>
        <w:jc w:val="left"/>
        <w:rPr>
          <w:rFonts w:asciiTheme="minorHAnsi" w:hAnsiTheme="minorHAnsi"/>
        </w:rPr>
      </w:pPr>
      <w:r w:rsidRPr="008E23DC">
        <w:rPr>
          <w:rFonts w:asciiTheme="minorHAnsi" w:hAnsiTheme="minorHAnsi"/>
        </w:rPr>
        <w:t>i</w:t>
      </w:r>
      <w:r w:rsidR="00896DF7" w:rsidRPr="008E23DC">
        <w:rPr>
          <w:rFonts w:asciiTheme="minorHAnsi" w:hAnsiTheme="minorHAnsi"/>
        </w:rPr>
        <w:t xml:space="preserve">n preparing the proposal for the COP13 NRF, the Secretariat will review the comments provided by Contracting Parties </w:t>
      </w:r>
      <w:r w:rsidR="008E23DC" w:rsidRPr="008E23DC">
        <w:rPr>
          <w:rFonts w:asciiTheme="minorHAnsi" w:hAnsiTheme="minorHAnsi"/>
        </w:rPr>
        <w:t xml:space="preserve">to </w:t>
      </w:r>
      <w:r w:rsidR="006B4949" w:rsidRPr="008E23DC">
        <w:rPr>
          <w:rFonts w:asciiTheme="minorHAnsi" w:hAnsiTheme="minorHAnsi"/>
        </w:rPr>
        <w:t>COP12</w:t>
      </w:r>
      <w:r w:rsidR="008E23DC" w:rsidRPr="008E23DC">
        <w:rPr>
          <w:rFonts w:asciiTheme="minorHAnsi" w:hAnsiTheme="minorHAnsi"/>
        </w:rPr>
        <w:t xml:space="preserve"> NRF.</w:t>
      </w:r>
      <w:r w:rsidR="006B4949" w:rsidRPr="008E23DC">
        <w:rPr>
          <w:rFonts w:asciiTheme="minorHAnsi" w:hAnsiTheme="minorHAnsi"/>
        </w:rPr>
        <w:t xml:space="preserve"> </w:t>
      </w:r>
      <w:r w:rsidR="005D7F8A" w:rsidRPr="008E23DC">
        <w:rPr>
          <w:rFonts w:asciiTheme="minorHAnsi" w:hAnsiTheme="minorHAnsi"/>
        </w:rPr>
        <w:t xml:space="preserve"> </w:t>
      </w:r>
    </w:p>
    <w:p w:rsidR="005D7F8A" w:rsidRPr="00920D91" w:rsidRDefault="005D7F8A" w:rsidP="003D7081">
      <w:pPr>
        <w:ind w:left="360"/>
        <w:rPr>
          <w:rFonts w:asciiTheme="minorHAnsi" w:hAnsiTheme="minorHAnsi"/>
        </w:rPr>
      </w:pPr>
    </w:p>
    <w:p w:rsidR="005B581C" w:rsidRPr="00B30085" w:rsidRDefault="005B581C" w:rsidP="003D7081">
      <w:pPr>
        <w:pStyle w:val="ListParagraph"/>
        <w:numPr>
          <w:ilvl w:val="0"/>
          <w:numId w:val="19"/>
        </w:numPr>
        <w:ind w:left="426" w:hanging="426"/>
        <w:jc w:val="left"/>
        <w:rPr>
          <w:rFonts w:asciiTheme="minorHAnsi" w:hAnsiTheme="minorHAnsi"/>
        </w:rPr>
      </w:pPr>
      <w:r w:rsidRPr="00B30085">
        <w:rPr>
          <w:rFonts w:asciiTheme="minorHAnsi" w:hAnsiTheme="minorHAnsi"/>
        </w:rPr>
        <w:t xml:space="preserve">Concerning online reporting, the Standing Committee </w:t>
      </w:r>
      <w:r w:rsidR="00F73267">
        <w:rPr>
          <w:rFonts w:asciiTheme="minorHAnsi" w:hAnsiTheme="minorHAnsi"/>
        </w:rPr>
        <w:t xml:space="preserve">may already </w:t>
      </w:r>
      <w:r w:rsidRPr="00B30085">
        <w:rPr>
          <w:rFonts w:asciiTheme="minorHAnsi" w:hAnsiTheme="minorHAnsi"/>
        </w:rPr>
        <w:t xml:space="preserve">be aware of the development through the UNEP-World Conservation Monitoring Centre (UNEP-WCMC) of an online reporting platform for MEAs. This was utilized for national reporting to the African-Eurasian Migratory Waterbird Agreement (AEWA) MOP in 2012, and </w:t>
      </w:r>
      <w:r w:rsidR="00EE0E62" w:rsidRPr="00B30085">
        <w:rPr>
          <w:rFonts w:asciiTheme="minorHAnsi" w:hAnsiTheme="minorHAnsi"/>
        </w:rPr>
        <w:t>has</w:t>
      </w:r>
      <w:r w:rsidRPr="00B30085">
        <w:rPr>
          <w:rFonts w:asciiTheme="minorHAnsi" w:hAnsiTheme="minorHAnsi"/>
        </w:rPr>
        <w:t xml:space="preserve"> </w:t>
      </w:r>
      <w:r w:rsidR="00F73267" w:rsidRPr="00B30085">
        <w:rPr>
          <w:rFonts w:asciiTheme="minorHAnsi" w:hAnsiTheme="minorHAnsi"/>
        </w:rPr>
        <w:t>be</w:t>
      </w:r>
      <w:r w:rsidR="00F73267">
        <w:rPr>
          <w:rFonts w:asciiTheme="minorHAnsi" w:hAnsiTheme="minorHAnsi"/>
        </w:rPr>
        <w:t>en</w:t>
      </w:r>
      <w:r w:rsidR="00F73267" w:rsidRPr="00B30085">
        <w:rPr>
          <w:rFonts w:asciiTheme="minorHAnsi" w:hAnsiTheme="minorHAnsi"/>
        </w:rPr>
        <w:t xml:space="preserve"> </w:t>
      </w:r>
      <w:r w:rsidRPr="00B30085">
        <w:rPr>
          <w:rFonts w:asciiTheme="minorHAnsi" w:hAnsiTheme="minorHAnsi"/>
        </w:rPr>
        <w:t xml:space="preserve">developed for national reporting to the Convention on Migratory Species (CMS). </w:t>
      </w:r>
    </w:p>
    <w:p w:rsidR="005B581C" w:rsidRPr="00A46E45" w:rsidRDefault="005B581C" w:rsidP="003D7081">
      <w:pPr>
        <w:ind w:left="426" w:hanging="426"/>
        <w:rPr>
          <w:rFonts w:asciiTheme="minorHAnsi" w:hAnsiTheme="minorHAnsi"/>
          <w:sz w:val="22"/>
          <w:szCs w:val="22"/>
        </w:rPr>
      </w:pPr>
    </w:p>
    <w:p w:rsidR="008E23DC" w:rsidRDefault="005B581C" w:rsidP="003D7081">
      <w:pPr>
        <w:pStyle w:val="ListParagraph"/>
        <w:numPr>
          <w:ilvl w:val="0"/>
          <w:numId w:val="19"/>
        </w:numPr>
        <w:ind w:left="426" w:hanging="426"/>
        <w:jc w:val="left"/>
        <w:rPr>
          <w:rFonts w:asciiTheme="minorHAnsi" w:hAnsiTheme="minorHAnsi"/>
        </w:rPr>
      </w:pPr>
      <w:r w:rsidRPr="00BA70B5">
        <w:rPr>
          <w:rFonts w:asciiTheme="minorHAnsi" w:hAnsiTheme="minorHAnsi"/>
        </w:rPr>
        <w:t>The Secretariat will explore the development of such an online system for national reporting by Ramsar Parties to COP13</w:t>
      </w:r>
      <w:r w:rsidR="000815CF" w:rsidRPr="00BA70B5">
        <w:rPr>
          <w:rFonts w:asciiTheme="minorHAnsi" w:hAnsiTheme="minorHAnsi"/>
        </w:rPr>
        <w:t xml:space="preserve"> and present an update of the progress </w:t>
      </w:r>
      <w:r w:rsidR="00EE0E62" w:rsidRPr="00BA70B5">
        <w:rPr>
          <w:rFonts w:asciiTheme="minorHAnsi" w:hAnsiTheme="minorHAnsi"/>
        </w:rPr>
        <w:t xml:space="preserve">during </w:t>
      </w:r>
      <w:r w:rsidR="000815CF" w:rsidRPr="00BA70B5">
        <w:rPr>
          <w:rFonts w:asciiTheme="minorHAnsi" w:hAnsiTheme="minorHAnsi"/>
        </w:rPr>
        <w:t xml:space="preserve">SC51. The </w:t>
      </w:r>
      <w:r w:rsidRPr="00BA70B5">
        <w:rPr>
          <w:rFonts w:asciiTheme="minorHAnsi" w:hAnsiTheme="minorHAnsi"/>
        </w:rPr>
        <w:t xml:space="preserve">Standing Committee may wish to consider whether it would be appropriate to </w:t>
      </w:r>
      <w:r w:rsidR="000815CF" w:rsidRPr="00BA70B5">
        <w:rPr>
          <w:rFonts w:asciiTheme="minorHAnsi" w:hAnsiTheme="minorHAnsi"/>
        </w:rPr>
        <w:t xml:space="preserve">develop </w:t>
      </w:r>
      <w:r w:rsidRPr="00BA70B5">
        <w:rPr>
          <w:rFonts w:asciiTheme="minorHAnsi" w:hAnsiTheme="minorHAnsi"/>
        </w:rPr>
        <w:t xml:space="preserve">such an online system for national reporting by Ramsar Parties to COP13. If any such system should be considered, two issues need to be taken into consideration. First, it will be important to retain the option of an </w:t>
      </w:r>
      <w:r w:rsidR="00ED7AD7">
        <w:rPr>
          <w:rFonts w:asciiTheme="minorHAnsi" w:hAnsiTheme="minorHAnsi"/>
        </w:rPr>
        <w:t>“</w:t>
      </w:r>
      <w:r w:rsidRPr="00BA70B5">
        <w:rPr>
          <w:rFonts w:asciiTheme="minorHAnsi" w:hAnsiTheme="minorHAnsi"/>
        </w:rPr>
        <w:t>offline</w:t>
      </w:r>
      <w:r w:rsidR="00ED7AD7">
        <w:rPr>
          <w:rFonts w:asciiTheme="minorHAnsi" w:hAnsiTheme="minorHAnsi"/>
        </w:rPr>
        <w:t>”</w:t>
      </w:r>
      <w:r w:rsidRPr="00BA70B5">
        <w:rPr>
          <w:rFonts w:asciiTheme="minorHAnsi" w:hAnsiTheme="minorHAnsi"/>
        </w:rPr>
        <w:t xml:space="preserve"> format for those Parties without adequate Internet access, and second, any development of an online system would require a source of additional voluntary </w:t>
      </w:r>
      <w:r w:rsidRPr="00BA70B5">
        <w:rPr>
          <w:rFonts w:asciiTheme="minorHAnsi" w:hAnsiTheme="minorHAnsi"/>
        </w:rPr>
        <w:lastRenderedPageBreak/>
        <w:t>funding to be identified</w:t>
      </w:r>
      <w:r w:rsidR="000815CF" w:rsidRPr="00BA70B5">
        <w:rPr>
          <w:rFonts w:asciiTheme="minorHAnsi" w:hAnsiTheme="minorHAnsi"/>
        </w:rPr>
        <w:t>.</w:t>
      </w:r>
      <w:r w:rsidR="00EE0E62" w:rsidRPr="00BA70B5">
        <w:rPr>
          <w:rFonts w:asciiTheme="minorHAnsi" w:hAnsiTheme="minorHAnsi"/>
        </w:rPr>
        <w:t xml:space="preserve"> The estimate</w:t>
      </w:r>
      <w:r w:rsidR="00F73267">
        <w:rPr>
          <w:rFonts w:asciiTheme="minorHAnsi" w:hAnsiTheme="minorHAnsi"/>
        </w:rPr>
        <w:t>d</w:t>
      </w:r>
      <w:r w:rsidR="00EE0E62" w:rsidRPr="00BA70B5">
        <w:rPr>
          <w:rFonts w:asciiTheme="minorHAnsi" w:hAnsiTheme="minorHAnsi"/>
        </w:rPr>
        <w:t xml:space="preserve"> costs are </w:t>
      </w:r>
      <w:r w:rsidR="00ED7AD7">
        <w:rPr>
          <w:rFonts w:asciiTheme="minorHAnsi" w:hAnsiTheme="minorHAnsi"/>
        </w:rPr>
        <w:t xml:space="preserve">outlined </w:t>
      </w:r>
      <w:r w:rsidR="00EE0E62" w:rsidRPr="00BA70B5">
        <w:rPr>
          <w:rFonts w:asciiTheme="minorHAnsi" w:hAnsiTheme="minorHAnsi"/>
        </w:rPr>
        <w:t xml:space="preserve">in </w:t>
      </w:r>
      <w:r w:rsidR="00ED7AD7" w:rsidRPr="00BA70B5">
        <w:rPr>
          <w:rFonts w:asciiTheme="minorHAnsi" w:hAnsiTheme="minorHAnsi"/>
        </w:rPr>
        <w:t>Annex 3</w:t>
      </w:r>
      <w:r w:rsidR="00ED7AD7">
        <w:rPr>
          <w:rFonts w:asciiTheme="minorHAnsi" w:hAnsiTheme="minorHAnsi"/>
        </w:rPr>
        <w:t xml:space="preserve"> of </w:t>
      </w:r>
      <w:r w:rsidR="00EE0E62" w:rsidRPr="00BA70B5">
        <w:rPr>
          <w:rFonts w:asciiTheme="minorHAnsi" w:hAnsiTheme="minorHAnsi"/>
        </w:rPr>
        <w:t>Resolution XII. 1</w:t>
      </w:r>
      <w:r w:rsidR="003C20FF" w:rsidRPr="00BA70B5">
        <w:rPr>
          <w:rFonts w:asciiTheme="minorHAnsi" w:hAnsiTheme="minorHAnsi"/>
        </w:rPr>
        <w:t xml:space="preserve"> </w:t>
      </w:r>
      <w:r w:rsidR="003C20FF" w:rsidRPr="00BA70B5">
        <w:rPr>
          <w:rFonts w:asciiTheme="minorHAnsi" w:hAnsiTheme="minorHAnsi"/>
          <w:i/>
          <w:color w:val="363A2F"/>
          <w:sz w:val="21"/>
          <w:szCs w:val="21"/>
        </w:rPr>
        <w:t>Financial and budgetary matters,</w:t>
      </w:r>
      <w:r w:rsidR="00ED7AD7">
        <w:rPr>
          <w:rFonts w:asciiTheme="minorHAnsi" w:hAnsiTheme="minorHAnsi"/>
        </w:rPr>
        <w:t xml:space="preserve"> which is copied here</w:t>
      </w:r>
      <w:r w:rsidR="00F66E12">
        <w:rPr>
          <w:rFonts w:asciiTheme="minorHAnsi" w:hAnsiTheme="minorHAnsi"/>
        </w:rPr>
        <w:t>.</w:t>
      </w:r>
      <w:r w:rsidR="00EE0E62" w:rsidRPr="00BA70B5">
        <w:rPr>
          <w:rFonts w:asciiTheme="minorHAnsi" w:hAnsiTheme="minorHAnsi"/>
        </w:rPr>
        <w:t xml:space="preserve">  </w:t>
      </w:r>
    </w:p>
    <w:p w:rsidR="00ED7AD7" w:rsidRPr="00ED7AD7" w:rsidRDefault="00ED7AD7" w:rsidP="00ED7AD7">
      <w:pPr>
        <w:pStyle w:val="ListParagraph"/>
        <w:rPr>
          <w:rFonts w:asciiTheme="minorHAnsi" w:hAnsiTheme="minorHAnsi"/>
        </w:rPr>
      </w:pPr>
    </w:p>
    <w:p w:rsidR="00ED7AD7" w:rsidRPr="00ED7AD7" w:rsidRDefault="00ED7AD7" w:rsidP="00ED7AD7">
      <w:pPr>
        <w:rPr>
          <w:rFonts w:asciiTheme="minorHAnsi" w:eastAsia="Calibri" w:hAnsiTheme="minorHAnsi"/>
          <w:sz w:val="22"/>
          <w:szCs w:val="22"/>
          <w:lang w:eastAsia="en-US"/>
        </w:rPr>
      </w:pPr>
      <w:r w:rsidRPr="00ED7AD7">
        <w:rPr>
          <w:rFonts w:asciiTheme="minorHAnsi" w:eastAsia="Calibri" w:hAnsiTheme="minorHAnsi"/>
          <w:sz w:val="22"/>
          <w:szCs w:val="22"/>
          <w:lang w:eastAsia="en-US"/>
        </w:rPr>
        <w:t>Table 1</w:t>
      </w:r>
    </w:p>
    <w:p w:rsidR="00ED7AD7" w:rsidRPr="00ED7AD7" w:rsidRDefault="00ED7AD7" w:rsidP="00ED7AD7">
      <w:pPr>
        <w:rPr>
          <w:rFonts w:asciiTheme="minorHAnsi" w:eastAsia="Calibri" w:hAnsiTheme="minorHAnsi"/>
          <w:sz w:val="22"/>
          <w:szCs w:val="22"/>
          <w:lang w:eastAsia="en-US"/>
        </w:rPr>
      </w:pPr>
      <w:r w:rsidRPr="00ED7AD7">
        <w:rPr>
          <w:rFonts w:asciiTheme="minorHAnsi" w:hAnsiTheme="minorHAnsi"/>
          <w:sz w:val="22"/>
          <w:szCs w:val="22"/>
        </w:rPr>
        <w:t xml:space="preserve">Resolution XII. 1 </w:t>
      </w:r>
      <w:r w:rsidRPr="00ED7AD7">
        <w:rPr>
          <w:rFonts w:asciiTheme="minorHAnsi" w:hAnsiTheme="minorHAnsi"/>
          <w:sz w:val="22"/>
          <w:szCs w:val="22"/>
        </w:rPr>
        <w:t xml:space="preserve">Annex 3: </w:t>
      </w:r>
      <w:r w:rsidRPr="00ED7AD7">
        <w:rPr>
          <w:rFonts w:asciiTheme="minorHAnsi" w:eastAsia="Calibri" w:hAnsiTheme="minorHAnsi"/>
          <w:sz w:val="22"/>
          <w:szCs w:val="22"/>
          <w:lang w:eastAsia="en-US"/>
        </w:rPr>
        <w:t>Analysis of 2016-2018 budgeted non-core items, in order of priority</w:t>
      </w:r>
    </w:p>
    <w:p w:rsidR="00ED7AD7" w:rsidRDefault="00ED7AD7" w:rsidP="00ED7AD7">
      <w:pPr>
        <w:tabs>
          <w:tab w:val="left" w:pos="1701"/>
        </w:tabs>
        <w:rPr>
          <w:rFonts w:asciiTheme="minorHAnsi" w:hAnsiTheme="minorHAnsi"/>
          <w:b/>
        </w:rPr>
      </w:pPr>
    </w:p>
    <w:p w:rsidR="00ED7AD7" w:rsidRDefault="00ED7AD7" w:rsidP="00ED7AD7">
      <w:pPr>
        <w:tabs>
          <w:tab w:val="left" w:pos="1701"/>
        </w:tabs>
        <w:rPr>
          <w:rFonts w:asciiTheme="minorHAnsi" w:hAnsiTheme="minorHAnsi"/>
          <w:b/>
        </w:rPr>
      </w:pPr>
      <w:r w:rsidRPr="00A120C2">
        <w:rPr>
          <w:noProof/>
        </w:rPr>
        <w:drawing>
          <wp:inline distT="0" distB="0" distL="0" distR="0" wp14:anchorId="55B83C7D" wp14:editId="17F56825">
            <wp:extent cx="47625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rsidR="00ED7AD7" w:rsidRPr="00ED7AD7" w:rsidRDefault="00ED7AD7" w:rsidP="00ED7AD7">
      <w:pPr>
        <w:rPr>
          <w:rFonts w:asciiTheme="minorHAnsi" w:hAnsiTheme="minorHAnsi"/>
        </w:rPr>
      </w:pPr>
    </w:p>
    <w:p w:rsidR="00C80D1A" w:rsidRDefault="00C80D1A" w:rsidP="004731DE">
      <w:pPr>
        <w:autoSpaceDE w:val="0"/>
        <w:autoSpaceDN w:val="0"/>
        <w:adjustRightInd w:val="0"/>
        <w:jc w:val="center"/>
        <w:rPr>
          <w:rFonts w:asciiTheme="minorHAnsi" w:eastAsiaTheme="minorHAnsi" w:hAnsiTheme="minorHAnsi" w:cs="Calibri-Bold"/>
          <w:b/>
          <w:bCs/>
          <w:sz w:val="22"/>
          <w:szCs w:val="22"/>
          <w:lang w:eastAsia="en-US"/>
        </w:rPr>
      </w:pPr>
    </w:p>
    <w:sectPr w:rsidR="00C80D1A" w:rsidSect="006B633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9A" w:rsidRDefault="008A769A" w:rsidP="00FF697B">
      <w:r>
        <w:separator/>
      </w:r>
    </w:p>
  </w:endnote>
  <w:endnote w:type="continuationSeparator" w:id="0">
    <w:p w:rsidR="008A769A" w:rsidRDefault="008A769A" w:rsidP="00FF697B">
      <w:r>
        <w:continuationSeparator/>
      </w:r>
    </w:p>
  </w:endnote>
  <w:endnote w:type="continuationNotice" w:id="1">
    <w:p w:rsidR="008A769A" w:rsidRDefault="008A7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E7270C" w:rsidRPr="002714E9" w:rsidRDefault="00E7270C" w:rsidP="003D7081">
        <w:pPr>
          <w:pStyle w:val="Footer"/>
          <w:tabs>
            <w:tab w:val="clear" w:pos="9360"/>
            <w:tab w:val="right" w:pos="9072"/>
          </w:tabs>
          <w:rPr>
            <w:rFonts w:asciiTheme="minorHAnsi" w:hAnsiTheme="minorHAnsi"/>
            <w:sz w:val="20"/>
            <w:szCs w:val="20"/>
          </w:rPr>
        </w:pPr>
        <w:r>
          <w:rPr>
            <w:rFonts w:asciiTheme="minorHAnsi" w:hAnsiTheme="minorHAnsi"/>
            <w:sz w:val="20"/>
            <w:szCs w:val="20"/>
          </w:rPr>
          <w:t>SC</w:t>
        </w:r>
        <w:r w:rsidR="00EF17EF">
          <w:rPr>
            <w:rFonts w:asciiTheme="minorHAnsi" w:hAnsiTheme="minorHAnsi"/>
            <w:sz w:val="20"/>
            <w:szCs w:val="20"/>
          </w:rPr>
          <w:t>51</w:t>
        </w:r>
        <w:r>
          <w:rPr>
            <w:rFonts w:asciiTheme="minorHAnsi" w:hAnsiTheme="minorHAnsi"/>
            <w:sz w:val="20"/>
            <w:szCs w:val="20"/>
          </w:rPr>
          <w:t>-</w:t>
        </w:r>
        <w:r w:rsidR="00ED7AD7">
          <w:rPr>
            <w:rFonts w:asciiTheme="minorHAnsi" w:hAnsiTheme="minorHAnsi"/>
            <w:sz w:val="20"/>
            <w:szCs w:val="20"/>
          </w:rPr>
          <w:t>09</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3F1DA1">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9A" w:rsidRDefault="008A769A" w:rsidP="00FF697B">
      <w:r>
        <w:separator/>
      </w:r>
    </w:p>
  </w:footnote>
  <w:footnote w:type="continuationSeparator" w:id="0">
    <w:p w:rsidR="008A769A" w:rsidRDefault="008A769A" w:rsidP="00FF697B">
      <w:r>
        <w:continuationSeparator/>
      </w:r>
    </w:p>
  </w:footnote>
  <w:footnote w:type="continuationNotice" w:id="1">
    <w:p w:rsidR="008A769A" w:rsidRDefault="008A76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FEA24944"/>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0"/>
  </w:num>
  <w:num w:numId="5">
    <w:abstractNumId w:val="5"/>
  </w:num>
  <w:num w:numId="6">
    <w:abstractNumId w:val="3"/>
  </w:num>
  <w:num w:numId="7">
    <w:abstractNumId w:val="12"/>
  </w:num>
  <w:num w:numId="8">
    <w:abstractNumId w:val="2"/>
  </w:num>
  <w:num w:numId="9">
    <w:abstractNumId w:val="7"/>
  </w:num>
  <w:num w:numId="10">
    <w:abstractNumId w:val="16"/>
  </w:num>
  <w:num w:numId="11">
    <w:abstractNumId w:val="9"/>
  </w:num>
  <w:num w:numId="12">
    <w:abstractNumId w:val="13"/>
  </w:num>
  <w:num w:numId="13">
    <w:abstractNumId w:val="11"/>
  </w:num>
  <w:num w:numId="14">
    <w:abstractNumId w:val="4"/>
  </w:num>
  <w:num w:numId="15">
    <w:abstractNumId w:val="18"/>
  </w:num>
  <w:num w:numId="16">
    <w:abstractNumId w:val="19"/>
  </w:num>
  <w:num w:numId="17">
    <w:abstractNumId w:val="6"/>
  </w:num>
  <w:num w:numId="18">
    <w:abstractNumId w:val="20"/>
  </w:num>
  <w:num w:numId="19">
    <w:abstractNumId w:val="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5F2A"/>
    <w:rsid w:val="00032C51"/>
    <w:rsid w:val="00033522"/>
    <w:rsid w:val="000346F0"/>
    <w:rsid w:val="00041AFD"/>
    <w:rsid w:val="00051CDC"/>
    <w:rsid w:val="0005674C"/>
    <w:rsid w:val="00057770"/>
    <w:rsid w:val="000728A7"/>
    <w:rsid w:val="0007671F"/>
    <w:rsid w:val="00080B42"/>
    <w:rsid w:val="000815CF"/>
    <w:rsid w:val="00081961"/>
    <w:rsid w:val="00092540"/>
    <w:rsid w:val="000A5223"/>
    <w:rsid w:val="000A6728"/>
    <w:rsid w:val="000B4FCC"/>
    <w:rsid w:val="000C7803"/>
    <w:rsid w:val="000E0DD8"/>
    <w:rsid w:val="000E19EC"/>
    <w:rsid w:val="000F1D6E"/>
    <w:rsid w:val="001006BE"/>
    <w:rsid w:val="00100888"/>
    <w:rsid w:val="00104BBE"/>
    <w:rsid w:val="0010584A"/>
    <w:rsid w:val="0011563D"/>
    <w:rsid w:val="00117941"/>
    <w:rsid w:val="001233DE"/>
    <w:rsid w:val="001348B6"/>
    <w:rsid w:val="0013737A"/>
    <w:rsid w:val="00146F43"/>
    <w:rsid w:val="00172DDC"/>
    <w:rsid w:val="0017359A"/>
    <w:rsid w:val="00174630"/>
    <w:rsid w:val="00183A30"/>
    <w:rsid w:val="001A0160"/>
    <w:rsid w:val="001C64CD"/>
    <w:rsid w:val="001D0F43"/>
    <w:rsid w:val="001D265C"/>
    <w:rsid w:val="001D4A5C"/>
    <w:rsid w:val="001F1FBB"/>
    <w:rsid w:val="002447E7"/>
    <w:rsid w:val="002514F1"/>
    <w:rsid w:val="002646FA"/>
    <w:rsid w:val="002660B1"/>
    <w:rsid w:val="002714E9"/>
    <w:rsid w:val="002934B0"/>
    <w:rsid w:val="002953F3"/>
    <w:rsid w:val="002B42B8"/>
    <w:rsid w:val="002C0479"/>
    <w:rsid w:val="002C0555"/>
    <w:rsid w:val="002D6856"/>
    <w:rsid w:val="002E64DF"/>
    <w:rsid w:val="002F58A7"/>
    <w:rsid w:val="00325B11"/>
    <w:rsid w:val="00326F22"/>
    <w:rsid w:val="003320A7"/>
    <w:rsid w:val="00337C92"/>
    <w:rsid w:val="00382E89"/>
    <w:rsid w:val="003915FB"/>
    <w:rsid w:val="00391C56"/>
    <w:rsid w:val="00392E1D"/>
    <w:rsid w:val="003B050A"/>
    <w:rsid w:val="003B253B"/>
    <w:rsid w:val="003B5014"/>
    <w:rsid w:val="003C128F"/>
    <w:rsid w:val="003C20FF"/>
    <w:rsid w:val="003C6A54"/>
    <w:rsid w:val="003D7081"/>
    <w:rsid w:val="003E0E4E"/>
    <w:rsid w:val="003E11F9"/>
    <w:rsid w:val="003F1DA1"/>
    <w:rsid w:val="003F7B34"/>
    <w:rsid w:val="00400BE4"/>
    <w:rsid w:val="00434554"/>
    <w:rsid w:val="00446641"/>
    <w:rsid w:val="00457E6A"/>
    <w:rsid w:val="004731DE"/>
    <w:rsid w:val="00482DC9"/>
    <w:rsid w:val="00487333"/>
    <w:rsid w:val="004A08F0"/>
    <w:rsid w:val="004B38AD"/>
    <w:rsid w:val="004B4F43"/>
    <w:rsid w:val="004C3C9F"/>
    <w:rsid w:val="004C7A23"/>
    <w:rsid w:val="004F5DCB"/>
    <w:rsid w:val="004F5DCD"/>
    <w:rsid w:val="004F6FD2"/>
    <w:rsid w:val="00504F5D"/>
    <w:rsid w:val="005153CF"/>
    <w:rsid w:val="00533213"/>
    <w:rsid w:val="005502D2"/>
    <w:rsid w:val="005518CD"/>
    <w:rsid w:val="005630B6"/>
    <w:rsid w:val="00581EC3"/>
    <w:rsid w:val="00582948"/>
    <w:rsid w:val="00587498"/>
    <w:rsid w:val="00590622"/>
    <w:rsid w:val="00592107"/>
    <w:rsid w:val="00596A96"/>
    <w:rsid w:val="005A4493"/>
    <w:rsid w:val="005A66E2"/>
    <w:rsid w:val="005B581C"/>
    <w:rsid w:val="005B769D"/>
    <w:rsid w:val="005D5FFC"/>
    <w:rsid w:val="005D7F8A"/>
    <w:rsid w:val="005F4ABE"/>
    <w:rsid w:val="00631532"/>
    <w:rsid w:val="0064540F"/>
    <w:rsid w:val="00645412"/>
    <w:rsid w:val="00651E2D"/>
    <w:rsid w:val="00657000"/>
    <w:rsid w:val="00667F55"/>
    <w:rsid w:val="006820B0"/>
    <w:rsid w:val="00694AC4"/>
    <w:rsid w:val="006961B7"/>
    <w:rsid w:val="006A4A76"/>
    <w:rsid w:val="006B4949"/>
    <w:rsid w:val="006B6339"/>
    <w:rsid w:val="006D0C5F"/>
    <w:rsid w:val="006D12B3"/>
    <w:rsid w:val="00760D4B"/>
    <w:rsid w:val="00771876"/>
    <w:rsid w:val="00776F3B"/>
    <w:rsid w:val="00787545"/>
    <w:rsid w:val="007A16D7"/>
    <w:rsid w:val="007A5606"/>
    <w:rsid w:val="007B419C"/>
    <w:rsid w:val="007E7B4D"/>
    <w:rsid w:val="007F1E7B"/>
    <w:rsid w:val="007F38E9"/>
    <w:rsid w:val="007F4615"/>
    <w:rsid w:val="00806209"/>
    <w:rsid w:val="00810F0C"/>
    <w:rsid w:val="008200FA"/>
    <w:rsid w:val="0082444A"/>
    <w:rsid w:val="00837832"/>
    <w:rsid w:val="0084616E"/>
    <w:rsid w:val="00863FEF"/>
    <w:rsid w:val="00870DF6"/>
    <w:rsid w:val="008723F0"/>
    <w:rsid w:val="00873D23"/>
    <w:rsid w:val="008769EA"/>
    <w:rsid w:val="00892E1A"/>
    <w:rsid w:val="00896DF7"/>
    <w:rsid w:val="008A6402"/>
    <w:rsid w:val="008A769A"/>
    <w:rsid w:val="008B2CBB"/>
    <w:rsid w:val="008C445B"/>
    <w:rsid w:val="008D14FE"/>
    <w:rsid w:val="008E03AA"/>
    <w:rsid w:val="008E23DC"/>
    <w:rsid w:val="008E7A2A"/>
    <w:rsid w:val="009157D4"/>
    <w:rsid w:val="00920D91"/>
    <w:rsid w:val="00941D6F"/>
    <w:rsid w:val="00952C58"/>
    <w:rsid w:val="00954E10"/>
    <w:rsid w:val="00955DFF"/>
    <w:rsid w:val="009D1E33"/>
    <w:rsid w:val="009D4081"/>
    <w:rsid w:val="009D7EE2"/>
    <w:rsid w:val="009E4C08"/>
    <w:rsid w:val="00A02F36"/>
    <w:rsid w:val="00A07D4F"/>
    <w:rsid w:val="00A10C01"/>
    <w:rsid w:val="00A14906"/>
    <w:rsid w:val="00A158A4"/>
    <w:rsid w:val="00A16BDF"/>
    <w:rsid w:val="00A228B2"/>
    <w:rsid w:val="00A36B41"/>
    <w:rsid w:val="00A43C7D"/>
    <w:rsid w:val="00A46E45"/>
    <w:rsid w:val="00A55093"/>
    <w:rsid w:val="00A6690C"/>
    <w:rsid w:val="00A8614B"/>
    <w:rsid w:val="00A97E73"/>
    <w:rsid w:val="00AB28A1"/>
    <w:rsid w:val="00AB7590"/>
    <w:rsid w:val="00AC669A"/>
    <w:rsid w:val="00AD39A4"/>
    <w:rsid w:val="00AE05E7"/>
    <w:rsid w:val="00AF2442"/>
    <w:rsid w:val="00AF391D"/>
    <w:rsid w:val="00AF63F3"/>
    <w:rsid w:val="00B30085"/>
    <w:rsid w:val="00B31BC1"/>
    <w:rsid w:val="00B447BA"/>
    <w:rsid w:val="00B94F41"/>
    <w:rsid w:val="00B96189"/>
    <w:rsid w:val="00BA1F7B"/>
    <w:rsid w:val="00BA2127"/>
    <w:rsid w:val="00BA4D61"/>
    <w:rsid w:val="00BA6D1A"/>
    <w:rsid w:val="00BA70B5"/>
    <w:rsid w:val="00BC245F"/>
    <w:rsid w:val="00BC621C"/>
    <w:rsid w:val="00BD0330"/>
    <w:rsid w:val="00BD5EA5"/>
    <w:rsid w:val="00BE5EAD"/>
    <w:rsid w:val="00BF3184"/>
    <w:rsid w:val="00C17766"/>
    <w:rsid w:val="00C4689B"/>
    <w:rsid w:val="00C53DB5"/>
    <w:rsid w:val="00C545EA"/>
    <w:rsid w:val="00C552A9"/>
    <w:rsid w:val="00C55392"/>
    <w:rsid w:val="00C57997"/>
    <w:rsid w:val="00C606CD"/>
    <w:rsid w:val="00C7225E"/>
    <w:rsid w:val="00C74B34"/>
    <w:rsid w:val="00C770A9"/>
    <w:rsid w:val="00C80D1A"/>
    <w:rsid w:val="00C931F7"/>
    <w:rsid w:val="00CA36DC"/>
    <w:rsid w:val="00CD26B4"/>
    <w:rsid w:val="00CE06B5"/>
    <w:rsid w:val="00D03226"/>
    <w:rsid w:val="00D12244"/>
    <w:rsid w:val="00D21621"/>
    <w:rsid w:val="00D33954"/>
    <w:rsid w:val="00D36866"/>
    <w:rsid w:val="00D55DD9"/>
    <w:rsid w:val="00D75281"/>
    <w:rsid w:val="00D76D82"/>
    <w:rsid w:val="00D8166D"/>
    <w:rsid w:val="00D91024"/>
    <w:rsid w:val="00D94C75"/>
    <w:rsid w:val="00DC4D8F"/>
    <w:rsid w:val="00DC7754"/>
    <w:rsid w:val="00DE297C"/>
    <w:rsid w:val="00DF047C"/>
    <w:rsid w:val="00DF0CB9"/>
    <w:rsid w:val="00DF1E83"/>
    <w:rsid w:val="00E039B7"/>
    <w:rsid w:val="00E077BC"/>
    <w:rsid w:val="00E26DD6"/>
    <w:rsid w:val="00E441CB"/>
    <w:rsid w:val="00E656E6"/>
    <w:rsid w:val="00E7270C"/>
    <w:rsid w:val="00E8018B"/>
    <w:rsid w:val="00E86897"/>
    <w:rsid w:val="00E929EF"/>
    <w:rsid w:val="00E959F6"/>
    <w:rsid w:val="00EA3FBC"/>
    <w:rsid w:val="00EC3AF4"/>
    <w:rsid w:val="00ED7AD7"/>
    <w:rsid w:val="00EE0E62"/>
    <w:rsid w:val="00EF17EF"/>
    <w:rsid w:val="00EF2B14"/>
    <w:rsid w:val="00EF2E30"/>
    <w:rsid w:val="00EF4815"/>
    <w:rsid w:val="00F05AA5"/>
    <w:rsid w:val="00F110D1"/>
    <w:rsid w:val="00F35761"/>
    <w:rsid w:val="00F427E1"/>
    <w:rsid w:val="00F507B8"/>
    <w:rsid w:val="00F66E12"/>
    <w:rsid w:val="00F73267"/>
    <w:rsid w:val="00F83863"/>
    <w:rsid w:val="00F85A79"/>
    <w:rsid w:val="00F86463"/>
    <w:rsid w:val="00FA2B25"/>
    <w:rsid w:val="00FB5873"/>
    <w:rsid w:val="00FC2FD7"/>
    <w:rsid w:val="00FC4460"/>
    <w:rsid w:val="00FD04F2"/>
    <w:rsid w:val="00FD0F57"/>
    <w:rsid w:val="00FE0FAB"/>
    <w:rsid w:val="00FE3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CE79-4F99-4549-B477-E1FF2E50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2015-08-10T15:16:00Z</dcterms:created>
  <dcterms:modified xsi:type="dcterms:W3CDTF">2015-08-10T15:17:00Z</dcterms:modified>
</cp:coreProperties>
</file>