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21BF4" w14:textId="77777777" w:rsidR="0029353C" w:rsidRPr="00E17D49" w:rsidRDefault="0029353C" w:rsidP="0019368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eastAsia="Times New Roman" w:cstheme="minorHAnsi"/>
          <w:bCs/>
          <w:sz w:val="24"/>
          <w:szCs w:val="20"/>
          <w:lang w:val="es-ES_tradnl" w:eastAsia="en-GB"/>
        </w:rPr>
      </w:pPr>
      <w:r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CONVE</w:t>
      </w:r>
      <w:r w:rsidR="0069728A"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NCIÓN SOBRE LOS HUMEDALES (Ramsar, Irá</w:t>
      </w:r>
      <w:r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n, 1971)</w:t>
      </w:r>
    </w:p>
    <w:p w14:paraId="03973C2E" w14:textId="77777777" w:rsidR="0029353C" w:rsidRPr="00E17D49" w:rsidRDefault="0029353C" w:rsidP="0019368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eastAsia="Times New Roman" w:cstheme="minorHAnsi"/>
          <w:bCs/>
          <w:sz w:val="24"/>
          <w:szCs w:val="20"/>
          <w:lang w:val="es-ES_tradnl" w:eastAsia="en-GB"/>
        </w:rPr>
      </w:pPr>
      <w:r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5</w:t>
      </w:r>
      <w:r w:rsidR="0069728A"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1ª Reunión del Comité Permanente</w:t>
      </w:r>
    </w:p>
    <w:p w14:paraId="5BEC70B3" w14:textId="77777777" w:rsidR="0029353C" w:rsidRPr="00E17D49" w:rsidRDefault="0029353C" w:rsidP="0019368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eastAsia="Times New Roman" w:cstheme="minorHAnsi"/>
          <w:bCs/>
          <w:sz w:val="24"/>
          <w:szCs w:val="20"/>
          <w:lang w:val="es-ES_tradnl" w:eastAsia="en-GB"/>
        </w:rPr>
      </w:pPr>
      <w:r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Gland, S</w:t>
      </w:r>
      <w:r w:rsidR="0069728A"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 xml:space="preserve">uiza, 23 a </w:t>
      </w:r>
      <w:r w:rsidR="00193687"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 xml:space="preserve">27 </w:t>
      </w:r>
      <w:r w:rsidR="0069728A"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de noviembre de 2015</w:t>
      </w:r>
    </w:p>
    <w:p w14:paraId="18AC6184" w14:textId="77777777" w:rsidR="0029353C" w:rsidRPr="00E17D49" w:rsidRDefault="0029353C" w:rsidP="002935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p w14:paraId="2825BA4E" w14:textId="75B62AD5" w:rsidR="0029353C" w:rsidRPr="00E17D49" w:rsidRDefault="0029353C" w:rsidP="00CF0DD4">
      <w:pPr>
        <w:spacing w:after="0" w:line="240" w:lineRule="auto"/>
        <w:jc w:val="right"/>
        <w:rPr>
          <w:b/>
          <w:sz w:val="28"/>
          <w:szCs w:val="28"/>
          <w:lang w:val="es-ES_tradnl"/>
        </w:rPr>
      </w:pPr>
      <w:r w:rsidRPr="00E17D49">
        <w:rPr>
          <w:b/>
          <w:sz w:val="28"/>
          <w:szCs w:val="28"/>
          <w:lang w:val="es-ES_tradnl"/>
        </w:rPr>
        <w:t>SC51-</w:t>
      </w:r>
      <w:r w:rsidR="00233BC1">
        <w:rPr>
          <w:b/>
          <w:sz w:val="28"/>
          <w:szCs w:val="28"/>
          <w:lang w:val="es-ES_tradnl"/>
        </w:rPr>
        <w:t>08</w:t>
      </w:r>
    </w:p>
    <w:p w14:paraId="4A690266" w14:textId="77777777" w:rsidR="0029353C" w:rsidRPr="00E17D49" w:rsidRDefault="0029353C" w:rsidP="00CF0D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Calibri"/>
          <w:b/>
          <w:sz w:val="28"/>
          <w:szCs w:val="28"/>
          <w:lang w:val="es-ES_tradnl"/>
        </w:rPr>
      </w:pPr>
    </w:p>
    <w:p w14:paraId="398DE882" w14:textId="07FEE5A5" w:rsidR="0029353C" w:rsidRPr="00E17D49" w:rsidRDefault="0069728A" w:rsidP="00CF0DD4">
      <w:pPr>
        <w:spacing w:after="0" w:line="240" w:lineRule="auto"/>
        <w:ind w:right="-568"/>
        <w:jc w:val="center"/>
        <w:rPr>
          <w:rFonts w:cs="Arial"/>
          <w:b/>
          <w:sz w:val="28"/>
          <w:szCs w:val="28"/>
          <w:lang w:val="es-ES_tradnl"/>
        </w:rPr>
      </w:pPr>
      <w:r w:rsidRPr="00E17D49">
        <w:rPr>
          <w:rFonts w:eastAsia="Garamond" w:cs="Garamond"/>
          <w:b/>
          <w:bCs/>
          <w:sz w:val="28"/>
          <w:szCs w:val="28"/>
          <w:lang w:val="es-ES_tradnl"/>
        </w:rPr>
        <w:t xml:space="preserve">Plan de </w:t>
      </w:r>
      <w:r w:rsidRPr="00812051">
        <w:rPr>
          <w:rFonts w:eastAsia="Garamond" w:cs="Garamond"/>
          <w:b/>
          <w:bCs/>
          <w:sz w:val="28"/>
          <w:szCs w:val="28"/>
          <w:lang w:val="es-ES_tradnl"/>
        </w:rPr>
        <w:t>trabajo</w:t>
      </w:r>
      <w:r w:rsidR="00233BC1">
        <w:rPr>
          <w:rFonts w:eastAsia="Garamond" w:cs="Garamond"/>
          <w:b/>
          <w:bCs/>
          <w:sz w:val="28"/>
          <w:szCs w:val="28"/>
          <w:lang w:val="es-ES_tradnl"/>
        </w:rPr>
        <w:t xml:space="preserve"> de la Secretaría de la Convención de Ramsar para </w:t>
      </w:r>
      <w:r w:rsidR="00F0664F" w:rsidRPr="00E17D49">
        <w:rPr>
          <w:rFonts w:eastAsia="Garamond" w:cs="Garamond"/>
          <w:b/>
          <w:bCs/>
          <w:sz w:val="28"/>
          <w:szCs w:val="28"/>
          <w:lang w:val="es-ES_tradnl"/>
        </w:rPr>
        <w:t>2016</w:t>
      </w:r>
    </w:p>
    <w:p w14:paraId="141D9AD2" w14:textId="77777777" w:rsidR="0029353C" w:rsidRPr="00E17D49" w:rsidRDefault="0029353C" w:rsidP="00CF0D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Calibri"/>
          <w:sz w:val="28"/>
          <w:szCs w:val="28"/>
          <w:lang w:val="es-ES_tradnl"/>
        </w:rPr>
      </w:pPr>
      <w:bookmarkStart w:id="0" w:name="_GoBack"/>
      <w:bookmarkEnd w:id="0"/>
    </w:p>
    <w:p w14:paraId="4EC92ABA" w14:textId="77777777" w:rsidR="0029353C" w:rsidRPr="00E17D49" w:rsidRDefault="0029353C" w:rsidP="002935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cs="Calibri"/>
          <w:b/>
          <w:lang w:val="es-ES_tradnl"/>
        </w:rPr>
      </w:pPr>
      <w:r w:rsidRPr="00E17D49">
        <w:rPr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178AA877" wp14:editId="3D6DABFB">
                <wp:extent cx="5842635" cy="731520"/>
                <wp:effectExtent l="0" t="0" r="24765" b="1143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CC76" w14:textId="098148F8" w:rsidR="00D05CF1" w:rsidRPr="00E17D49" w:rsidRDefault="00D05CF1" w:rsidP="0029353C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lang w:val="es-ES_tradnl"/>
                              </w:rPr>
                            </w:pPr>
                            <w:r w:rsidRPr="00E17D49">
                              <w:rPr>
                                <w:rFonts w:ascii="Calibri" w:hAnsi="Calibri"/>
                                <w:lang w:val="es-ES_tradnl"/>
                              </w:rPr>
                              <w:t xml:space="preserve"> </w:t>
                            </w:r>
                            <w:r w:rsidRPr="00E17D49">
                              <w:rPr>
                                <w:rFonts w:ascii="Calibri" w:hAnsi="Calibri"/>
                                <w:b/>
                                <w:bCs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3F20BA23" w14:textId="7C9D1ECA" w:rsidR="00D05CF1" w:rsidRPr="00E17D49" w:rsidRDefault="00D05CF1" w:rsidP="00F0664F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lang w:val="es-ES_tradnl"/>
                              </w:rPr>
                            </w:pPr>
                            <w:r w:rsidRPr="00E17D49"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Se invita al Comité Permanente a tomar nota del </w:t>
                            </w:r>
                            <w:r>
                              <w:rPr>
                                <w:rFonts w:ascii="Calibri" w:eastAsia="Calibri" w:hAnsi="Calibri"/>
                                <w:lang w:val="es-ES_tradnl"/>
                              </w:rPr>
                              <w:t>p</w:t>
                            </w:r>
                            <w:r w:rsidRPr="00E17D49"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lan de </w:t>
                            </w:r>
                            <w:r w:rsidRPr="00812051">
                              <w:rPr>
                                <w:rFonts w:ascii="Calibri" w:eastAsia="Calibri" w:hAnsi="Calibri"/>
                                <w:lang w:val="es-ES_tradnl"/>
                              </w:rPr>
                              <w:t>trabajo</w:t>
                            </w:r>
                            <w:r w:rsidRPr="00E17D49"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 de la Secretaría </w:t>
                            </w:r>
                            <w:r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de la Convención de Ramsar </w:t>
                            </w:r>
                            <w:r w:rsidRPr="00E17D49">
                              <w:rPr>
                                <w:rFonts w:ascii="Calibri" w:eastAsia="Calibri" w:hAnsi="Calibri"/>
                                <w:lang w:val="es-ES_tradnl"/>
                              </w:rPr>
                              <w:t>para</w:t>
                            </w:r>
                            <w:r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 2016 </w:t>
                            </w:r>
                            <w:r w:rsidRPr="00E17D49">
                              <w:rPr>
                                <w:rFonts w:ascii="Calibri" w:eastAsia="Calibri" w:hAnsi="Calibri"/>
                                <w:lang w:val="es-ES_tradnl"/>
                              </w:rPr>
                              <w:t>y aprobarlo.</w:t>
                            </w:r>
                          </w:p>
                          <w:p w14:paraId="6591A070" w14:textId="77777777" w:rsidR="00D05CF1" w:rsidRPr="00E17D49" w:rsidRDefault="00D05CF1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60.0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">
                <v:textbox>
                  <w:txbxContent>
                    <w:p w14:paraId="6430CC76" w14:textId="098148F8" w:rsidR="00D05CF1" w:rsidRPr="00E17D49" w:rsidRDefault="00D05CF1" w:rsidP="0029353C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lang w:val="es-ES_tradnl"/>
                        </w:rPr>
                      </w:pPr>
                      <w:r w:rsidRPr="00E17D49">
                        <w:rPr>
                          <w:rFonts w:ascii="Calibri" w:hAnsi="Calibri"/>
                          <w:lang w:val="es-ES_tradnl"/>
                        </w:rPr>
                        <w:t xml:space="preserve"> </w:t>
                      </w:r>
                      <w:r w:rsidRPr="00E17D49">
                        <w:rPr>
                          <w:rFonts w:ascii="Calibri" w:hAnsi="Calibri"/>
                          <w:b/>
                          <w:bCs/>
                          <w:lang w:val="es-ES_tradnl"/>
                        </w:rPr>
                        <w:t xml:space="preserve">Acciones solicitadas: </w:t>
                      </w:r>
                    </w:p>
                    <w:p w14:paraId="3F20BA23" w14:textId="7C9D1ECA" w:rsidR="00D05CF1" w:rsidRPr="00E17D49" w:rsidRDefault="00D05CF1" w:rsidP="00F0664F">
                      <w:pPr>
                        <w:spacing w:after="0" w:line="240" w:lineRule="auto"/>
                        <w:rPr>
                          <w:rFonts w:ascii="Calibri" w:hAnsi="Calibri" w:cs="Arial"/>
                          <w:lang w:val="es-ES_tradnl"/>
                        </w:rPr>
                      </w:pPr>
                      <w:r w:rsidRPr="00E17D49">
                        <w:rPr>
                          <w:rFonts w:ascii="Calibri" w:eastAsia="Calibri" w:hAnsi="Calibri"/>
                          <w:lang w:val="es-ES_tradnl"/>
                        </w:rPr>
                        <w:t xml:space="preserve">Se invita al Comité Permanente a tomar nota del </w:t>
                      </w:r>
                      <w:r>
                        <w:rPr>
                          <w:rFonts w:ascii="Calibri" w:eastAsia="Calibri" w:hAnsi="Calibri"/>
                          <w:lang w:val="es-ES_tradnl"/>
                        </w:rPr>
                        <w:t>p</w:t>
                      </w:r>
                      <w:r w:rsidRPr="00E17D49">
                        <w:rPr>
                          <w:rFonts w:ascii="Calibri" w:eastAsia="Calibri" w:hAnsi="Calibri"/>
                          <w:lang w:val="es-ES_tradnl"/>
                        </w:rPr>
                        <w:t xml:space="preserve">lan de </w:t>
                      </w:r>
                      <w:r w:rsidRPr="00812051">
                        <w:rPr>
                          <w:rFonts w:ascii="Calibri" w:eastAsia="Calibri" w:hAnsi="Calibri"/>
                          <w:lang w:val="es-ES_tradnl"/>
                        </w:rPr>
                        <w:t>trabajo</w:t>
                      </w:r>
                      <w:r w:rsidRPr="00E17D49">
                        <w:rPr>
                          <w:rFonts w:ascii="Calibri" w:eastAsia="Calibri" w:hAnsi="Calibri"/>
                          <w:lang w:val="es-ES_tradnl"/>
                        </w:rPr>
                        <w:t xml:space="preserve"> de la Secretaría </w:t>
                      </w:r>
                      <w:r>
                        <w:rPr>
                          <w:rFonts w:ascii="Calibri" w:eastAsia="Calibri" w:hAnsi="Calibri"/>
                          <w:lang w:val="es-ES_tradnl"/>
                        </w:rPr>
                        <w:t xml:space="preserve">de la Convención de Ramsar </w:t>
                      </w:r>
                      <w:r w:rsidRPr="00E17D49">
                        <w:rPr>
                          <w:rFonts w:ascii="Calibri" w:eastAsia="Calibri" w:hAnsi="Calibri"/>
                          <w:lang w:val="es-ES_tradnl"/>
                        </w:rPr>
                        <w:t>para</w:t>
                      </w:r>
                      <w:r>
                        <w:rPr>
                          <w:rFonts w:ascii="Calibri" w:eastAsia="Calibri" w:hAnsi="Calibri"/>
                          <w:lang w:val="es-ES_tradnl"/>
                        </w:rPr>
                        <w:t xml:space="preserve"> 2016 </w:t>
                      </w:r>
                      <w:r w:rsidRPr="00E17D49">
                        <w:rPr>
                          <w:rFonts w:ascii="Calibri" w:eastAsia="Calibri" w:hAnsi="Calibri"/>
                          <w:lang w:val="es-ES_tradnl"/>
                        </w:rPr>
                        <w:t>y aprobarlo.</w:t>
                      </w:r>
                    </w:p>
                    <w:p w14:paraId="6591A070" w14:textId="77777777" w:rsidR="00D05CF1" w:rsidRPr="00E17D49" w:rsidRDefault="00D05CF1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790381" w14:textId="77777777" w:rsidR="00E67057" w:rsidRPr="00E17D49" w:rsidRDefault="00E67057" w:rsidP="003B529A">
      <w:pPr>
        <w:spacing w:after="0" w:line="240" w:lineRule="auto"/>
        <w:rPr>
          <w:rFonts w:cs="Calibri"/>
          <w:b/>
          <w:sz w:val="20"/>
          <w:lang w:val="es-ES_tradnl"/>
        </w:rPr>
      </w:pPr>
    </w:p>
    <w:p w14:paraId="3B882EDA" w14:textId="224A8E1D" w:rsidR="00B560DC" w:rsidRPr="00E17D49" w:rsidRDefault="00702F2A" w:rsidP="003B529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426" w:right="-46" w:hanging="426"/>
        <w:rPr>
          <w:lang w:val="es-ES_tradnl"/>
        </w:rPr>
      </w:pPr>
      <w:r w:rsidRPr="00E17D49">
        <w:rPr>
          <w:lang w:val="es-ES_tradnl"/>
        </w:rPr>
        <w:t xml:space="preserve">La </w:t>
      </w:r>
      <w:r w:rsidR="003D1F56" w:rsidRPr="00E17D49">
        <w:rPr>
          <w:lang w:val="es-ES_tradnl"/>
        </w:rPr>
        <w:t>12</w:t>
      </w:r>
      <w:r w:rsidRPr="00E17D49">
        <w:rPr>
          <w:lang w:val="es-ES_tradnl"/>
        </w:rPr>
        <w:t xml:space="preserve">ª reunión de la Conferencia de las Partes concluyó con 16 resoluciones, que </w:t>
      </w:r>
      <w:r w:rsidR="00E17D49" w:rsidRPr="00E17D49">
        <w:rPr>
          <w:lang w:val="es-ES_tradnl"/>
        </w:rPr>
        <w:t>contienen</w:t>
      </w:r>
      <w:r w:rsidRPr="00E17D49">
        <w:rPr>
          <w:lang w:val="es-ES_tradnl"/>
        </w:rPr>
        <w:t xml:space="preserve"> decisiones e instrucciones específicas para la </w:t>
      </w:r>
      <w:r w:rsidR="00E17D49" w:rsidRPr="00E17D49">
        <w:rPr>
          <w:lang w:val="es-ES_tradnl"/>
        </w:rPr>
        <w:t>Secretaría</w:t>
      </w:r>
      <w:r w:rsidRPr="00E17D49">
        <w:rPr>
          <w:lang w:val="es-ES_tradnl"/>
        </w:rPr>
        <w:t>.</w:t>
      </w:r>
    </w:p>
    <w:p w14:paraId="727A2381" w14:textId="77777777" w:rsidR="00B560DC" w:rsidRPr="00E17D49" w:rsidRDefault="00B560DC" w:rsidP="00B560DC">
      <w:pPr>
        <w:pStyle w:val="ListParagraph"/>
        <w:widowControl w:val="0"/>
        <w:spacing w:after="0" w:line="240" w:lineRule="auto"/>
        <w:ind w:left="426" w:right="-46"/>
        <w:rPr>
          <w:lang w:val="es-ES_tradnl"/>
        </w:rPr>
      </w:pPr>
    </w:p>
    <w:p w14:paraId="52B1028D" w14:textId="4AA39FA0" w:rsidR="00EC04D2" w:rsidRPr="00E17D49" w:rsidRDefault="00702F2A" w:rsidP="003B529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426" w:right="-46" w:hanging="426"/>
        <w:rPr>
          <w:lang w:val="es-ES_tradnl"/>
        </w:rPr>
      </w:pPr>
      <w:r w:rsidRPr="00DF2BBF">
        <w:rPr>
          <w:lang w:val="es-ES_tradnl"/>
        </w:rPr>
        <w:t>Para</w:t>
      </w:r>
      <w:r w:rsidRPr="00E17D49">
        <w:rPr>
          <w:lang w:val="es-ES_tradnl"/>
        </w:rPr>
        <w:t xml:space="preserve"> cada una de las decisiones derivadas de las resoluciones de la COP12 se han definido las actividades de la Secretaría y se han establecido correspondencias con los objetivos y metas del Cuarto Plan Estratégico de Ramsar </w:t>
      </w:r>
      <w:r w:rsidR="00DF2BBF">
        <w:rPr>
          <w:lang w:val="es-ES_tradnl"/>
        </w:rPr>
        <w:t>a fin de</w:t>
      </w:r>
      <w:r w:rsidRPr="00E17D49">
        <w:rPr>
          <w:lang w:val="es-ES_tradnl"/>
        </w:rPr>
        <w:t xml:space="preserve"> elaborar el </w:t>
      </w:r>
      <w:r w:rsidR="00DF2BBF">
        <w:rPr>
          <w:lang w:val="es-ES_tradnl"/>
        </w:rPr>
        <w:t>plan de trabajo</w:t>
      </w:r>
      <w:r w:rsidRPr="00E17D49">
        <w:rPr>
          <w:lang w:val="es-ES_tradnl"/>
        </w:rPr>
        <w:t xml:space="preserve"> para el trienio </w:t>
      </w:r>
      <w:r w:rsidR="00B07D73" w:rsidRPr="00E17D49">
        <w:rPr>
          <w:lang w:val="es-ES_tradnl"/>
        </w:rPr>
        <w:t>2016-2</w:t>
      </w:r>
      <w:r w:rsidR="00DF2BBF">
        <w:rPr>
          <w:lang w:val="es-ES_tradnl"/>
        </w:rPr>
        <w:t>018</w:t>
      </w:r>
      <w:r w:rsidR="00F0664F" w:rsidRPr="00E17D49">
        <w:rPr>
          <w:lang w:val="es-ES_tradnl"/>
        </w:rPr>
        <w:t>.</w:t>
      </w:r>
    </w:p>
    <w:p w14:paraId="6BBBAA45" w14:textId="77777777" w:rsidR="00B560DC" w:rsidRPr="00E17D49" w:rsidRDefault="00B560DC" w:rsidP="00B560DC">
      <w:pPr>
        <w:pStyle w:val="ListParagraph"/>
        <w:rPr>
          <w:lang w:val="es-ES_tradnl"/>
        </w:rPr>
      </w:pPr>
    </w:p>
    <w:p w14:paraId="19800B1C" w14:textId="01CDB730" w:rsidR="00B560DC" w:rsidRDefault="00702F2A" w:rsidP="003B529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426" w:right="-46" w:hanging="426"/>
        <w:rPr>
          <w:lang w:val="es-ES_tradnl"/>
        </w:rPr>
      </w:pPr>
      <w:r w:rsidRPr="00E17D49">
        <w:rPr>
          <w:lang w:val="es-ES_tradnl"/>
        </w:rPr>
        <w:t>Es</w:t>
      </w:r>
      <w:r w:rsidR="00DF2BBF">
        <w:rPr>
          <w:lang w:val="es-ES_tradnl"/>
        </w:rPr>
        <w:t xml:space="preserve">ta planificación del trabajo </w:t>
      </w:r>
      <w:r w:rsidRPr="00E17D49">
        <w:rPr>
          <w:lang w:val="es-ES_tradnl"/>
        </w:rPr>
        <w:t xml:space="preserve">se realizó en un taller </w:t>
      </w:r>
      <w:r w:rsidR="00DF2BBF">
        <w:rPr>
          <w:lang w:val="es-ES_tradnl"/>
        </w:rPr>
        <w:t>de colaboración</w:t>
      </w:r>
      <w:r w:rsidR="00B560DC" w:rsidRPr="00E17D49">
        <w:rPr>
          <w:lang w:val="es-ES_tradnl"/>
        </w:rPr>
        <w:t xml:space="preserve"> </w:t>
      </w:r>
      <w:r w:rsidRPr="00E17D49">
        <w:rPr>
          <w:lang w:val="es-ES_tradnl"/>
        </w:rPr>
        <w:t xml:space="preserve">en el que </w:t>
      </w:r>
      <w:r w:rsidR="00DF2BBF">
        <w:rPr>
          <w:lang w:val="es-ES_tradnl"/>
        </w:rPr>
        <w:t>participó</w:t>
      </w:r>
      <w:r w:rsidRPr="00E17D49">
        <w:rPr>
          <w:lang w:val="es-ES_tradnl"/>
        </w:rPr>
        <w:t xml:space="preserve"> </w:t>
      </w:r>
      <w:r w:rsidR="00DF2BBF">
        <w:rPr>
          <w:lang w:val="es-ES_tradnl"/>
        </w:rPr>
        <w:t>todo el</w:t>
      </w:r>
      <w:r w:rsidRPr="00E17D49">
        <w:rPr>
          <w:lang w:val="es-ES_tradnl"/>
        </w:rPr>
        <w:t xml:space="preserve"> personal de la Secretaría de la</w:t>
      </w:r>
      <w:r w:rsidR="00B560DC" w:rsidRPr="00E17D49">
        <w:rPr>
          <w:lang w:val="es-ES_tradnl"/>
        </w:rPr>
        <w:t xml:space="preserve"> </w:t>
      </w:r>
      <w:r w:rsidRPr="00E17D49">
        <w:rPr>
          <w:lang w:val="es-ES_tradnl"/>
        </w:rPr>
        <w:t>Convención de Ramsar</w:t>
      </w:r>
      <w:r w:rsidR="00DF2BBF">
        <w:rPr>
          <w:lang w:val="es-ES_tradnl"/>
        </w:rPr>
        <w:t xml:space="preserve"> y que </w:t>
      </w:r>
      <w:r w:rsidRPr="00E17D49">
        <w:rPr>
          <w:lang w:val="es-ES_tradnl"/>
        </w:rPr>
        <w:t xml:space="preserve">se celebró del </w:t>
      </w:r>
      <w:r w:rsidR="00B560DC" w:rsidRPr="00E17D49">
        <w:rPr>
          <w:lang w:val="es-ES_tradnl"/>
        </w:rPr>
        <w:t>21</w:t>
      </w:r>
      <w:r w:rsidRPr="00E17D49">
        <w:rPr>
          <w:lang w:val="es-ES_tradnl"/>
        </w:rPr>
        <w:t xml:space="preserve"> al 2</w:t>
      </w:r>
      <w:r w:rsidR="00B560DC" w:rsidRPr="00E17D49">
        <w:rPr>
          <w:lang w:val="es-ES_tradnl"/>
        </w:rPr>
        <w:t xml:space="preserve">4 </w:t>
      </w:r>
      <w:r w:rsidRPr="00E17D49">
        <w:rPr>
          <w:lang w:val="es-ES_tradnl"/>
        </w:rPr>
        <w:t>de julio de</w:t>
      </w:r>
      <w:r w:rsidR="00B560DC" w:rsidRPr="00E17D49">
        <w:rPr>
          <w:lang w:val="es-ES_tradnl"/>
        </w:rPr>
        <w:t xml:space="preserve"> 2015.</w:t>
      </w:r>
      <w:r w:rsidR="00233BC1">
        <w:rPr>
          <w:lang w:val="es-ES_tradnl"/>
        </w:rPr>
        <w:t xml:space="preserve"> Cada miembro de la plantilla planificó sus tareas para 2016 en función de las distintas acciones definidas para el trienio.</w:t>
      </w:r>
    </w:p>
    <w:p w14:paraId="3652032B" w14:textId="77777777" w:rsidR="00233BC1" w:rsidRPr="00233BC1" w:rsidRDefault="00233BC1" w:rsidP="00233BC1">
      <w:pPr>
        <w:widowControl w:val="0"/>
        <w:spacing w:after="0" w:line="240" w:lineRule="auto"/>
        <w:ind w:right="-46"/>
        <w:rPr>
          <w:lang w:val="es-ES_tradnl"/>
        </w:rPr>
      </w:pPr>
    </w:p>
    <w:p w14:paraId="4BF94ED4" w14:textId="33F582BC" w:rsidR="00233BC1" w:rsidRPr="00E17D49" w:rsidRDefault="00233BC1" w:rsidP="003B529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426" w:right="-46" w:hanging="426"/>
        <w:rPr>
          <w:lang w:val="es-ES_tradnl"/>
        </w:rPr>
      </w:pPr>
      <w:r>
        <w:rPr>
          <w:lang w:val="es-ES_tradnl"/>
        </w:rPr>
        <w:t>Las acciones establecidas como prioritarias para el primer año del trienio se enumeran en el plan de trabajo de la Secretaría para 2016 anexo al presente documento.</w:t>
      </w:r>
    </w:p>
    <w:p w14:paraId="6036F654" w14:textId="77777777" w:rsidR="00EC04D2" w:rsidRPr="00E17D49" w:rsidRDefault="00EC04D2" w:rsidP="003B529A">
      <w:pPr>
        <w:pStyle w:val="ListParagraph"/>
        <w:spacing w:after="0" w:line="240" w:lineRule="auto"/>
        <w:ind w:left="426" w:right="-46" w:hanging="426"/>
        <w:rPr>
          <w:lang w:val="es-ES_tradnl"/>
        </w:rPr>
      </w:pPr>
    </w:p>
    <w:p w14:paraId="3794E775" w14:textId="77777777" w:rsidR="00B44B7B" w:rsidRPr="00E17D49" w:rsidRDefault="00B44B7B">
      <w:pPr>
        <w:rPr>
          <w:rFonts w:cs="Calibri"/>
          <w:b/>
          <w:lang w:val="es-ES_tradnl"/>
        </w:rPr>
        <w:sectPr w:rsidR="00B44B7B" w:rsidRPr="00E17D49" w:rsidSect="00EE7940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6803F67" w14:textId="7F85B263" w:rsidR="00B44B7B" w:rsidRPr="00E17D49" w:rsidRDefault="00B44B7B" w:rsidP="00B44B7B">
      <w:pPr>
        <w:tabs>
          <w:tab w:val="left" w:pos="851"/>
        </w:tabs>
        <w:spacing w:after="0" w:line="240" w:lineRule="auto"/>
        <w:rPr>
          <w:rFonts w:eastAsia="Garamond" w:cs="Garamond"/>
          <w:b/>
          <w:bCs/>
          <w:sz w:val="24"/>
          <w:szCs w:val="24"/>
          <w:lang w:val="es-ES_tradnl"/>
        </w:rPr>
      </w:pPr>
      <w:r w:rsidRPr="00E17D49">
        <w:rPr>
          <w:rFonts w:eastAsia="Garamond" w:cs="Garamond"/>
          <w:b/>
          <w:bCs/>
          <w:sz w:val="24"/>
          <w:szCs w:val="24"/>
          <w:lang w:val="es-ES_tradnl"/>
        </w:rPr>
        <w:lastRenderedPageBreak/>
        <w:t>An</w:t>
      </w:r>
      <w:r w:rsidR="00702F2A" w:rsidRPr="00E17D49">
        <w:rPr>
          <w:rFonts w:eastAsia="Garamond" w:cs="Garamond"/>
          <w:b/>
          <w:bCs/>
          <w:sz w:val="24"/>
          <w:szCs w:val="24"/>
          <w:lang w:val="es-ES_tradnl"/>
        </w:rPr>
        <w:t xml:space="preserve">exo </w:t>
      </w:r>
      <w:r w:rsidRPr="00E17D49">
        <w:rPr>
          <w:rFonts w:eastAsia="Garamond" w:cs="Garamond"/>
          <w:b/>
          <w:bCs/>
          <w:sz w:val="24"/>
          <w:szCs w:val="24"/>
          <w:lang w:val="es-ES_tradnl"/>
        </w:rPr>
        <w:t>1</w:t>
      </w:r>
    </w:p>
    <w:p w14:paraId="610D52B2" w14:textId="77777777" w:rsidR="00B44B7B" w:rsidRPr="00E17D49" w:rsidRDefault="00B44B7B" w:rsidP="00B44B7B">
      <w:pPr>
        <w:spacing w:after="0" w:line="240" w:lineRule="auto"/>
        <w:rPr>
          <w:rFonts w:eastAsia="Garamond" w:cs="Garamond"/>
          <w:b/>
          <w:bCs/>
          <w:sz w:val="24"/>
          <w:szCs w:val="24"/>
          <w:lang w:val="es-ES_tradnl"/>
        </w:rPr>
      </w:pPr>
    </w:p>
    <w:p w14:paraId="572A4F4E" w14:textId="098801D5" w:rsidR="00B44B7B" w:rsidRPr="00E17D49" w:rsidRDefault="00DF2BBF" w:rsidP="00B44B7B">
      <w:pPr>
        <w:spacing w:after="0" w:line="240" w:lineRule="auto"/>
        <w:rPr>
          <w:rFonts w:eastAsia="Garamond" w:cs="Garamond"/>
          <w:b/>
          <w:bCs/>
          <w:sz w:val="24"/>
          <w:szCs w:val="24"/>
          <w:lang w:val="es-ES_tradnl"/>
        </w:rPr>
      </w:pPr>
      <w:r>
        <w:rPr>
          <w:rFonts w:eastAsia="Garamond" w:cs="Garamond"/>
          <w:b/>
          <w:bCs/>
          <w:sz w:val="24"/>
          <w:szCs w:val="24"/>
          <w:lang w:val="es-ES_tradnl"/>
        </w:rPr>
        <w:t>Plan de t</w:t>
      </w:r>
      <w:r w:rsidR="00233BC1">
        <w:rPr>
          <w:rFonts w:eastAsia="Garamond" w:cs="Garamond"/>
          <w:b/>
          <w:bCs/>
          <w:sz w:val="24"/>
          <w:szCs w:val="24"/>
          <w:lang w:val="es-ES_tradnl"/>
        </w:rPr>
        <w:t>rabajo de la Secretaría para 2016</w:t>
      </w:r>
    </w:p>
    <w:p w14:paraId="0D31389C" w14:textId="77777777" w:rsidR="00B44B7B" w:rsidRPr="00E17D49" w:rsidRDefault="00B44B7B" w:rsidP="00B44B7B">
      <w:pPr>
        <w:spacing w:after="0" w:line="240" w:lineRule="auto"/>
        <w:rPr>
          <w:rFonts w:eastAsia="Times New Roman" w:cs="Arial"/>
          <w:color w:val="000000"/>
          <w:lang w:val="es-ES_tradnl" w:eastAsia="en-GB"/>
        </w:rPr>
      </w:pPr>
    </w:p>
    <w:p w14:paraId="345560E9" w14:textId="3A51AC2F" w:rsidR="00B44B7B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lang w:val="es-ES_tradnl" w:eastAsia="en-GB"/>
        </w:rPr>
      </w:pPr>
      <w:r w:rsidRPr="00E17D49">
        <w:rPr>
          <w:rFonts w:eastAsia="Times New Roman" w:cs="Arial"/>
          <w:b/>
          <w:bCs/>
          <w:color w:val="000000"/>
          <w:lang w:val="es-ES_tradnl" w:eastAsia="en-GB"/>
        </w:rPr>
        <w:t xml:space="preserve">Objetivo </w:t>
      </w:r>
      <w:r w:rsidR="00B44B7B" w:rsidRPr="00E17D49">
        <w:rPr>
          <w:rFonts w:eastAsia="Times New Roman" w:cs="Arial"/>
          <w:b/>
          <w:bCs/>
          <w:color w:val="000000"/>
          <w:lang w:val="es-ES_tradnl" w:eastAsia="en-GB"/>
        </w:rPr>
        <w:t>1</w:t>
      </w:r>
    </w:p>
    <w:p w14:paraId="4A7392E0" w14:textId="35AA9B2F" w:rsidR="00DB00A4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lang w:val="es-ES_tradnl" w:eastAsia="en-GB"/>
        </w:rPr>
      </w:pPr>
      <w:r w:rsidRPr="00E17D49">
        <w:rPr>
          <w:b/>
          <w:lang w:val="es-ES_tradnl"/>
        </w:rPr>
        <w:t>Hacer frente a los factores que impulsan la pérdida y degradación de los humedales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111"/>
        <w:gridCol w:w="4111"/>
        <w:gridCol w:w="1417"/>
        <w:gridCol w:w="1025"/>
      </w:tblGrid>
      <w:tr w:rsidR="00DB00A4" w:rsidRPr="00E17D49" w14:paraId="2F22740F" w14:textId="77777777" w:rsidTr="00DB00A4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D6791C" w14:textId="3BFAFAD9" w:rsidR="00DB00A4" w:rsidRPr="00E17D49" w:rsidRDefault="0016672B" w:rsidP="00EC18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Meta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4F109EE" w14:textId="3FFCD82B" w:rsidR="00DB00A4" w:rsidRPr="00E17D49" w:rsidRDefault="00DB00A4" w:rsidP="00166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Act</w:t>
            </w:r>
            <w:r w:rsidR="0016672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ividades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E16B25E" w14:textId="60430BE6" w:rsidR="00DB00A4" w:rsidRPr="00E17D49" w:rsidRDefault="0016672B" w:rsidP="00EC18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Indicad</w:t>
            </w:r>
            <w:r w:rsidR="00DB00A4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C5C838" w14:textId="54DFB86E" w:rsidR="00DB00A4" w:rsidRPr="00BB1CBD" w:rsidRDefault="00BB1CBD" w:rsidP="00EC18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BB1CBD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t>Jefe(s) de equipo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9EE0CB" w14:textId="30CB9B56" w:rsidR="00DB00A4" w:rsidRPr="00E17D49" w:rsidRDefault="00070C38" w:rsidP="0007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Plazo</w:t>
            </w:r>
          </w:p>
        </w:tc>
      </w:tr>
      <w:tr w:rsidR="00B44B7B" w:rsidRPr="00E17D49" w14:paraId="2F18EDE0" w14:textId="77777777" w:rsidTr="00DB00A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32A6" w14:textId="348CFCC6" w:rsidR="00B44B7B" w:rsidRPr="00E17D49" w:rsidRDefault="0016672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</w:t>
            </w:r>
            <w:r w:rsidR="00DB00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E3EC" w14:textId="4AF6BEA6" w:rsidR="00B44B7B" w:rsidRPr="00E17D49" w:rsidRDefault="00BB1CBD" w:rsidP="00166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Ayudar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 aumentar la atención prestada en la toma de decisiones a la importancia de los beneficios de los humedales a fin de reducir las amenazas, influir sobre las tendencias, restaurar los humedales y comunicar las buenas prácticas mediante la divulgación de marcos y directrices pertinentes. Preparar ejemplos de buenas prácticas dirigidos a sectores específicos</w:t>
            </w:r>
            <w:r w:rsidR="00B560D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EB8D" w14:textId="77777777" w:rsidR="00233BC1" w:rsidRDefault="00D541EF" w:rsidP="00BB1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D</w:t>
            </w:r>
            <w:r w:rsidR="0016672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ivulgación de orientaciones pertinentes (p. ej., informe </w:t>
            </w:r>
            <w:r w:rsidR="0016672B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TEEB</w:t>
            </w:r>
            <w:r w:rsidR="0016672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, manuales Ramsar) y estudios de caso a las Partes Contratantes y los usuarios del agua.</w:t>
            </w:r>
          </w:p>
          <w:p w14:paraId="51CE9180" w14:textId="6C61ABC7" w:rsidR="00B44B7B" w:rsidRPr="00E17D49" w:rsidRDefault="00BB1CBD" w:rsidP="00BB1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Ej</w:t>
            </w:r>
            <w:r w:rsidR="00AC3A87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emplos prácticos de influencia y medidas para invertir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la pérdida y degradación de los humedales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recopilados y divulgados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. Ejemplos concretos y buenas prácticas dirigidos a sectores concretos</w:t>
            </w:r>
            <w:r w:rsidR="00233BC1">
              <w:rPr>
                <w:rFonts w:eastAsia="Times New Roman" w:cs="Arial"/>
                <w:sz w:val="20"/>
                <w:szCs w:val="20"/>
                <w:lang w:val="es-ES_tradnl" w:eastAsia="en-GB"/>
              </w:rPr>
              <w:t>, empezando con el sector del agua, la acuicultura y la pesca</w:t>
            </w:r>
            <w:r w:rsidR="00B560DC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C140" w14:textId="10883A9A" w:rsidR="00B44B7B" w:rsidRPr="001D2322" w:rsidRDefault="00B44B7B" w:rsidP="00233B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S</w:t>
            </w:r>
            <w:r w:rsidR="001D2322"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ecretario General (SG)/Secre-taria general Adjunta (SGA)/Aseso-res Regionales Superiores (</w:t>
            </w:r>
            <w:r w:rsidR="00070C38"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  <w:r w:rsidR="001D2322"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)</w:t>
            </w:r>
            <w:r w:rsidR="00233BC1">
              <w:rPr>
                <w:rFonts w:eastAsia="Times New Roman" w:cs="Arial"/>
                <w:sz w:val="20"/>
                <w:szCs w:val="20"/>
                <w:lang w:val="es-ES_tradnl" w:eastAsia="en-GB"/>
              </w:rPr>
              <w:t>/Resp. de Comunic.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A7B7" w14:textId="1A6FCD6D" w:rsidR="00B44B7B" w:rsidRPr="00E17D49" w:rsidRDefault="00A81105" w:rsidP="00233B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233BC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finales de 2016</w:t>
            </w:r>
          </w:p>
        </w:tc>
      </w:tr>
      <w:tr w:rsidR="00B44B7B" w:rsidRPr="00E17D49" w14:paraId="2334B227" w14:textId="77777777" w:rsidTr="00CF0DD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6E68" w14:textId="7656C080" w:rsidR="00B44B7B" w:rsidRPr="00E17D49" w:rsidRDefault="0016672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2: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El uso del agua respeta las necesidades de los ecosistemas de humedales para que estos puedan cumplir sus funciones y proporcionar servicios a la escala adecuada, por ejemplo, en una cuenca hidrográfica o una zona costera</w:t>
            </w:r>
            <w:r w:rsidR="00DB00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894A" w14:textId="0F5B6C66" w:rsidR="00B44B7B" w:rsidRPr="002E0A8F" w:rsidRDefault="005E6013" w:rsidP="00BB1CBD">
            <w:pPr>
              <w:spacing w:after="0" w:line="240" w:lineRule="auto"/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</w:pPr>
            <w:r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Di</w:t>
            </w:r>
            <w:r w:rsidR="00C95261"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vulgación de Manuales Ramsar, Fichas Informativas (</w:t>
            </w:r>
            <w:r w:rsidR="00C95261" w:rsidRPr="002E0A8F">
              <w:rPr>
                <w:rFonts w:eastAsia="Times New Roman" w:cs="Arial"/>
                <w:i/>
                <w:color w:val="000000"/>
                <w:spacing w:val="-2"/>
                <w:sz w:val="20"/>
                <w:szCs w:val="20"/>
                <w:lang w:val="es-ES_tradnl" w:eastAsia="en-GB"/>
              </w:rPr>
              <w:t>Factsheets</w:t>
            </w:r>
            <w:r w:rsidR="00C95261"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), Notas Informativas y otros productos sobre orientaciones relacionadas con el agua, manejo de cuencas hidrográficas, asignación y </w:t>
            </w:r>
            <w:r w:rsidR="00C95261" w:rsidRPr="002E0A8F">
              <w:rPr>
                <w:rFonts w:eastAsia="Times New Roman" w:cs="Arial"/>
                <w:spacing w:val="-2"/>
                <w:sz w:val="20"/>
                <w:szCs w:val="20"/>
                <w:lang w:val="es-ES_tradnl" w:eastAsia="en-GB"/>
              </w:rPr>
              <w:t>manejo</w:t>
            </w:r>
            <w:r w:rsidR="00C95261"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del agua, manejo de aguas subterráneas y otras orientaciones conexas en </w:t>
            </w:r>
            <w:r w:rsidR="00BB1CBD"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el manejo integrado de los recursos hídricos </w:t>
            </w:r>
            <w:r w:rsidR="00C95261"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y buenas prácticas a las Partes Contratantes y los </w:t>
            </w:r>
            <w:r w:rsidR="00BB1CBD"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usuarios del agua </w:t>
            </w:r>
            <w:r w:rsidR="00C95261"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para garantizar la aplicación de las disposiciones de la Convención sobre </w:t>
            </w:r>
            <w:r w:rsidR="00B86BC6"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el </w:t>
            </w:r>
            <w:r w:rsidR="00C95261"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uso racional</w:t>
            </w:r>
            <w:r w:rsidR="00B44B7B"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.</w:t>
            </w:r>
            <w:r w:rsidR="00D541EF" w:rsidRPr="002E0A8F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98DF" w14:textId="1E84E3B7" w:rsidR="00B44B7B" w:rsidRPr="00E17D49" w:rsidRDefault="00BB1CBD" w:rsidP="00BB1C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 han facilitado a t</w:t>
            </w:r>
            <w:r w:rsidR="00B86BC6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odas las Partes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las orientaciones de</w:t>
            </w:r>
            <w:r w:rsidR="00B86BC6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Ramsar sobre la asignación y el manejo del </w:t>
            </w:r>
            <w:r w:rsidR="00B86BC6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agua para los ecosistemas a fin de apoyar la toma de decisiones sobre el manejo de los recursos hídricos, como contribución </w:t>
            </w:r>
            <w:r w:rsidR="00314781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al logro de </w:t>
            </w:r>
            <w:r w:rsidR="00B86BC6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los planes de manejo de los recursos hídricos y </w:t>
            </w:r>
            <w:r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de </w:t>
            </w:r>
            <w:r w:rsidR="00B86BC6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eficiencia hídrica</w:t>
            </w:r>
            <w:r w:rsidR="00B44B7B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9DAB" w14:textId="4F8EDAA6" w:rsidR="00B44B7B" w:rsidRPr="00E17D49" w:rsidRDefault="00B44B7B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8918A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903A" w14:textId="6A9FB2E9" w:rsidR="00B44B7B" w:rsidRPr="00E17D49" w:rsidRDefault="00A81105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233BC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finales de 2016</w:t>
            </w:r>
          </w:p>
        </w:tc>
      </w:tr>
      <w:tr w:rsidR="00B560DC" w:rsidRPr="00E17D49" w14:paraId="05980DD3" w14:textId="77777777" w:rsidTr="002E0A8F"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A334AC" w14:textId="0C0239DE" w:rsidR="00B560DC" w:rsidRPr="00E17D49" w:rsidRDefault="0016672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560DC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3: </w:t>
            </w:r>
            <w:r w:rsidR="00B560DC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Los sectores público y privado han aumentado sus esfuerzos para aplicar lineamientos y buenas prácticas para el uso racional del agua y de los humedales</w:t>
            </w:r>
            <w:r w:rsidR="00B560D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286E4C" w14:textId="09FACBA9" w:rsidR="00B560DC" w:rsidRPr="00E17D49" w:rsidRDefault="00B560DC" w:rsidP="001E4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Prom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over la </w:t>
            </w:r>
            <w:r w:rsidR="00BB1CB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participación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sectores público y privado en la conservación y el uso racional de los humedales. Preparar y aplicar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una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estrategia para trabajar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el sector empresarial; </w:t>
            </w:r>
            <w:r w:rsidR="001E4132">
              <w:rPr>
                <w:rFonts w:eastAsia="Times New Roman" w:cs="Arial"/>
                <w:sz w:val="20"/>
                <w:szCs w:val="20"/>
                <w:lang w:val="es-ES_tradnl" w:eastAsia="en-GB"/>
              </w:rPr>
              <w:t>encontrar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posibles asociados en el sector empresarial;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preparar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estudios de 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>diligencia debida y realizar propuestas al Comité Permanente.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1BD9" w14:textId="21A16074" w:rsidR="00B560DC" w:rsidRPr="00E17D49" w:rsidRDefault="00233BC1" w:rsidP="001E4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>Mayor implicación del sector privado en el uso racional de los humedales y la aplicación de los conceptos y enfoques para la conservación y el uso racional de los humedales contenidos en las orientaciones de Ramsar (</w:t>
            </w:r>
            <w:r w:rsidRPr="001E4132">
              <w:rPr>
                <w:rFonts w:eastAsia="Times New Roman" w:cs="Arial"/>
                <w:sz w:val="20"/>
                <w:szCs w:val="20"/>
                <w:lang w:val="es-ES_tradnl" w:eastAsia="en-GB"/>
              </w:rPr>
              <w:t>Manuales Ramsar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1 a 17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) y otras directrices pertinentes en sus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>actividades e inversiones que afecten a los humedales.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1D30" w14:textId="5FE82377" w:rsidR="00B560DC" w:rsidRPr="00E17D49" w:rsidRDefault="00286075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  <w:r w:rsidR="00B560D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</w:p>
          <w:p w14:paraId="601D8D9B" w14:textId="25F9B38E" w:rsidR="00B560DC" w:rsidRPr="00E17D49" w:rsidRDefault="00314781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  <w:r w:rsidR="00B560D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</w:p>
          <w:p w14:paraId="68CE64F9" w14:textId="77777777" w:rsidR="00B560DC" w:rsidRPr="00E17D49" w:rsidRDefault="00B560DC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935A" w14:textId="35D403C5" w:rsidR="00B560DC" w:rsidRPr="00E17D49" w:rsidRDefault="00A81105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233BC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finales de 2016</w:t>
            </w:r>
          </w:p>
          <w:p w14:paraId="3795B6F1" w14:textId="77777777" w:rsidR="00B560DC" w:rsidRPr="00E17D49" w:rsidRDefault="00B560DC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</w:tr>
      <w:tr w:rsidR="002E0A8F" w:rsidRPr="00E17D49" w14:paraId="06D28F6B" w14:textId="77777777" w:rsidTr="002E0A8F">
        <w:trPr>
          <w:trHeight w:val="4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71C10" w14:textId="77777777" w:rsidR="002E0A8F" w:rsidRPr="00E17D49" w:rsidRDefault="002E0A8F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C656E" w14:textId="2D25F9FD" w:rsidR="002E0A8F" w:rsidRPr="002E0A8F" w:rsidRDefault="002E0A8F" w:rsidP="001E4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2E0A8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En consonancia con la Resolución X.12, trabajar con las Partes Contratantes y los asociados de Ramsar para hacer un buen uso de los Principios para las asociaciones entre la Convención de Ramsar y el sector empresarial, por ejemplo en el marco de las iniciativas y los compromisos nacionales, regionales y mundiales existentes;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2E6F39" w14:textId="77777777" w:rsidR="002E0A8F" w:rsidRPr="002E0A8F" w:rsidRDefault="002E0A8F" w:rsidP="00804A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2E0A8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Proyectos elaborados y fondos obtenidos para el apoyo del sector privado a la mejora del manejo de los humedales.</w:t>
            </w:r>
          </w:p>
          <w:p w14:paraId="472C2213" w14:textId="756DB67E" w:rsidR="002E0A8F" w:rsidRPr="002E0A8F" w:rsidRDefault="002E0A8F" w:rsidP="00233BC1">
            <w:pPr>
              <w:tabs>
                <w:tab w:val="left" w:pos="963"/>
              </w:tabs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2E0A8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240913" w14:textId="62C81177" w:rsidR="002E0A8F" w:rsidRPr="00E17D49" w:rsidRDefault="002E0A8F" w:rsidP="00233B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SG/Resp. de Comunic./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  <w:t>Resp. de Asoc. de Colab.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CCD09" w14:textId="3AECD66C" w:rsidR="002E0A8F" w:rsidRPr="00E17D49" w:rsidRDefault="002E0A8F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finales de 2016</w:t>
            </w:r>
          </w:p>
        </w:tc>
      </w:tr>
      <w:tr w:rsidR="002E0A8F" w:rsidRPr="00E17D49" w14:paraId="6B5F5819" w14:textId="77777777" w:rsidTr="0044722A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D4A861" w14:textId="77777777" w:rsidR="002E0A8F" w:rsidRPr="00E17D49" w:rsidRDefault="002E0A8F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4C6708" w14:textId="77777777" w:rsidR="002E0A8F" w:rsidRPr="00E17D49" w:rsidRDefault="002E0A8F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76ED" w14:textId="21CBF97A" w:rsidR="002E0A8F" w:rsidRPr="00E17D49" w:rsidRDefault="002E0A8F" w:rsidP="00233BC1">
            <w:pPr>
              <w:tabs>
                <w:tab w:val="left" w:pos="963"/>
              </w:tabs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0D7B" w14:textId="46583220" w:rsidR="002E0A8F" w:rsidRPr="00E17D49" w:rsidRDefault="002E0A8F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080B" w14:textId="4087BF94" w:rsidR="002E0A8F" w:rsidRPr="00E17D49" w:rsidRDefault="002E0A8F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</w:tr>
      <w:tr w:rsidR="00B44B7B" w:rsidRPr="00E17D49" w14:paraId="2FAA6BB6" w14:textId="77777777" w:rsidTr="00DB00A4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C3A993" w14:textId="77777777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D34DC" w14:textId="14C1FDF0" w:rsidR="00B44B7B" w:rsidRPr="00E17D49" w:rsidRDefault="00804A45" w:rsidP="00804A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Continuar </w:t>
            </w:r>
            <w:r w:rsidR="001E413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 asociación de colaboración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existente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entre Ramsar y Danone y la asociación “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Biosphere Connections”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 Sta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 Alliance.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A832" w14:textId="7BFD945E" w:rsidR="00B44B7B" w:rsidRPr="00E17D49" w:rsidRDefault="00804A45" w:rsidP="001E4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Memorando de entendimiento negociado con Danone y plan de trabajo y presupuesto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anuales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Danone aprobados; plan de trabajo y presupuesto </w:t>
            </w:r>
            <w:r w:rsidR="001E413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ejecutados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su totalidad.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82EC" w14:textId="31AF5357" w:rsidR="00B44B7B" w:rsidRPr="00E17D49" w:rsidRDefault="00B44B7B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5BC5" w14:textId="4D05CB71" w:rsidR="00B44B7B" w:rsidRPr="00E17D49" w:rsidRDefault="00A81105" w:rsidP="00233B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233BC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principios de 2016</w:t>
            </w:r>
          </w:p>
        </w:tc>
      </w:tr>
      <w:tr w:rsidR="00B44B7B" w:rsidRPr="00E17D49" w14:paraId="3A494AFE" w14:textId="77777777" w:rsidTr="00DB00A4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F2E21C" w14:textId="77777777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D92076" w14:textId="77777777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5C55" w14:textId="4F523ED6" w:rsidR="00B44B7B" w:rsidRPr="00E17D49" w:rsidRDefault="00804A45" w:rsidP="001E4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Apoyo facilitado a expertos de Ramsar para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asistir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reuniones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sobre los humedales con la ayuda de 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tar Alliance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Contribuciones al boletín electrónico de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Biosphere Connections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obtenidas, incluidos </w:t>
            </w:r>
            <w:r w:rsidR="001E413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informes sobre </w:t>
            </w:r>
            <w:r w:rsidR="001E413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dichos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viajes y noticias generales sobre Ramsar.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0051" w14:textId="273E3618" w:rsidR="00B44B7B" w:rsidRPr="00E17D49" w:rsidRDefault="00314781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22A7" w14:textId="06527B80" w:rsidR="00B44B7B" w:rsidRPr="00E17D49" w:rsidRDefault="005915B4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</w:p>
        </w:tc>
      </w:tr>
      <w:tr w:rsidR="00B44B7B" w:rsidRPr="00E17D49" w14:paraId="496AF561" w14:textId="77777777" w:rsidTr="00DB00A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734F" w14:textId="5A49E899" w:rsidR="00B44B7B" w:rsidRPr="00E17D49" w:rsidRDefault="0016672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4: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identifican y priorizan especies exóticas invasoras y sus vías de entrada y expansión, se controlan o erradican las especies exóticas invasoras prioritarias y se preparan y aplican medidas de manejo para evitar su introducción y establecimiento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68A1" w14:textId="1491D6EE" w:rsidR="00B44B7B" w:rsidRPr="00E17D49" w:rsidRDefault="00804A45" w:rsidP="00804A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Alentar a las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 elaborar un inventario nacional de las especies exóticas invasoras que tienen un impacto real o potencial sobre las características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ecológicas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humedales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, particularmente los sitios Ramsar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B48A" w14:textId="611FC37A" w:rsidR="00DB00A4" w:rsidRPr="00E17D49" w:rsidRDefault="004011F6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Orientaciones </w:t>
            </w:r>
            <w:r w:rsidR="00E408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mundiales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actualizadas </w:t>
            </w:r>
            <w:r w:rsidR="00E408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(p. ej., indicador de la Lista Roja) sobre las especies invasoras puestas a disposición de todos los interesados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; </w:t>
            </w:r>
          </w:p>
          <w:p w14:paraId="4661F9FC" w14:textId="25FB4D42" w:rsidR="00B44B7B" w:rsidRPr="00E17D49" w:rsidRDefault="00E40861" w:rsidP="00E408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Buenas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prácticas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la lucha contra las especies exóticas invasoras recopiladas y facilitadas a los profesionales de los humedales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62E8" w14:textId="77777777" w:rsidR="001D2322" w:rsidRDefault="00314781" w:rsidP="00DB00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</w:p>
          <w:p w14:paraId="37C008F2" w14:textId="2C7D4B74" w:rsidR="00B44B7B" w:rsidRPr="00E17D49" w:rsidRDefault="00070C38" w:rsidP="00DB00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8918A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01EE" w14:textId="1EFFCA8E" w:rsidR="00B44B7B" w:rsidRPr="00E17D49" w:rsidRDefault="005915B4" w:rsidP="005915B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Finales de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6</w:t>
            </w:r>
          </w:p>
        </w:tc>
      </w:tr>
    </w:tbl>
    <w:p w14:paraId="275475FD" w14:textId="77777777" w:rsidR="00B44B7B" w:rsidRPr="00E17D49" w:rsidRDefault="00B44B7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</w:p>
    <w:p w14:paraId="6E3F2607" w14:textId="77777777" w:rsidR="00DB00A4" w:rsidRPr="00E17D49" w:rsidRDefault="00DB00A4">
      <w:pPr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E17D49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br w:type="page"/>
      </w:r>
    </w:p>
    <w:p w14:paraId="07A2C073" w14:textId="507A55E0" w:rsidR="00B44B7B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E17D49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lastRenderedPageBreak/>
        <w:t xml:space="preserve">Objetivo </w:t>
      </w:r>
      <w:r w:rsidR="00B44B7B" w:rsidRPr="00E17D49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t>2</w:t>
      </w:r>
    </w:p>
    <w:p w14:paraId="09BDB075" w14:textId="3296F464" w:rsidR="00B44B7B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E17D49">
        <w:rPr>
          <w:b/>
          <w:sz w:val="20"/>
          <w:szCs w:val="20"/>
          <w:lang w:val="es-ES_tradnl"/>
        </w:rPr>
        <w:t>Llevar a cabo una conservación y un manejo eficaces de la red de sitios Ramsar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342"/>
        <w:gridCol w:w="3880"/>
        <w:gridCol w:w="1417"/>
        <w:gridCol w:w="1025"/>
      </w:tblGrid>
      <w:tr w:rsidR="00B44B7B" w:rsidRPr="00E17D49" w14:paraId="47D1D803" w14:textId="77777777" w:rsidTr="00DA6A6C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272037" w14:textId="6D60A13B" w:rsidR="00B44B7B" w:rsidRPr="00E17D49" w:rsidRDefault="00033B7B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Meta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10BC228" w14:textId="38A84E7C" w:rsidR="00B44B7B" w:rsidRPr="00E17D49" w:rsidRDefault="00033B7B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Actividades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B24731D" w14:textId="714329D5" w:rsidR="00B44B7B" w:rsidRPr="00E17D49" w:rsidRDefault="00033B7B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60FFAA" w14:textId="6724754E" w:rsidR="00B44B7B" w:rsidRPr="00E17D49" w:rsidRDefault="00BB1CBD" w:rsidP="00DA6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Jefe(s) de equipo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43D1EC2" w14:textId="62251074" w:rsidR="00B44B7B" w:rsidRPr="00E17D49" w:rsidRDefault="00033B7B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Plazo</w:t>
            </w:r>
          </w:p>
        </w:tc>
      </w:tr>
      <w:tr w:rsidR="00B44B7B" w:rsidRPr="002E0A8F" w14:paraId="04706DE6" w14:textId="77777777" w:rsidTr="00DA6A6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B545" w14:textId="29A2075D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5: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mantienen o restauran las características ecológicas de los sitios Ramsar a través de una planificación eficaz y un manejo integrado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EB29" w14:textId="1EF006C5" w:rsidR="00B44B7B" w:rsidRPr="00E17D49" w:rsidRDefault="00E17D49" w:rsidP="005915B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Gestionar</w:t>
            </w:r>
            <w:r w:rsidR="00E408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tramitar las designaciones y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actualizaciones</w:t>
            </w:r>
            <w:r w:rsidR="005915B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sitios Ramsar. Promover y explicar la utilización de la R-METT mediante acciones de CECoP.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6E98" w14:textId="19770A39" w:rsidR="00B44B7B" w:rsidRPr="00E17D49" w:rsidRDefault="00E40861" w:rsidP="005915B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Todas las FIR debidamente completadas y actualizadas; toda la información sobre los sitios Ramsar re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sumida y disponible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; cartas y certificados remitidos</w:t>
            </w:r>
            <w:r w:rsidR="005915B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 Informe a la reunión SC52 sobre el estado de los sitios Ramsar. Lista de herramientas e información disponibles facilitada por los asociados técnicos para evaluar los cambios en las características ecológicas de los sitios Ramsar recopilada, actualizada periódicamente y puesta a disposición de las 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5075" w14:textId="77777777" w:rsidR="00B44B7B" w:rsidRDefault="00070C38" w:rsidP="00B44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  <w:r w:rsidR="005915B4">
              <w:rPr>
                <w:rFonts w:eastAsia="Times New Roman" w:cs="Arial"/>
                <w:sz w:val="20"/>
                <w:szCs w:val="20"/>
                <w:lang w:val="es-ES_tradnl" w:eastAsia="en-GB"/>
              </w:rPr>
              <w:t>/SGA/</w:t>
            </w:r>
          </w:p>
          <w:p w14:paraId="309F89DF" w14:textId="137017C9" w:rsidR="005915B4" w:rsidRPr="00214CD2" w:rsidRDefault="005915B4" w:rsidP="00B44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02E1" w14:textId="47BEBC3E" w:rsidR="00B44B7B" w:rsidRPr="00214CD2" w:rsidRDefault="005D3F3D" w:rsidP="005915B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A diario</w:t>
            </w:r>
            <w:r w:rsidR="005915B4">
              <w:rPr>
                <w:rFonts w:eastAsia="Times New Roman" w:cs="Arial"/>
                <w:sz w:val="20"/>
                <w:szCs w:val="20"/>
                <w:lang w:val="es-ES_tradnl" w:eastAsia="en-GB"/>
              </w:rPr>
              <w:t>. 3 meses antes de la reunión SC52</w:t>
            </w:r>
          </w:p>
        </w:tc>
      </w:tr>
      <w:tr w:rsidR="00B44B7B" w:rsidRPr="002E0A8F" w14:paraId="21992B7C" w14:textId="77777777" w:rsidTr="00DA6A6C">
        <w:trPr>
          <w:trHeight w:val="269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34C347" w14:textId="41C09064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6: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produce un aumento considerable de la superficie, la cantidad y conectividad ecológica de la red de sitios Ramsar, particularmente en lo que se refiere a tipos de humedales insuficientemente representados, inclusive en ecorregiones insuficientemente representadas y sitios transfronterizos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343C40" w14:textId="378F037C" w:rsidR="00B44B7B" w:rsidRPr="00E17D49" w:rsidRDefault="005D3F3D" w:rsidP="005915B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Encargarse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mantenimiento y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funcionamiento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Servicio de Informa</w:t>
            </w:r>
            <w:r w:rsidR="005915B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ción sobre Sitios Ramsar (SISR). El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SISR facilita una serie de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herramientas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apoyo a las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ayu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darles a identificar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las lagunas y prioridades para la designación de sitios Ramsar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adicionales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82DBA" w14:textId="1160240B" w:rsidR="00B44B7B" w:rsidRPr="00E17D49" w:rsidRDefault="005D3F3D" w:rsidP="00214C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Servicios 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eficaces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eficientes 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brindados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Partes que se encargan de la designación y las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actualizaciones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sitios Ramsar; mejor comunicación sobre los sitios Ramsar a escala mundial. Mejor entendimiento del estado de conservación de los sitios Ramsar e integración de dichos sitios en redes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mundiales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áreas protegidas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FF2789" w14:textId="4C075532" w:rsidR="00B44B7B" w:rsidRPr="00E17D49" w:rsidRDefault="005D3F3D" w:rsidP="00214C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Equipo </w:t>
            </w:r>
            <w:r w:rsidR="00214CD2"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básico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SISR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9CB35A" w14:textId="4C98F9F4" w:rsidR="00B44B7B" w:rsidRPr="00E17D49" w:rsidRDefault="005915B4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A diario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. 3 meses antes de la reunión SC52</w:t>
            </w:r>
          </w:p>
        </w:tc>
      </w:tr>
      <w:tr w:rsidR="00B44B7B" w:rsidRPr="002E0A8F" w14:paraId="29D41373" w14:textId="77777777" w:rsidTr="00DA6A6C">
        <w:trPr>
          <w:trHeight w:val="26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F8D6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D37B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CFD4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D00E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356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</w:tr>
      <w:tr w:rsidR="00B44B7B" w:rsidRPr="002E0A8F" w14:paraId="3A52CFCA" w14:textId="77777777" w:rsidTr="00DA6A6C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E803" w14:textId="1A087234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7: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hace frente a las amenazas de los sitios con riesgo de cambios en sus características ecológicas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8EA2" w14:textId="7B4EC0B0" w:rsidR="00B44B7B" w:rsidRPr="00E17D49" w:rsidRDefault="005D3F3D" w:rsidP="00214C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Asesorar a las Partes sobre cuestiones relativas al Artículo 3.2, al Registro de Montreux y a las Misiones Ramsar de Asesoramiento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;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realizar un seguimiento periódico de las Partes en cualquier situación de 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posible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riesgo y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trabajar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para resolver los problema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CAFF" w14:textId="629CB7EA" w:rsidR="00B44B7B" w:rsidRPr="00E17D49" w:rsidRDefault="005D3F3D" w:rsidP="000016C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Informes </w:t>
            </w:r>
            <w:r w:rsidR="000016C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al CP realizados por la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Secretaría</w:t>
            </w:r>
            <w:r w:rsidR="000016C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; las Partes hacen frente a los desafíos e informan a la Secretaría</w:t>
            </w:r>
            <w:r w:rsidR="000016C2"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; se abordan las</w:t>
            </w:r>
            <w:r w:rsidR="000016C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amenazas a humedales concretos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7313" w14:textId="182C410F" w:rsidR="00B44B7B" w:rsidRPr="00E17D49" w:rsidRDefault="00070C38" w:rsidP="00B44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82F4" w14:textId="2066EEA5" w:rsidR="00B44B7B" w:rsidRPr="00E17D49" w:rsidRDefault="00B44B7B" w:rsidP="005915B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3 </w:t>
            </w:r>
            <w:r w:rsidR="000016C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meses antes de </w:t>
            </w:r>
            <w:r w:rsidR="005915B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</w:t>
            </w:r>
            <w:r w:rsidR="000016C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reunión </w:t>
            </w:r>
            <w:r w:rsidR="005915B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SC52</w:t>
            </w:r>
          </w:p>
        </w:tc>
      </w:tr>
    </w:tbl>
    <w:p w14:paraId="15FA49AF" w14:textId="77777777" w:rsidR="00B44B7B" w:rsidRPr="00E17D49" w:rsidRDefault="00B44B7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</w:p>
    <w:p w14:paraId="3DE9751F" w14:textId="77777777" w:rsidR="00DB00A4" w:rsidRPr="00E17D49" w:rsidRDefault="00DB00A4">
      <w:pPr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E17D49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br w:type="page"/>
      </w:r>
    </w:p>
    <w:p w14:paraId="403F0918" w14:textId="4CA9F43E" w:rsidR="00B44B7B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E17D49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lastRenderedPageBreak/>
        <w:t xml:space="preserve">Objetivo </w:t>
      </w:r>
      <w:r w:rsidR="00B44B7B" w:rsidRPr="00E17D49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t>3</w:t>
      </w:r>
    </w:p>
    <w:p w14:paraId="4D4CA799" w14:textId="68483643" w:rsidR="00B44B7B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E17D49">
        <w:rPr>
          <w:b/>
          <w:sz w:val="20"/>
          <w:szCs w:val="20"/>
          <w:lang w:val="es-ES_tradnl"/>
        </w:rPr>
        <w:t>Realizar un uso racional de todos los humedales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342"/>
        <w:gridCol w:w="3880"/>
        <w:gridCol w:w="1417"/>
        <w:gridCol w:w="1025"/>
      </w:tblGrid>
      <w:tr w:rsidR="00B44B7B" w:rsidRPr="00E17D49" w14:paraId="767C444F" w14:textId="77777777" w:rsidTr="00755CA4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C6762C" w14:textId="408101AE" w:rsidR="00B44B7B" w:rsidRPr="00E17D49" w:rsidRDefault="00E17D49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Meta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B02471" w14:textId="0321036B" w:rsidR="00B44B7B" w:rsidRPr="00E17D49" w:rsidRDefault="00E17D49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Actividades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872CE35" w14:textId="208D9736" w:rsidR="00B44B7B" w:rsidRPr="00E17D49" w:rsidRDefault="00E17D49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75D81D9" w14:textId="4B51CE4D" w:rsidR="00B44B7B" w:rsidRPr="00E17D49" w:rsidRDefault="00BB1CBD" w:rsidP="00DA6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Jefe(s) de equipo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94B3D52" w14:textId="3999D38B" w:rsidR="00B44B7B" w:rsidRPr="00E17D49" w:rsidRDefault="00E17D49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Plazo</w:t>
            </w:r>
          </w:p>
        </w:tc>
      </w:tr>
      <w:tr w:rsidR="00B44B7B" w:rsidRPr="00E17D49" w14:paraId="43E26E21" w14:textId="77777777" w:rsidTr="00755CA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7C85" w14:textId="1A324FBD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8: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han iniciado, completado o actualizado, divulgado y utilizado inventarios nacionales de humedales para promover la conservación y el manejo eficaz de todos los humedales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AA7F" w14:textId="7A0E53B8" w:rsidR="00B44B7B" w:rsidRPr="00E17D49" w:rsidRDefault="00214CD2" w:rsidP="00BF26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Crear</w:t>
            </w:r>
            <w:r w:rsidR="000016C2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un sistema mundial de información sobre los humedales a través de </w:t>
            </w:r>
            <w:r w:rsidR="00E17D4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asociaciones</w:t>
            </w:r>
            <w:r w:rsidR="00BF26E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de colaboración que se financie </w:t>
            </w:r>
            <w:r w:rsidR="000016C2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mediante contribuciones voluntarias para </w:t>
            </w:r>
            <w:r w:rsidR="00E17D4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mejorar</w:t>
            </w:r>
            <w:r w:rsidR="000016C2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la accesibilidad de los datos y la </w:t>
            </w:r>
            <w:r w:rsidR="00E17D4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información</w:t>
            </w:r>
            <w:r w:rsidR="000016C2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E17D4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sobre</w:t>
            </w:r>
            <w:r w:rsidR="000016C2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los humedales; 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increm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entar los conocimientos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mundiales sobre el estado y la extensión de los humedales con </w:t>
            </w:r>
            <w:r w:rsidR="00BF26E9">
              <w:rPr>
                <w:rFonts w:eastAsia="Times New Roman" w:cs="Arial"/>
                <w:sz w:val="20"/>
                <w:szCs w:val="20"/>
                <w:lang w:val="es-ES_tradnl" w:eastAsia="en-GB"/>
              </w:rPr>
              <w:t>el informe “Estado de los humedales del mundo…”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y otros medios para apoyar el </w:t>
            </w:r>
            <w:r w:rsidR="00E17D4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seguimiento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de las metas de los </w:t>
            </w:r>
            <w:r w:rsidR="00411E40">
              <w:rPr>
                <w:rFonts w:eastAsia="Times New Roman" w:cs="Arial"/>
                <w:sz w:val="20"/>
                <w:szCs w:val="20"/>
                <w:lang w:val="es-ES_tradnl" w:eastAsia="en-GB"/>
              </w:rPr>
              <w:t>Objetivos de Desarrollo S</w:t>
            </w:r>
            <w:r w:rsidR="00BF26E9">
              <w:rPr>
                <w:rFonts w:eastAsia="Times New Roman" w:cs="Arial"/>
                <w:sz w:val="20"/>
                <w:szCs w:val="20"/>
                <w:lang w:val="es-ES_tradnl" w:eastAsia="en-GB"/>
              </w:rPr>
              <w:t>ostenible (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ODS</w:t>
            </w:r>
            <w:r w:rsidR="00BF26E9">
              <w:rPr>
                <w:rFonts w:eastAsia="Times New Roman" w:cs="Arial"/>
                <w:sz w:val="20"/>
                <w:szCs w:val="20"/>
                <w:lang w:val="es-ES_tradnl" w:eastAsia="en-GB"/>
              </w:rPr>
              <w:t>)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y las metas de Aichi</w:t>
            </w:r>
            <w:r w:rsidR="00755CA4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9C1D" w14:textId="463DD4BF" w:rsidR="00DB00A4" w:rsidRPr="00E17D49" w:rsidRDefault="00BF26E9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Se ha creado una metabase de datos basada en la Web </w:t>
            </w:r>
            <w:r w:rsidR="00371B9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fácil acceso que está gestionada por la Secretaría y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contiene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información</w:t>
            </w:r>
            <w:r w:rsidR="00371B9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sobre todos los inventarios nacionales de humedales y está vinculada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</w:t>
            </w:r>
            <w:r w:rsidR="00371B9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bases de datos nacionales y otras bases de datos internacionales pertinentes.</w:t>
            </w:r>
          </w:p>
          <w:p w14:paraId="69CCAD12" w14:textId="3743D01F" w:rsidR="00B44B7B" w:rsidRPr="00E17D49" w:rsidRDefault="00BF26E9" w:rsidP="005915B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Los d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atos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 la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información sobre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distribución y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el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estado de los humedales a escala mundial </w:t>
            </w:r>
            <w:r w:rsidR="00376B8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derivados de satélites y otras fuentes</w:t>
            </w:r>
            <w:r w:rsidR="00376B8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están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disponibles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través de mecanismos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portales en </w:t>
            </w:r>
            <w:r w:rsidR="00411E40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Internet.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6FA4" w14:textId="537F4E06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  <w:r w:rsidR="008918A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/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16686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DA32" w14:textId="0A97A170" w:rsidR="00B44B7B" w:rsidRPr="00E17D49" w:rsidRDefault="005915B4" w:rsidP="001D23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</w:p>
        </w:tc>
      </w:tr>
      <w:tr w:rsidR="00B44B7B" w:rsidRPr="00E17D49" w14:paraId="7791D057" w14:textId="77777777" w:rsidTr="00755CA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CA25" w14:textId="0DFCA046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9: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El uso racional de los humedales se refuerza a través del manejo integrado de los recursos a la escala adecuada, por ejemplo, en una cuenca hidrográfica o una zona costera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D0CC" w14:textId="41EF8F79" w:rsidR="00B44B7B" w:rsidRPr="00E17D49" w:rsidRDefault="00CB1165" w:rsidP="00F310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Apoyar a las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 promover el uso racional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el manejo integrado de los recursos hídricos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la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integración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humedales en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los planes,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políticas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estra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tegias de otros sectores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F668" w14:textId="6F74956C" w:rsidR="00B44B7B" w:rsidRPr="00E17D49" w:rsidRDefault="00B44B7B" w:rsidP="00F310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Prepara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ción de un kit de herramientas con los manuales Ramsar sobre las orientaciones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relacionadas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 el agua,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el manejo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las cuencas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hidrográficas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la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asignación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el manejo 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del agua, las aguas subterráneas, el uso racional de los humedales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(</w:t>
            </w:r>
            <w:r w:rsidR="00286075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>Resolución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IX. 1</w:t>
            </w:r>
            <w:r w:rsidR="00CB1165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, Anexos 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A </w:t>
            </w:r>
            <w:r w:rsidR="00CB1165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y 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C, </w:t>
            </w:r>
            <w:r w:rsidR="00286075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>Resolución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XI.21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),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162F57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el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manejo integrado de los recursos hídricos y</w:t>
            </w:r>
            <w:r w:rsidR="00162F57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las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buenas </w:t>
            </w:r>
            <w:r w:rsidR="00CB1165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prácticas 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>(</w:t>
            </w:r>
            <w:r w:rsidR="00F3103C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ibídem, </w:t>
            </w:r>
            <w:r w:rsidR="0016672B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meta 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>2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B485" w14:textId="5F8EA131" w:rsidR="00B44B7B" w:rsidRPr="00E17D49" w:rsidRDefault="00314781" w:rsidP="008918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  <w:r w:rsidR="008918A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/ 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8918A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29C1" w14:textId="24A9FF83" w:rsidR="00B44B7B" w:rsidRPr="00E17D49" w:rsidRDefault="005915B4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Finales de 2016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</w:tr>
      <w:tr w:rsidR="00B44B7B" w:rsidRPr="00E17D49" w14:paraId="429E92B3" w14:textId="77777777" w:rsidTr="00755CA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51F9" w14:textId="5EDA9D98" w:rsidR="00755CA4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10: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 xml:space="preserve">El conocimiento tradicional, las innovaciones y las prácticas de los pueblos indígenas y las comunidades locales relevantes para el uso racional de los humedales y su uso consuetudinario de los recursos de los humedales son documentados y respetados, están sujetos a la legislación nacional y las obligaciones internacionales y están plenamente </w:t>
            </w:r>
            <w:r w:rsidRPr="00E17D49">
              <w:rPr>
                <w:sz w:val="20"/>
                <w:szCs w:val="20"/>
                <w:lang w:val="es-ES_tradnl"/>
              </w:rPr>
              <w:lastRenderedPageBreak/>
              <w:t>integrados y reflejados en la aplicación de la Convención, con la participación plena y real de los pueblos indígenas y las comunidades locales a todos los niveles pertinentes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676B" w14:textId="0ECF7129" w:rsidR="00B44B7B" w:rsidRPr="00E17D49" w:rsidRDefault="00F3103C" w:rsidP="00F310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>Ayudar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 fomentar la participación activa e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informada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los pueblos indígenas y las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comunidades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locales en la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conservación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el uso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racional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humedales; encargar la recopilación de conocimientos y orientaciones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sobre el fomento de la participación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los pueblos indígenas y las comunidades locales 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compartir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los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las Partes Contratantes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42EB" w14:textId="2A87D54A" w:rsidR="00B44B7B" w:rsidRPr="00E17D49" w:rsidRDefault="005B5C63" w:rsidP="00F310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Divulgación de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directrices de Ramsar para establecer y fortalecer la participación de las comunidades locales y los pueblos indígenas en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el manejo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humedales así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como los casos de estudios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pertinentes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2369" w14:textId="53AC3801" w:rsidR="00B44B7B" w:rsidRPr="002E0A8F" w:rsidRDefault="00314781" w:rsidP="00DA6A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2E0A8F">
              <w:rPr>
                <w:rFonts w:eastAsia="Times New Roman" w:cs="Arial"/>
                <w:sz w:val="20"/>
                <w:szCs w:val="20"/>
                <w:lang w:val="fr-FR" w:eastAsia="en-GB"/>
              </w:rPr>
              <w:t>Resp. de Comunic.</w:t>
            </w:r>
            <w:r w:rsidR="008918A9" w:rsidRPr="002E0A8F">
              <w:rPr>
                <w:rFonts w:eastAsia="Times New Roman" w:cs="Arial"/>
                <w:sz w:val="20"/>
                <w:szCs w:val="20"/>
                <w:lang w:val="fr-FR" w:eastAsia="en-GB"/>
              </w:rPr>
              <w:t>/</w:t>
            </w:r>
            <w:r w:rsidR="00070C38" w:rsidRPr="002E0A8F">
              <w:rPr>
                <w:rFonts w:eastAsia="Times New Roman" w:cs="Arial"/>
                <w:sz w:val="20"/>
                <w:szCs w:val="20"/>
                <w:lang w:val="fr-FR" w:eastAsia="en-GB"/>
              </w:rPr>
              <w:t>ARS</w:t>
            </w:r>
            <w:r w:rsidR="008918A9" w:rsidRPr="002E0A8F">
              <w:rPr>
                <w:rFonts w:eastAsia="Times New Roman" w:cs="Arial"/>
                <w:sz w:val="20"/>
                <w:szCs w:val="20"/>
                <w:lang w:val="fr-FR" w:eastAsia="en-GB"/>
              </w:rPr>
              <w:t>/</w:t>
            </w:r>
            <w:r w:rsidR="001D2322" w:rsidRPr="002E0A8F">
              <w:rPr>
                <w:rFonts w:eastAsia="Times New Roman" w:cs="Arial"/>
                <w:sz w:val="20"/>
                <w:szCs w:val="20"/>
                <w:lang w:val="fr-FR" w:eastAsia="en-GB"/>
              </w:rPr>
              <w:t>GECT</w:t>
            </w:r>
            <w:r w:rsidR="008918A9" w:rsidRPr="002E0A8F">
              <w:rPr>
                <w:rFonts w:eastAsia="Times New Roman" w:cs="Arial"/>
                <w:sz w:val="20"/>
                <w:szCs w:val="20"/>
                <w:lang w:val="fr-FR" w:eastAsia="en-GB"/>
              </w:rPr>
              <w:t>/</w:t>
            </w:r>
            <w:r w:rsidR="00286075" w:rsidRPr="002E0A8F">
              <w:rPr>
                <w:rFonts w:eastAsia="Times New Roman" w:cs="Arial"/>
                <w:sz w:val="20"/>
                <w:szCs w:val="20"/>
                <w:lang w:val="fr-FR" w:eastAsia="en-GB"/>
              </w:rPr>
              <w:t xml:space="preserve">Resp. de Asoc. de </w:t>
            </w:r>
            <w:r w:rsidR="00804A45" w:rsidRPr="002E0A8F">
              <w:rPr>
                <w:rFonts w:eastAsia="Times New Roman" w:cs="Arial"/>
                <w:sz w:val="20"/>
                <w:szCs w:val="20"/>
                <w:lang w:val="fr-FR" w:eastAsia="en-GB"/>
              </w:rPr>
              <w:t>Colab.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5EAA" w14:textId="10941CD8" w:rsidR="00B44B7B" w:rsidRPr="00E17D49" w:rsidRDefault="00B44B7B" w:rsidP="005915B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  <w:r w:rsidR="005915B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hasta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2017</w:t>
            </w:r>
          </w:p>
        </w:tc>
      </w:tr>
      <w:tr w:rsidR="00B44B7B" w:rsidRPr="00E17D49" w14:paraId="18BDABEF" w14:textId="77777777" w:rsidTr="00755CA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A8EE" w14:textId="7FC1704B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11: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demuestran, documentan y divulgan ampliamente las funciones, los servicios y los beneficios de los humedales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3184" w14:textId="14003198" w:rsidR="000D1399" w:rsidRPr="00E17D49" w:rsidRDefault="000D1399" w:rsidP="000D13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Ayudar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Partes Contratantes a aumentar la atención prestada en la toma de decisiones a la importancia de los beneficios de los humedales a fin de reducir las amenazas, influir sobre las tendencias, restaurar los humedales y comunicar las buenas prácticas mediante la divulgación de ma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rcos y directrices pertinentes.</w:t>
            </w:r>
          </w:p>
          <w:p w14:paraId="28538C60" w14:textId="288EA259" w:rsidR="00B44B7B" w:rsidRPr="00E17D49" w:rsidRDefault="00B44B7B" w:rsidP="005E601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(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ibídem,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1).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1784" w14:textId="2BD5351A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Di</w:t>
            </w:r>
            <w:r w:rsidR="005B5C63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vulgación de orientaciones pertinentes (p. ej., informe TEEB, manuales Ramsar) y estudios de caso a las Partes Contratantes y los usuarios del agua</w:t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F839" w14:textId="1C373902" w:rsidR="00B44B7B" w:rsidRPr="00E17D49" w:rsidRDefault="00314781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2102D0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714F" w14:textId="6B5446DC" w:rsidR="00B44B7B" w:rsidRPr="00E17D49" w:rsidRDefault="005915B4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Finales de 2016</w:t>
            </w:r>
          </w:p>
        </w:tc>
      </w:tr>
      <w:tr w:rsidR="005915B4" w:rsidRPr="00E17D49" w14:paraId="35004680" w14:textId="77777777" w:rsidTr="00755CA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A732" w14:textId="39F36661" w:rsidR="005915B4" w:rsidRPr="00E17D49" w:rsidRDefault="005915B4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Meta 12:</w:t>
            </w: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0BEC" w14:textId="29CF9B69" w:rsidR="005915B4" w:rsidRPr="00E17D49" w:rsidRDefault="005915B4" w:rsidP="008546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Ayudar a las Partes Contratantes a determinar los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h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u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medales prioritarios y sistemas de humedales en los que la restauración o la rehabilitación sería beneficiosa y aportaría beneficios ambientales, sociales o económicos a largo plazo y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aplicar las medidas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necesarias para recuperar esos sitios y sistemas;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ayudar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Partes a acceder a recursos para la restauración y,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junto con la Convención de Lucha contra la Desertificación (CLD)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establecer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una alianza mundial para lograr l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 restauración de los humedales/las tierras secas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1FA5" w14:textId="77A5D071" w:rsidR="005915B4" w:rsidRPr="00E17D49" w:rsidRDefault="005915B4" w:rsidP="003A3D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Estudios de caso y métodos divulgados a las Partes Contratantes y añadidos a las páginas de Ramsar sobre restauración de los humedales en el sitio web;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registro de medidas tomadas y progresos logrados a escala mundial en la restauración de los humedales.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DEA5" w14:textId="53A27681" w:rsidR="005915B4" w:rsidRPr="00E17D49" w:rsidRDefault="005915B4" w:rsidP="00DA6A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Comunic./</w:t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br/>
              <w:t>SGA/ARS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5AC1" w14:textId="01D57F07" w:rsidR="005915B4" w:rsidRPr="00E17D49" w:rsidRDefault="005915B4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Finales de 2016</w:t>
            </w:r>
          </w:p>
        </w:tc>
      </w:tr>
      <w:tr w:rsidR="007548D0" w:rsidRPr="00E17D49" w14:paraId="2A999922" w14:textId="77777777" w:rsidTr="00755CA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72AA" w14:textId="0EAA14FE" w:rsidR="007548D0" w:rsidRPr="00E17D49" w:rsidRDefault="007548D0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Meta 13:</w:t>
            </w: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Mayor sostenibilidad de sectores clave como el agua, la energía, la minería, la agricultura, el turismo, el desarrollo urbano, las infraestructuras, la industria, la silvicultura, la acuicultura y la pesca cuando estos afectan a los humedales, contribuyendo a la conservación de la biodiversidad y a los medios de vida de las personas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DF9D" w14:textId="10128AD6" w:rsidR="007548D0" w:rsidRPr="00E17D49" w:rsidRDefault="007548D0" w:rsidP="003A3D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Divulgación de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anuales Ramsar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sobre orientaciones relacionadas con el agua, manejo de cuencas hidrográficas, asignación y </w:t>
            </w:r>
            <w:r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manejo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agua, manejo de aguas subterráneas y otras orientaciones conexas en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el manejo integrado de los recursos hídricos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buenas prácticas a las Partes Contratantes y los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usuarios del agua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garantizar la aplicación de las disposiciones de la Convención sobre el uso racional (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ibídem,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meta 2). 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6D8B" w14:textId="1DDC29C8" w:rsidR="007548D0" w:rsidRPr="00E17D49" w:rsidRDefault="007548D0" w:rsidP="003A3DC1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 han facilitado a t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odas las Partes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las orientaciones de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Ramsar sobre la asignación y el manejo del </w:t>
            </w:r>
            <w:r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agua para los ecosistemas a fin de apoyar la toma de decisiones sobre el manejo de los recursos hídricos, como contribución al logro de los planes de manejo de los recursos hídricos y de eficiencia hídrica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295D" w14:textId="657E02D9" w:rsidR="007548D0" w:rsidRPr="00E17D49" w:rsidRDefault="007548D0" w:rsidP="00DA6A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Comunic./</w:t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br/>
              <w:t>SGA/ARS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B3A6" w14:textId="5A284AB0" w:rsidR="007548D0" w:rsidRPr="00E17D49" w:rsidRDefault="007548D0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Finales de 2016</w:t>
            </w:r>
          </w:p>
        </w:tc>
      </w:tr>
    </w:tbl>
    <w:p w14:paraId="51E30247" w14:textId="77777777" w:rsidR="00CA0F3F" w:rsidRPr="00CA0F3F" w:rsidRDefault="0016672B" w:rsidP="002E0A8F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s-ES_tradnl" w:eastAsia="en-GB"/>
        </w:rPr>
      </w:pPr>
      <w:r w:rsidRPr="00CA0F3F">
        <w:rPr>
          <w:rFonts w:eastAsia="Times New Roman" w:cs="Arial"/>
          <w:b/>
          <w:bCs/>
          <w:sz w:val="20"/>
          <w:szCs w:val="20"/>
          <w:lang w:val="es-ES_tradnl" w:eastAsia="en-GB"/>
        </w:rPr>
        <w:lastRenderedPageBreak/>
        <w:t xml:space="preserve">Objetivo </w:t>
      </w:r>
      <w:r w:rsidR="00B44B7B" w:rsidRPr="00CA0F3F">
        <w:rPr>
          <w:rFonts w:eastAsia="Times New Roman" w:cs="Arial"/>
          <w:b/>
          <w:bCs/>
          <w:sz w:val="20"/>
          <w:szCs w:val="20"/>
          <w:lang w:val="es-ES_tradnl" w:eastAsia="en-GB"/>
        </w:rPr>
        <w:t>4</w:t>
      </w:r>
    </w:p>
    <w:p w14:paraId="202FA1DD" w14:textId="0CDB3D1B" w:rsidR="00B44B7B" w:rsidRPr="00CA0F3F" w:rsidRDefault="0016672B" w:rsidP="002E0A8F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s-ES_tradnl" w:eastAsia="en-GB"/>
        </w:rPr>
      </w:pPr>
      <w:r w:rsidRPr="00CA0F3F">
        <w:rPr>
          <w:b/>
          <w:sz w:val="20"/>
          <w:szCs w:val="20"/>
          <w:lang w:val="es-ES_tradnl"/>
        </w:rPr>
        <w:t>Mejorar la aplicación</w:t>
      </w:r>
    </w:p>
    <w:tbl>
      <w:tblPr>
        <w:tblpPr w:leftFromText="141" w:rightFromText="141" w:vertAnchor="text" w:tblpX="93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17"/>
        <w:gridCol w:w="4342"/>
        <w:gridCol w:w="3880"/>
        <w:gridCol w:w="1417"/>
        <w:gridCol w:w="1025"/>
      </w:tblGrid>
      <w:tr w:rsidR="00B44B7B" w:rsidRPr="00E17D49" w14:paraId="23E5F8BC" w14:textId="77777777" w:rsidTr="00033B7B">
        <w:trPr>
          <w:trHeight w:val="30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616038" w14:textId="615C26E9" w:rsidR="00B44B7B" w:rsidRPr="00E17D49" w:rsidRDefault="00E17D49" w:rsidP="00033B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Meta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8B52261" w14:textId="6860950A" w:rsidR="00B44B7B" w:rsidRPr="00E17D49" w:rsidRDefault="00E17D49" w:rsidP="00033B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Actividades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7F4BB81" w14:textId="49838FC8" w:rsidR="00B44B7B" w:rsidRPr="00E17D49" w:rsidRDefault="00E17D49" w:rsidP="00033B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CA1CA7" w14:textId="77777777" w:rsidR="00B44B7B" w:rsidRPr="00E17D49" w:rsidRDefault="00B44B7B" w:rsidP="00033B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Team Leader (s)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EBA15DF" w14:textId="4C7A2972" w:rsidR="00B44B7B" w:rsidRPr="00E17D49" w:rsidRDefault="00E17D49" w:rsidP="00033B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Plazo</w:t>
            </w:r>
          </w:p>
        </w:tc>
      </w:tr>
      <w:tr w:rsidR="00B44B7B" w:rsidRPr="00E17D49" w14:paraId="42B6C175" w14:textId="77777777" w:rsidTr="00033B7B">
        <w:trPr>
          <w:trHeight w:val="9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840D47" w14:textId="07B01945" w:rsidR="00B44B7B" w:rsidRPr="00E17D49" w:rsidRDefault="0016672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14: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desarrollan orientaciones científicas y metodologías técnicas a escala mundial y regional sobre temas relevantes que están disponibles para los responsables de políticas y los profesionales en un formato y un lenguaje apropiados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337D" w14:textId="55AB9C12" w:rsidR="00B44B7B" w:rsidRPr="00E17D49" w:rsidRDefault="00996C85" w:rsidP="003A3D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Apoyar al GECT según se indica en el Anexo 1 de la 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XII.5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FBF5" w14:textId="1592E0D9" w:rsidR="00B44B7B" w:rsidRPr="002E0A8F" w:rsidRDefault="003A3DC1" w:rsidP="007548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2E0A8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Apoyo facilitado al </w:t>
            </w:r>
            <w:r w:rsidR="00996C85" w:rsidRPr="002E0A8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GECT </w:t>
            </w:r>
            <w:r w:rsidRPr="002E0A8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para </w:t>
            </w:r>
            <w:r w:rsidR="00996C85" w:rsidRPr="002E0A8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 preparación y </w:t>
            </w:r>
            <w:r w:rsidRPr="002E0A8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ejecución</w:t>
            </w:r>
            <w:r w:rsidR="00996C85" w:rsidRPr="002E0A8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su plan de trabajo y áreas </w:t>
            </w:r>
            <w:r w:rsidRPr="002E0A8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temáticas</w:t>
            </w:r>
            <w:r w:rsidR="007548D0" w:rsidRPr="002E0A8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2016 con arreglo al Anexo 3 de la Resolución XII.5 y otras resoluciones pertinentes (XII.13, párrafos 25-27, y XI.20 sobre las turberas). El GECT y el Grupo de supervisión de las actividades de CECoP trabajan con redes e iniciativas en la preparación de directrices para la elaboración de planes de acción nacionales encaminados a conservar el agua necesaria para mantener el uso racional de los humedales para su aplicación regional y/o nacional.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ACAA" w14:textId="32AA1ECE" w:rsidR="00B44B7B" w:rsidRPr="00E17D49" w:rsidRDefault="00070C38" w:rsidP="007548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/SG/</w:t>
            </w:r>
            <w:r w:rsidR="002102D0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Pres. GECT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2102D0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Oficial de A</w:t>
            </w:r>
            <w:r w:rsidR="001D2322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poyo al GECT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B43F" w14:textId="3EC8A68C" w:rsidR="00B44B7B" w:rsidRPr="00E17D49" w:rsidRDefault="007548D0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</w:p>
        </w:tc>
      </w:tr>
      <w:tr w:rsidR="00B44B7B" w:rsidRPr="00E17D49" w14:paraId="51D32F3A" w14:textId="77777777" w:rsidTr="00033B7B">
        <w:trPr>
          <w:trHeight w:val="9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86E8" w14:textId="77777777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7794" w14:textId="3547701A" w:rsidR="00B44B7B" w:rsidRPr="00E17D49" w:rsidRDefault="00B44B7B" w:rsidP="007548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Organi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zar y celebrar una reunión del GECT en </w:t>
            </w:r>
            <w:r w:rsidR="007548D0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4800" w14:textId="4BAC619F" w:rsidR="00B44B7B" w:rsidRPr="00E17D49" w:rsidRDefault="002F23F0" w:rsidP="002F23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eunión </w:t>
            </w:r>
            <w:r w:rsidR="00996C85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del GECT</w:t>
            </w:r>
            <w:r w:rsidR="00D541EF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996C85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celebrada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 e informe preparado para la reunión SC52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FCAC" w14:textId="34B54F7C" w:rsidR="00B44B7B" w:rsidRPr="00E17D49" w:rsidRDefault="00070C38" w:rsidP="003A3D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/SG/</w:t>
            </w:r>
            <w:r w:rsidR="002102D0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Presidencia </w:t>
            </w:r>
            <w:r w:rsidR="00996C85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del SG</w:t>
            </w:r>
            <w:r w:rsidR="00B44B7B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Oficial de A</w:t>
            </w:r>
            <w:r w:rsidR="003A3DC1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poyo al GECT</w:t>
            </w:r>
            <w:r w:rsidR="00B44B7B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0FB3" w14:textId="5C17ECD9" w:rsidR="00B44B7B" w:rsidRPr="00E17D49" w:rsidRDefault="002F23F0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B44B7B" w:rsidRPr="00E17D49" w14:paraId="39496497" w14:textId="77777777" w:rsidTr="00033B7B"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9ECF" w14:textId="77777777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3C3" w14:textId="35B444A5" w:rsidR="00B44B7B" w:rsidRPr="00E17D49" w:rsidRDefault="005B07A3" w:rsidP="006B01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Con sujeción a la disponibilidad de recursos, finalizar la </w:t>
            </w:r>
            <w:r w:rsidR="003A3DC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preparación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 versión actual de</w:t>
            </w:r>
            <w:r w:rsidR="003A3DC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 informe </w:t>
            </w:r>
            <w:r w:rsidR="003A3DC1" w:rsidRPr="003A3DC1">
              <w:rPr>
                <w:rFonts w:eastAsia="Times New Roman" w:cs="Arial"/>
                <w:i/>
                <w:color w:val="000000"/>
                <w:sz w:val="20"/>
                <w:szCs w:val="20"/>
                <w:lang w:val="es-ES_tradnl" w:eastAsia="en-GB"/>
              </w:rPr>
              <w:t>Estado de los humedales del mundo y de los servicios que prestan a las personas</w:t>
            </w:r>
            <w:r w:rsidR="003A3DC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 estudiar modalidades para su posterior mejora y actualización como informe</w:t>
            </w:r>
            <w:r w:rsidR="006B0183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emblemático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periódico de la Convención y así contribuir también a la </w:t>
            </w:r>
            <w:r w:rsidR="006B0183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s-ES_tradnl" w:eastAsia="en-GB"/>
              </w:rPr>
              <w:t xml:space="preserve">Perspectiva Mundial sobre la Diversidad Biológica </w:t>
            </w:r>
            <w:r w:rsidR="006B0183" w:rsidRPr="006B0183">
              <w:rPr>
                <w:rFonts w:eastAsia="Times New Roman" w:cs="Arial"/>
                <w:iCs/>
                <w:color w:val="000000"/>
                <w:sz w:val="20"/>
                <w:szCs w:val="20"/>
                <w:lang w:val="es-ES_tradnl" w:eastAsia="en-GB"/>
              </w:rPr>
              <w:t>del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Convenio sobre la Diversidad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Biológica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 informar sobre los progresos realizados en esta cuestión a la 13ª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 Conferencia de las Partes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Contratantes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8481" w14:textId="6E5A4953" w:rsidR="00B44B7B" w:rsidRPr="00E17D49" w:rsidRDefault="00930D14" w:rsidP="00930D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Seguir preparando el i</w:t>
            </w:r>
            <w:r w:rsidR="005B07A3" w:rsidRPr="006B0183">
              <w:rPr>
                <w:rFonts w:eastAsia="Times New Roman" w:cs="Arial"/>
                <w:sz w:val="20"/>
                <w:szCs w:val="20"/>
                <w:lang w:val="es-ES_tradnl" w:eastAsia="en-GB"/>
              </w:rPr>
              <w:t>nforme</w:t>
            </w:r>
            <w:r w:rsidR="006B0183" w:rsidRPr="006B0183">
              <w:rPr>
                <w:rFonts w:eastAsia="Times New Roman" w:cs="Arial"/>
                <w:i/>
                <w:sz w:val="20"/>
                <w:szCs w:val="20"/>
                <w:lang w:val="es-ES_tradnl" w:eastAsia="en-GB"/>
              </w:rPr>
              <w:t xml:space="preserve"> Estado de los humedales del mundo y de los servicios</w:t>
            </w:r>
            <w:r w:rsidR="006B0183" w:rsidRPr="003A3DC1">
              <w:rPr>
                <w:rFonts w:eastAsia="Times New Roman" w:cs="Arial"/>
                <w:i/>
                <w:color w:val="000000"/>
                <w:sz w:val="20"/>
                <w:szCs w:val="20"/>
                <w:lang w:val="es-ES_tradnl" w:eastAsia="en-GB"/>
              </w:rPr>
              <w:t xml:space="preserve"> que prestan a las personas</w:t>
            </w:r>
            <w:r w:rsidR="006B018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 presentar un informe sobre los progresos a la reunión SC52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1B95" w14:textId="5710022C" w:rsidR="00B44B7B" w:rsidRPr="00E17D49" w:rsidRDefault="00070C38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Pres. GECT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115A" w14:textId="28049148" w:rsidR="00B44B7B" w:rsidRPr="00E17D49" w:rsidRDefault="00930D14" w:rsidP="00930D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Reunión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SC5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</w:t>
            </w:r>
          </w:p>
        </w:tc>
      </w:tr>
      <w:tr w:rsidR="00B44B7B" w:rsidRPr="00E17D49" w14:paraId="5ED99AB9" w14:textId="77777777" w:rsidTr="00033B7B">
        <w:trPr>
          <w:trHeight w:val="12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C5DA" w14:textId="77777777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2398" w14:textId="3992B664" w:rsidR="00B44B7B" w:rsidRPr="00E17D49" w:rsidRDefault="00B44B7B" w:rsidP="001422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Mo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vilizar recursos adicionales para la aplicación de orientaciones y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asesoramiento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técnico</w:t>
            </w:r>
            <w:r w:rsidR="001422C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s, por ejemplo 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de las recomendaciones para la conservación y el uso racional de los humedales de Ramsar por las Partes Contratantes.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7188" w14:textId="3C86FB85" w:rsidR="00B44B7B" w:rsidRPr="00E17D49" w:rsidRDefault="005B07A3" w:rsidP="00930D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Recursos financieros disponibles</w:t>
            </w:r>
            <w:r w:rsidR="00930D1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plan de trabajo del GECT ejecutado</w:t>
            </w:r>
            <w:r w:rsidR="00930D1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2016. El informe sobre los progresos deberá ser presentado a la reunión SC52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5D39" w14:textId="004D20F9" w:rsidR="00B44B7B" w:rsidRPr="00E17D49" w:rsidRDefault="00070C38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Pres. GECT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4659" w14:textId="1B24EA21" w:rsidR="00B44B7B" w:rsidRPr="00E17D49" w:rsidRDefault="00930D14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B44B7B" w:rsidRPr="00E17D49" w14:paraId="5EB8B370" w14:textId="77777777" w:rsidTr="002E0A8F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959B" w14:textId="54AD19CB" w:rsidR="00B44B7B" w:rsidRPr="00E17D49" w:rsidRDefault="0016672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15: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Con la participación activa y el apoyo de las Partes de cada región, se refuerzan las Iniciativas Regionales de Ramsar y se convierten en herramientas eficaces para contribuir a la aplicación plena de la Convención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3274" w14:textId="52E801DE" w:rsidR="00B44B7B" w:rsidRPr="00E17D49" w:rsidRDefault="001422C4" w:rsidP="001422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Respaldar los arreglos regionales vigentes bajo la Convención y promover otros con nuevas iniciativas regionales </w:t>
            </w:r>
            <w:r w:rsidR="0080228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(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XII.8).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4923" w14:textId="5E8E2C92" w:rsidR="00B44B7B" w:rsidRPr="00E17D49" w:rsidRDefault="00930D14" w:rsidP="00930D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Informe a la reunión SC52 sobre los lineamientos operativos revisados, aprobación de la asignación de financiación  y de la lista de iniciativas aprobadas para 2016. F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ondos aprobados transferidos a las iniciativas regionales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objeto de seguimiento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Con sujeción a los recursos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disponibles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publicar y divulgar un nuevo folleto para promover </w:t>
            </w:r>
            <w:r w:rsidR="00FF0383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el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valor añadido </w:t>
            </w:r>
            <w:r w:rsidR="00FF0383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</w:t>
            </w:r>
            <w:r w:rsidR="00FF038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las Iniciativas Regionales </w:t>
            </w:r>
            <w:r w:rsidR="00FF0383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la aplicación de Ramsar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8DD5" w14:textId="610BAB85" w:rsidR="00AD660D" w:rsidRDefault="00070C38" w:rsidP="00033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/ARS para Europa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</w:p>
          <w:p w14:paraId="693B71A5" w14:textId="34EFF2AE" w:rsidR="00B44B7B" w:rsidRPr="00E17D49" w:rsidRDefault="00314781" w:rsidP="00033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AE0B" w14:textId="4A4ADAAC" w:rsidR="00B44B7B" w:rsidRPr="00E17D49" w:rsidRDefault="0050294D" w:rsidP="005029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eunión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SC52</w:t>
            </w:r>
          </w:p>
        </w:tc>
      </w:tr>
      <w:tr w:rsidR="00B44B7B" w:rsidRPr="00E17D49" w14:paraId="207CF568" w14:textId="77777777" w:rsidTr="00033B7B">
        <w:trPr>
          <w:trHeight w:val="21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C8A88D" w14:textId="50524DBA" w:rsidR="00B44B7B" w:rsidRPr="00E17D49" w:rsidRDefault="0016672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16: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La conservación y el uso racional de los humedales se integran a través de la comunicación, el desarrollo de capacidad, la educación, concienciación y participación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1366" w14:textId="78202D0E" w:rsidR="00B44B7B" w:rsidRPr="00E17D49" w:rsidRDefault="005B07A3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Programa de CECoP ejecutado, con las aportaciones </w:t>
            </w:r>
            <w:r w:rsidRP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del Grupo de supervisión de las </w:t>
            </w:r>
            <w:r w:rsidR="00812051" w:rsidRP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>actividades</w:t>
            </w:r>
            <w:r w:rsid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de CECoP y</w:t>
            </w:r>
            <w:r w:rsidRP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el</w:t>
            </w:r>
            <w:r w:rsid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Grupo de trabajo sobre CECoP; </w:t>
            </w:r>
            <w:r w:rsidRP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>plan de aplicación de la CECoP de la Secretaría preparado y divulgado</w:t>
            </w:r>
            <w:r w:rsidR="00755CA4" w:rsidRP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F25D" w14:textId="27D83A8D" w:rsidR="00B44B7B" w:rsidRPr="00E17D49" w:rsidRDefault="005B07A3" w:rsidP="005029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Mayor capacidad de los coordinadores nacionales de CECoP; mayor sensibilización sobre los humedales a escala local, nacional, regional y mundial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(incluidas las redes, según se indica en la Res. XII.9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Mejor integración de las cuestiones de los humedales en la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planificación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las 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prioridades nacionales. Mejor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percepción de los valores de los humedales a escala mundial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D079" w14:textId="2D4AF6BC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/ARS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8103" w14:textId="3FA0B4F3" w:rsidR="00B44B7B" w:rsidRPr="00E17D49" w:rsidRDefault="0050294D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B44B7B" w:rsidRPr="00E17D49" w14:paraId="6925AA70" w14:textId="77777777" w:rsidTr="002E0A8F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F5BCA" w14:textId="77777777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5064" w14:textId="5BEBA5FF" w:rsidR="00B44B7B" w:rsidRPr="00E17D49" w:rsidRDefault="005B07A3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Mantenimiento y mejora del sitio web de Ramsar.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D77A" w14:textId="056D66FA" w:rsidR="00B44B7B" w:rsidRPr="00E17D49" w:rsidRDefault="005B07A3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Nuevo sitio web totalmente operativo en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consonancia con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las necesidades de los usuarios; mejor acceso público a 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información relacionada con los humedales.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6AA5" w14:textId="6A283066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F137" w14:textId="03D437D2" w:rsidR="00B44B7B" w:rsidRPr="00E17D49" w:rsidRDefault="0050294D" w:rsidP="00033B7B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B44B7B" w:rsidRPr="002E0A8F" w14:paraId="1F659227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7469" w14:textId="77777777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C54D" w14:textId="05AD1382" w:rsidR="00B44B7B" w:rsidRPr="00E17D49" w:rsidRDefault="00B44B7B" w:rsidP="005029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Prepara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ción 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seguimiento de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los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materiales para el Día Mundial de los Hum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edales (DMH) durante el trienio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 En 2016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realizar un seguimiento de los 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materiales 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del DMH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preparación de 2017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D6B1" w14:textId="2BCA7A7C" w:rsidR="00B44B7B" w:rsidRPr="00E17D49" w:rsidRDefault="0050294D" w:rsidP="005029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Seguimiento de los materiales y las actividades del DMH en 2016 e informe a la reunión SC52. Preparación de materiales para 2017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1539" w14:textId="7B453540" w:rsidR="00B44B7B" w:rsidRPr="00E17D49" w:rsidRDefault="000D1C4D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0C23" w14:textId="525B2D4D" w:rsidR="00B44B7B" w:rsidRPr="00E17D49" w:rsidRDefault="0050294D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 y finales de 2016</w:t>
            </w:r>
          </w:p>
        </w:tc>
      </w:tr>
      <w:tr w:rsidR="00B44B7B" w:rsidRPr="00E17D49" w14:paraId="5B05CD03" w14:textId="77777777" w:rsidTr="00033B7B">
        <w:trPr>
          <w:trHeight w:val="12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AA54" w14:textId="77BC3619" w:rsidR="00B44B7B" w:rsidRPr="00E17D49" w:rsidRDefault="0016672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17: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DB7141">
              <w:rPr>
                <w:sz w:val="20"/>
                <w:szCs w:val="20"/>
                <w:lang w:val="es-ES_tradnl"/>
              </w:rPr>
              <w:t>Se facilitan recursos financieros y de otro tipo procedentes de todas las fuentes para ejecutar de forma efectiva el Cuarto Plan Estratégico de Ramsar (2016-2024)</w:t>
            </w:r>
            <w:r w:rsidR="00B44B7B" w:rsidRP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08EB" w14:textId="00694DC8" w:rsidR="00B44B7B" w:rsidRPr="00E17D49" w:rsidRDefault="00AB09EA" w:rsidP="002E0A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Aplicar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 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B44B7B" w:rsidRPr="00AB09EA">
              <w:rPr>
                <w:rFonts w:eastAsia="Times New Roman" w:cs="Arial"/>
                <w:sz w:val="20"/>
                <w:szCs w:val="20"/>
                <w:lang w:val="es-ES_tradnl" w:eastAsia="en-GB"/>
              </w:rPr>
              <w:t>XII.</w:t>
            </w:r>
            <w:r w:rsidR="002E0A8F">
              <w:rPr>
                <w:rFonts w:eastAsia="Times New Roman" w:cs="Arial"/>
                <w:sz w:val="20"/>
                <w:szCs w:val="20"/>
                <w:lang w:val="es-ES_tradnl" w:eastAsia="en-GB"/>
              </w:rPr>
              <w:t>1</w:t>
            </w:r>
            <w:r w:rsidR="00B44B7B" w:rsidRPr="00AB09EA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5B07A3" w:rsidRPr="00AB09EA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sobre </w:t>
            </w:r>
            <w:r w:rsidRPr="00AB09EA">
              <w:rPr>
                <w:rFonts w:eastAsia="Times New Roman" w:cs="Arial"/>
                <w:i/>
                <w:sz w:val="20"/>
                <w:szCs w:val="20"/>
                <w:lang w:val="es-ES_tradnl" w:eastAsia="en-GB"/>
              </w:rPr>
              <w:t>Cuestiones financieras y presupuestarias</w:t>
            </w:r>
            <w:r w:rsidR="00755CA4" w:rsidRPr="00AB09EA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063F" w14:textId="70F286A3" w:rsidR="00B44B7B" w:rsidRPr="00E17D49" w:rsidRDefault="00AB09EA" w:rsidP="005029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 atienden todas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solicitudes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COP12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sobre cuestiones financieras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según sea necesario para la reunión SC52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Informes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satisfactorios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presentados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 reunión SC52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sobre la gestión financiera eficaz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presupuesto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básico y la financiación voluntaria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Seguimiento de las decisiones de la reunión SC51.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87C8" w14:textId="02BC2511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Oficial de Finanzas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0F3F" w14:textId="381D8D92" w:rsidR="00B44B7B" w:rsidRPr="00E17D49" w:rsidRDefault="0050294D" w:rsidP="00080EF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B44B7B" w:rsidRPr="00E17D49" w14:paraId="601B11D3" w14:textId="77777777" w:rsidTr="00033B7B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6BFF0" w14:textId="77777777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177B" w14:textId="1DF57954" w:rsidR="00B44B7B" w:rsidRPr="00E17D49" w:rsidRDefault="00E65D5D" w:rsidP="00AB09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El equipo de asociaciones de colaboración de la Secretaría recaudará fondos complementarios para financiar </w:t>
            </w:r>
            <w:r w:rsidR="00AB09E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actividades </w:t>
            </w:r>
            <w:r w:rsidR="0081205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prioritarias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 Convención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937D" w14:textId="5B32CE3A" w:rsidR="00B44B7B" w:rsidRPr="00E17D49" w:rsidRDefault="00E65D5D" w:rsidP="00DB71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Aumento de la financiación voluntaria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 mayor fuerza y eficacia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para las prioridades de 2016. Informe sobre los progresos a la reunión SC52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F908" w14:textId="0E6EBB47" w:rsidR="00B44B7B" w:rsidRPr="00E17D49" w:rsidRDefault="00286075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5A7C" w14:textId="72C66FCC" w:rsidR="00B44B7B" w:rsidRPr="00E17D49" w:rsidRDefault="0050294D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B44B7B" w:rsidRPr="00E17D49" w14:paraId="6FD5CF5D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B023" w14:textId="77777777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215" w14:textId="0BF6AA5C" w:rsidR="00B44B7B" w:rsidRPr="00E17D49" w:rsidRDefault="00812051" w:rsidP="00DB71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Estudiar</w:t>
            </w:r>
            <w:r w:rsidR="00F37E87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alternativas y buscar financiación para el Fondo de Pequeñas </w:t>
            </w:r>
            <w:r w:rsidR="00F37E87" w:rsidRPr="00DB7141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Subvenciones </w:t>
            </w:r>
            <w:r w:rsidR="00B44B7B" w:rsidRPr="00DB7141">
              <w:rPr>
                <w:rFonts w:eastAsia="Times New Roman" w:cs="Arial"/>
                <w:sz w:val="20"/>
                <w:szCs w:val="20"/>
                <w:lang w:val="es-ES_tradnl" w:eastAsia="en-GB"/>
              </w:rPr>
              <w:t>(</w:t>
            </w:r>
            <w:r w:rsidR="00DB7141" w:rsidRPr="00DB7141">
              <w:rPr>
                <w:rFonts w:eastAsia="Times New Roman" w:cs="Arial"/>
                <w:sz w:val="20"/>
                <w:szCs w:val="20"/>
                <w:lang w:val="es-ES_tradnl" w:eastAsia="en-GB"/>
              </w:rPr>
              <w:t>FPS</w:t>
            </w:r>
            <w:r w:rsidR="00B44B7B" w:rsidRPr="00DB7141">
              <w:rPr>
                <w:rFonts w:eastAsia="Times New Roman" w:cs="Arial"/>
                <w:sz w:val="20"/>
                <w:szCs w:val="20"/>
                <w:lang w:val="es-ES_tradnl" w:eastAsia="en-GB"/>
              </w:rPr>
              <w:t>)</w:t>
            </w:r>
            <w:r w:rsidR="00755CA4" w:rsidRPr="00DB7141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3F48" w14:textId="688CFDDB" w:rsidR="00B44B7B" w:rsidRPr="00E17D49" w:rsidRDefault="00113E4C" w:rsidP="005029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Acceso de los países a la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financiación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facilitado 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por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un Fondo de Pequeñas Subvenciones más eficaz.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Segumiento de la decisión de la reunión SC51 e informe sobre los progresos a la reunión SC52.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63DB" w14:textId="041F6F5F" w:rsidR="00B44B7B" w:rsidRPr="00E17D49" w:rsidRDefault="00286075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92F6" w14:textId="350C2226" w:rsidR="00B44B7B" w:rsidRPr="00E17D49" w:rsidRDefault="0050294D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B44B7B" w:rsidRPr="00E17D49" w14:paraId="4975FB43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277B" w14:textId="77777777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8DE7" w14:textId="01099534" w:rsidR="00B44B7B" w:rsidRPr="00E17D49" w:rsidRDefault="00B44B7B" w:rsidP="00DB71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Evalua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ción y seguimiento de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los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proyectos </w:t>
            </w:r>
            <w:r w:rsidR="00755CA4" w:rsidRPr="00DB7141">
              <w:rPr>
                <w:rFonts w:eastAsia="Times New Roman" w:cs="Arial"/>
                <w:i/>
                <w:color w:val="000000"/>
                <w:sz w:val="20"/>
                <w:szCs w:val="20"/>
                <w:lang w:val="es-ES_tradnl" w:eastAsia="en-GB"/>
              </w:rPr>
              <w:t>Wetlands for the Future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682FD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(WFF) 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755CA4" w:rsidRPr="00DB7141">
              <w:rPr>
                <w:rFonts w:eastAsia="Times New Roman" w:cs="Arial"/>
                <w:i/>
                <w:color w:val="000000"/>
                <w:sz w:val="20"/>
                <w:szCs w:val="20"/>
                <w:lang w:val="es-ES_tradnl" w:eastAsia="en-GB"/>
              </w:rPr>
              <w:t>Swiss Grants for Africa</w:t>
            </w:r>
            <w:r w:rsidR="00682FD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(SGA)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7FE8" w14:textId="7539B0A9" w:rsidR="00B44B7B" w:rsidRPr="00E17D49" w:rsidRDefault="00812051" w:rsidP="00DB71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eguimiento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técnico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administrativo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en tiempo oportuno 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los 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proyectos financiados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2016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A877" w14:textId="6C0DF5C3" w:rsidR="00B44B7B" w:rsidRPr="00E17D49" w:rsidRDefault="00070C38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  <w:r w:rsidR="00682FD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55742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las Américas y África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DE7C" w14:textId="2D3F1BC8" w:rsidR="00B44B7B" w:rsidRPr="00E17D49" w:rsidRDefault="0050294D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</w:p>
        </w:tc>
      </w:tr>
      <w:tr w:rsidR="00B44B7B" w:rsidRPr="00E17D49" w14:paraId="198CAD76" w14:textId="77777777" w:rsidTr="002E0A8F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065E" w14:textId="77777777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137F" w14:textId="2E328D4D" w:rsidR="00B44B7B" w:rsidRPr="00E17D49" w:rsidRDefault="00B70154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Gestionar el presupuesto de la Convención d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 manera oportuna y eficiente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D6AF" w14:textId="11A1E34C" w:rsidR="00B44B7B" w:rsidRPr="00E17D49" w:rsidRDefault="00B70154" w:rsidP="0050294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Gestión financiera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eficiente llevada a cabo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Todos los informes son satisfactorios y aprobados por </w:t>
            </w:r>
            <w:r w:rsidR="0050294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 reunión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SC52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F8D4" w14:textId="30D60A9A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B7015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Oficial de Finanzas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9D3B" w14:textId="423CD906" w:rsidR="00B44B7B" w:rsidRPr="00E17D49" w:rsidRDefault="0050294D" w:rsidP="00080EF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B44B7B" w:rsidRPr="00E17D49" w14:paraId="47B2288F" w14:textId="77777777" w:rsidTr="00033B7B"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5737" w14:textId="03D5222D" w:rsidR="00B44B7B" w:rsidRPr="00E17D49" w:rsidRDefault="0016672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18: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refuerza la cooperación internacional a todos los niveles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C087" w14:textId="2D306EFD" w:rsidR="00B44B7B" w:rsidRPr="00E17D49" w:rsidRDefault="00B70154" w:rsidP="00DB71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Aplicar la 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XI.6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sobre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Asociaciones de colaboración y sinergias con acuerdos multilaterales sobre el medio ambiente y otras instituciones y el plan de trabajo con arreglo a las </w:t>
            </w:r>
            <w:r w:rsidR="0081205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Resoluciones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XII.3</w:t>
            </w:r>
            <w:r w:rsidR="00CA0F3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XII.13.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FC4B" w14:textId="059872F6" w:rsidR="00B44B7B" w:rsidRPr="00E17D49" w:rsidRDefault="00B70154" w:rsidP="00ED3D6B">
            <w:pPr>
              <w:spacing w:after="0" w:line="240" w:lineRule="auto"/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Ejecutar el </w:t>
            </w:r>
            <w:r w:rsidR="00DB7141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memorando de entendimiento (MdE) s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obre el 5º Plan de Trabajo Conjunto con el CDB e informar </w:t>
            </w:r>
            <w:r w:rsidR="0050294D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a la reunión SC52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. </w:t>
            </w:r>
            <w:r w:rsidR="00812051"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Actuar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conjuntamente con el CDB</w:t>
            </w:r>
            <w:r w:rsidR="0050294D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y</w:t>
            </w:r>
            <w:r w:rsidR="00ED3D6B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otros AMMA y la AA de Ramsar. Informar 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sobre el MdE con el PNUMA.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AFD3" w14:textId="35505E82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8918A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FEAD" w14:textId="3DD9D1A7" w:rsidR="00B44B7B" w:rsidRPr="00A81105" w:rsidRDefault="00ED3D6B" w:rsidP="00A811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B44B7B" w:rsidRPr="00E17D49" w14:paraId="081C7EE5" w14:textId="77777777" w:rsidTr="00033B7B"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ADD81" w14:textId="77777777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5264" w14:textId="7EEBF1FB" w:rsidR="00B44B7B" w:rsidRPr="00E17D49" w:rsidRDefault="00320F08" w:rsidP="00A019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Seguir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estableciendo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relaciones con las Convenciones de la UNESCO sobre el patrimonio natural pa</w:t>
            </w:r>
            <w:r w:rsidR="00A019A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ra impulsar prácticas, normas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un</w:t>
            </w:r>
            <w:r w:rsidR="00A019A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manejo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comparable de los sitios importantes a escala mundial y apoyar el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trabajo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sitios con múltiples designaciones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8677" w14:textId="60CB2E87" w:rsidR="00B44B7B" w:rsidRPr="00E17D49" w:rsidRDefault="00320F08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Seguimiento realizado de los planes de trabajo conjunto de </w:t>
            </w: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la </w:t>
            </w:r>
            <w:r w:rsidR="00ED3D6B">
              <w:rPr>
                <w:rFonts w:eastAsia="Times New Roman" w:cs="Arial"/>
                <w:sz w:val="20"/>
                <w:szCs w:val="20"/>
                <w:lang w:val="es-ES_tradnl" w:eastAsia="en-GB"/>
              </w:rPr>
              <w:t>CEM</w:t>
            </w:r>
            <w:r w:rsidR="00B44B7B"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>/AEWA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A019A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 la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UNESCO-</w:t>
            </w:r>
            <w:r w:rsidR="00A019A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Patrimonio Mundial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  <w:r w:rsidR="00ED3D6B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Informe sobre los progresos a la reunión SC52.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6FA6" w14:textId="1279948E" w:rsidR="00B44B7B" w:rsidRPr="00E17D49" w:rsidRDefault="00B44B7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D1C4D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2D24" w14:textId="0B46E732" w:rsidR="00B44B7B" w:rsidRPr="00E17D49" w:rsidRDefault="00ED3D6B" w:rsidP="00033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ED3D6B" w:rsidRPr="00E17D49" w14:paraId="6EE2A7E3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CCF3D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42E5" w14:textId="34506782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Trabajo con el CDB y otras Convenciones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>relacionadas con la biodiversidad para garantizar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que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 voz de Ramsar y la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 opiniones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conjuntas y separadas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 transmita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n a las partes y otros asociados interesados a escala de los AMMA.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43C0" w14:textId="250050F9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lastRenderedPageBreak/>
              <w:t xml:space="preserve">Se asiste a las reuniones del Grupo de Enlace </w:t>
            </w: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lastRenderedPageBreak/>
              <w:t>sobre la Diversidad Biológica (BLG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) en 2016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 Comunicación eficaz de las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opiniones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Ramsar sobre cuestiones esenciales; los logros y acciones futuras de Ramsar cuentan con el reconocimiento y apoyo de todas las Convenciones relacionadas con la biodiversidad.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Informe sobre los progresos a la reunión SC52.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008E" w14:textId="4A1420FA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>SG/SGA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1F54" w14:textId="1F508283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Reunión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>SC52</w:t>
            </w:r>
          </w:p>
        </w:tc>
      </w:tr>
      <w:tr w:rsidR="00ED3D6B" w:rsidRPr="00E17D49" w14:paraId="5B317C05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FAF85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4520" w14:textId="56DEB702" w:rsidR="00ED3D6B" w:rsidRPr="00A019A5" w:rsidRDefault="00ED3D6B" w:rsidP="00ED3D6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>Cuando sea posible, alinear los indicadores del Plan Estratégico con los Objetivos de Desarrollo Sostenible (ODS) aprobados; seguir participando en el proceso y seguimiento de los indicadores de los ODS relevantes e intentar alinear la recolección de datos para Ramsar y los ODS.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C53A" w14:textId="7025595C" w:rsidR="00ED3D6B" w:rsidRPr="001D2322" w:rsidRDefault="00ED3D6B" w:rsidP="00ED3D6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Los Objetivos de Desarrollo Sostenible relacionados con los humedales reciben pleno apoyo de la Convención, que se encarga de realizar el seguimiento de uno o más de los indicadores de los ODS que sean acordados.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ADEE" w14:textId="77777777" w:rsidR="00ED3D6B" w:rsidRPr="001D2322" w:rsidRDefault="00ED3D6B" w:rsidP="00ED3D6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SG/SGA/ARS/</w:t>
            </w:r>
          </w:p>
          <w:p w14:paraId="76980B6C" w14:textId="50D39F2F" w:rsidR="00ED3D6B" w:rsidRPr="001D2322" w:rsidRDefault="00ED3D6B" w:rsidP="00ED3D6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GECT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27C5" w14:textId="536B4C40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ED3D6B" w:rsidRPr="00E17D49" w14:paraId="4C95EEBF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A249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9587" w14:textId="3F6EF1F0" w:rsidR="00ED3D6B" w:rsidRPr="00BE5119" w:rsidRDefault="00ED3D6B" w:rsidP="00ED3D6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>Posible introducción escalonada del idioma árabe o de otros idiomas de la ONU en la labor de la Convención de Ramsar (Resolución XII.3, párrafo 26), con sujeción a la disponibilidad de recursos.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08B3" w14:textId="46C92912" w:rsidR="00ED3D6B" w:rsidRPr="00BE5119" w:rsidRDefault="00ED3D6B" w:rsidP="00ED3D6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>Estrategia formulada donde se describe la posible introducción escalonada del árabe u otros idiomas de la ONU en la labor de la Convención de Ramsar (Resolución XII.3, párrafo 26).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9EC2" w14:textId="3C918779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 para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Asia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493F" w14:textId="661AA01E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ED3D6B" w:rsidRPr="00E17D49" w14:paraId="0E6C315C" w14:textId="77777777" w:rsidTr="00033B7B"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EEB4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4953" w14:textId="77777777" w:rsidR="00ED3D6B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 Secretaría y el Presidente del GECT deben seguir participando en el proceso de la IPBES y estudiar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otras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man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eras de colaborar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según proceda.</w:t>
            </w:r>
          </w:p>
          <w:p w14:paraId="057636A7" w14:textId="40E47CEF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Redactar y presentar a la Secretaría de la IPBES una solicitud de evaluación temática sobre el estado actual y las tendencias de los humedales, con arreglo al procedimiento de la IPBES para recibir y priorizar las solicitudes.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4E2E" w14:textId="5943B08F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Acciones conjuntas emprendidas entre Ramsar y la IPBES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 informe a la reunión SC52. Solicitud de evaluación temática a la IPBES redactada. Expertos adecuados identificados y propuestos para participar en cualquier evaluación futura de la IPBES.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0650" w14:textId="765AB53A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SGA/Pres. GECT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0F77" w14:textId="3EFD69A1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ED3D6B" w:rsidRPr="00E17D49" w14:paraId="0FF41B84" w14:textId="77777777" w:rsidTr="00033B7B"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AE43D4" w14:textId="619B85DA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Meta 19:</w:t>
            </w: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potencia la creación de capacidad para la aplicación de la Convención y del Cuarto Plan Estratégico de Ramsar (2016-2024)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6CF8B4" w14:textId="7ACF204C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Comunicar la información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continua de Ramsar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para llegar a los interesados.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DF51" w14:textId="296557BC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Se transmiten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información y mensajes acordados a distintos interesados mediante materiales impresos tales como folletos y canales electrónicos como el sitio web,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el Foro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, Exchange, las listas de CECoP y los medios sociales.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FCAB" w14:textId="3809B95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0896" w14:textId="4DDAD19A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ED3D6B" w:rsidRPr="00E17D49" w14:paraId="2A5A38E5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05333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48081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9874" w14:textId="7EE239BC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Aumento de la participación y capacidad de los interesados.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4779" w14:textId="7BA5EAAA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C2AD" w14:textId="59C9C58B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ED3D6B" w:rsidRPr="002E0A8F" w14:paraId="7E34495E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7F0F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8426F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969F3" w14:textId="75FEC019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Redactar la propuesta de la estructura, el formato y los contenidos de la 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5ª edición de los Manuales </w:t>
            </w:r>
            <w:r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Ramsar para el uso racional 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y el Manual de la Convención de Ramsar. Preparar y publicar Informes Técnicos de Ramsar, Fichas Informativas (</w:t>
            </w:r>
            <w:r w:rsidRPr="00E17D49">
              <w:rPr>
                <w:rFonts w:eastAsia="Times New Roman" w:cs="Arial"/>
                <w:i/>
                <w:color w:val="000000"/>
                <w:spacing w:val="-2"/>
                <w:sz w:val="20"/>
                <w:szCs w:val="20"/>
                <w:lang w:val="es-ES_tradnl" w:eastAsia="en-GB"/>
              </w:rPr>
              <w:t>Factsheets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), </w:t>
            </w:r>
            <w:r w:rsidRPr="00BE5119">
              <w:rPr>
                <w:rFonts w:eastAsia="Times New Roman" w:cs="Arial"/>
                <w:spacing w:val="-2"/>
                <w:sz w:val="20"/>
                <w:szCs w:val="20"/>
                <w:lang w:val="es-ES_tradnl" w:eastAsia="en-GB"/>
              </w:rPr>
              <w:t>Notas sobre Políticas,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Notas Informativas y otros materiales de o</w:t>
            </w:r>
            <w:r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rientación.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7003" w14:textId="554E8B18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SG/</w:t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E9AD" w14:textId="4A5D30BA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Informe a 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la reunión</w:t>
            </w: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SC52</w:t>
            </w:r>
          </w:p>
        </w:tc>
      </w:tr>
      <w:tr w:rsidR="00ED3D6B" w:rsidRPr="00E17D49" w14:paraId="15C0C5B2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8BD7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9824" w14:textId="0E321AF5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Crear una red de profesionales de los humedales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conformidad con la decisión del GECT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utilizarla para encontrar los temas más importantes para la creación de capacidad y conseguir las herramientas necesarias para la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creación de capacidad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sobre el Plan Estratégico y la Convención.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592B" w14:textId="118CE7D9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Red plenamente funcional establecida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;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áreas prioritarias para la creación de capacidad identificada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módulos de formación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obtenidos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Biblioteca online de traducciones oficiales y no oficiales realizadas por los gobiernos de los documentos de Ramsar públicamente accesible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, dado que las Partes proporcionan tales documentos a la Secretaría.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BA63" w14:textId="5D98C6D9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SG/Resp. de Comunic.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/SG/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33CC" w14:textId="0A8E1C33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ED3D6B" w:rsidRPr="00E17D49" w14:paraId="0859D4B0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F410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DEB5" w14:textId="5CE7E000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Ejecución del Plan Estratégico de Ramsar para 2016-2024, incluid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 la preparación de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un examen de mitad de período.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97E0" w14:textId="20A570C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Plan Estratégico ampliamente divulgado a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otros interesados en su ejecución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4937" w14:textId="7ED2B9AB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Comunic./SG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787B" w14:textId="23704461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</w:p>
        </w:tc>
      </w:tr>
      <w:tr w:rsidR="00ED3D6B" w:rsidRPr="002E0A8F" w14:paraId="16DFE3F7" w14:textId="77777777" w:rsidTr="00033B7B"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263F" w14:textId="74E165BF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Otras actividades de la Secretaría</w:t>
            </w:r>
          </w:p>
          <w:p w14:paraId="53653593" w14:textId="3AD22EA8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Otras 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ctividades básicas de la Secreta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ría no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incluidas en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ninguna de las metas anteriores del Plan Estratégico para 2016-2024 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1773" w14:textId="24516A64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Organizar y celebrar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 reunión 52ª reunión del Comité Permanente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88D1" w14:textId="2113CA18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Todos los documentos preparados, traducidos y publicados en el sitio web con 3 meses de antelación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 reunión SC52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 Toda la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ogística de los delegados patrocinados bien organizada.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roductos de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 reunión SC52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divulgados y acciones de seguimiento tomadas.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A574" w14:textId="350882CF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SG/todo el personal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F95B" w14:textId="325BE84B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3 meses antes de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 reunión SC52</w:t>
            </w:r>
          </w:p>
        </w:tc>
      </w:tr>
      <w:tr w:rsidR="00ED3D6B" w:rsidRPr="00E17D49" w14:paraId="170B518E" w14:textId="77777777" w:rsidTr="00033B7B"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939BF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92502" w14:textId="6D670042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Organizar y celebra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 COP13 de manera eficaz y oportuna,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incluidas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las reuniones regionales previas a la COP.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A8A6" w14:textId="7B03A500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Preparación del proyecto de memorando de entendimiento (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MdE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)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examinarlo con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el país anfitrión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C9F0" w14:textId="46B9507D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 para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Asia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C9AA" w14:textId="7B05360F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Principios de 2016</w:t>
            </w:r>
          </w:p>
        </w:tc>
      </w:tr>
      <w:tr w:rsidR="00D05CF1" w:rsidRPr="00E17D49" w14:paraId="65C970AB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4836A" w14:textId="77777777" w:rsidR="00D05CF1" w:rsidRPr="00E17D49" w:rsidRDefault="00D05CF1" w:rsidP="00D05CF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23047" w14:textId="77777777" w:rsidR="00D05CF1" w:rsidRPr="00E17D49" w:rsidRDefault="00D05CF1" w:rsidP="00D05CF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0B88" w14:textId="6C722A64" w:rsidR="00D05CF1" w:rsidRPr="00E17D49" w:rsidRDefault="00D05CF1" w:rsidP="00D05CF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Preparación de un proyecto modelo de informe nacional para la COP13, para su aprobación en la reunión SC52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1DEC" w14:textId="2DB1D877" w:rsidR="00D05CF1" w:rsidRPr="00E17D49" w:rsidRDefault="00D05CF1" w:rsidP="00D05CF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SG/SRA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Américas/Oficial de TI/otros ARS/SG/SGA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C573" w14:textId="6FA14259" w:rsidR="00D05CF1" w:rsidRPr="00E17D49" w:rsidRDefault="00D05CF1" w:rsidP="00D05CF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D05CF1" w:rsidRPr="00E17D49" w14:paraId="674CE15D" w14:textId="77777777" w:rsidTr="00D054C5">
        <w:trPr>
          <w:trHeight w:val="24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FCFD4" w14:textId="77777777" w:rsidR="00D05CF1" w:rsidRPr="00E17D49" w:rsidRDefault="00D05CF1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32C3" w14:textId="7B5E8C9F" w:rsidR="00D05CF1" w:rsidRPr="00D054C5" w:rsidRDefault="00D05CF1" w:rsidP="00D05CF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D054C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Ayudar a las Partes a aplicar la Co</w:t>
            </w:r>
            <w:r w:rsidR="00D054C5" w:rsidRPr="00D054C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nvención. Brindar asesoramiento, recordarles que deben ejecutar las acciones necesarias para cumplir los objetivos y metas del Plan Estratégico y alentarlas a que lo hagan y, cuando proceda, participar activamente en actividades nacionales o regionales para lograrlo. Pedirles que envíen a la Secretaría antes de finales de 2016 sus metas nacionales para ejecutar el Plan Estratégico (Res. XII.2.22).</w:t>
            </w:r>
          </w:p>
          <w:p w14:paraId="5184F1EC" w14:textId="3BA3794B" w:rsidR="00D05CF1" w:rsidRPr="00D054C5" w:rsidRDefault="00D05CF1" w:rsidP="00D05CF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8F3" w14:textId="7549313A" w:rsidR="00D05CF1" w:rsidRPr="00D054C5" w:rsidRDefault="00D054C5" w:rsidP="00D054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D054C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Asesoramiento y apoyo brindado a las Partes según se haya solicitado sobre cuestiones relativas a la aplicación nacional en contextos regionales y mundiales, a través de misiones a las Partes, entre otras cosas. Solicitudes de comunicar las metas estratégicas nacionales enviadas.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E9E6" w14:textId="1ADDE106" w:rsidR="00D05CF1" w:rsidRPr="00E17D49" w:rsidRDefault="00D054C5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ARS/SG/SGA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5EDB3" w14:textId="17904955" w:rsidR="00D05CF1" w:rsidRDefault="00D05CF1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 diario</w:t>
            </w:r>
          </w:p>
        </w:tc>
      </w:tr>
      <w:tr w:rsidR="00ED3D6B" w:rsidRPr="00E17D49" w14:paraId="78B975E2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9B35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2A0D" w14:textId="536AF154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C1046">
              <w:rPr>
                <w:rFonts w:eastAsia="Times New Roman" w:cs="Arial"/>
                <w:sz w:val="20"/>
                <w:szCs w:val="20"/>
                <w:lang w:val="es-ES_tradnl" w:eastAsia="en-GB"/>
              </w:rPr>
              <w:t>Sesiones informativas periódicas para las misiones en Ginebra sobre las actividades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realizadas entre reuniones del CP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20D9" w14:textId="59F102AB" w:rsidR="00ED3D6B" w:rsidRPr="00E17D49" w:rsidRDefault="00D054C5" w:rsidP="00D054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Una sesión informativa con las misi</w:t>
            </w:r>
            <w:r w:rsidR="00ED3D6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ones en Ginebra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sobre los resultados de la reunión SC51</w:t>
            </w:r>
            <w:r w:rsidR="00ED3D6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DC6E" w14:textId="55A88CDA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SG/SGA/ARS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3943" w14:textId="3CE3E75A" w:rsidR="00ED3D6B" w:rsidRPr="00E17D49" w:rsidRDefault="00D054C5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</w:p>
        </w:tc>
      </w:tr>
      <w:tr w:rsidR="00ED3D6B" w:rsidRPr="00E17D49" w14:paraId="04546674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C684B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F590" w14:textId="492C0414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 el Grupo de Trabajo Administrativo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(GTA)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examinar las estructuras de gestión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actuales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 Secretaría y la Convención y debatir las cuestiones pertinentes según proceda.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79F2" w14:textId="7E313BD4" w:rsidR="00ED3D6B" w:rsidRPr="00E17D49" w:rsidRDefault="00D054C5" w:rsidP="00D054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Ejecutar las d</w:t>
            </w:r>
            <w:r w:rsidR="00ED3D6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ecisiones pe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rtinentes del CP y el GTA. Informe sobre los progresos a la reunión SC52 según proceda</w:t>
            </w:r>
            <w:r w:rsidR="00ED3D6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EA4B" w14:textId="42F39698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SG/todo el personal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0D9E" w14:textId="385AC3B1" w:rsidR="00ED3D6B" w:rsidRPr="00E17D49" w:rsidRDefault="00D054C5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 SC52</w:t>
            </w:r>
          </w:p>
        </w:tc>
      </w:tr>
      <w:tr w:rsidR="00ED3D6B" w:rsidRPr="00E17D49" w14:paraId="03ACEFE3" w14:textId="77777777" w:rsidTr="00033B7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B33F4" w14:textId="777777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D9E1" w14:textId="00733277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Llevar a cabo la administración general de la Secretaría y la Convención.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5619" w14:textId="030CA51E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 Secretaría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brinda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servicios eficaces y oportunos a las Partes y otros interesados.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A9E4" w14:textId="1166D9D1" w:rsidR="00ED3D6B" w:rsidRPr="00E17D49" w:rsidRDefault="00ED3D6B" w:rsidP="00ED3D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SG/todo el personal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5B22" w14:textId="54DD0370" w:rsidR="00ED3D6B" w:rsidRPr="00E17D49" w:rsidRDefault="00D054C5" w:rsidP="00D054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</w:p>
        </w:tc>
      </w:tr>
    </w:tbl>
    <w:p w14:paraId="5F032AB7" w14:textId="2DD0A528" w:rsidR="00B1087F" w:rsidRPr="00E17D49" w:rsidRDefault="00033B7B" w:rsidP="009F5BFA">
      <w:pPr>
        <w:rPr>
          <w:rFonts w:cs="Calibri"/>
          <w:b/>
          <w:sz w:val="20"/>
          <w:szCs w:val="20"/>
          <w:lang w:val="es-ES_tradnl"/>
        </w:rPr>
      </w:pPr>
      <w:r w:rsidRPr="00E17D49">
        <w:rPr>
          <w:rFonts w:cs="Calibri"/>
          <w:b/>
          <w:sz w:val="20"/>
          <w:szCs w:val="20"/>
          <w:lang w:val="es-ES_tradnl"/>
        </w:rPr>
        <w:br w:type="textWrapping" w:clear="all"/>
      </w:r>
    </w:p>
    <w:sectPr w:rsidR="00B1087F" w:rsidRPr="00E17D49" w:rsidSect="00F0664F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CFA83" w14:textId="77777777" w:rsidR="00D05CF1" w:rsidRDefault="00D05CF1" w:rsidP="00383692">
      <w:pPr>
        <w:spacing w:after="0" w:line="240" w:lineRule="auto"/>
      </w:pPr>
      <w:r>
        <w:separator/>
      </w:r>
    </w:p>
  </w:endnote>
  <w:endnote w:type="continuationSeparator" w:id="0">
    <w:p w14:paraId="455EC757" w14:textId="77777777" w:rsidR="00D05CF1" w:rsidRDefault="00D05CF1" w:rsidP="0038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1946664"/>
      <w:docPartObj>
        <w:docPartGallery w:val="Page Numbers (Bottom of Page)"/>
        <w:docPartUnique/>
      </w:docPartObj>
    </w:sdtPr>
    <w:sdtEndPr/>
    <w:sdtContent>
      <w:p w14:paraId="31DD9BFF" w14:textId="77777777" w:rsidR="00D05CF1" w:rsidRPr="00EE7940" w:rsidRDefault="00D05CF1" w:rsidP="00EE7940">
        <w:pPr>
          <w:pStyle w:val="Footer"/>
          <w:tabs>
            <w:tab w:val="left" w:pos="8222"/>
            <w:tab w:val="right" w:pos="8931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SC51-xx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6B6339">
          <w:rPr>
            <w:rFonts w:asciiTheme="minorHAnsi" w:hAnsiTheme="minorHAnsi"/>
            <w:sz w:val="20"/>
            <w:szCs w:val="20"/>
          </w:rPr>
          <w:fldChar w:fldCharType="begin"/>
        </w:r>
        <w:r w:rsidRPr="006B633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B6339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2</w:t>
        </w:r>
        <w:r w:rsidRPr="006B633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406140260"/>
      <w:docPartObj>
        <w:docPartGallery w:val="Page Numbers (Bottom of Page)"/>
        <w:docPartUnique/>
      </w:docPartObj>
    </w:sdtPr>
    <w:sdtEndPr/>
    <w:sdtContent>
      <w:p w14:paraId="7688535D" w14:textId="49A319CC" w:rsidR="00D05CF1" w:rsidRPr="00EE7940" w:rsidRDefault="00D05CF1" w:rsidP="00CF0DD4">
        <w:pPr>
          <w:pStyle w:val="Footer"/>
          <w:tabs>
            <w:tab w:val="clear" w:pos="4513"/>
            <w:tab w:val="clear" w:pos="9026"/>
            <w:tab w:val="center" w:pos="6663"/>
            <w:tab w:val="right" w:pos="14034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SC51-08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6B6339">
          <w:rPr>
            <w:rFonts w:asciiTheme="minorHAnsi" w:hAnsiTheme="minorHAnsi"/>
            <w:sz w:val="20"/>
            <w:szCs w:val="20"/>
          </w:rPr>
          <w:fldChar w:fldCharType="begin"/>
        </w:r>
        <w:r w:rsidRPr="006B633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B6339">
          <w:rPr>
            <w:rFonts w:asciiTheme="minorHAnsi" w:hAnsiTheme="minorHAnsi"/>
            <w:sz w:val="20"/>
            <w:szCs w:val="20"/>
          </w:rPr>
          <w:fldChar w:fldCharType="separate"/>
        </w:r>
        <w:r w:rsidR="002E0A8F">
          <w:rPr>
            <w:rFonts w:asciiTheme="minorHAnsi" w:hAnsiTheme="minorHAnsi"/>
            <w:noProof/>
            <w:sz w:val="20"/>
            <w:szCs w:val="20"/>
          </w:rPr>
          <w:t>2</w:t>
        </w:r>
        <w:r w:rsidRPr="006B633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B925A" w14:textId="77777777" w:rsidR="00D05CF1" w:rsidRDefault="00D05CF1" w:rsidP="00383692">
      <w:pPr>
        <w:spacing w:after="0" w:line="240" w:lineRule="auto"/>
      </w:pPr>
      <w:r>
        <w:separator/>
      </w:r>
    </w:p>
  </w:footnote>
  <w:footnote w:type="continuationSeparator" w:id="0">
    <w:p w14:paraId="140F80F2" w14:textId="77777777" w:rsidR="00D05CF1" w:rsidRDefault="00D05CF1" w:rsidP="00383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D3A"/>
    <w:multiLevelType w:val="multilevel"/>
    <w:tmpl w:val="3EC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6EFA"/>
    <w:multiLevelType w:val="hybridMultilevel"/>
    <w:tmpl w:val="87D0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150F"/>
    <w:multiLevelType w:val="hybridMultilevel"/>
    <w:tmpl w:val="207C9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9D3"/>
    <w:multiLevelType w:val="hybridMultilevel"/>
    <w:tmpl w:val="B9EE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6F50"/>
    <w:multiLevelType w:val="hybridMultilevel"/>
    <w:tmpl w:val="C1FA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4014"/>
    <w:multiLevelType w:val="hybridMultilevel"/>
    <w:tmpl w:val="06D4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B3F8F"/>
    <w:multiLevelType w:val="hybridMultilevel"/>
    <w:tmpl w:val="1D2C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51868"/>
    <w:multiLevelType w:val="hybridMultilevel"/>
    <w:tmpl w:val="0D4C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711D7"/>
    <w:multiLevelType w:val="hybridMultilevel"/>
    <w:tmpl w:val="3826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2122A"/>
    <w:multiLevelType w:val="hybridMultilevel"/>
    <w:tmpl w:val="2E5C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155A"/>
    <w:multiLevelType w:val="hybridMultilevel"/>
    <w:tmpl w:val="90DC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05D88"/>
    <w:multiLevelType w:val="hybridMultilevel"/>
    <w:tmpl w:val="0A5C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E080F"/>
    <w:multiLevelType w:val="hybridMultilevel"/>
    <w:tmpl w:val="B05E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8290D"/>
    <w:multiLevelType w:val="hybridMultilevel"/>
    <w:tmpl w:val="2D06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35187"/>
    <w:multiLevelType w:val="hybridMultilevel"/>
    <w:tmpl w:val="8BD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D372D"/>
    <w:multiLevelType w:val="hybridMultilevel"/>
    <w:tmpl w:val="D5D27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4226"/>
    <w:multiLevelType w:val="hybridMultilevel"/>
    <w:tmpl w:val="B00AF3A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D2756B"/>
    <w:multiLevelType w:val="hybridMultilevel"/>
    <w:tmpl w:val="C596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"/>
  </w:num>
  <w:num w:numId="5">
    <w:abstractNumId w:val="13"/>
  </w:num>
  <w:num w:numId="6">
    <w:abstractNumId w:val="15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8" w:nlCheck="1" w:checkStyle="1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3C"/>
    <w:rsid w:val="000016C2"/>
    <w:rsid w:val="00016C15"/>
    <w:rsid w:val="0002346C"/>
    <w:rsid w:val="00033B7B"/>
    <w:rsid w:val="0006301F"/>
    <w:rsid w:val="00070C38"/>
    <w:rsid w:val="000771EA"/>
    <w:rsid w:val="00080EFC"/>
    <w:rsid w:val="000D1399"/>
    <w:rsid w:val="000D1C4D"/>
    <w:rsid w:val="001006BC"/>
    <w:rsid w:val="00113E4C"/>
    <w:rsid w:val="0012096C"/>
    <w:rsid w:val="00135003"/>
    <w:rsid w:val="001422C4"/>
    <w:rsid w:val="00162F57"/>
    <w:rsid w:val="001662E9"/>
    <w:rsid w:val="0016672B"/>
    <w:rsid w:val="0016686B"/>
    <w:rsid w:val="0017025C"/>
    <w:rsid w:val="001845F6"/>
    <w:rsid w:val="00193687"/>
    <w:rsid w:val="001A4A7C"/>
    <w:rsid w:val="001D0CC9"/>
    <w:rsid w:val="001D2322"/>
    <w:rsid w:val="001E4132"/>
    <w:rsid w:val="002102D0"/>
    <w:rsid w:val="00211B51"/>
    <w:rsid w:val="0021237D"/>
    <w:rsid w:val="00214CD2"/>
    <w:rsid w:val="00233BC1"/>
    <w:rsid w:val="00237750"/>
    <w:rsid w:val="00241449"/>
    <w:rsid w:val="00286075"/>
    <w:rsid w:val="0029353C"/>
    <w:rsid w:val="00295556"/>
    <w:rsid w:val="002A0365"/>
    <w:rsid w:val="002A2B75"/>
    <w:rsid w:val="002B476E"/>
    <w:rsid w:val="002C23A0"/>
    <w:rsid w:val="002E0A8F"/>
    <w:rsid w:val="002F23F0"/>
    <w:rsid w:val="00314781"/>
    <w:rsid w:val="00320F08"/>
    <w:rsid w:val="00327D59"/>
    <w:rsid w:val="00340F95"/>
    <w:rsid w:val="00371B91"/>
    <w:rsid w:val="00376B84"/>
    <w:rsid w:val="00383692"/>
    <w:rsid w:val="003A3DC1"/>
    <w:rsid w:val="003B529A"/>
    <w:rsid w:val="003C75F6"/>
    <w:rsid w:val="003D1F56"/>
    <w:rsid w:val="004011F6"/>
    <w:rsid w:val="00411E40"/>
    <w:rsid w:val="0043137A"/>
    <w:rsid w:val="00457A5A"/>
    <w:rsid w:val="00473E29"/>
    <w:rsid w:val="00492DDA"/>
    <w:rsid w:val="00497C4C"/>
    <w:rsid w:val="004D01AD"/>
    <w:rsid w:val="004F0C32"/>
    <w:rsid w:val="0050294D"/>
    <w:rsid w:val="00521719"/>
    <w:rsid w:val="005223E0"/>
    <w:rsid w:val="00527783"/>
    <w:rsid w:val="005506A4"/>
    <w:rsid w:val="0055742C"/>
    <w:rsid w:val="00557D21"/>
    <w:rsid w:val="00577296"/>
    <w:rsid w:val="005915B4"/>
    <w:rsid w:val="005B07A3"/>
    <w:rsid w:val="005B5C63"/>
    <w:rsid w:val="005D1D90"/>
    <w:rsid w:val="005D3F3D"/>
    <w:rsid w:val="005E6013"/>
    <w:rsid w:val="005F5222"/>
    <w:rsid w:val="00644D66"/>
    <w:rsid w:val="00676698"/>
    <w:rsid w:val="006823AE"/>
    <w:rsid w:val="00682FD4"/>
    <w:rsid w:val="0069728A"/>
    <w:rsid w:val="006B0183"/>
    <w:rsid w:val="00702F2A"/>
    <w:rsid w:val="00727101"/>
    <w:rsid w:val="007443D9"/>
    <w:rsid w:val="007548D0"/>
    <w:rsid w:val="00755CA4"/>
    <w:rsid w:val="00786C53"/>
    <w:rsid w:val="00790837"/>
    <w:rsid w:val="007E3774"/>
    <w:rsid w:val="00802282"/>
    <w:rsid w:val="00804A45"/>
    <w:rsid w:val="00812051"/>
    <w:rsid w:val="008546E5"/>
    <w:rsid w:val="0088674F"/>
    <w:rsid w:val="00887D2F"/>
    <w:rsid w:val="008918A9"/>
    <w:rsid w:val="008B3F8C"/>
    <w:rsid w:val="009050AD"/>
    <w:rsid w:val="0091452B"/>
    <w:rsid w:val="0092147F"/>
    <w:rsid w:val="00930D14"/>
    <w:rsid w:val="00946F3A"/>
    <w:rsid w:val="00996C85"/>
    <w:rsid w:val="009F5BFA"/>
    <w:rsid w:val="00A019A5"/>
    <w:rsid w:val="00A74DAC"/>
    <w:rsid w:val="00A81105"/>
    <w:rsid w:val="00A83F5F"/>
    <w:rsid w:val="00A9013F"/>
    <w:rsid w:val="00AB09EA"/>
    <w:rsid w:val="00AC1046"/>
    <w:rsid w:val="00AC3A87"/>
    <w:rsid w:val="00AD660D"/>
    <w:rsid w:val="00B07D73"/>
    <w:rsid w:val="00B1087F"/>
    <w:rsid w:val="00B44B7B"/>
    <w:rsid w:val="00B46D79"/>
    <w:rsid w:val="00B478BB"/>
    <w:rsid w:val="00B560DC"/>
    <w:rsid w:val="00B57F72"/>
    <w:rsid w:val="00B666C6"/>
    <w:rsid w:val="00B70154"/>
    <w:rsid w:val="00B86BC6"/>
    <w:rsid w:val="00BB0CE9"/>
    <w:rsid w:val="00BB1CBD"/>
    <w:rsid w:val="00BD61BC"/>
    <w:rsid w:val="00BE5119"/>
    <w:rsid w:val="00BF26E9"/>
    <w:rsid w:val="00C3251C"/>
    <w:rsid w:val="00C74F67"/>
    <w:rsid w:val="00C95261"/>
    <w:rsid w:val="00CA0F3F"/>
    <w:rsid w:val="00CB1165"/>
    <w:rsid w:val="00CD17FA"/>
    <w:rsid w:val="00CE29F2"/>
    <w:rsid w:val="00CF0DD4"/>
    <w:rsid w:val="00D054C5"/>
    <w:rsid w:val="00D05CF1"/>
    <w:rsid w:val="00D05FC7"/>
    <w:rsid w:val="00D52E1E"/>
    <w:rsid w:val="00D541EF"/>
    <w:rsid w:val="00D91CB6"/>
    <w:rsid w:val="00DA0FF9"/>
    <w:rsid w:val="00DA545B"/>
    <w:rsid w:val="00DA6A6C"/>
    <w:rsid w:val="00DB00A4"/>
    <w:rsid w:val="00DB7141"/>
    <w:rsid w:val="00DD025C"/>
    <w:rsid w:val="00DF2BBF"/>
    <w:rsid w:val="00DF650D"/>
    <w:rsid w:val="00E023A1"/>
    <w:rsid w:val="00E17D49"/>
    <w:rsid w:val="00E30647"/>
    <w:rsid w:val="00E36EB6"/>
    <w:rsid w:val="00E40861"/>
    <w:rsid w:val="00E65D5D"/>
    <w:rsid w:val="00E67057"/>
    <w:rsid w:val="00E67B17"/>
    <w:rsid w:val="00E85767"/>
    <w:rsid w:val="00E8779B"/>
    <w:rsid w:val="00EC04D2"/>
    <w:rsid w:val="00EC180F"/>
    <w:rsid w:val="00ED3D6B"/>
    <w:rsid w:val="00EE7940"/>
    <w:rsid w:val="00EF7348"/>
    <w:rsid w:val="00F0664F"/>
    <w:rsid w:val="00F3103C"/>
    <w:rsid w:val="00F32212"/>
    <w:rsid w:val="00F37E87"/>
    <w:rsid w:val="00F44A21"/>
    <w:rsid w:val="00FE6016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E1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293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353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6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4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F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7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57F72"/>
    <w:rPr>
      <w:color w:val="0000FF"/>
      <w:u w:val="single"/>
    </w:rPr>
  </w:style>
  <w:style w:type="paragraph" w:customStyle="1" w:styleId="h-b">
    <w:name w:val="h-b"/>
    <w:basedOn w:val="Normal"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7F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7F7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B57F72"/>
    <w:rPr>
      <w:i/>
      <w:iCs/>
    </w:rPr>
  </w:style>
  <w:style w:type="paragraph" w:styleId="Revision">
    <w:name w:val="Revision"/>
    <w:hidden/>
    <w:uiPriority w:val="99"/>
    <w:semiHidden/>
    <w:rsid w:val="00B57F7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293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353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6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4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F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7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57F72"/>
    <w:rPr>
      <w:color w:val="0000FF"/>
      <w:u w:val="single"/>
    </w:rPr>
  </w:style>
  <w:style w:type="paragraph" w:customStyle="1" w:styleId="h-b">
    <w:name w:val="h-b"/>
    <w:basedOn w:val="Normal"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7F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7F7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B57F72"/>
    <w:rPr>
      <w:i/>
      <w:iCs/>
    </w:rPr>
  </w:style>
  <w:style w:type="paragraph" w:styleId="Revision">
    <w:name w:val="Revision"/>
    <w:hidden/>
    <w:uiPriority w:val="99"/>
    <w:semiHidden/>
    <w:rsid w:val="00B57F7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8B03-2ADB-4E5C-A933-EAC73995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4348</Words>
  <Characters>24831</Characters>
  <Application>Microsoft Office Word</Application>
  <DocSecurity>4</DocSecurity>
  <Lines>993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Ramsar\BriggsC</dc:creator>
  <cp:lastModifiedBy>Ramsar\JenningsE</cp:lastModifiedBy>
  <cp:revision>2</cp:revision>
  <cp:lastPrinted>2015-08-03T13:24:00Z</cp:lastPrinted>
  <dcterms:created xsi:type="dcterms:W3CDTF">2015-08-27T09:15:00Z</dcterms:created>
  <dcterms:modified xsi:type="dcterms:W3CDTF">2015-08-27T09:15:00Z</dcterms:modified>
</cp:coreProperties>
</file>