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E" w:rsidRPr="007A7D9E" w:rsidRDefault="0056312E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</w:rPr>
      </w:pPr>
      <w:bookmarkStart w:id="0" w:name="OLE_LINK1"/>
      <w:r w:rsidRPr="007A7D9E">
        <w:rPr>
          <w:rFonts w:ascii="Calibri" w:hAnsi="Calibri"/>
          <w:bCs/>
        </w:rPr>
        <w:t>CONVENTION ON WETLANDS (Ramsar, Iran, 1971)</w:t>
      </w:r>
    </w:p>
    <w:p w:rsidR="0056312E" w:rsidRPr="007A7D9E" w:rsidRDefault="00943B2B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</w:rPr>
      </w:pPr>
      <w:r>
        <w:rPr>
          <w:rFonts w:ascii="Calibri" w:hAnsi="Calibri"/>
          <w:bCs/>
        </w:rPr>
        <w:t>51</w:t>
      </w:r>
      <w:r>
        <w:rPr>
          <w:rFonts w:ascii="Calibri" w:hAnsi="Calibri"/>
          <w:bCs/>
          <w:vertAlign w:val="superscript"/>
        </w:rPr>
        <w:t>s</w:t>
      </w:r>
      <w:r w:rsidRPr="00684D9C">
        <w:rPr>
          <w:rFonts w:ascii="Calibri" w:hAnsi="Calibri"/>
          <w:bCs/>
          <w:vertAlign w:val="superscript"/>
        </w:rPr>
        <w:t>t</w:t>
      </w:r>
      <w:r>
        <w:rPr>
          <w:rFonts w:ascii="Calibri" w:hAnsi="Calibri"/>
          <w:bCs/>
        </w:rPr>
        <w:t xml:space="preserve"> </w:t>
      </w:r>
      <w:r w:rsidR="0056312E" w:rsidRPr="007A7D9E">
        <w:rPr>
          <w:rFonts w:ascii="Calibri" w:hAnsi="Calibri"/>
          <w:bCs/>
        </w:rPr>
        <w:t>Meeting of the Standing Committee</w:t>
      </w:r>
    </w:p>
    <w:p w:rsidR="0056312E" w:rsidRPr="007A7D9E" w:rsidRDefault="0056312E" w:rsidP="005631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</w:rPr>
      </w:pPr>
      <w:r w:rsidRPr="007A7D9E">
        <w:rPr>
          <w:rFonts w:ascii="Calibri" w:hAnsi="Calibri"/>
          <w:bCs/>
        </w:rPr>
        <w:t xml:space="preserve">Gland, Switzerland, </w:t>
      </w:r>
      <w:r w:rsidR="00684D9C">
        <w:rPr>
          <w:rFonts w:ascii="Calibri" w:hAnsi="Calibri"/>
          <w:bCs/>
        </w:rPr>
        <w:t>23</w:t>
      </w:r>
      <w:r w:rsidR="009D28C3">
        <w:rPr>
          <w:rFonts w:ascii="Calibri" w:hAnsi="Calibri"/>
          <w:bCs/>
        </w:rPr>
        <w:t>-</w:t>
      </w:r>
      <w:r w:rsidR="00684D9C">
        <w:rPr>
          <w:rFonts w:ascii="Calibri" w:hAnsi="Calibri"/>
          <w:bCs/>
        </w:rPr>
        <w:t>27</w:t>
      </w:r>
      <w:r w:rsidR="009D28C3">
        <w:rPr>
          <w:rFonts w:ascii="Calibri" w:hAnsi="Calibri"/>
          <w:bCs/>
        </w:rPr>
        <w:t xml:space="preserve"> </w:t>
      </w:r>
      <w:r w:rsidR="00684D9C">
        <w:rPr>
          <w:rFonts w:ascii="Calibri" w:hAnsi="Calibri"/>
          <w:bCs/>
        </w:rPr>
        <w:t>November</w:t>
      </w:r>
      <w:r w:rsidR="002C69BF">
        <w:rPr>
          <w:rFonts w:ascii="Calibri" w:hAnsi="Calibri"/>
          <w:bCs/>
        </w:rPr>
        <w:t xml:space="preserve"> </w:t>
      </w:r>
      <w:r w:rsidR="009D28C3">
        <w:rPr>
          <w:rFonts w:ascii="Calibri" w:hAnsi="Calibri"/>
          <w:bCs/>
        </w:rPr>
        <w:t>2015</w:t>
      </w:r>
    </w:p>
    <w:p w:rsidR="0056312E" w:rsidRPr="00E73055" w:rsidRDefault="0056312E" w:rsidP="0056312E">
      <w:pPr>
        <w:keepNext/>
        <w:suppressAutoHyphens/>
        <w:outlineLvl w:val="0"/>
        <w:rPr>
          <w:rFonts w:asciiTheme="minorHAnsi" w:hAnsiTheme="minorHAnsi"/>
          <w:b/>
          <w:sz w:val="28"/>
          <w:szCs w:val="28"/>
        </w:rPr>
      </w:pPr>
    </w:p>
    <w:p w:rsidR="0056312E" w:rsidRPr="00E73055" w:rsidRDefault="0056312E" w:rsidP="0056312E">
      <w:pPr>
        <w:keepNext/>
        <w:suppressAutoHyphens/>
        <w:jc w:val="right"/>
        <w:outlineLvl w:val="0"/>
        <w:rPr>
          <w:rFonts w:asciiTheme="minorHAnsi" w:hAnsiTheme="minorHAnsi"/>
          <w:b/>
          <w:sz w:val="28"/>
          <w:szCs w:val="28"/>
        </w:rPr>
      </w:pPr>
      <w:bookmarkStart w:id="1" w:name="_GoBack"/>
      <w:r w:rsidRPr="00E73055">
        <w:rPr>
          <w:rFonts w:asciiTheme="minorHAnsi" w:hAnsiTheme="minorHAnsi"/>
          <w:b/>
          <w:sz w:val="28"/>
          <w:szCs w:val="28"/>
        </w:rPr>
        <w:t>SC</w:t>
      </w:r>
      <w:r w:rsidR="002E1432" w:rsidRPr="00E73055">
        <w:rPr>
          <w:rFonts w:asciiTheme="minorHAnsi" w:hAnsiTheme="minorHAnsi"/>
          <w:b/>
          <w:sz w:val="28"/>
          <w:szCs w:val="28"/>
        </w:rPr>
        <w:t>51</w:t>
      </w:r>
      <w:r w:rsidRPr="00E73055">
        <w:rPr>
          <w:rFonts w:asciiTheme="minorHAnsi" w:hAnsiTheme="minorHAnsi"/>
          <w:b/>
          <w:sz w:val="28"/>
          <w:szCs w:val="28"/>
        </w:rPr>
        <w:t>-</w:t>
      </w:r>
      <w:bookmarkEnd w:id="0"/>
      <w:r w:rsidR="00E73055" w:rsidRPr="00E73055">
        <w:rPr>
          <w:rFonts w:asciiTheme="minorHAnsi" w:hAnsiTheme="minorHAnsi"/>
          <w:b/>
          <w:sz w:val="28"/>
          <w:szCs w:val="28"/>
        </w:rPr>
        <w:t>1</w:t>
      </w:r>
      <w:r w:rsidR="00046481">
        <w:rPr>
          <w:rFonts w:asciiTheme="minorHAnsi" w:hAnsiTheme="minorHAnsi"/>
          <w:b/>
          <w:sz w:val="28"/>
          <w:szCs w:val="28"/>
        </w:rPr>
        <w:t>8</w:t>
      </w:r>
    </w:p>
    <w:p w:rsidR="0056312E" w:rsidRPr="00E73055" w:rsidRDefault="0056312E" w:rsidP="0056312E">
      <w:pPr>
        <w:rPr>
          <w:rFonts w:asciiTheme="minorHAnsi" w:hAnsiTheme="minorHAnsi"/>
          <w:sz w:val="28"/>
          <w:szCs w:val="28"/>
        </w:rPr>
      </w:pPr>
    </w:p>
    <w:p w:rsidR="0056312E" w:rsidRPr="00E73055" w:rsidRDefault="00FC0154" w:rsidP="00CD1518">
      <w:pPr>
        <w:jc w:val="center"/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</w:pPr>
      <w:hyperlink r:id="rId9" w:history="1">
        <w:r w:rsidR="0056312E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 xml:space="preserve">Ramsar </w:t>
        </w:r>
        <w:r w:rsidR="00B650F1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f</w:t>
        </w:r>
        <w:r w:rsidR="0056312E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 xml:space="preserve">inancial </w:t>
        </w:r>
        <w:r w:rsidR="00B650F1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m</w:t>
        </w:r>
        <w:r w:rsidR="009D28C3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 xml:space="preserve">atters </w:t>
        </w:r>
        <w:r w:rsidR="00E03D7A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 xml:space="preserve">2014 / </w:t>
        </w:r>
        <w:r w:rsidR="009D28C3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201</w:t>
        </w:r>
        <w:r w:rsidR="002E1432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5</w:t>
        </w:r>
        <w:r w:rsidR="00CD1518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 xml:space="preserve"> </w:t>
        </w:r>
        <w:r w:rsidR="0056312E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/ 20</w:t>
        </w:r>
        <w:r w:rsidR="009D28C3" w:rsidRPr="00E73055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</w:rPr>
          <w:t>1</w:t>
        </w:r>
      </w:hyperlink>
      <w:r w:rsidR="002E1432" w:rsidRPr="00E73055">
        <w:rPr>
          <w:rFonts w:asciiTheme="minorHAnsi" w:eastAsia="Times New Roman" w:hAnsiTheme="minorHAnsi" w:cs="Calibri"/>
          <w:b/>
          <w:bCs/>
          <w:color w:val="000000"/>
          <w:sz w:val="28"/>
          <w:szCs w:val="28"/>
        </w:rPr>
        <w:t>6</w:t>
      </w:r>
      <w:bookmarkEnd w:id="1"/>
    </w:p>
    <w:p w:rsidR="00CD1518" w:rsidRPr="00E73055" w:rsidRDefault="00CD1518" w:rsidP="0056312E">
      <w:pPr>
        <w:rPr>
          <w:rFonts w:asciiTheme="minorHAnsi" w:hAnsiTheme="minorHAnsi"/>
          <w:b/>
          <w:iCs/>
          <w:sz w:val="28"/>
          <w:szCs w:val="28"/>
          <w:highlight w:val="yellow"/>
        </w:rPr>
      </w:pPr>
    </w:p>
    <w:p w:rsidR="0056312E" w:rsidRDefault="00432445" w:rsidP="0056312E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599181F9" wp14:editId="3E341D66">
                <wp:extent cx="5728970" cy="1492370"/>
                <wp:effectExtent l="0" t="0" r="2413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E" w:rsidRPr="0056312E" w:rsidRDefault="009857BE" w:rsidP="0056312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631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Actions requested: </w:t>
                            </w:r>
                          </w:p>
                          <w:p w:rsidR="009857BE" w:rsidRPr="0056312E" w:rsidRDefault="009857BE" w:rsidP="00CD1518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631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Standing Committee is invited to </w:t>
                            </w:r>
                            <w:r w:rsidRPr="00FB65D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note the contents of this report and:</w:t>
                            </w:r>
                          </w:p>
                          <w:p w:rsidR="009857BE" w:rsidRDefault="009857BE" w:rsidP="00102F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approve t</w:t>
                            </w:r>
                            <w:r w:rsidRPr="002340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he attached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audited </w:t>
                            </w:r>
                            <w:r w:rsidRPr="002340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2014 financial statements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857BE" w:rsidRDefault="009857BE" w:rsidP="00102F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approve the use of the 2014 surplus for COP12 delegates support and </w:t>
                            </w:r>
                            <w:r w:rsidRPr="003004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website development</w:t>
                            </w:r>
                            <w:r w:rsidRPr="002340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7BE" w:rsidRDefault="009857BE" w:rsidP="001F40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approve the 2016 core and non-core budget; and</w:t>
                            </w:r>
                          </w:p>
                          <w:p w:rsidR="009857BE" w:rsidRPr="00FA3C51" w:rsidRDefault="009857BE" w:rsidP="001F40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A3C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approve the combined 2016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FA3C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ore and non-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FA3C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ore budget as approved by COP12.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1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">
                <v:textbox>
                  <w:txbxContent>
                    <w:p w:rsidR="009857BE" w:rsidRPr="0056312E" w:rsidRDefault="009857BE" w:rsidP="0056312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631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Actions requested: </w:t>
                      </w:r>
                    </w:p>
                    <w:p w:rsidR="009857BE" w:rsidRPr="0056312E" w:rsidRDefault="009857BE" w:rsidP="00CD1518">
                      <w:pPr>
                        <w:pStyle w:val="ListParagraph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631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Standing Committee is invited to </w:t>
                      </w:r>
                      <w:r w:rsidRPr="00FB65D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note the contents of this report and:</w:t>
                      </w:r>
                    </w:p>
                    <w:p w:rsidR="009857BE" w:rsidRDefault="009857BE" w:rsidP="00102F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approve t</w:t>
                      </w:r>
                      <w:r w:rsidRPr="002340A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he attached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audited </w:t>
                      </w:r>
                      <w:r w:rsidRPr="002340A8">
                        <w:rPr>
                          <w:rFonts w:ascii="Calibri" w:hAnsi="Calibri"/>
                          <w:sz w:val="22"/>
                          <w:szCs w:val="22"/>
                        </w:rPr>
                        <w:t>2014 financial statements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;</w:t>
                      </w:r>
                    </w:p>
                    <w:p w:rsidR="009857BE" w:rsidRDefault="009857BE" w:rsidP="00102F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approve the use of the 2014 surplus for COP12 delegates support and </w:t>
                      </w:r>
                      <w:r w:rsidRPr="0030049F">
                        <w:rPr>
                          <w:rFonts w:ascii="Calibri" w:hAnsi="Calibri"/>
                          <w:sz w:val="22"/>
                          <w:szCs w:val="22"/>
                        </w:rPr>
                        <w:t>website development</w:t>
                      </w:r>
                      <w:r w:rsidRPr="002340A8">
                        <w:rPr>
                          <w:rFonts w:ascii="Calibri" w:hAnsi="Calibri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57BE" w:rsidRDefault="009857BE" w:rsidP="001F40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approve the 2016 core and non-core budget; and</w:t>
                      </w:r>
                    </w:p>
                    <w:p w:rsidR="009857BE" w:rsidRPr="00FA3C51" w:rsidRDefault="009857BE" w:rsidP="001F40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A3C5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approve the combined 2016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Pr="00FA3C51">
                        <w:rPr>
                          <w:rFonts w:ascii="Calibri" w:hAnsi="Calibri"/>
                          <w:sz w:val="22"/>
                          <w:szCs w:val="22"/>
                        </w:rPr>
                        <w:t>ore and non-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Pr="00FA3C51">
                        <w:rPr>
                          <w:rFonts w:ascii="Calibri" w:hAnsi="Calibri"/>
                          <w:sz w:val="22"/>
                          <w:szCs w:val="22"/>
                        </w:rPr>
                        <w:t>ore budget as approved by COP12.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12E" w:rsidRDefault="0056312E" w:rsidP="0056312E">
      <w:pPr>
        <w:ind w:left="540" w:hanging="540"/>
        <w:rPr>
          <w:rFonts w:ascii="Calibri" w:hAnsi="Calibri"/>
          <w:sz w:val="22"/>
          <w:szCs w:val="22"/>
        </w:rPr>
      </w:pPr>
    </w:p>
    <w:p w:rsidR="00E73055" w:rsidRDefault="00E73055" w:rsidP="0056312E">
      <w:pPr>
        <w:ind w:left="540" w:hanging="540"/>
        <w:rPr>
          <w:rFonts w:ascii="Calibri" w:hAnsi="Calibri"/>
          <w:sz w:val="22"/>
          <w:szCs w:val="22"/>
        </w:rPr>
      </w:pPr>
    </w:p>
    <w:p w:rsidR="00024785" w:rsidRPr="002E298E" w:rsidRDefault="002E298E" w:rsidP="00024785">
      <w:pPr>
        <w:rPr>
          <w:rFonts w:ascii="Calibri" w:hAnsi="Calibri"/>
          <w:b/>
          <w:sz w:val="22"/>
          <w:szCs w:val="22"/>
        </w:rPr>
      </w:pPr>
      <w:r w:rsidRPr="002E298E">
        <w:rPr>
          <w:rFonts w:ascii="Calibri" w:hAnsi="Calibri"/>
          <w:b/>
          <w:sz w:val="22"/>
          <w:szCs w:val="22"/>
        </w:rPr>
        <w:t>2014 financial statements and surplus</w:t>
      </w:r>
    </w:p>
    <w:p w:rsidR="002E298E" w:rsidRDefault="002E298E" w:rsidP="00024785">
      <w:pPr>
        <w:rPr>
          <w:rFonts w:ascii="Calibri" w:hAnsi="Calibri"/>
          <w:sz w:val="22"/>
          <w:szCs w:val="22"/>
        </w:rPr>
      </w:pPr>
    </w:p>
    <w:p w:rsidR="001204C1" w:rsidRDefault="005C2B56" w:rsidP="001204C1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B01857">
        <w:rPr>
          <w:rFonts w:ascii="Calibri" w:hAnsi="Calibri" w:cs="Calibri"/>
          <w:bCs/>
          <w:sz w:val="22"/>
          <w:szCs w:val="22"/>
        </w:rPr>
        <w:t xml:space="preserve">At </w:t>
      </w:r>
      <w:r w:rsidR="00943B2B">
        <w:rPr>
          <w:rFonts w:ascii="Calibri" w:hAnsi="Calibri" w:cs="Calibri"/>
          <w:bCs/>
          <w:sz w:val="22"/>
          <w:szCs w:val="22"/>
        </w:rPr>
        <w:t>the 48</w:t>
      </w:r>
      <w:r w:rsidR="00943B2B" w:rsidRPr="00943B2B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943B2B">
        <w:rPr>
          <w:rFonts w:ascii="Calibri" w:hAnsi="Calibri" w:cs="Calibri"/>
          <w:bCs/>
          <w:sz w:val="22"/>
          <w:szCs w:val="22"/>
        </w:rPr>
        <w:t xml:space="preserve"> meeting of the Standing Committee (</w:t>
      </w:r>
      <w:r w:rsidRPr="00B01857">
        <w:rPr>
          <w:rFonts w:ascii="Calibri" w:hAnsi="Calibri" w:cs="Calibri"/>
          <w:bCs/>
          <w:sz w:val="22"/>
          <w:szCs w:val="22"/>
        </w:rPr>
        <w:t>SC48</w:t>
      </w:r>
      <w:r w:rsidR="00943B2B">
        <w:rPr>
          <w:rFonts w:ascii="Calibri" w:hAnsi="Calibri" w:cs="Calibri"/>
          <w:bCs/>
          <w:sz w:val="22"/>
          <w:szCs w:val="22"/>
        </w:rPr>
        <w:t>)</w:t>
      </w:r>
      <w:r w:rsidRPr="00B01857">
        <w:rPr>
          <w:rFonts w:ascii="Calibri" w:hAnsi="Calibri" w:cs="Calibri"/>
          <w:bCs/>
          <w:sz w:val="22"/>
          <w:szCs w:val="22"/>
        </w:rPr>
        <w:t xml:space="preserve">, the unaudited </w:t>
      </w:r>
      <w:r w:rsidR="002E1432" w:rsidRPr="00B01857">
        <w:rPr>
          <w:rFonts w:ascii="Calibri" w:hAnsi="Calibri" w:cs="Calibri"/>
          <w:bCs/>
          <w:sz w:val="22"/>
          <w:szCs w:val="22"/>
        </w:rPr>
        <w:t xml:space="preserve">2014 financial statements were presented </w:t>
      </w:r>
      <w:r w:rsidRPr="00B01857">
        <w:rPr>
          <w:rFonts w:ascii="Calibri" w:hAnsi="Calibri" w:cs="Calibri"/>
          <w:bCs/>
          <w:sz w:val="22"/>
          <w:szCs w:val="22"/>
        </w:rPr>
        <w:t>and document SC48-09 rev</w:t>
      </w:r>
      <w:r w:rsidR="00943B2B">
        <w:rPr>
          <w:rFonts w:ascii="Calibri" w:hAnsi="Calibri" w:cs="Calibri"/>
          <w:bCs/>
          <w:sz w:val="22"/>
          <w:szCs w:val="22"/>
        </w:rPr>
        <w:t>.</w:t>
      </w:r>
      <w:r w:rsidRPr="00B01857">
        <w:rPr>
          <w:rFonts w:ascii="Calibri" w:hAnsi="Calibri" w:cs="Calibri"/>
          <w:bCs/>
          <w:sz w:val="22"/>
          <w:szCs w:val="22"/>
        </w:rPr>
        <w:t>2 provided a detailed explanation of the 2014 results</w:t>
      </w:r>
      <w:r w:rsidR="003240A2" w:rsidRPr="00B01857">
        <w:rPr>
          <w:rFonts w:ascii="Calibri" w:hAnsi="Calibri" w:cs="Calibri"/>
          <w:bCs/>
          <w:sz w:val="22"/>
          <w:szCs w:val="22"/>
        </w:rPr>
        <w:t xml:space="preserve"> </w:t>
      </w:r>
      <w:r w:rsidR="00943B2B">
        <w:rPr>
          <w:rFonts w:ascii="Calibri" w:hAnsi="Calibri" w:cs="Calibri"/>
          <w:bCs/>
          <w:sz w:val="22"/>
          <w:szCs w:val="22"/>
        </w:rPr>
        <w:t xml:space="preserve">against the </w:t>
      </w:r>
      <w:r w:rsidR="00112C71">
        <w:rPr>
          <w:rFonts w:ascii="Calibri" w:hAnsi="Calibri" w:cs="Calibri"/>
          <w:bCs/>
          <w:sz w:val="22"/>
          <w:szCs w:val="22"/>
        </w:rPr>
        <w:t xml:space="preserve">agreed </w:t>
      </w:r>
      <w:r w:rsidR="003240A2" w:rsidRPr="00B01857">
        <w:rPr>
          <w:rFonts w:ascii="Calibri" w:hAnsi="Calibri" w:cs="Calibri"/>
          <w:bCs/>
          <w:sz w:val="22"/>
          <w:szCs w:val="22"/>
        </w:rPr>
        <w:t>budget</w:t>
      </w:r>
      <w:r w:rsidR="00B01857" w:rsidRPr="00B01857">
        <w:rPr>
          <w:rFonts w:ascii="Calibri" w:hAnsi="Calibri" w:cs="Calibri"/>
          <w:bCs/>
          <w:sz w:val="22"/>
          <w:szCs w:val="22"/>
        </w:rPr>
        <w:t xml:space="preserve">. </w:t>
      </w:r>
      <w:r w:rsidR="001204C1" w:rsidRPr="00B01857">
        <w:rPr>
          <w:rFonts w:ascii="Calibri" w:hAnsi="Calibri" w:cs="Calibri"/>
          <w:bCs/>
          <w:sz w:val="22"/>
          <w:szCs w:val="22"/>
        </w:rPr>
        <w:t xml:space="preserve">The unaudited 2014 surplus at SC48 was CHF 345,000. </w:t>
      </w:r>
      <w:r w:rsidR="00A752E7">
        <w:rPr>
          <w:rFonts w:ascii="Calibri" w:hAnsi="Calibri" w:cs="Calibri"/>
          <w:bCs/>
          <w:sz w:val="22"/>
          <w:szCs w:val="22"/>
        </w:rPr>
        <w:t xml:space="preserve">The Standing Committee through </w:t>
      </w:r>
      <w:r w:rsidR="001204C1" w:rsidRPr="00B01857">
        <w:rPr>
          <w:rFonts w:ascii="Calibri" w:hAnsi="Calibri" w:cs="Calibri"/>
          <w:bCs/>
          <w:sz w:val="22"/>
          <w:szCs w:val="22"/>
        </w:rPr>
        <w:t>Decision SC48-12 approved the Subgroup’s proposed reallocation of the 2014 core budget surplus and confirmed that the status of the reallocations would be reviewed at SC49.</w:t>
      </w:r>
      <w:r w:rsidR="000238D5" w:rsidRPr="00B01857">
        <w:rPr>
          <w:rFonts w:ascii="Calibri" w:hAnsi="Calibri" w:cs="Calibri"/>
          <w:bCs/>
          <w:sz w:val="22"/>
          <w:szCs w:val="22"/>
        </w:rPr>
        <w:t xml:space="preserve"> </w:t>
      </w:r>
    </w:p>
    <w:p w:rsidR="00B01857" w:rsidRPr="00B01857" w:rsidRDefault="00B01857" w:rsidP="00B01857">
      <w:pPr>
        <w:pStyle w:val="ListParagraph"/>
        <w:ind w:left="426"/>
        <w:rPr>
          <w:rFonts w:ascii="Calibri" w:hAnsi="Calibri" w:cs="Calibri"/>
          <w:bCs/>
          <w:sz w:val="22"/>
          <w:szCs w:val="22"/>
        </w:rPr>
      </w:pPr>
    </w:p>
    <w:p w:rsidR="000238D5" w:rsidRDefault="005C2B56" w:rsidP="000238D5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B01857">
        <w:rPr>
          <w:rFonts w:ascii="Calibri" w:hAnsi="Calibri" w:cs="Calibri"/>
          <w:bCs/>
          <w:sz w:val="22"/>
          <w:szCs w:val="22"/>
        </w:rPr>
        <w:t>At SC49, the audited 2014 financial statements were presented along with</w:t>
      </w:r>
      <w:r w:rsidR="001204C1" w:rsidRPr="00B01857">
        <w:rPr>
          <w:rFonts w:ascii="Calibri" w:hAnsi="Calibri" w:cs="Calibri"/>
          <w:bCs/>
          <w:sz w:val="22"/>
          <w:szCs w:val="22"/>
        </w:rPr>
        <w:t xml:space="preserve"> a revised audited</w:t>
      </w:r>
      <w:r w:rsidRPr="00B01857">
        <w:rPr>
          <w:rFonts w:ascii="Calibri" w:hAnsi="Calibri" w:cs="Calibri"/>
          <w:bCs/>
          <w:sz w:val="22"/>
          <w:szCs w:val="22"/>
        </w:rPr>
        <w:t xml:space="preserve"> 2014 surplus</w:t>
      </w:r>
      <w:r w:rsidR="001204C1" w:rsidRPr="00B01857">
        <w:rPr>
          <w:rFonts w:ascii="Calibri" w:hAnsi="Calibri" w:cs="Calibri"/>
          <w:bCs/>
          <w:sz w:val="22"/>
          <w:szCs w:val="22"/>
        </w:rPr>
        <w:t xml:space="preserve"> </w:t>
      </w:r>
      <w:r w:rsidR="000238D5" w:rsidRPr="00B01857">
        <w:rPr>
          <w:rFonts w:ascii="Calibri" w:hAnsi="Calibri" w:cs="Calibri"/>
          <w:bCs/>
          <w:sz w:val="22"/>
          <w:szCs w:val="22"/>
        </w:rPr>
        <w:t xml:space="preserve">of CHF </w:t>
      </w:r>
      <w:r w:rsidR="005A7517" w:rsidRPr="00B01857">
        <w:rPr>
          <w:rFonts w:ascii="Calibri" w:hAnsi="Calibri" w:cs="Calibri"/>
          <w:bCs/>
          <w:sz w:val="22"/>
          <w:szCs w:val="22"/>
        </w:rPr>
        <w:t>4</w:t>
      </w:r>
      <w:r w:rsidR="005A7517">
        <w:rPr>
          <w:rFonts w:ascii="Calibri" w:hAnsi="Calibri" w:cs="Calibri"/>
          <w:bCs/>
          <w:sz w:val="22"/>
          <w:szCs w:val="22"/>
        </w:rPr>
        <w:t>60</w:t>
      </w:r>
      <w:r w:rsidR="000238D5" w:rsidRPr="00B01857">
        <w:rPr>
          <w:rFonts w:ascii="Calibri" w:hAnsi="Calibri" w:cs="Calibri"/>
          <w:bCs/>
          <w:sz w:val="22"/>
          <w:szCs w:val="22"/>
        </w:rPr>
        <w:t>,000</w:t>
      </w:r>
      <w:r w:rsidR="000D385B">
        <w:rPr>
          <w:rFonts w:ascii="Calibri" w:hAnsi="Calibri" w:cs="Calibri"/>
          <w:bCs/>
          <w:sz w:val="22"/>
          <w:szCs w:val="22"/>
        </w:rPr>
        <w:t>, for approval by t</w:t>
      </w:r>
      <w:r w:rsidR="003240A2" w:rsidRPr="00B01857">
        <w:rPr>
          <w:rFonts w:ascii="Calibri" w:hAnsi="Calibri" w:cs="Calibri"/>
          <w:bCs/>
          <w:sz w:val="22"/>
          <w:szCs w:val="22"/>
        </w:rPr>
        <w:t>he Standing Com</w:t>
      </w:r>
      <w:r w:rsidR="000238D5" w:rsidRPr="00B01857">
        <w:rPr>
          <w:rFonts w:ascii="Calibri" w:hAnsi="Calibri" w:cs="Calibri"/>
          <w:bCs/>
          <w:sz w:val="22"/>
          <w:szCs w:val="22"/>
        </w:rPr>
        <w:t xml:space="preserve">mittee </w:t>
      </w:r>
      <w:r w:rsidR="00314514">
        <w:rPr>
          <w:rFonts w:ascii="Calibri" w:hAnsi="Calibri" w:cs="Calibri"/>
          <w:bCs/>
          <w:sz w:val="22"/>
          <w:szCs w:val="22"/>
        </w:rPr>
        <w:t>(see document SC49-03)</w:t>
      </w:r>
      <w:r w:rsidR="003240A2" w:rsidRPr="00B01857">
        <w:rPr>
          <w:rFonts w:ascii="Calibri" w:hAnsi="Calibri" w:cs="Calibri"/>
          <w:bCs/>
          <w:sz w:val="22"/>
          <w:szCs w:val="22"/>
        </w:rPr>
        <w:t>.</w:t>
      </w:r>
      <w:r w:rsidR="000238D5" w:rsidRPr="00B01857">
        <w:rPr>
          <w:rFonts w:ascii="Calibri" w:hAnsi="Calibri" w:cs="Calibri"/>
          <w:bCs/>
          <w:sz w:val="22"/>
          <w:szCs w:val="22"/>
        </w:rPr>
        <w:t xml:space="preserve"> </w:t>
      </w:r>
      <w:r w:rsidR="000D385B">
        <w:rPr>
          <w:rFonts w:ascii="Calibri" w:hAnsi="Calibri" w:cs="Calibri"/>
          <w:bCs/>
          <w:sz w:val="22"/>
          <w:szCs w:val="22"/>
        </w:rPr>
        <w:t>T</w:t>
      </w:r>
      <w:r w:rsidR="000238D5" w:rsidRPr="00B01857">
        <w:rPr>
          <w:rFonts w:ascii="Calibri" w:hAnsi="Calibri" w:cs="Calibri"/>
          <w:bCs/>
          <w:sz w:val="22"/>
          <w:szCs w:val="22"/>
        </w:rPr>
        <w:t>he Standing Committee agreed to defer a decision on the reallocation of 2014 surplus funds</w:t>
      </w:r>
      <w:r w:rsidR="00FE2C1A">
        <w:rPr>
          <w:rFonts w:ascii="Calibri" w:hAnsi="Calibri" w:cs="Calibri"/>
          <w:bCs/>
          <w:sz w:val="22"/>
          <w:szCs w:val="22"/>
        </w:rPr>
        <w:t xml:space="preserve">, apart from </w:t>
      </w:r>
      <w:r w:rsidR="000D385B">
        <w:rPr>
          <w:rFonts w:ascii="Calibri" w:hAnsi="Calibri" w:cs="Calibri"/>
          <w:bCs/>
          <w:sz w:val="22"/>
          <w:szCs w:val="22"/>
        </w:rPr>
        <w:t xml:space="preserve">CHF </w:t>
      </w:r>
      <w:r w:rsidR="00FE2C1A">
        <w:rPr>
          <w:rFonts w:ascii="Calibri" w:hAnsi="Calibri" w:cs="Calibri"/>
          <w:bCs/>
          <w:sz w:val="22"/>
          <w:szCs w:val="22"/>
        </w:rPr>
        <w:t xml:space="preserve">175,000 </w:t>
      </w:r>
      <w:r w:rsidR="002E298E">
        <w:rPr>
          <w:rFonts w:ascii="Calibri" w:hAnsi="Calibri" w:cs="Calibri"/>
          <w:bCs/>
          <w:sz w:val="22"/>
          <w:szCs w:val="22"/>
        </w:rPr>
        <w:t xml:space="preserve">of committed funds, </w:t>
      </w:r>
      <w:r w:rsidR="002E298E" w:rsidRPr="00B01857">
        <w:rPr>
          <w:rFonts w:ascii="Calibri" w:hAnsi="Calibri" w:cs="Calibri"/>
          <w:bCs/>
          <w:sz w:val="22"/>
          <w:szCs w:val="22"/>
        </w:rPr>
        <w:t>until SC50</w:t>
      </w:r>
      <w:r w:rsidR="00FE1498">
        <w:rPr>
          <w:rFonts w:ascii="Calibri" w:hAnsi="Calibri" w:cs="Calibri"/>
          <w:bCs/>
          <w:sz w:val="22"/>
          <w:szCs w:val="22"/>
        </w:rPr>
        <w:t xml:space="preserve"> </w:t>
      </w:r>
      <w:r w:rsidR="000D385B">
        <w:rPr>
          <w:rFonts w:ascii="Calibri" w:hAnsi="Calibri" w:cs="Calibri"/>
          <w:bCs/>
          <w:sz w:val="22"/>
          <w:szCs w:val="22"/>
        </w:rPr>
        <w:t xml:space="preserve">(see </w:t>
      </w:r>
      <w:r w:rsidR="000D385B" w:rsidRPr="00426AC6">
        <w:rPr>
          <w:rFonts w:ascii="Calibri" w:hAnsi="Calibri" w:cs="Calibri"/>
          <w:bCs/>
          <w:sz w:val="22"/>
          <w:szCs w:val="22"/>
        </w:rPr>
        <w:t>Decision SC49-02)</w:t>
      </w:r>
      <w:r w:rsidR="000238D5" w:rsidRPr="00426AC6">
        <w:rPr>
          <w:rFonts w:ascii="Calibri" w:hAnsi="Calibri" w:cs="Calibri"/>
          <w:bCs/>
          <w:sz w:val="22"/>
          <w:szCs w:val="22"/>
        </w:rPr>
        <w:t xml:space="preserve">. </w:t>
      </w:r>
      <w:r w:rsidR="00B01857" w:rsidRPr="00426AC6">
        <w:rPr>
          <w:rFonts w:ascii="Calibri" w:hAnsi="Calibri" w:cs="Calibri"/>
          <w:bCs/>
          <w:sz w:val="22"/>
          <w:szCs w:val="22"/>
        </w:rPr>
        <w:t>See Annex 1 for 2014 audited financial statements as of 31 December 2014.</w:t>
      </w:r>
    </w:p>
    <w:p w:rsidR="00EF715A" w:rsidRPr="00EF715A" w:rsidRDefault="00EF715A" w:rsidP="00EF715A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081E15" w:rsidRPr="00426AC6" w:rsidRDefault="00EF715A" w:rsidP="00314514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At SC50, through </w:t>
      </w:r>
      <w:r w:rsidR="000238D5" w:rsidRPr="00426AC6">
        <w:rPr>
          <w:rFonts w:ascii="Calibri" w:hAnsi="Calibri" w:cs="Calibri"/>
          <w:bCs/>
          <w:sz w:val="22"/>
          <w:szCs w:val="22"/>
        </w:rPr>
        <w:t>Decision SC50-7, the Standing Committee agreed that the</w:t>
      </w:r>
      <w:r w:rsidR="00FE2C1A" w:rsidRPr="00426AC6">
        <w:rPr>
          <w:rFonts w:ascii="Calibri" w:hAnsi="Calibri" w:cs="Calibri"/>
          <w:bCs/>
          <w:sz w:val="22"/>
          <w:szCs w:val="22"/>
        </w:rPr>
        <w:t xml:space="preserve"> remaining</w:t>
      </w:r>
      <w:r w:rsidR="000238D5" w:rsidRPr="00426AC6">
        <w:rPr>
          <w:rFonts w:ascii="Calibri" w:hAnsi="Calibri" w:cs="Calibri"/>
          <w:bCs/>
          <w:sz w:val="22"/>
          <w:szCs w:val="22"/>
        </w:rPr>
        <w:t xml:space="preserve"> budget surplus of 2014 </w:t>
      </w:r>
      <w:r w:rsidR="000D385B" w:rsidRPr="00426AC6">
        <w:rPr>
          <w:rFonts w:ascii="Calibri" w:hAnsi="Calibri" w:cs="Calibri"/>
          <w:bCs/>
          <w:sz w:val="22"/>
          <w:szCs w:val="22"/>
        </w:rPr>
        <w:t xml:space="preserve">should </w:t>
      </w:r>
      <w:r w:rsidR="000238D5" w:rsidRPr="00426AC6">
        <w:rPr>
          <w:rFonts w:ascii="Calibri" w:hAnsi="Calibri" w:cs="Calibri"/>
          <w:bCs/>
          <w:sz w:val="22"/>
          <w:szCs w:val="22"/>
        </w:rPr>
        <w:t>be used to fund SC51</w:t>
      </w:r>
      <w:r w:rsidR="00112C71" w:rsidRPr="00426AC6">
        <w:rPr>
          <w:rFonts w:ascii="Calibri" w:hAnsi="Calibri" w:cs="Calibri"/>
          <w:bCs/>
          <w:sz w:val="22"/>
          <w:szCs w:val="22"/>
        </w:rPr>
        <w:t xml:space="preserve"> </w:t>
      </w:r>
      <w:r w:rsidR="000D385B" w:rsidRPr="00426AC6">
        <w:rPr>
          <w:rFonts w:ascii="Calibri" w:hAnsi="Calibri" w:cs="Calibri"/>
          <w:bCs/>
          <w:sz w:val="22"/>
          <w:szCs w:val="22"/>
        </w:rPr>
        <w:t xml:space="preserve">and for </w:t>
      </w:r>
      <w:r w:rsidR="00112C71" w:rsidRPr="00426AC6">
        <w:rPr>
          <w:rFonts w:ascii="Calibri" w:hAnsi="Calibri" w:cs="Calibri"/>
          <w:bCs/>
          <w:sz w:val="22"/>
          <w:szCs w:val="22"/>
        </w:rPr>
        <w:t>any other uses at the direction of the Executive Committee</w:t>
      </w:r>
      <w:r w:rsidR="000238D5" w:rsidRPr="00426AC6">
        <w:rPr>
          <w:rFonts w:ascii="Calibri" w:hAnsi="Calibri" w:cs="Calibri"/>
          <w:bCs/>
          <w:sz w:val="22"/>
          <w:szCs w:val="22"/>
        </w:rPr>
        <w:t>.</w:t>
      </w:r>
    </w:p>
    <w:p w:rsidR="00081E15" w:rsidRPr="00426AC6" w:rsidRDefault="00081E15" w:rsidP="00081E1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B01857" w:rsidRPr="00314514" w:rsidRDefault="00314514" w:rsidP="00314514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426AC6">
        <w:rPr>
          <w:rFonts w:ascii="Calibri" w:hAnsi="Calibri" w:cs="Calibri"/>
          <w:bCs/>
          <w:sz w:val="22"/>
          <w:szCs w:val="22"/>
        </w:rPr>
        <w:t>The 2014 surplus reallocation is presented in Annex 2.</w:t>
      </w:r>
      <w:r w:rsidR="00F146CC" w:rsidRPr="00426AC6">
        <w:rPr>
          <w:rFonts w:ascii="Calibri" w:hAnsi="Calibri" w:cs="Calibri"/>
          <w:bCs/>
          <w:sz w:val="22"/>
          <w:szCs w:val="22"/>
        </w:rPr>
        <w:t xml:space="preserve"> The </w:t>
      </w:r>
      <w:r w:rsidR="00FE2C1A" w:rsidRPr="00426AC6">
        <w:rPr>
          <w:rFonts w:ascii="Calibri" w:hAnsi="Calibri" w:cs="Calibri"/>
          <w:bCs/>
          <w:sz w:val="22"/>
          <w:szCs w:val="22"/>
        </w:rPr>
        <w:t xml:space="preserve">remaining </w:t>
      </w:r>
      <w:r w:rsidR="00A752E7" w:rsidRPr="00426AC6">
        <w:rPr>
          <w:rFonts w:ascii="Calibri" w:hAnsi="Calibri" w:cs="Calibri"/>
          <w:bCs/>
          <w:sz w:val="22"/>
          <w:szCs w:val="22"/>
        </w:rPr>
        <w:t>uncommitted surplus of</w:t>
      </w:r>
      <w:r w:rsidR="00F146CC" w:rsidRPr="00426AC6">
        <w:rPr>
          <w:rFonts w:ascii="Calibri" w:hAnsi="Calibri" w:cs="Calibri"/>
          <w:bCs/>
          <w:sz w:val="22"/>
          <w:szCs w:val="22"/>
        </w:rPr>
        <w:t xml:space="preserve"> </w:t>
      </w:r>
      <w:r w:rsidR="000D385B" w:rsidRPr="00426AC6">
        <w:rPr>
          <w:rFonts w:ascii="Calibri" w:hAnsi="Calibri" w:cs="Calibri"/>
          <w:bCs/>
          <w:sz w:val="22"/>
          <w:szCs w:val="22"/>
        </w:rPr>
        <w:t xml:space="preserve">CHF </w:t>
      </w:r>
      <w:r w:rsidR="00F146CC" w:rsidRPr="00426AC6">
        <w:rPr>
          <w:rFonts w:ascii="Calibri" w:hAnsi="Calibri" w:cs="Calibri"/>
          <w:bCs/>
          <w:sz w:val="22"/>
          <w:szCs w:val="22"/>
        </w:rPr>
        <w:t>285,000</w:t>
      </w:r>
      <w:r w:rsidR="00A752E7" w:rsidRPr="00426AC6">
        <w:rPr>
          <w:rFonts w:ascii="Calibri" w:hAnsi="Calibri" w:cs="Calibri"/>
          <w:bCs/>
          <w:sz w:val="22"/>
          <w:szCs w:val="22"/>
        </w:rPr>
        <w:t xml:space="preserve"> </w:t>
      </w:r>
      <w:r w:rsidR="0030049F" w:rsidRPr="00426AC6">
        <w:rPr>
          <w:rFonts w:ascii="Calibri" w:hAnsi="Calibri" w:cs="Calibri"/>
          <w:bCs/>
          <w:sz w:val="22"/>
          <w:szCs w:val="22"/>
        </w:rPr>
        <w:t>includes</w:t>
      </w:r>
      <w:r w:rsidR="00081E15" w:rsidRPr="00426AC6">
        <w:rPr>
          <w:rFonts w:ascii="Calibri" w:hAnsi="Calibri" w:cs="Calibri"/>
          <w:bCs/>
          <w:sz w:val="22"/>
          <w:szCs w:val="22"/>
        </w:rPr>
        <w:t xml:space="preserve"> the </w:t>
      </w:r>
      <w:r w:rsidR="00F146CC" w:rsidRPr="00426AC6">
        <w:rPr>
          <w:rFonts w:ascii="Calibri" w:hAnsi="Calibri" w:cs="Calibri"/>
          <w:bCs/>
          <w:sz w:val="22"/>
          <w:szCs w:val="22"/>
        </w:rPr>
        <w:t xml:space="preserve">proposed </w:t>
      </w:r>
      <w:r w:rsidR="00A752E7" w:rsidRPr="00426AC6">
        <w:rPr>
          <w:rFonts w:ascii="Calibri" w:hAnsi="Calibri" w:cs="Calibri"/>
          <w:bCs/>
          <w:sz w:val="22"/>
          <w:szCs w:val="22"/>
        </w:rPr>
        <w:t xml:space="preserve">allocation </w:t>
      </w:r>
      <w:r w:rsidR="00081E15" w:rsidRPr="00426AC6">
        <w:rPr>
          <w:rFonts w:ascii="Calibri" w:hAnsi="Calibri" w:cs="Calibri"/>
          <w:bCs/>
          <w:sz w:val="22"/>
          <w:szCs w:val="22"/>
        </w:rPr>
        <w:t xml:space="preserve">of </w:t>
      </w:r>
      <w:r w:rsidR="0030049F" w:rsidRPr="00426AC6">
        <w:rPr>
          <w:rFonts w:ascii="Calibri" w:hAnsi="Calibri" w:cs="Calibri"/>
          <w:bCs/>
          <w:sz w:val="22"/>
          <w:szCs w:val="22"/>
        </w:rPr>
        <w:t xml:space="preserve">CHF </w:t>
      </w:r>
      <w:r w:rsidR="00081E15" w:rsidRPr="00426AC6">
        <w:rPr>
          <w:rFonts w:ascii="Calibri" w:hAnsi="Calibri" w:cs="Calibri"/>
          <w:bCs/>
          <w:sz w:val="22"/>
          <w:szCs w:val="22"/>
        </w:rPr>
        <w:t xml:space="preserve">115,000 for the repayment of the </w:t>
      </w:r>
      <w:r w:rsidR="0030049F" w:rsidRPr="00426AC6">
        <w:rPr>
          <w:rFonts w:ascii="Calibri" w:hAnsi="Calibri" w:cs="Calibri"/>
          <w:bCs/>
          <w:sz w:val="22"/>
          <w:szCs w:val="22"/>
        </w:rPr>
        <w:t xml:space="preserve">previously approved loan from the </w:t>
      </w:r>
      <w:r w:rsidR="00081E15" w:rsidRPr="00426AC6">
        <w:rPr>
          <w:rFonts w:ascii="Calibri" w:hAnsi="Calibri" w:cs="Calibri"/>
          <w:bCs/>
          <w:sz w:val="22"/>
          <w:szCs w:val="22"/>
        </w:rPr>
        <w:t xml:space="preserve">Reserve fund to cover the costs of </w:t>
      </w:r>
      <w:r w:rsidR="0030049F" w:rsidRPr="00426AC6">
        <w:rPr>
          <w:rFonts w:ascii="Calibri" w:hAnsi="Calibri" w:cs="Calibri"/>
          <w:bCs/>
          <w:sz w:val="22"/>
          <w:szCs w:val="22"/>
        </w:rPr>
        <w:t xml:space="preserve">COP12 </w:t>
      </w:r>
      <w:r w:rsidR="00081E15" w:rsidRPr="00426AC6">
        <w:rPr>
          <w:rFonts w:ascii="Calibri" w:hAnsi="Calibri" w:cs="Calibri"/>
          <w:bCs/>
          <w:sz w:val="22"/>
          <w:szCs w:val="22"/>
        </w:rPr>
        <w:t>delegate support</w:t>
      </w:r>
      <w:r w:rsidR="0030049F" w:rsidRPr="00426AC6">
        <w:rPr>
          <w:rFonts w:ascii="Calibri" w:hAnsi="Calibri" w:cs="Calibri"/>
          <w:bCs/>
          <w:sz w:val="22"/>
          <w:szCs w:val="22"/>
        </w:rPr>
        <w:t xml:space="preserve">. It </w:t>
      </w:r>
      <w:r w:rsidR="00A752E7" w:rsidRPr="00426AC6">
        <w:rPr>
          <w:rFonts w:ascii="Calibri" w:hAnsi="Calibri" w:cs="Calibri"/>
          <w:bCs/>
          <w:sz w:val="22"/>
          <w:szCs w:val="22"/>
        </w:rPr>
        <w:t xml:space="preserve">also </w:t>
      </w:r>
      <w:r w:rsidR="00FE2C1A" w:rsidRPr="00426AC6">
        <w:rPr>
          <w:rFonts w:ascii="Calibri" w:hAnsi="Calibri" w:cs="Calibri"/>
          <w:bCs/>
          <w:sz w:val="22"/>
          <w:szCs w:val="22"/>
        </w:rPr>
        <w:t>detail</w:t>
      </w:r>
      <w:r w:rsidR="00F146CC" w:rsidRPr="00426AC6">
        <w:rPr>
          <w:rFonts w:ascii="Calibri" w:hAnsi="Calibri" w:cs="Calibri"/>
          <w:bCs/>
          <w:sz w:val="22"/>
          <w:szCs w:val="22"/>
        </w:rPr>
        <w:t xml:space="preserve">s </w:t>
      </w:r>
      <w:r w:rsidR="00A752E7" w:rsidRPr="00426AC6">
        <w:rPr>
          <w:rFonts w:ascii="Calibri" w:hAnsi="Calibri" w:cs="Calibri"/>
          <w:bCs/>
          <w:sz w:val="22"/>
          <w:szCs w:val="22"/>
        </w:rPr>
        <w:t xml:space="preserve">the </w:t>
      </w:r>
      <w:r w:rsidR="0067314E">
        <w:rPr>
          <w:rFonts w:ascii="Calibri" w:hAnsi="Calibri" w:cs="Calibri"/>
          <w:bCs/>
          <w:sz w:val="22"/>
          <w:szCs w:val="22"/>
        </w:rPr>
        <w:t xml:space="preserve">proposed </w:t>
      </w:r>
      <w:r w:rsidR="0030049F" w:rsidRPr="00426AC6">
        <w:rPr>
          <w:rFonts w:ascii="Calibri" w:hAnsi="Calibri" w:cs="Calibri"/>
          <w:bCs/>
          <w:sz w:val="22"/>
          <w:szCs w:val="22"/>
        </w:rPr>
        <w:t>use</w:t>
      </w:r>
      <w:r w:rsidR="00F146CC" w:rsidRPr="00426AC6">
        <w:rPr>
          <w:rFonts w:ascii="Calibri" w:hAnsi="Calibri" w:cs="Calibri"/>
          <w:bCs/>
          <w:sz w:val="22"/>
          <w:szCs w:val="22"/>
        </w:rPr>
        <w:t xml:space="preserve"> of</w:t>
      </w:r>
      <w:r w:rsidR="0030049F" w:rsidRPr="00426AC6">
        <w:rPr>
          <w:rFonts w:ascii="Calibri" w:hAnsi="Calibri" w:cs="Calibri"/>
          <w:bCs/>
          <w:sz w:val="22"/>
          <w:szCs w:val="22"/>
        </w:rPr>
        <w:t xml:space="preserve"> the remaining surplus</w:t>
      </w:r>
      <w:r w:rsidR="00A752E7">
        <w:rPr>
          <w:rFonts w:ascii="Calibri" w:hAnsi="Calibri" w:cs="Calibri"/>
          <w:bCs/>
          <w:sz w:val="22"/>
          <w:szCs w:val="22"/>
        </w:rPr>
        <w:t xml:space="preserve">, </w:t>
      </w:r>
      <w:r w:rsidR="00FE2C1A">
        <w:rPr>
          <w:rFonts w:ascii="Calibri" w:hAnsi="Calibri" w:cs="Calibri"/>
          <w:bCs/>
          <w:sz w:val="22"/>
          <w:szCs w:val="22"/>
        </w:rPr>
        <w:t xml:space="preserve">to deploy </w:t>
      </w:r>
      <w:r w:rsidR="0030049F">
        <w:rPr>
          <w:rFonts w:ascii="Calibri" w:hAnsi="Calibri" w:cs="Calibri"/>
          <w:bCs/>
          <w:sz w:val="22"/>
          <w:szCs w:val="22"/>
        </w:rPr>
        <w:t xml:space="preserve">CHF 155,000 </w:t>
      </w:r>
      <w:r w:rsidR="00FE2C1A">
        <w:rPr>
          <w:rFonts w:ascii="Calibri" w:hAnsi="Calibri" w:cs="Calibri"/>
          <w:bCs/>
          <w:sz w:val="22"/>
          <w:szCs w:val="22"/>
        </w:rPr>
        <w:t>against</w:t>
      </w:r>
      <w:r w:rsidR="0030049F">
        <w:rPr>
          <w:rFonts w:ascii="Calibri" w:hAnsi="Calibri" w:cs="Calibri"/>
          <w:bCs/>
          <w:sz w:val="22"/>
          <w:szCs w:val="22"/>
        </w:rPr>
        <w:t xml:space="preserve"> the costs of SC51</w:t>
      </w:r>
      <w:r w:rsidR="00FE2C1A">
        <w:rPr>
          <w:rFonts w:ascii="Calibri" w:hAnsi="Calibri" w:cs="Calibri"/>
          <w:bCs/>
          <w:sz w:val="22"/>
          <w:szCs w:val="22"/>
        </w:rPr>
        <w:t xml:space="preserve"> and</w:t>
      </w:r>
      <w:r w:rsidR="004A3E76">
        <w:rPr>
          <w:rFonts w:ascii="Calibri" w:hAnsi="Calibri" w:cs="Calibri"/>
          <w:bCs/>
          <w:sz w:val="22"/>
          <w:szCs w:val="22"/>
        </w:rPr>
        <w:t xml:space="preserve"> </w:t>
      </w:r>
      <w:r w:rsidR="00FE2C1A">
        <w:rPr>
          <w:rFonts w:ascii="Calibri" w:hAnsi="Calibri" w:cs="Calibri"/>
          <w:bCs/>
          <w:sz w:val="22"/>
          <w:szCs w:val="22"/>
        </w:rPr>
        <w:t xml:space="preserve">the remaining CHF 15,000 for website development, as this was recognized by Parties </w:t>
      </w:r>
      <w:r w:rsidR="002E298E">
        <w:rPr>
          <w:rFonts w:ascii="Calibri" w:hAnsi="Calibri" w:cs="Calibri"/>
          <w:bCs/>
          <w:sz w:val="22"/>
          <w:szCs w:val="22"/>
        </w:rPr>
        <w:t xml:space="preserve">at </w:t>
      </w:r>
      <w:r w:rsidR="00FE2C1A">
        <w:rPr>
          <w:rFonts w:ascii="Calibri" w:hAnsi="Calibri" w:cs="Calibri"/>
          <w:bCs/>
          <w:sz w:val="22"/>
          <w:szCs w:val="22"/>
        </w:rPr>
        <w:t>COP12 as a high priority.</w:t>
      </w:r>
      <w:r w:rsidR="0030049F">
        <w:rPr>
          <w:rFonts w:ascii="Calibri" w:hAnsi="Calibri" w:cs="Calibri"/>
          <w:bCs/>
          <w:sz w:val="22"/>
          <w:szCs w:val="22"/>
        </w:rPr>
        <w:t xml:space="preserve"> </w:t>
      </w:r>
    </w:p>
    <w:p w:rsidR="00B01857" w:rsidRPr="00B01857" w:rsidRDefault="00B01857" w:rsidP="00B0185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0238D5" w:rsidRDefault="00A752E7" w:rsidP="000238D5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Standing Committee is asked to approve </w:t>
      </w:r>
      <w:r w:rsidR="000238D5">
        <w:rPr>
          <w:rFonts w:ascii="Calibri" w:hAnsi="Calibri" w:cs="Calibri"/>
          <w:bCs/>
          <w:sz w:val="22"/>
          <w:szCs w:val="22"/>
        </w:rPr>
        <w:t xml:space="preserve">the 2014 financial statements and </w:t>
      </w:r>
      <w:r>
        <w:rPr>
          <w:rFonts w:ascii="Calibri" w:hAnsi="Calibri" w:cs="Calibri"/>
          <w:bCs/>
          <w:sz w:val="22"/>
          <w:szCs w:val="22"/>
        </w:rPr>
        <w:t xml:space="preserve">decide </w:t>
      </w:r>
      <w:r w:rsidR="000238D5">
        <w:rPr>
          <w:rFonts w:ascii="Calibri" w:hAnsi="Calibri" w:cs="Calibri"/>
          <w:bCs/>
          <w:sz w:val="22"/>
          <w:szCs w:val="22"/>
        </w:rPr>
        <w:t>the use of the 2014 s</w:t>
      </w:r>
      <w:r w:rsidR="00B01857">
        <w:rPr>
          <w:rFonts w:ascii="Calibri" w:hAnsi="Calibri" w:cs="Calibri"/>
          <w:bCs/>
          <w:sz w:val="22"/>
          <w:szCs w:val="22"/>
        </w:rPr>
        <w:t xml:space="preserve">urplus reallocation </w:t>
      </w:r>
      <w:r>
        <w:rPr>
          <w:rFonts w:ascii="Calibri" w:hAnsi="Calibri" w:cs="Calibri"/>
          <w:bCs/>
          <w:sz w:val="22"/>
          <w:szCs w:val="22"/>
        </w:rPr>
        <w:t xml:space="preserve">at SC51 </w:t>
      </w:r>
      <w:r w:rsidR="000238D5">
        <w:rPr>
          <w:rFonts w:ascii="Calibri" w:hAnsi="Calibri" w:cs="Calibri"/>
          <w:bCs/>
          <w:sz w:val="22"/>
          <w:szCs w:val="22"/>
        </w:rPr>
        <w:t xml:space="preserve">in order for the financial statements to receive </w:t>
      </w:r>
      <w:r w:rsidR="00B01857">
        <w:rPr>
          <w:rFonts w:ascii="Calibri" w:hAnsi="Calibri" w:cs="Calibri"/>
          <w:bCs/>
          <w:sz w:val="22"/>
          <w:szCs w:val="22"/>
        </w:rPr>
        <w:t>the auditor’s</w:t>
      </w:r>
      <w:r w:rsidR="000238D5">
        <w:rPr>
          <w:rFonts w:ascii="Calibri" w:hAnsi="Calibri" w:cs="Calibri"/>
          <w:bCs/>
          <w:sz w:val="22"/>
          <w:szCs w:val="22"/>
        </w:rPr>
        <w:t xml:space="preserve"> approval. </w:t>
      </w:r>
    </w:p>
    <w:p w:rsidR="005C0E05" w:rsidRDefault="005C0E05" w:rsidP="00314514">
      <w:pPr>
        <w:rPr>
          <w:rFonts w:ascii="Calibri" w:hAnsi="Calibri" w:cs="Calibri"/>
          <w:bCs/>
          <w:sz w:val="22"/>
          <w:szCs w:val="22"/>
        </w:rPr>
      </w:pPr>
    </w:p>
    <w:p w:rsidR="000E650E" w:rsidRDefault="00C135FD" w:rsidP="00FE2C1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201</w:t>
      </w:r>
      <w:r w:rsidR="001E1ED5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22F60" w:rsidRPr="00C135FD">
        <w:rPr>
          <w:rFonts w:ascii="Calibri" w:hAnsi="Calibri" w:cs="Calibri"/>
          <w:b/>
          <w:sz w:val="22"/>
          <w:szCs w:val="22"/>
        </w:rPr>
        <w:t>results</w:t>
      </w:r>
      <w:r w:rsidR="0036164D">
        <w:rPr>
          <w:rFonts w:ascii="Calibri" w:hAnsi="Calibri" w:cs="Calibri"/>
          <w:b/>
          <w:sz w:val="22"/>
          <w:szCs w:val="22"/>
        </w:rPr>
        <w:t xml:space="preserve"> </w:t>
      </w:r>
      <w:r w:rsidR="002E298E">
        <w:rPr>
          <w:rFonts w:ascii="Calibri" w:hAnsi="Calibri" w:cs="Calibri"/>
          <w:b/>
          <w:sz w:val="22"/>
          <w:szCs w:val="22"/>
        </w:rPr>
        <w:t>–</w:t>
      </w:r>
      <w:r w:rsidR="0036164D">
        <w:rPr>
          <w:rFonts w:ascii="Calibri" w:hAnsi="Calibri" w:cs="Calibri"/>
          <w:b/>
          <w:sz w:val="22"/>
          <w:szCs w:val="22"/>
        </w:rPr>
        <w:t xml:space="preserve"> core</w:t>
      </w:r>
      <w:r w:rsidR="002E298E">
        <w:rPr>
          <w:rFonts w:ascii="Calibri" w:hAnsi="Calibri" w:cs="Calibri"/>
          <w:b/>
          <w:sz w:val="22"/>
          <w:szCs w:val="22"/>
        </w:rPr>
        <w:t xml:space="preserve"> budget</w:t>
      </w:r>
    </w:p>
    <w:p w:rsidR="00E73055" w:rsidRPr="00FE2C1A" w:rsidRDefault="00E73055" w:rsidP="00FE2C1A">
      <w:pPr>
        <w:rPr>
          <w:rFonts w:ascii="Calibri" w:hAnsi="Calibri"/>
          <w:b/>
          <w:sz w:val="22"/>
        </w:rPr>
      </w:pPr>
    </w:p>
    <w:p w:rsidR="0036164D" w:rsidRDefault="001E1ED5" w:rsidP="00EE0229">
      <w:pPr>
        <w:numPr>
          <w:ilvl w:val="0"/>
          <w:numId w:val="2"/>
        </w:numPr>
        <w:ind w:left="426" w:hanging="426"/>
        <w:rPr>
          <w:rFonts w:ascii="Calibri" w:hAnsi="Calibri"/>
          <w:sz w:val="22"/>
        </w:rPr>
      </w:pPr>
      <w:r w:rsidRPr="003A50AD">
        <w:rPr>
          <w:rFonts w:ascii="Calibri" w:hAnsi="Calibri"/>
          <w:sz w:val="22"/>
        </w:rPr>
        <w:t xml:space="preserve">As this document is </w:t>
      </w:r>
      <w:r w:rsidR="002E298E">
        <w:rPr>
          <w:rFonts w:ascii="Calibri" w:hAnsi="Calibri"/>
          <w:sz w:val="22"/>
        </w:rPr>
        <w:t>based on the financial situation as of</w:t>
      </w:r>
      <w:r w:rsidRPr="003A50AD">
        <w:rPr>
          <w:rFonts w:ascii="Calibri" w:hAnsi="Calibri"/>
          <w:sz w:val="22"/>
        </w:rPr>
        <w:t xml:space="preserve"> 30 June 2015, it is too early to </w:t>
      </w:r>
      <w:r w:rsidR="002E298E">
        <w:rPr>
          <w:rFonts w:ascii="Calibri" w:hAnsi="Calibri"/>
          <w:sz w:val="22"/>
        </w:rPr>
        <w:t>provide</w:t>
      </w:r>
      <w:r w:rsidR="002E298E" w:rsidRPr="003A50AD">
        <w:rPr>
          <w:rFonts w:ascii="Calibri" w:hAnsi="Calibri"/>
          <w:sz w:val="22"/>
        </w:rPr>
        <w:t xml:space="preserve"> </w:t>
      </w:r>
      <w:r w:rsidRPr="003A50AD">
        <w:rPr>
          <w:rFonts w:ascii="Calibri" w:hAnsi="Calibri"/>
          <w:sz w:val="22"/>
        </w:rPr>
        <w:t xml:space="preserve">a meaningful </w:t>
      </w:r>
      <w:r w:rsidR="007B5191" w:rsidRPr="003A50AD">
        <w:rPr>
          <w:rFonts w:ascii="Calibri" w:hAnsi="Calibri"/>
          <w:sz w:val="22"/>
        </w:rPr>
        <w:t>report</w:t>
      </w:r>
      <w:r w:rsidR="007B2A34">
        <w:rPr>
          <w:rFonts w:ascii="Calibri" w:hAnsi="Calibri"/>
          <w:sz w:val="22"/>
        </w:rPr>
        <w:t xml:space="preserve"> on</w:t>
      </w:r>
      <w:r w:rsidR="007B5191" w:rsidRPr="003A50AD">
        <w:rPr>
          <w:rFonts w:ascii="Calibri" w:hAnsi="Calibri"/>
          <w:sz w:val="22"/>
        </w:rPr>
        <w:t xml:space="preserve"> </w:t>
      </w:r>
      <w:r w:rsidRPr="003A50AD">
        <w:rPr>
          <w:rFonts w:ascii="Calibri" w:hAnsi="Calibri"/>
          <w:sz w:val="22"/>
        </w:rPr>
        <w:t xml:space="preserve">2015 </w:t>
      </w:r>
      <w:r w:rsidR="00B01857" w:rsidRPr="003A50AD">
        <w:rPr>
          <w:rFonts w:ascii="Calibri" w:hAnsi="Calibri"/>
          <w:sz w:val="22"/>
        </w:rPr>
        <w:t xml:space="preserve">financial </w:t>
      </w:r>
      <w:r w:rsidRPr="003A50AD">
        <w:rPr>
          <w:rFonts w:ascii="Calibri" w:hAnsi="Calibri"/>
          <w:sz w:val="22"/>
        </w:rPr>
        <w:t xml:space="preserve">results </w:t>
      </w:r>
      <w:r w:rsidR="0036164D">
        <w:rPr>
          <w:rFonts w:ascii="Calibri" w:hAnsi="Calibri"/>
          <w:sz w:val="22"/>
        </w:rPr>
        <w:t xml:space="preserve">versus </w:t>
      </w:r>
      <w:r w:rsidR="007B5191">
        <w:rPr>
          <w:rFonts w:ascii="Calibri" w:hAnsi="Calibri"/>
          <w:sz w:val="22"/>
        </w:rPr>
        <w:t xml:space="preserve">agreed </w:t>
      </w:r>
      <w:r w:rsidR="0036164D">
        <w:rPr>
          <w:rFonts w:ascii="Calibri" w:hAnsi="Calibri"/>
          <w:sz w:val="22"/>
        </w:rPr>
        <w:t>budget</w:t>
      </w:r>
      <w:r w:rsidRPr="003A50AD">
        <w:rPr>
          <w:rFonts w:ascii="Calibri" w:hAnsi="Calibri"/>
          <w:sz w:val="22"/>
        </w:rPr>
        <w:t xml:space="preserve">. A </w:t>
      </w:r>
      <w:r w:rsidR="002E298E">
        <w:rPr>
          <w:rFonts w:ascii="Calibri" w:hAnsi="Calibri"/>
          <w:sz w:val="22"/>
        </w:rPr>
        <w:t xml:space="preserve">year-to-date </w:t>
      </w:r>
      <w:r w:rsidR="00B01857" w:rsidRPr="003A50AD">
        <w:rPr>
          <w:rFonts w:ascii="Calibri" w:hAnsi="Calibri"/>
          <w:sz w:val="22"/>
        </w:rPr>
        <w:t>report as of 31 October 2015</w:t>
      </w:r>
      <w:r w:rsidR="002E298E">
        <w:rPr>
          <w:rFonts w:ascii="Calibri" w:hAnsi="Calibri"/>
          <w:sz w:val="22"/>
        </w:rPr>
        <w:t>,</w:t>
      </w:r>
      <w:r w:rsidR="00B01857" w:rsidRPr="003A50AD">
        <w:rPr>
          <w:rFonts w:ascii="Calibri" w:hAnsi="Calibri"/>
          <w:sz w:val="22"/>
        </w:rPr>
        <w:t xml:space="preserve"> </w:t>
      </w:r>
      <w:r w:rsidR="002E298E" w:rsidRPr="003A50AD">
        <w:rPr>
          <w:rFonts w:ascii="Calibri" w:hAnsi="Calibri"/>
          <w:sz w:val="22"/>
        </w:rPr>
        <w:t>and a forecast for year-end</w:t>
      </w:r>
      <w:r w:rsidR="002E298E">
        <w:rPr>
          <w:rFonts w:ascii="Calibri" w:hAnsi="Calibri"/>
          <w:sz w:val="22"/>
        </w:rPr>
        <w:t xml:space="preserve">, </w:t>
      </w:r>
      <w:r w:rsidR="00B01857" w:rsidRPr="003A50AD">
        <w:rPr>
          <w:rFonts w:ascii="Calibri" w:hAnsi="Calibri"/>
          <w:sz w:val="22"/>
        </w:rPr>
        <w:t>will be presented orally</w:t>
      </w:r>
      <w:r w:rsidRPr="003A50AD">
        <w:rPr>
          <w:rFonts w:ascii="Calibri" w:hAnsi="Calibri"/>
          <w:sz w:val="22"/>
        </w:rPr>
        <w:t xml:space="preserve"> </w:t>
      </w:r>
      <w:r w:rsidR="006E4E4B" w:rsidRPr="003A50AD">
        <w:rPr>
          <w:rFonts w:ascii="Calibri" w:hAnsi="Calibri"/>
          <w:sz w:val="22"/>
        </w:rPr>
        <w:t>a</w:t>
      </w:r>
      <w:r w:rsidRPr="003A50AD">
        <w:rPr>
          <w:rFonts w:ascii="Calibri" w:hAnsi="Calibri"/>
          <w:sz w:val="22"/>
        </w:rPr>
        <w:t>t SC51</w:t>
      </w:r>
      <w:r w:rsidR="00FA3C51">
        <w:rPr>
          <w:rFonts w:ascii="Calibri" w:hAnsi="Calibri"/>
          <w:sz w:val="22"/>
        </w:rPr>
        <w:t xml:space="preserve"> and </w:t>
      </w:r>
      <w:r w:rsidR="002E298E">
        <w:rPr>
          <w:rFonts w:ascii="Calibri" w:hAnsi="Calibri"/>
          <w:sz w:val="22"/>
        </w:rPr>
        <w:t>followed with a detailed 2015 report</w:t>
      </w:r>
      <w:r w:rsidR="00FA3C51">
        <w:rPr>
          <w:rFonts w:ascii="Calibri" w:hAnsi="Calibri"/>
          <w:sz w:val="22"/>
        </w:rPr>
        <w:t xml:space="preserve"> at SC52</w:t>
      </w:r>
      <w:r w:rsidRPr="003A50AD">
        <w:rPr>
          <w:rFonts w:ascii="Calibri" w:hAnsi="Calibri"/>
          <w:sz w:val="22"/>
        </w:rPr>
        <w:t xml:space="preserve">. </w:t>
      </w:r>
    </w:p>
    <w:p w:rsidR="00EE0229" w:rsidRDefault="00EE0229" w:rsidP="00EE0229">
      <w:pPr>
        <w:ind w:left="426"/>
        <w:rPr>
          <w:rFonts w:ascii="Calibri" w:hAnsi="Calibri"/>
          <w:sz w:val="22"/>
        </w:rPr>
      </w:pPr>
    </w:p>
    <w:p w:rsidR="003D4592" w:rsidRPr="00426AC6" w:rsidRDefault="00EE0229" w:rsidP="002E298E">
      <w:pPr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426AC6">
        <w:rPr>
          <w:rFonts w:ascii="Calibri" w:hAnsi="Calibri"/>
          <w:sz w:val="22"/>
        </w:rPr>
        <w:t xml:space="preserve">Attached at Annex </w:t>
      </w:r>
      <w:r w:rsidR="00426AC6" w:rsidRPr="00426AC6">
        <w:rPr>
          <w:rFonts w:ascii="Calibri" w:hAnsi="Calibri"/>
          <w:sz w:val="22"/>
        </w:rPr>
        <w:t>3</w:t>
      </w:r>
      <w:r w:rsidRPr="00426AC6">
        <w:rPr>
          <w:rFonts w:ascii="Calibri" w:hAnsi="Calibri"/>
          <w:sz w:val="22"/>
        </w:rPr>
        <w:t xml:space="preserve"> is the list of Secretariat staff (core) positions as approved at COP12 in DR XII.1. There are no proposed changes to the staff positions. </w:t>
      </w:r>
    </w:p>
    <w:p w:rsidR="003D4592" w:rsidRPr="00426AC6" w:rsidRDefault="003D4592" w:rsidP="002E298E">
      <w:pPr>
        <w:pStyle w:val="ListParagraph"/>
        <w:ind w:left="426" w:hanging="426"/>
        <w:rPr>
          <w:rFonts w:ascii="Calibri" w:hAnsi="Calibri"/>
          <w:sz w:val="22"/>
        </w:rPr>
      </w:pPr>
    </w:p>
    <w:p w:rsidR="00EE0229" w:rsidRPr="00426AC6" w:rsidRDefault="003D4592" w:rsidP="002E298E">
      <w:pPr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426AC6">
        <w:rPr>
          <w:rFonts w:ascii="Calibri" w:hAnsi="Calibri"/>
          <w:sz w:val="22"/>
          <w:lang w:val="en-GB"/>
        </w:rPr>
        <w:t xml:space="preserve">A list of consultants used in calendar year 2015 is presented as Annex </w:t>
      </w:r>
      <w:r w:rsidR="00426AC6" w:rsidRPr="00426AC6">
        <w:rPr>
          <w:rFonts w:ascii="Calibri" w:hAnsi="Calibri"/>
          <w:sz w:val="22"/>
          <w:lang w:val="en-GB"/>
        </w:rPr>
        <w:t>4</w:t>
      </w:r>
      <w:r w:rsidRPr="00426AC6">
        <w:rPr>
          <w:rFonts w:ascii="Calibri" w:hAnsi="Calibri"/>
          <w:sz w:val="22"/>
          <w:lang w:val="en-GB"/>
        </w:rPr>
        <w:t xml:space="preserve"> with details of time and budget used and charging instructions</w:t>
      </w:r>
      <w:r w:rsidR="007E7AE4" w:rsidRPr="00426AC6">
        <w:rPr>
          <w:rFonts w:ascii="Calibri" w:hAnsi="Calibri"/>
          <w:sz w:val="22"/>
          <w:lang w:val="en-GB"/>
        </w:rPr>
        <w:t>.</w:t>
      </w:r>
    </w:p>
    <w:p w:rsidR="00EE0229" w:rsidRPr="00426AC6" w:rsidRDefault="00EE0229" w:rsidP="00EE0229">
      <w:pPr>
        <w:rPr>
          <w:rFonts w:ascii="Calibri" w:hAnsi="Calibri"/>
          <w:sz w:val="22"/>
        </w:rPr>
      </w:pPr>
    </w:p>
    <w:p w:rsidR="00B14753" w:rsidRPr="00426AC6" w:rsidRDefault="0036164D" w:rsidP="00B14753">
      <w:pPr>
        <w:numPr>
          <w:ilvl w:val="0"/>
          <w:numId w:val="2"/>
        </w:numPr>
        <w:ind w:left="426" w:hanging="426"/>
        <w:rPr>
          <w:rFonts w:ascii="Calibri" w:hAnsi="Calibri"/>
          <w:sz w:val="22"/>
        </w:rPr>
      </w:pPr>
      <w:r w:rsidRPr="00426AC6">
        <w:rPr>
          <w:rFonts w:ascii="Calibri" w:hAnsi="Calibri"/>
          <w:sz w:val="22"/>
        </w:rPr>
        <w:t xml:space="preserve">Allocations of CHF 108,600 to Regional Initiatives </w:t>
      </w:r>
      <w:r w:rsidR="005A7517" w:rsidRPr="00426AC6">
        <w:rPr>
          <w:rFonts w:ascii="Calibri" w:hAnsi="Calibri"/>
          <w:sz w:val="22"/>
        </w:rPr>
        <w:t xml:space="preserve">for 2015 </w:t>
      </w:r>
      <w:r w:rsidRPr="00426AC6">
        <w:rPr>
          <w:rFonts w:ascii="Calibri" w:hAnsi="Calibri"/>
          <w:sz w:val="22"/>
        </w:rPr>
        <w:t>were made as ag</w:t>
      </w:r>
      <w:r w:rsidR="00B14753" w:rsidRPr="00426AC6">
        <w:rPr>
          <w:rFonts w:ascii="Calibri" w:hAnsi="Calibri"/>
          <w:sz w:val="22"/>
        </w:rPr>
        <w:t>reed at SC49 (Decision SC49-03):</w:t>
      </w:r>
    </w:p>
    <w:p w:rsidR="009E4055" w:rsidRPr="00426AC6" w:rsidRDefault="009E4055" w:rsidP="009E4055">
      <w:pPr>
        <w:rPr>
          <w:rFonts w:ascii="Calibri" w:hAnsi="Calibri"/>
          <w:sz w:val="22"/>
        </w:rPr>
      </w:pP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n-GB" w:eastAsia="en-GB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Niger river basin network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42,000</w:t>
      </w: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n-GB" w:eastAsia="en-GB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La Plata river basin network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18,000</w:t>
      </w: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n-GB" w:eastAsia="en-GB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Caribbean network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18,000</w:t>
      </w: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 w:cs="Calibri"/>
          <w:sz w:val="22"/>
          <w:szCs w:val="22"/>
          <w:lang w:val="en-GB" w:eastAsia="en-GB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American mangroves and reefs network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20,000</w:t>
      </w: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/>
          <w:sz w:val="22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Carpathian Wetland Initiative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6,300</w:t>
      </w:r>
    </w:p>
    <w:p w:rsidR="00B14753" w:rsidRPr="00426AC6" w:rsidRDefault="00B14753" w:rsidP="009E4055">
      <w:pPr>
        <w:numPr>
          <w:ilvl w:val="1"/>
          <w:numId w:val="2"/>
        </w:numPr>
        <w:autoSpaceDE w:val="0"/>
        <w:autoSpaceDN w:val="0"/>
        <w:adjustRightInd w:val="0"/>
        <w:ind w:left="851" w:hanging="425"/>
        <w:rPr>
          <w:rFonts w:ascii="Calibri" w:hAnsi="Calibri"/>
          <w:sz w:val="22"/>
        </w:rPr>
      </w:pPr>
      <w:r w:rsidRPr="00426AC6">
        <w:rPr>
          <w:rFonts w:ascii="Calibri" w:hAnsi="Calibri" w:cs="Calibri"/>
          <w:sz w:val="22"/>
          <w:szCs w:val="22"/>
          <w:lang w:val="en-GB" w:eastAsia="en-GB"/>
        </w:rPr>
        <w:t xml:space="preserve">Black and Azov Sea coast </w:t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</w:r>
      <w:r w:rsidRPr="00426AC6">
        <w:rPr>
          <w:rFonts w:ascii="Calibri" w:hAnsi="Calibri" w:cs="Calibri"/>
          <w:sz w:val="22"/>
          <w:szCs w:val="22"/>
          <w:lang w:val="en-GB" w:eastAsia="en-GB"/>
        </w:rPr>
        <w:tab/>
        <w:t>CHF 2,500</w:t>
      </w:r>
    </w:p>
    <w:p w:rsidR="000F4158" w:rsidRPr="00426AC6" w:rsidRDefault="000F4158" w:rsidP="00842399">
      <w:pPr>
        <w:ind w:left="540"/>
        <w:rPr>
          <w:rFonts w:ascii="Calibri" w:hAnsi="Calibri"/>
          <w:b/>
          <w:sz w:val="22"/>
          <w:lang w:val="en-GB"/>
        </w:rPr>
      </w:pPr>
    </w:p>
    <w:p w:rsidR="00FA3C51" w:rsidRPr="00426AC6" w:rsidRDefault="00FA3C51" w:rsidP="00FA3C51">
      <w:pPr>
        <w:ind w:left="540" w:hanging="540"/>
        <w:rPr>
          <w:rFonts w:ascii="Calibri" w:hAnsi="Calibri"/>
          <w:b/>
          <w:sz w:val="22"/>
          <w:lang w:val="en-GB"/>
        </w:rPr>
      </w:pPr>
      <w:r w:rsidRPr="00426AC6">
        <w:rPr>
          <w:rFonts w:ascii="Calibri" w:hAnsi="Calibri"/>
          <w:b/>
          <w:sz w:val="22"/>
          <w:lang w:val="en-GB"/>
        </w:rPr>
        <w:t xml:space="preserve">2016 </w:t>
      </w:r>
      <w:r w:rsidRPr="00426AC6">
        <w:rPr>
          <w:rFonts w:ascii="Calibri" w:hAnsi="Calibri" w:cs="Calibri"/>
          <w:b/>
          <w:sz w:val="22"/>
          <w:szCs w:val="22"/>
          <w:lang w:val="en-GB"/>
        </w:rPr>
        <w:t>core budget</w:t>
      </w:r>
    </w:p>
    <w:p w:rsidR="00FA3C51" w:rsidRPr="00426AC6" w:rsidRDefault="00FA3C51" w:rsidP="00FA3C51">
      <w:pPr>
        <w:ind w:left="540" w:hanging="540"/>
        <w:rPr>
          <w:rFonts w:ascii="Calibri" w:hAnsi="Calibri"/>
          <w:b/>
          <w:sz w:val="22"/>
          <w:lang w:val="en-GB"/>
        </w:rPr>
      </w:pPr>
    </w:p>
    <w:p w:rsidR="00FA3C51" w:rsidRPr="00426AC6" w:rsidRDefault="00FA3C51" w:rsidP="00FA3C51">
      <w:pPr>
        <w:numPr>
          <w:ilvl w:val="0"/>
          <w:numId w:val="2"/>
        </w:numPr>
        <w:ind w:left="426" w:hanging="426"/>
        <w:rPr>
          <w:rFonts w:ascii="Calibri" w:hAnsi="Calibri"/>
          <w:sz w:val="22"/>
        </w:rPr>
      </w:pPr>
      <w:r w:rsidRPr="00426AC6">
        <w:rPr>
          <w:rFonts w:ascii="Calibri" w:hAnsi="Calibri"/>
          <w:sz w:val="22"/>
        </w:rPr>
        <w:t xml:space="preserve">Attached at Annex </w:t>
      </w:r>
      <w:r w:rsidR="00426AC6" w:rsidRPr="00426AC6">
        <w:rPr>
          <w:rFonts w:ascii="Calibri" w:hAnsi="Calibri"/>
          <w:sz w:val="22"/>
        </w:rPr>
        <w:t>5</w:t>
      </w:r>
      <w:r w:rsidRPr="00426AC6">
        <w:rPr>
          <w:rFonts w:ascii="Calibri" w:hAnsi="Calibri"/>
          <w:sz w:val="22"/>
        </w:rPr>
        <w:t xml:space="preserve"> is the 2016 core and non-core budget as approved by COP12. An updated report will be presented at SC52.</w:t>
      </w:r>
    </w:p>
    <w:p w:rsidR="00FA3C51" w:rsidRPr="00426AC6" w:rsidRDefault="00FA3C51" w:rsidP="00FA3C51">
      <w:pPr>
        <w:ind w:left="567" w:hanging="567"/>
        <w:rPr>
          <w:rFonts w:ascii="Calibri" w:hAnsi="Calibri" w:cs="Calibri"/>
          <w:b/>
          <w:sz w:val="22"/>
          <w:szCs w:val="22"/>
        </w:rPr>
      </w:pPr>
    </w:p>
    <w:p w:rsidR="003A50AD" w:rsidRPr="00426AC6" w:rsidRDefault="003A50AD" w:rsidP="003A50AD">
      <w:pPr>
        <w:rPr>
          <w:rFonts w:ascii="Calibri" w:hAnsi="Calibri"/>
          <w:b/>
          <w:sz w:val="22"/>
        </w:rPr>
      </w:pPr>
      <w:r w:rsidRPr="00426AC6">
        <w:rPr>
          <w:rFonts w:ascii="Calibri" w:hAnsi="Calibri" w:cs="Calibri"/>
          <w:b/>
          <w:sz w:val="22"/>
          <w:szCs w:val="22"/>
        </w:rPr>
        <w:t>201</w:t>
      </w:r>
      <w:r w:rsidR="0036164D" w:rsidRPr="00426AC6">
        <w:rPr>
          <w:rFonts w:ascii="Calibri" w:hAnsi="Calibri" w:cs="Calibri"/>
          <w:b/>
          <w:sz w:val="22"/>
          <w:szCs w:val="22"/>
        </w:rPr>
        <w:t>6</w:t>
      </w:r>
      <w:r w:rsidRPr="00426AC6">
        <w:rPr>
          <w:rFonts w:ascii="Calibri" w:hAnsi="Calibri" w:cs="Calibri"/>
          <w:b/>
          <w:sz w:val="22"/>
          <w:szCs w:val="22"/>
        </w:rPr>
        <w:t xml:space="preserve"> </w:t>
      </w:r>
      <w:r w:rsidR="009E4055" w:rsidRPr="00426AC6">
        <w:rPr>
          <w:rFonts w:ascii="Calibri" w:hAnsi="Calibri" w:cs="Calibri"/>
          <w:b/>
          <w:sz w:val="22"/>
          <w:szCs w:val="22"/>
        </w:rPr>
        <w:t>non</w:t>
      </w:r>
      <w:r w:rsidRPr="00426AC6">
        <w:rPr>
          <w:rFonts w:ascii="Calibri" w:hAnsi="Calibri" w:cs="Calibri"/>
          <w:b/>
          <w:sz w:val="22"/>
          <w:szCs w:val="22"/>
        </w:rPr>
        <w:t>-</w:t>
      </w:r>
      <w:r w:rsidR="009E4055" w:rsidRPr="00426AC6">
        <w:rPr>
          <w:rFonts w:ascii="Calibri" w:hAnsi="Calibri" w:cs="Calibri"/>
          <w:b/>
          <w:sz w:val="22"/>
          <w:szCs w:val="22"/>
        </w:rPr>
        <w:t xml:space="preserve">core </w:t>
      </w:r>
      <w:r w:rsidRPr="00426AC6">
        <w:rPr>
          <w:rFonts w:ascii="Calibri" w:hAnsi="Calibri" w:cs="Calibri"/>
          <w:b/>
          <w:sz w:val="22"/>
          <w:szCs w:val="22"/>
        </w:rPr>
        <w:t>budget and fundraising</w:t>
      </w:r>
    </w:p>
    <w:p w:rsidR="003A50AD" w:rsidRPr="00426AC6" w:rsidRDefault="003A50AD" w:rsidP="003A50AD">
      <w:pPr>
        <w:ind w:left="426"/>
        <w:rPr>
          <w:rFonts w:ascii="Calibri" w:hAnsi="Calibri"/>
          <w:sz w:val="22"/>
        </w:rPr>
      </w:pPr>
    </w:p>
    <w:p w:rsidR="007B5191" w:rsidRPr="00426AC6" w:rsidRDefault="003A50AD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Theme="minorHAnsi" w:hAnsiTheme="minorHAnsi" w:cs="Arial"/>
          <w:szCs w:val="24"/>
        </w:rPr>
      </w:pPr>
      <w:r w:rsidRPr="00426AC6">
        <w:rPr>
          <w:rFonts w:ascii="Calibri" w:hAnsi="Calibri"/>
          <w:sz w:val="22"/>
        </w:rPr>
        <w:t xml:space="preserve">The budget approved at COP12 anticipates voluntary contributions of CHF 4.2 million over the triennium to fund the </w:t>
      </w:r>
      <w:r w:rsidR="009E4055" w:rsidRPr="00426AC6">
        <w:rPr>
          <w:rFonts w:ascii="Calibri" w:hAnsi="Calibri"/>
          <w:sz w:val="22"/>
        </w:rPr>
        <w:t xml:space="preserve">non-core </w:t>
      </w:r>
      <w:r w:rsidR="00C33FC6" w:rsidRPr="00426AC6">
        <w:rPr>
          <w:rFonts w:ascii="Calibri" w:hAnsi="Calibri"/>
          <w:sz w:val="22"/>
        </w:rPr>
        <w:t>budget</w:t>
      </w:r>
      <w:r w:rsidR="00C33FC6" w:rsidRPr="00426AC6">
        <w:rPr>
          <w:rFonts w:ascii="Calibri" w:hAnsi="Calibri" w:cs="Calibri"/>
          <w:b/>
          <w:sz w:val="22"/>
          <w:szCs w:val="22"/>
        </w:rPr>
        <w:t xml:space="preserve"> </w:t>
      </w:r>
      <w:r w:rsidRPr="00426AC6">
        <w:rPr>
          <w:rFonts w:ascii="Calibri" w:hAnsi="Calibri"/>
          <w:sz w:val="22"/>
        </w:rPr>
        <w:t xml:space="preserve">priority activities </w:t>
      </w:r>
      <w:r w:rsidR="009E4055" w:rsidRPr="00426AC6">
        <w:rPr>
          <w:rFonts w:ascii="Calibri" w:hAnsi="Calibri"/>
          <w:sz w:val="22"/>
        </w:rPr>
        <w:t xml:space="preserve">listed </w:t>
      </w:r>
      <w:r w:rsidRPr="00426AC6">
        <w:rPr>
          <w:rFonts w:ascii="Calibri" w:hAnsi="Calibri"/>
          <w:sz w:val="22"/>
        </w:rPr>
        <w:t xml:space="preserve">in Annex </w:t>
      </w:r>
      <w:r w:rsidR="00426AC6" w:rsidRPr="00426AC6">
        <w:rPr>
          <w:rFonts w:ascii="Calibri" w:hAnsi="Calibri"/>
          <w:sz w:val="22"/>
        </w:rPr>
        <w:t>6</w:t>
      </w:r>
      <w:r w:rsidRPr="00426AC6">
        <w:rPr>
          <w:rFonts w:ascii="Calibri" w:hAnsi="Calibri"/>
          <w:sz w:val="22"/>
        </w:rPr>
        <w:t xml:space="preserve">. </w:t>
      </w:r>
      <w:r w:rsidR="009E4055" w:rsidRPr="00426AC6">
        <w:rPr>
          <w:rFonts w:ascii="Calibri" w:hAnsi="Calibri"/>
          <w:sz w:val="22"/>
        </w:rPr>
        <w:t>A</w:t>
      </w:r>
      <w:r w:rsidR="00C33FC6" w:rsidRPr="00426AC6">
        <w:rPr>
          <w:rFonts w:ascii="Calibri" w:hAnsi="Calibri"/>
          <w:sz w:val="22"/>
        </w:rPr>
        <w:t xml:space="preserve"> target of </w:t>
      </w:r>
      <w:r w:rsidRPr="00426AC6">
        <w:rPr>
          <w:rFonts w:ascii="Calibri" w:hAnsi="Calibri"/>
          <w:sz w:val="22"/>
        </w:rPr>
        <w:t>CHF 1.</w:t>
      </w:r>
      <w:r w:rsidR="00C33FC6" w:rsidRPr="00426AC6">
        <w:rPr>
          <w:rFonts w:ascii="Calibri" w:hAnsi="Calibri"/>
          <w:sz w:val="22"/>
        </w:rPr>
        <w:t>4</w:t>
      </w:r>
      <w:r w:rsidRPr="00426AC6">
        <w:rPr>
          <w:rFonts w:ascii="Calibri" w:hAnsi="Calibri"/>
          <w:sz w:val="22"/>
        </w:rPr>
        <w:t xml:space="preserve"> million </w:t>
      </w:r>
      <w:r w:rsidR="009E4055" w:rsidRPr="00426AC6">
        <w:rPr>
          <w:rFonts w:ascii="Calibri" w:hAnsi="Calibri"/>
          <w:sz w:val="22"/>
        </w:rPr>
        <w:t xml:space="preserve">in voluntary contributions was identified </w:t>
      </w:r>
      <w:r w:rsidRPr="00426AC6">
        <w:rPr>
          <w:rFonts w:ascii="Calibri" w:hAnsi="Calibri"/>
          <w:sz w:val="22"/>
        </w:rPr>
        <w:t>for 2016.</w:t>
      </w:r>
      <w:r w:rsidR="004A3E76" w:rsidRPr="00426AC6">
        <w:rPr>
          <w:rFonts w:ascii="Calibri" w:hAnsi="Calibri"/>
          <w:sz w:val="22"/>
        </w:rPr>
        <w:t xml:space="preserve">  </w:t>
      </w:r>
    </w:p>
    <w:p w:rsidR="00877C5F" w:rsidRPr="00426AC6" w:rsidRDefault="00877C5F" w:rsidP="009E4055">
      <w:pPr>
        <w:pStyle w:val="ListParagraph"/>
        <w:ind w:left="426" w:hanging="426"/>
        <w:contextualSpacing w:val="0"/>
        <w:rPr>
          <w:rFonts w:ascii="Calibri" w:hAnsi="Calibri"/>
          <w:b/>
          <w:sz w:val="22"/>
        </w:rPr>
      </w:pPr>
    </w:p>
    <w:p w:rsidR="00E70E25" w:rsidRPr="00E73055" w:rsidRDefault="009E4055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Calibri" w:hAnsi="Calibri"/>
          <w:b/>
          <w:sz w:val="22"/>
        </w:rPr>
      </w:pPr>
      <w:r w:rsidRPr="00426AC6">
        <w:rPr>
          <w:rFonts w:ascii="Calibri" w:hAnsi="Calibri"/>
          <w:sz w:val="22"/>
        </w:rPr>
        <w:t xml:space="preserve">The </w:t>
      </w:r>
      <w:r w:rsidR="007B5191" w:rsidRPr="00426AC6">
        <w:rPr>
          <w:rFonts w:ascii="Calibri" w:hAnsi="Calibri"/>
          <w:sz w:val="22"/>
        </w:rPr>
        <w:t xml:space="preserve">list of </w:t>
      </w:r>
      <w:r w:rsidRPr="00426AC6">
        <w:rPr>
          <w:rFonts w:ascii="Calibri" w:hAnsi="Calibri"/>
          <w:sz w:val="22"/>
        </w:rPr>
        <w:t xml:space="preserve">non-core </w:t>
      </w:r>
      <w:r w:rsidR="007B5191" w:rsidRPr="00426AC6">
        <w:rPr>
          <w:rFonts w:ascii="Calibri" w:hAnsi="Calibri"/>
          <w:sz w:val="22"/>
        </w:rPr>
        <w:t>needs for 2016-18</w:t>
      </w:r>
      <w:r w:rsidRPr="00426AC6">
        <w:rPr>
          <w:rFonts w:ascii="Calibri" w:hAnsi="Calibri"/>
          <w:sz w:val="22"/>
        </w:rPr>
        <w:t xml:space="preserve"> is </w:t>
      </w:r>
      <w:r w:rsidR="007B5191" w:rsidRPr="00426AC6">
        <w:rPr>
          <w:rFonts w:ascii="Calibri" w:hAnsi="Calibri"/>
          <w:sz w:val="22"/>
        </w:rPr>
        <w:t xml:space="preserve">in the order of priority agreed upon by Parties at COP 12 </w:t>
      </w:r>
      <w:r w:rsidRPr="00426AC6">
        <w:rPr>
          <w:rFonts w:ascii="Calibri" w:hAnsi="Calibri"/>
          <w:sz w:val="22"/>
        </w:rPr>
        <w:t xml:space="preserve">through </w:t>
      </w:r>
      <w:r w:rsidR="007B5191" w:rsidRPr="00426AC6">
        <w:rPr>
          <w:rFonts w:ascii="Calibri" w:hAnsi="Calibri"/>
          <w:sz w:val="22"/>
        </w:rPr>
        <w:t>Resolution XII.1</w:t>
      </w:r>
      <w:r w:rsidRPr="00426AC6">
        <w:rPr>
          <w:rFonts w:ascii="Calibri" w:hAnsi="Calibri"/>
          <w:sz w:val="22"/>
        </w:rPr>
        <w:t xml:space="preserve"> </w:t>
      </w:r>
      <w:r w:rsidRPr="00426AC6">
        <w:rPr>
          <w:rFonts w:ascii="Calibri" w:hAnsi="Calibri"/>
          <w:i/>
          <w:sz w:val="22"/>
        </w:rPr>
        <w:t>Financial and budgetary matters</w:t>
      </w:r>
      <w:r w:rsidR="008123FD" w:rsidRPr="00426AC6">
        <w:rPr>
          <w:rFonts w:ascii="Calibri" w:hAnsi="Calibri"/>
          <w:sz w:val="22"/>
        </w:rPr>
        <w:t>.</w:t>
      </w:r>
      <w:r w:rsidR="007B5191" w:rsidRPr="00426AC6">
        <w:rPr>
          <w:rFonts w:ascii="Calibri" w:hAnsi="Calibri"/>
          <w:sz w:val="22"/>
        </w:rPr>
        <w:t xml:space="preserve"> </w:t>
      </w:r>
      <w:r w:rsidR="008123FD" w:rsidRPr="00426AC6">
        <w:rPr>
          <w:rFonts w:ascii="Calibri" w:hAnsi="Calibri"/>
          <w:sz w:val="22"/>
        </w:rPr>
        <w:t xml:space="preserve">Document </w:t>
      </w:r>
      <w:r w:rsidR="00E73055" w:rsidRPr="00426AC6">
        <w:rPr>
          <w:rFonts w:ascii="Calibri" w:hAnsi="Calibri"/>
          <w:sz w:val="22"/>
        </w:rPr>
        <w:t>SC51-21</w:t>
      </w:r>
      <w:r w:rsidR="00EF715A">
        <w:rPr>
          <w:rFonts w:ascii="Calibri" w:hAnsi="Calibri"/>
          <w:sz w:val="22"/>
        </w:rPr>
        <w:t xml:space="preserve"> </w:t>
      </w:r>
      <w:r w:rsidR="008123FD" w:rsidRPr="00426AC6">
        <w:rPr>
          <w:rFonts w:ascii="Calibri" w:hAnsi="Calibri"/>
          <w:sz w:val="22"/>
        </w:rPr>
        <w:t>reports</w:t>
      </w:r>
      <w:r w:rsidR="007B5191" w:rsidRPr="00E73055">
        <w:rPr>
          <w:rFonts w:ascii="Calibri" w:hAnsi="Calibri"/>
          <w:sz w:val="22"/>
        </w:rPr>
        <w:t xml:space="preserve"> on </w:t>
      </w:r>
      <w:r w:rsidR="008123FD" w:rsidRPr="00E73055">
        <w:rPr>
          <w:rFonts w:ascii="Calibri" w:hAnsi="Calibri"/>
          <w:sz w:val="22"/>
        </w:rPr>
        <w:t xml:space="preserve">the </w:t>
      </w:r>
      <w:r w:rsidR="007B5191" w:rsidRPr="00E73055">
        <w:rPr>
          <w:rFonts w:ascii="Calibri" w:hAnsi="Calibri"/>
          <w:sz w:val="22"/>
        </w:rPr>
        <w:t>prioritization of fundraising activities to fund non-core budget activities from all sources</w:t>
      </w:r>
      <w:r w:rsidR="007E7AE4" w:rsidRPr="00E73055">
        <w:rPr>
          <w:rFonts w:ascii="Calibri" w:hAnsi="Calibri"/>
          <w:sz w:val="22"/>
        </w:rPr>
        <w:t>.</w:t>
      </w:r>
    </w:p>
    <w:p w:rsidR="00877C5F" w:rsidRPr="00E73055" w:rsidRDefault="00877C5F" w:rsidP="009E4055">
      <w:pPr>
        <w:pStyle w:val="ListParagraph"/>
        <w:ind w:left="426" w:hanging="426"/>
        <w:contextualSpacing w:val="0"/>
        <w:rPr>
          <w:rFonts w:asciiTheme="minorHAnsi" w:hAnsiTheme="minorHAnsi"/>
          <w:sz w:val="22"/>
          <w:szCs w:val="22"/>
        </w:rPr>
      </w:pPr>
    </w:p>
    <w:p w:rsidR="003A50AD" w:rsidRPr="00E70E25" w:rsidRDefault="00E70E25" w:rsidP="009E4055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73055">
        <w:rPr>
          <w:rFonts w:ascii="Calibri" w:hAnsi="Calibri"/>
          <w:sz w:val="22"/>
        </w:rPr>
        <w:t>A</w:t>
      </w:r>
      <w:r w:rsidR="007B5191" w:rsidRPr="00E73055">
        <w:rPr>
          <w:rFonts w:ascii="Calibri" w:hAnsi="Calibri"/>
          <w:sz w:val="22"/>
        </w:rPr>
        <w:t xml:space="preserve">mong </w:t>
      </w:r>
      <w:r w:rsidRPr="00E73055">
        <w:rPr>
          <w:rFonts w:ascii="Calibri" w:hAnsi="Calibri"/>
          <w:sz w:val="22"/>
        </w:rPr>
        <w:t>other</w:t>
      </w:r>
      <w:r w:rsidR="007B5191" w:rsidRPr="00E73055">
        <w:rPr>
          <w:rFonts w:ascii="Calibri" w:hAnsi="Calibri"/>
          <w:sz w:val="22"/>
        </w:rPr>
        <w:t xml:space="preserve"> priorities</w:t>
      </w:r>
      <w:r w:rsidR="00876454" w:rsidRPr="00E73055">
        <w:rPr>
          <w:rFonts w:ascii="Calibri" w:hAnsi="Calibri"/>
          <w:sz w:val="22"/>
        </w:rPr>
        <w:t xml:space="preserve">, </w:t>
      </w:r>
      <w:r w:rsidR="008123FD" w:rsidRPr="00E73055">
        <w:rPr>
          <w:rFonts w:ascii="Calibri" w:hAnsi="Calibri"/>
          <w:sz w:val="22"/>
        </w:rPr>
        <w:t xml:space="preserve">Resolution XII.1 </w:t>
      </w:r>
      <w:r w:rsidR="00876454" w:rsidRPr="00E73055">
        <w:rPr>
          <w:rFonts w:ascii="Calibri" w:hAnsi="Calibri"/>
          <w:sz w:val="22"/>
        </w:rPr>
        <w:t xml:space="preserve">reaffirmed </w:t>
      </w:r>
      <w:r w:rsidR="007B5191" w:rsidRPr="00E73055">
        <w:rPr>
          <w:rFonts w:ascii="Calibri" w:hAnsi="Calibri"/>
          <w:sz w:val="22"/>
        </w:rPr>
        <w:t>(</w:t>
      </w:r>
      <w:r w:rsidR="008123FD" w:rsidRPr="00E73055">
        <w:rPr>
          <w:rFonts w:ascii="Calibri" w:hAnsi="Calibri"/>
          <w:sz w:val="22"/>
        </w:rPr>
        <w:t xml:space="preserve">at </w:t>
      </w:r>
      <w:r w:rsidR="007B5191" w:rsidRPr="00E73055">
        <w:rPr>
          <w:rFonts w:ascii="Calibri" w:hAnsi="Calibri"/>
          <w:sz w:val="22"/>
        </w:rPr>
        <w:t xml:space="preserve">XII.1.21) </w:t>
      </w:r>
      <w:r w:rsidR="00876454" w:rsidRPr="00E73055">
        <w:rPr>
          <w:rFonts w:asciiTheme="minorHAnsi" w:hAnsiTheme="minorHAnsi"/>
          <w:sz w:val="22"/>
          <w:szCs w:val="22"/>
        </w:rPr>
        <w:t xml:space="preserve">that the Convention’s Small Grants Fund is of great value in terms of the implementation of the Convention, and urges Parties and others to find CHF </w:t>
      </w:r>
      <w:r w:rsidR="00BA1696" w:rsidRPr="00E73055">
        <w:rPr>
          <w:rFonts w:asciiTheme="minorHAnsi" w:hAnsiTheme="minorHAnsi"/>
          <w:sz w:val="22"/>
          <w:szCs w:val="22"/>
        </w:rPr>
        <w:t>1 million</w:t>
      </w:r>
      <w:r w:rsidR="00876454" w:rsidRPr="00E73055">
        <w:rPr>
          <w:rFonts w:asciiTheme="minorHAnsi" w:hAnsiTheme="minorHAnsi"/>
          <w:sz w:val="22"/>
          <w:szCs w:val="22"/>
        </w:rPr>
        <w:t xml:space="preserve"> over the next triennium (</w:t>
      </w:r>
      <w:r w:rsidR="00FE3695" w:rsidRPr="00E73055">
        <w:rPr>
          <w:rFonts w:asciiTheme="minorHAnsi" w:hAnsiTheme="minorHAnsi"/>
          <w:sz w:val="22"/>
          <w:szCs w:val="22"/>
        </w:rPr>
        <w:t>CHF 333,000 in 2016</w:t>
      </w:r>
      <w:r w:rsidR="00876454" w:rsidRPr="00E73055">
        <w:rPr>
          <w:rFonts w:asciiTheme="minorHAnsi" w:hAnsiTheme="minorHAnsi"/>
          <w:sz w:val="22"/>
          <w:szCs w:val="22"/>
        </w:rPr>
        <w:t>) to secure the efficient operation of this programme</w:t>
      </w:r>
      <w:r w:rsidR="00FE3695" w:rsidRPr="00E73055">
        <w:rPr>
          <w:rFonts w:asciiTheme="minorHAnsi" w:hAnsiTheme="minorHAnsi"/>
          <w:sz w:val="22"/>
          <w:szCs w:val="22"/>
        </w:rPr>
        <w:t>.</w:t>
      </w:r>
      <w:r w:rsidRPr="00E73055">
        <w:rPr>
          <w:rFonts w:asciiTheme="minorHAnsi" w:hAnsiTheme="minorHAnsi"/>
          <w:sz w:val="22"/>
          <w:szCs w:val="22"/>
        </w:rPr>
        <w:t xml:space="preserve"> A paper </w:t>
      </w:r>
      <w:r w:rsidR="005A7517" w:rsidRPr="00E73055">
        <w:rPr>
          <w:rFonts w:asciiTheme="minorHAnsi" w:hAnsiTheme="minorHAnsi"/>
          <w:sz w:val="22"/>
          <w:szCs w:val="22"/>
        </w:rPr>
        <w:t xml:space="preserve">on </w:t>
      </w:r>
      <w:r w:rsidRPr="00E73055">
        <w:rPr>
          <w:rFonts w:asciiTheme="minorHAnsi" w:hAnsiTheme="minorHAnsi"/>
          <w:i/>
          <w:sz w:val="22"/>
          <w:szCs w:val="22"/>
        </w:rPr>
        <w:t xml:space="preserve">Status </w:t>
      </w:r>
      <w:r w:rsidR="00C01C9A" w:rsidRPr="00E73055">
        <w:rPr>
          <w:rFonts w:asciiTheme="minorHAnsi" w:hAnsiTheme="minorHAnsi"/>
          <w:i/>
          <w:sz w:val="22"/>
          <w:szCs w:val="22"/>
        </w:rPr>
        <w:t xml:space="preserve">of </w:t>
      </w:r>
      <w:r w:rsidRPr="00E73055">
        <w:rPr>
          <w:rFonts w:asciiTheme="minorHAnsi" w:hAnsiTheme="minorHAnsi"/>
          <w:i/>
          <w:sz w:val="22"/>
          <w:szCs w:val="22"/>
        </w:rPr>
        <w:t xml:space="preserve">and </w:t>
      </w:r>
      <w:r w:rsidR="00F01937">
        <w:rPr>
          <w:rFonts w:asciiTheme="minorHAnsi" w:hAnsiTheme="minorHAnsi"/>
          <w:i/>
          <w:sz w:val="22"/>
          <w:szCs w:val="22"/>
        </w:rPr>
        <w:t>r</w:t>
      </w:r>
      <w:r w:rsidRPr="00E73055">
        <w:rPr>
          <w:rFonts w:asciiTheme="minorHAnsi" w:hAnsiTheme="minorHAnsi"/>
          <w:i/>
          <w:sz w:val="22"/>
          <w:szCs w:val="22"/>
        </w:rPr>
        <w:t>ecommendations for the Small Grants Fund</w:t>
      </w:r>
      <w:r w:rsidRPr="00E73055">
        <w:rPr>
          <w:rFonts w:asciiTheme="minorHAnsi" w:hAnsiTheme="minorHAnsi"/>
          <w:sz w:val="22"/>
          <w:szCs w:val="22"/>
        </w:rPr>
        <w:t xml:space="preserve"> has been presented as SC51</w:t>
      </w:r>
      <w:r w:rsidR="00E73055" w:rsidRPr="00E73055">
        <w:rPr>
          <w:rFonts w:asciiTheme="minorHAnsi" w:hAnsiTheme="minorHAnsi"/>
          <w:sz w:val="22"/>
          <w:szCs w:val="22"/>
        </w:rPr>
        <w:t>-22</w:t>
      </w:r>
      <w:r w:rsidRPr="00E73055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examine possibilities for future funding.</w:t>
      </w:r>
    </w:p>
    <w:p w:rsidR="003A50AD" w:rsidRPr="00E70E25" w:rsidRDefault="003A50AD" w:rsidP="009E4055">
      <w:pPr>
        <w:ind w:left="426" w:hanging="426"/>
        <w:rPr>
          <w:rFonts w:asciiTheme="minorHAnsi" w:eastAsia="Times New Roman" w:hAnsiTheme="minorHAnsi"/>
          <w:sz w:val="22"/>
          <w:szCs w:val="22"/>
          <w:lang w:val="en-GB"/>
        </w:rPr>
      </w:pPr>
    </w:p>
    <w:p w:rsidR="003A50AD" w:rsidRPr="003A50AD" w:rsidRDefault="003A50AD" w:rsidP="009E4055">
      <w:pPr>
        <w:numPr>
          <w:ilvl w:val="0"/>
          <w:numId w:val="2"/>
        </w:numPr>
        <w:ind w:left="426" w:hanging="426"/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sz w:val="22"/>
          <w:lang w:val="en-GB"/>
        </w:rPr>
        <w:t>Securing voluntary funding for the activities approved by the Conference of the Parties must be a Contracting Party and Secretariat priority throughout the triennium.</w:t>
      </w:r>
    </w:p>
    <w:p w:rsidR="003A50AD" w:rsidRDefault="003A50AD" w:rsidP="00842399">
      <w:pPr>
        <w:ind w:left="540" w:hanging="540"/>
        <w:rPr>
          <w:rFonts w:ascii="Calibri" w:hAnsi="Calibri"/>
          <w:b/>
          <w:sz w:val="22"/>
          <w:lang w:val="en-GB"/>
        </w:rPr>
      </w:pPr>
    </w:p>
    <w:p w:rsidR="0044433D" w:rsidRDefault="0044433D" w:rsidP="00842399">
      <w:pPr>
        <w:ind w:left="567" w:hanging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Annexes</w:t>
      </w:r>
    </w:p>
    <w:p w:rsidR="008532A7" w:rsidRDefault="008532A7" w:rsidP="00842399">
      <w:pPr>
        <w:ind w:left="567" w:hanging="567"/>
        <w:rPr>
          <w:rFonts w:ascii="Calibri" w:hAnsi="Calibri" w:cs="Calibri"/>
          <w:b/>
          <w:sz w:val="22"/>
          <w:szCs w:val="22"/>
        </w:rPr>
      </w:pPr>
    </w:p>
    <w:p w:rsidR="008532A7" w:rsidRPr="00426AC6" w:rsidRDefault="00B01857" w:rsidP="0084239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0429">
        <w:rPr>
          <w:rFonts w:ascii="Calibri" w:hAnsi="Calibri" w:cs="Calibri"/>
          <w:sz w:val="22"/>
          <w:szCs w:val="22"/>
        </w:rPr>
        <w:t xml:space="preserve">2014 </w:t>
      </w:r>
      <w:r w:rsidRPr="00426AC6">
        <w:rPr>
          <w:rFonts w:ascii="Calibri" w:hAnsi="Calibri" w:cs="Calibri"/>
          <w:sz w:val="22"/>
          <w:szCs w:val="22"/>
        </w:rPr>
        <w:t>Audited Financial Statements</w:t>
      </w:r>
    </w:p>
    <w:p w:rsidR="008532A7" w:rsidRPr="00426AC6" w:rsidRDefault="00B01857" w:rsidP="0084239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6AC6">
        <w:rPr>
          <w:rFonts w:ascii="Calibri" w:hAnsi="Calibri" w:cs="Calibri"/>
          <w:sz w:val="22"/>
          <w:szCs w:val="22"/>
        </w:rPr>
        <w:t>2014 Surplus Reallocation</w:t>
      </w:r>
    </w:p>
    <w:p w:rsidR="00426AC6" w:rsidRPr="00426AC6" w:rsidRDefault="00426AC6" w:rsidP="00426AC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6AC6">
        <w:rPr>
          <w:rFonts w:ascii="Calibri" w:hAnsi="Calibri" w:cs="Calibri"/>
          <w:sz w:val="22"/>
          <w:szCs w:val="22"/>
        </w:rPr>
        <w:lastRenderedPageBreak/>
        <w:t>Approved Secretariat Staff (Core) for 2016-2018</w:t>
      </w:r>
    </w:p>
    <w:p w:rsidR="00426AC6" w:rsidRPr="00426AC6" w:rsidRDefault="00426AC6" w:rsidP="00426AC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6AC6">
        <w:rPr>
          <w:rFonts w:ascii="Calibri" w:hAnsi="Calibri" w:cs="Calibri"/>
          <w:sz w:val="22"/>
          <w:szCs w:val="22"/>
        </w:rPr>
        <w:t xml:space="preserve">Consultants employed during 2015 to date </w:t>
      </w:r>
    </w:p>
    <w:p w:rsidR="00CD0429" w:rsidRPr="00426AC6" w:rsidRDefault="00B01857" w:rsidP="00B540F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6AC6">
        <w:rPr>
          <w:rFonts w:ascii="Calibri" w:hAnsi="Calibri" w:cs="Calibri"/>
          <w:sz w:val="22"/>
          <w:szCs w:val="22"/>
        </w:rPr>
        <w:t>2016</w:t>
      </w:r>
      <w:r w:rsidR="00CD0429" w:rsidRPr="00426AC6">
        <w:rPr>
          <w:rFonts w:ascii="Calibri" w:hAnsi="Calibri" w:cs="Calibri"/>
          <w:sz w:val="22"/>
          <w:szCs w:val="22"/>
        </w:rPr>
        <w:t>, COP12 approved</w:t>
      </w:r>
      <w:r w:rsidRPr="00426AC6">
        <w:rPr>
          <w:rFonts w:ascii="Calibri" w:hAnsi="Calibri" w:cs="Calibri"/>
          <w:sz w:val="22"/>
          <w:szCs w:val="22"/>
        </w:rPr>
        <w:t xml:space="preserve"> budget</w:t>
      </w:r>
    </w:p>
    <w:p w:rsidR="00EE0229" w:rsidRPr="00426AC6" w:rsidRDefault="00CD0429" w:rsidP="00B540F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6AC6">
        <w:rPr>
          <w:rFonts w:ascii="Calibri" w:hAnsi="Calibri" w:cs="Calibri"/>
          <w:sz w:val="22"/>
          <w:szCs w:val="22"/>
        </w:rPr>
        <w:t>2016-2018 budgeted non-core items, in order of priority</w:t>
      </w:r>
    </w:p>
    <w:p w:rsidR="00CD0429" w:rsidRDefault="00C500C1" w:rsidP="0093204C">
      <w:pPr>
        <w:rPr>
          <w:rFonts w:asciiTheme="minorHAnsi" w:hAnsiTheme="minorHAnsi" w:cs="Calibri"/>
          <w:b/>
        </w:rPr>
      </w:pPr>
      <w:r w:rsidRPr="0093204C">
        <w:rPr>
          <w:rFonts w:ascii="Calibri" w:hAnsi="Calibri" w:cs="Calibri"/>
          <w:sz w:val="22"/>
          <w:szCs w:val="22"/>
        </w:rPr>
        <w:br w:type="page"/>
      </w:r>
      <w:r w:rsidR="00A8357F" w:rsidRPr="0093204C">
        <w:rPr>
          <w:rFonts w:asciiTheme="minorHAnsi" w:hAnsiTheme="minorHAnsi" w:cs="Calibri"/>
          <w:b/>
        </w:rPr>
        <w:lastRenderedPageBreak/>
        <w:t>Annex 1</w:t>
      </w:r>
    </w:p>
    <w:p w:rsidR="005A736F" w:rsidRPr="0093204C" w:rsidRDefault="005A736F" w:rsidP="0093204C">
      <w:pPr>
        <w:rPr>
          <w:rFonts w:ascii="Calibri" w:hAnsi="Calibri" w:cs="Calibri"/>
          <w:sz w:val="22"/>
          <w:szCs w:val="22"/>
        </w:rPr>
      </w:pPr>
    </w:p>
    <w:p w:rsidR="00E70E25" w:rsidRPr="00B540FD" w:rsidRDefault="00E70E25" w:rsidP="00B540FD">
      <w:pPr>
        <w:rPr>
          <w:rFonts w:asciiTheme="minorHAnsi" w:hAnsiTheme="minorHAnsi" w:cs="Calibri"/>
          <w:b/>
        </w:rPr>
      </w:pPr>
      <w:r w:rsidRPr="00B540FD">
        <w:rPr>
          <w:rFonts w:asciiTheme="minorHAnsi" w:hAnsiTheme="minorHAnsi" w:cs="Calibri"/>
          <w:b/>
        </w:rPr>
        <w:t>2014 Audited Financial Statements</w:t>
      </w:r>
    </w:p>
    <w:p w:rsidR="00A135F5" w:rsidRPr="003A25EC" w:rsidRDefault="00A135F5" w:rsidP="003A25EC">
      <w:pPr>
        <w:tabs>
          <w:tab w:val="left" w:pos="1095"/>
        </w:tabs>
        <w:rPr>
          <w:rFonts w:asciiTheme="minorHAnsi" w:hAnsiTheme="minorHAnsi" w:cs="Calibri"/>
          <w:b/>
        </w:rPr>
      </w:pPr>
    </w:p>
    <w:p w:rsidR="005A736F" w:rsidRPr="005A736F" w:rsidRDefault="00E418E3" w:rsidP="005A736F">
      <w:pPr>
        <w:tabs>
          <w:tab w:val="left" w:pos="5968"/>
          <w:tab w:val="left" w:pos="6995"/>
          <w:tab w:val="left" w:pos="7289"/>
          <w:tab w:val="left" w:pos="8316"/>
        </w:tabs>
        <w:rPr>
          <w:rFonts w:asciiTheme="minorHAnsi" w:eastAsia="Times New Roman" w:hAnsiTheme="minorHAnsi"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Balance Sheet as of 31 December 2014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> </w:t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ab/>
      </w:r>
    </w:p>
    <w:p w:rsidR="005A736F" w:rsidRPr="005A736F" w:rsidRDefault="005A736F" w:rsidP="005A736F">
      <w:pPr>
        <w:tabs>
          <w:tab w:val="left" w:pos="5968"/>
          <w:tab w:val="left" w:pos="6995"/>
          <w:tab w:val="left" w:pos="7289"/>
          <w:tab w:val="left" w:pos="8316"/>
        </w:tabs>
        <w:rPr>
          <w:rFonts w:asciiTheme="minorHAnsi" w:eastAsia="Times New Roman" w:hAnsiTheme="minorHAnsi"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(in '000 Swiss Francs)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> </w:t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sz w:val="22"/>
          <w:szCs w:val="22"/>
          <w:lang w:val="en-GB" w:eastAsia="en-GB"/>
        </w:rPr>
        <w:tab/>
      </w:r>
    </w:p>
    <w:p w:rsidR="005A736F" w:rsidRPr="005A736F" w:rsidRDefault="005A736F" w:rsidP="006E4E4B">
      <w:pPr>
        <w:tabs>
          <w:tab w:val="left" w:pos="376"/>
          <w:tab w:val="left" w:pos="5968"/>
          <w:tab w:val="left" w:pos="6995"/>
          <w:tab w:val="left" w:pos="7289"/>
          <w:tab w:val="left" w:pos="8316"/>
        </w:tabs>
        <w:ind w:left="93"/>
        <w:rPr>
          <w:rFonts w:asciiTheme="minorHAnsi" w:eastAsia="Times New Roman" w:hAnsiTheme="minorHAnsi"/>
          <w:sz w:val="20"/>
          <w:szCs w:val="20"/>
          <w:lang w:val="en-GB" w:eastAsia="en-GB"/>
        </w:rPr>
      </w:pPr>
      <w:r w:rsidRPr="005A736F">
        <w:rPr>
          <w:rFonts w:asciiTheme="minorHAnsi" w:eastAsia="Times New Roman" w:hAnsiTheme="minorHAnsi" w:cs="Arial"/>
          <w:color w:val="FF0000"/>
          <w:sz w:val="20"/>
          <w:szCs w:val="20"/>
          <w:lang w:val="en-GB" w:eastAsia="en-GB"/>
        </w:rPr>
        <w:t> </w:t>
      </w:r>
      <w:r w:rsidRPr="005A736F">
        <w:rPr>
          <w:rFonts w:asciiTheme="minorHAnsi" w:eastAsia="Times New Roman" w:hAnsiTheme="minorHAnsi" w:cs="Arial"/>
          <w:color w:val="FF0000"/>
          <w:sz w:val="20"/>
          <w:szCs w:val="20"/>
          <w:lang w:val="en-GB" w:eastAsia="en-GB"/>
        </w:rPr>
        <w:tab/>
      </w:r>
      <w:r w:rsidRPr="005A736F">
        <w:rPr>
          <w:rFonts w:asciiTheme="minorHAnsi" w:eastAsia="Times New Roman" w:hAnsiTheme="minorHAnsi" w:cs="Arial"/>
          <w:b/>
          <w:bCs/>
          <w:sz w:val="20"/>
          <w:szCs w:val="20"/>
          <w:lang w:val="en-GB" w:eastAsia="en-GB"/>
        </w:rPr>
        <w:t> </w:t>
      </w:r>
      <w:r w:rsidRPr="005A736F">
        <w:rPr>
          <w:rFonts w:asciiTheme="minorHAnsi" w:eastAsia="Times New Roman" w:hAnsiTheme="minorHAnsi" w:cs="Arial"/>
          <w:b/>
          <w:bCs/>
          <w:sz w:val="20"/>
          <w:szCs w:val="20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b/>
          <w:bCs/>
          <w:sz w:val="20"/>
          <w:szCs w:val="20"/>
          <w:lang w:val="en-GB" w:eastAsia="en-GB"/>
        </w:rPr>
        <w:tab/>
        <w:t> </w:t>
      </w:r>
      <w:r w:rsidRPr="005A736F">
        <w:rPr>
          <w:rFonts w:asciiTheme="minorHAnsi" w:eastAsia="Times New Roman" w:hAnsiTheme="minorHAnsi" w:cs="Arial"/>
          <w:b/>
          <w:bCs/>
          <w:sz w:val="20"/>
          <w:szCs w:val="20"/>
          <w:lang w:val="en-GB" w:eastAsia="en-GB"/>
        </w:rPr>
        <w:tab/>
      </w:r>
      <w:r w:rsidRPr="005A736F">
        <w:rPr>
          <w:rFonts w:asciiTheme="minorHAnsi" w:eastAsia="Times New Roman" w:hAnsiTheme="minorHAnsi" w:cs="Arial"/>
          <w:sz w:val="20"/>
          <w:szCs w:val="20"/>
          <w:lang w:val="en-GB" w:eastAsia="en-GB"/>
        </w:rPr>
        <w:t> </w:t>
      </w:r>
      <w:r w:rsidRPr="005A736F">
        <w:rPr>
          <w:rFonts w:asciiTheme="minorHAnsi" w:eastAsia="Times New Roman" w:hAnsiTheme="minorHAnsi" w:cs="Arial"/>
          <w:sz w:val="20"/>
          <w:szCs w:val="20"/>
          <w:lang w:val="en-GB" w:eastAsia="en-GB"/>
        </w:rPr>
        <w:tab/>
      </w:r>
    </w:p>
    <w:tbl>
      <w:tblPr>
        <w:tblW w:w="8495" w:type="dxa"/>
        <w:tblInd w:w="93" w:type="dxa"/>
        <w:tblLook w:val="04A0" w:firstRow="1" w:lastRow="0" w:firstColumn="1" w:lastColumn="0" w:noHBand="0" w:noVBand="1"/>
      </w:tblPr>
      <w:tblGrid>
        <w:gridCol w:w="283"/>
        <w:gridCol w:w="5592"/>
        <w:gridCol w:w="1027"/>
        <w:gridCol w:w="294"/>
        <w:gridCol w:w="1027"/>
        <w:gridCol w:w="272"/>
      </w:tblGrid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 xml:space="preserve"> 2014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 xml:space="preserve"> 2013 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ASSETS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Current assets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Cash and short term bank deposits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6,443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4,811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Contracting Party Receivables (net)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460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374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Other account receivables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current assets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6,914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5,202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Fixed assets (net)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Office Furniture and Computer Equipment at cost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Less: Accumulated Depreciation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n-GB" w:eastAsia="en-GB"/>
              </w:rPr>
              <w:t>(61)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n-GB" w:eastAsia="en-GB"/>
              </w:rPr>
              <w:t>(49)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non-current assets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ASSETS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6,954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5,216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LIABILITIES AND FUND BALANCES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Current liabilities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Amount owed to IUCN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514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Other Payables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839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778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Accrued liabilities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381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current liabilities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1,734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1,160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Provisions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Staff repatriation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 xml:space="preserve">Staff leave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Staff termination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provisions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379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370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Fund Balances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Unrestricted reserve fund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709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709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Restricted Projects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4,131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2,977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33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fund and reserves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4,840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3,686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270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TOTAL LIABILITIES AND FUND BALANCES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6,954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GB" w:eastAsia="en-GB"/>
              </w:rPr>
              <w:t>5,216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  <w:tr w:rsidR="006E4E4B" w:rsidRPr="005A736F" w:rsidTr="006E4E4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5A736F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6E4E4B" w:rsidRPr="005A736F" w:rsidRDefault="006E4E4B" w:rsidP="006E4E4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</w:tbl>
    <w:p w:rsidR="00B540FD" w:rsidRDefault="00B540FD" w:rsidP="00B540FD">
      <w:pPr>
        <w:rPr>
          <w:rFonts w:asciiTheme="minorHAnsi" w:hAnsiTheme="minorHAnsi" w:cs="Calibri"/>
          <w:b/>
        </w:rPr>
      </w:pPr>
      <w:r w:rsidRPr="00B540FD">
        <w:rPr>
          <w:rFonts w:asciiTheme="minorHAnsi" w:hAnsiTheme="minorHAnsi" w:cs="Calibri"/>
          <w:b/>
        </w:rPr>
        <w:lastRenderedPageBreak/>
        <w:t>20</w:t>
      </w:r>
      <w:r>
        <w:rPr>
          <w:rFonts w:asciiTheme="minorHAnsi" w:hAnsiTheme="minorHAnsi" w:cs="Calibri"/>
          <w:b/>
        </w:rPr>
        <w:t xml:space="preserve">14 Audited Financial Statements </w:t>
      </w:r>
      <w:r w:rsidR="005A736F">
        <w:rPr>
          <w:rFonts w:asciiTheme="minorHAnsi" w:hAnsiTheme="minorHAnsi" w:cs="Calibri"/>
          <w:b/>
        </w:rPr>
        <w:t>(</w:t>
      </w:r>
      <w:r>
        <w:rPr>
          <w:rFonts w:asciiTheme="minorHAnsi" w:hAnsiTheme="minorHAnsi" w:cs="Calibri"/>
          <w:b/>
        </w:rPr>
        <w:t>continued</w:t>
      </w:r>
      <w:r w:rsidR="005A736F">
        <w:rPr>
          <w:rFonts w:asciiTheme="minorHAnsi" w:hAnsiTheme="minorHAnsi" w:cs="Calibri"/>
          <w:b/>
        </w:rPr>
        <w:t>)</w:t>
      </w:r>
    </w:p>
    <w:p w:rsidR="00B540FD" w:rsidRPr="00E418E3" w:rsidRDefault="00B540FD" w:rsidP="00B540FD">
      <w:pPr>
        <w:rPr>
          <w:rFonts w:asciiTheme="minorHAnsi" w:hAnsiTheme="minorHAnsi" w:cs="Calibri"/>
          <w:b/>
          <w:sz w:val="20"/>
          <w:szCs w:val="20"/>
        </w:rPr>
      </w:pPr>
    </w:p>
    <w:p w:rsidR="005A736F" w:rsidRPr="005A736F" w:rsidRDefault="00E418E3" w:rsidP="00FD3FF1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Statement of Income and Expenditure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 f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or the period of 01 January - 31 December 2014</w:t>
      </w:r>
    </w:p>
    <w:p w:rsidR="00FD3FF1" w:rsidRPr="005A736F" w:rsidRDefault="00FD3FF1" w:rsidP="00FD3FF1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(in '000 Swiss Francs)</w:t>
      </w:r>
    </w:p>
    <w:p w:rsidR="00FD3FF1" w:rsidRPr="005A736F" w:rsidRDefault="005A736F" w:rsidP="005A736F">
      <w:pPr>
        <w:tabs>
          <w:tab w:val="left" w:pos="1423"/>
        </w:tabs>
        <w:rPr>
          <w:rFonts w:asciiTheme="minorHAnsi" w:hAnsiTheme="minorHAnsi" w:cs="Calibri"/>
          <w:b/>
          <w:sz w:val="20"/>
          <w:szCs w:val="20"/>
        </w:rPr>
      </w:pPr>
      <w:r w:rsidRPr="005A736F">
        <w:rPr>
          <w:rFonts w:asciiTheme="minorHAnsi" w:hAnsiTheme="minorHAnsi" w:cs="Calibri"/>
          <w:b/>
          <w:sz w:val="20"/>
          <w:szCs w:val="20"/>
        </w:rPr>
        <w:tab/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2"/>
        <w:gridCol w:w="813"/>
        <w:gridCol w:w="166"/>
        <w:gridCol w:w="814"/>
        <w:gridCol w:w="165"/>
        <w:gridCol w:w="814"/>
        <w:gridCol w:w="165"/>
        <w:gridCol w:w="814"/>
        <w:gridCol w:w="166"/>
        <w:gridCol w:w="813"/>
        <w:gridCol w:w="166"/>
        <w:gridCol w:w="813"/>
      </w:tblGrid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2014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2013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Core Funds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Restricted Projects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Total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Core Funds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Restricted Projects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Total</w:t>
            </w:r>
          </w:p>
        </w:tc>
      </w:tr>
      <w:tr w:rsidR="00C50AEE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INCOME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  </w:t>
            </w:r>
            <w:r w:rsidR="00C50AEE"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External Income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Contributions from Contracting Parties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3,779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3,779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3,782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-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3,782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US Voluntary Contributions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1,066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1,078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1,048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1,048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African Voluntary Contributions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Retained Swiss Income Tax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168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168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215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Exchange Gain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92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95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9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Interest Income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Miscellaneous Income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13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49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Project External Income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2,007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2,007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695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695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Total external income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5,120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2,059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7,179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5,048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705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5,753 </w:t>
            </w:r>
          </w:p>
        </w:tc>
      </w:tr>
      <w:tr w:rsidR="00C50AEE" w:rsidRPr="00E418E3" w:rsidTr="00A9014E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  Internal Income and Expenditure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Transfer between core and projects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(270)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270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(448)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448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(0)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Total transfer between core and projects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(270)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 270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(448)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448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(0)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Total Income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4,850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2,329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7,179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4,600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1,153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5,753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EXPENDITURE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Staff Cost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3,135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575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3,710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3,258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314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3,572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Staff Provision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 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Travel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155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108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263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143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46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189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Purchase of equipment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IUCN Administrative services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515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515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Database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94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84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Communications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43</w:t>
            </w:r>
          </w:p>
        </w:tc>
      </w:tr>
      <w:tr w:rsidR="00C50AEE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Reporting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143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EE" w:rsidRPr="00E418E3" w:rsidRDefault="00C50AEE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140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Standing commtt, STRP and Reg Rep support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102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192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134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173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STRP Support Services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(0)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55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Support to Regional Initiatives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63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Project Subcontracting/External Grants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702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702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539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Depreciation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11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9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Auditor's Fees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11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Stationery and office supplies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29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16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Public relations/ Promotion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36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Hospitality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12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20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Bank Charges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Miscellaneous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31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51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Provision on outstanding dues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98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98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24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Exchange loss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0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(0)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35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Legal cost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56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 xml:space="preserve">57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  <w:t>6</w:t>
            </w: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  Total Expenditure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4,391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1,634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6,025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4,377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1,195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5,571</w:t>
            </w:r>
          </w:p>
        </w:tc>
      </w:tr>
      <w:tr w:rsidR="00E418E3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NET SURPLUS/(DEFICIT) FOR THE YEAR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459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695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1,154 </w:t>
            </w: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223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(41)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182</w:t>
            </w:r>
          </w:p>
        </w:tc>
      </w:tr>
      <w:tr w:rsidR="00E418E3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FUND BALANCE AT BEGINNING OF YEAR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709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2,977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3,686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852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2,652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3,504</w:t>
            </w:r>
          </w:p>
        </w:tc>
      </w:tr>
      <w:tr w:rsidR="00E418E3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NET INCOME OVER EXP FOR THE YEAR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459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695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1,154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223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(41)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182</w:t>
            </w:r>
          </w:p>
        </w:tc>
      </w:tr>
      <w:tr w:rsidR="00E418E3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TRANSFER (FROM) TO RESERVE FUND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(459)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459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Cs/>
                <w:color w:val="000000"/>
                <w:sz w:val="19"/>
                <w:szCs w:val="19"/>
                <w:lang w:val="en-GB" w:eastAsia="en-GB"/>
              </w:rPr>
              <w:t>(366)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366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5A5C2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-</w:t>
            </w:r>
          </w:p>
        </w:tc>
      </w:tr>
      <w:tr w:rsidR="00E418E3" w:rsidRPr="00E418E3" w:rsidTr="00E418E3">
        <w:trPr>
          <w:trHeight w:hRule="exact" w:val="1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E418E3" w:rsidRPr="00E418E3" w:rsidTr="00E418E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C50A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FUND BALANCE AT END OF YEAR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709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4,131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 xml:space="preserve">4,840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709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2,977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18E3" w:rsidRPr="00E418E3" w:rsidRDefault="00E418E3" w:rsidP="00E418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E418E3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3,686</w:t>
            </w:r>
          </w:p>
        </w:tc>
      </w:tr>
    </w:tbl>
    <w:p w:rsidR="005A736F" w:rsidRDefault="005A736F" w:rsidP="005A736F">
      <w:pPr>
        <w:rPr>
          <w:rFonts w:asciiTheme="minorHAnsi" w:hAnsiTheme="minorHAnsi" w:cs="Calibri"/>
          <w:b/>
        </w:rPr>
      </w:pPr>
      <w:r w:rsidRPr="00B540FD">
        <w:rPr>
          <w:rFonts w:asciiTheme="minorHAnsi" w:hAnsiTheme="minorHAnsi" w:cs="Calibri"/>
          <w:b/>
        </w:rPr>
        <w:lastRenderedPageBreak/>
        <w:t>20</w:t>
      </w:r>
      <w:r>
        <w:rPr>
          <w:rFonts w:asciiTheme="minorHAnsi" w:hAnsiTheme="minorHAnsi" w:cs="Calibri"/>
          <w:b/>
        </w:rPr>
        <w:t>14 Audited Financial Statements (continued)</w:t>
      </w:r>
    </w:p>
    <w:p w:rsidR="00B540FD" w:rsidRDefault="00B540FD" w:rsidP="00142CB0">
      <w:pPr>
        <w:rPr>
          <w:rFonts w:ascii="Calibri" w:hAnsi="Calibri" w:cs="Calibri"/>
          <w:b/>
          <w:sz w:val="26"/>
          <w:szCs w:val="26"/>
        </w:rPr>
      </w:pPr>
    </w:p>
    <w:p w:rsidR="00142CB0" w:rsidRPr="005A736F" w:rsidRDefault="005A5C29" w:rsidP="00142CB0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Appendix </w:t>
      </w:r>
      <w:r w:rsidR="00F51A3A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A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: Projects Financed by Restricted Funds</w:t>
      </w:r>
      <w:r w:rsidR="00F51A3A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 </w:t>
      </w:r>
    </w:p>
    <w:p w:rsidR="00142CB0" w:rsidRPr="005A736F" w:rsidRDefault="005A5C29" w:rsidP="00142CB0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For the period of 01 </w:t>
      </w:r>
      <w:r w:rsidR="00F51A3A"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January 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2014 - 31 </w:t>
      </w:r>
      <w:r w:rsidR="00F51A3A"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December 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2014</w:t>
      </w:r>
      <w:r w:rsidR="00142CB0"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</w:r>
    </w:p>
    <w:p w:rsidR="00314514" w:rsidRPr="005A736F" w:rsidRDefault="00314514" w:rsidP="00142CB0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Page 1 of 2</w:t>
      </w:r>
    </w:p>
    <w:tbl>
      <w:tblPr>
        <w:tblpPr w:leftFromText="180" w:rightFromText="180" w:vertAnchor="text" w:horzAnchor="margin" w:tblpY="216"/>
        <w:tblW w:w="9337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322"/>
        <w:gridCol w:w="1351"/>
        <w:gridCol w:w="1134"/>
        <w:gridCol w:w="170"/>
        <w:gridCol w:w="66"/>
        <w:gridCol w:w="955"/>
        <w:gridCol w:w="113"/>
        <w:gridCol w:w="123"/>
        <w:gridCol w:w="236"/>
        <w:gridCol w:w="898"/>
        <w:gridCol w:w="47"/>
        <w:gridCol w:w="189"/>
        <w:gridCol w:w="236"/>
        <w:gridCol w:w="709"/>
        <w:gridCol w:w="189"/>
        <w:gridCol w:w="236"/>
        <w:gridCol w:w="236"/>
        <w:gridCol w:w="473"/>
        <w:gridCol w:w="425"/>
        <w:gridCol w:w="236"/>
      </w:tblGrid>
      <w:tr w:rsidR="00F51A3A" w:rsidRPr="00F51A3A" w:rsidTr="00F51A3A">
        <w:trPr>
          <w:trHeight w:val="98"/>
        </w:trPr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Balance (deficit) at 31/12/2013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Income during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Expenditure during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Project Transfers and Cross charges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Balance (deficit) at 31/12/2014</w:t>
            </w:r>
          </w:p>
        </w:tc>
      </w:tr>
      <w:tr w:rsidR="00F51A3A" w:rsidRPr="00F51A3A" w:rsidTr="00F51A3A">
        <w:trPr>
          <w:trHeight w:val="98"/>
        </w:trPr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</w:tr>
      <w:tr w:rsidR="00F51A3A" w:rsidRPr="00F51A3A" w:rsidTr="00F51A3A">
        <w:trPr>
          <w:gridAfter w:val="1"/>
          <w:wAfter w:w="236" w:type="dxa"/>
          <w:trHeight w:val="98"/>
        </w:trPr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International Cooperation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R100147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R100160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145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R100161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SGF-2011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(75)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SGF2013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(22)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R100260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R100261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R100262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(36)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R100264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SGA-2014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(82)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WFF-Exchange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R100359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(62)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R100362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139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R100363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(17)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R100364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WFF-2014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108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R100401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Myanmar wetlands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R100809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Ecole de l'eau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(236)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(192)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(289)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141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R100819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Danone Spring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(38)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</w:tr>
      <w:tr w:rsidR="00F51A3A" w:rsidRPr="00F51A3A" w:rsidTr="00F51A3A">
        <w:trPr>
          <w:trHeight w:val="108"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Total of International Cooperation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1,239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580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(630)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(34)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1,155</w:t>
            </w:r>
          </w:p>
        </w:tc>
      </w:tr>
      <w:tr w:rsidR="00F51A3A" w:rsidRPr="00F51A3A" w:rsidTr="00F51A3A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gridAfter w:val="2"/>
          <w:wAfter w:w="661" w:type="dxa"/>
          <w:trHeight w:val="108"/>
        </w:trPr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Listed Sites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R100110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Total of Listed Sites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85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(24)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(19)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</w:tr>
    </w:tbl>
    <w:p w:rsidR="00142CB0" w:rsidRDefault="00142CB0">
      <w:pPr>
        <w:rPr>
          <w:rFonts w:ascii="Calibri" w:hAnsi="Calibri" w:cs="Calibri"/>
          <w:b/>
          <w:sz w:val="26"/>
          <w:szCs w:val="26"/>
        </w:rPr>
      </w:pPr>
    </w:p>
    <w:p w:rsidR="00107C65" w:rsidRDefault="00107C65" w:rsidP="005A736F">
      <w:pPr>
        <w:ind w:left="-142"/>
        <w:rPr>
          <w:rFonts w:ascii="Calibri" w:hAnsi="Calibri" w:cs="Calibri"/>
          <w:b/>
          <w:sz w:val="26"/>
          <w:szCs w:val="26"/>
        </w:rPr>
      </w:pPr>
    </w:p>
    <w:p w:rsidR="00107C65" w:rsidRDefault="00107C65" w:rsidP="00107C65">
      <w:r>
        <w:br w:type="page"/>
      </w:r>
    </w:p>
    <w:p w:rsidR="005A736F" w:rsidRDefault="005A736F" w:rsidP="005A736F">
      <w:pPr>
        <w:rPr>
          <w:rFonts w:asciiTheme="minorHAnsi" w:hAnsiTheme="minorHAnsi" w:cs="Calibri"/>
          <w:b/>
        </w:rPr>
      </w:pPr>
      <w:r w:rsidRPr="00B540FD">
        <w:rPr>
          <w:rFonts w:asciiTheme="minorHAnsi" w:hAnsiTheme="minorHAnsi" w:cs="Calibri"/>
          <w:b/>
        </w:rPr>
        <w:lastRenderedPageBreak/>
        <w:t>20</w:t>
      </w:r>
      <w:r>
        <w:rPr>
          <w:rFonts w:asciiTheme="minorHAnsi" w:hAnsiTheme="minorHAnsi" w:cs="Calibri"/>
          <w:b/>
        </w:rPr>
        <w:t>14 Audited Financial Statements (continued)</w:t>
      </w:r>
    </w:p>
    <w:p w:rsidR="00B540FD" w:rsidRDefault="00B540FD" w:rsidP="00142CB0">
      <w:pPr>
        <w:rPr>
          <w:rFonts w:ascii="Calibri" w:hAnsi="Calibri" w:cs="Calibri"/>
          <w:b/>
          <w:sz w:val="26"/>
          <w:szCs w:val="26"/>
        </w:rPr>
      </w:pPr>
    </w:p>
    <w:p w:rsidR="00F51A3A" w:rsidRPr="005A736F" w:rsidRDefault="00F51A3A" w:rsidP="00F51A3A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Appendix 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A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: Projects Financed by Restricted Funds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 xml:space="preserve"> f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or the period of 01 January 2014 - 31 December 2014</w:t>
      </w: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ab/>
      </w:r>
    </w:p>
    <w:p w:rsidR="00142CB0" w:rsidRPr="00F51A3A" w:rsidRDefault="00314514" w:rsidP="00107C65">
      <w:pPr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</w:pPr>
      <w:r w:rsidRPr="005A736F">
        <w:rPr>
          <w:rFonts w:asciiTheme="minorHAnsi" w:eastAsia="Times New Roman" w:hAnsiTheme="minorHAnsi" w:cs="Arial"/>
          <w:b/>
          <w:bCs/>
          <w:sz w:val="22"/>
          <w:szCs w:val="22"/>
          <w:lang w:val="en-GB" w:eastAsia="en-GB"/>
        </w:rPr>
        <w:t>Page 2of 2</w:t>
      </w:r>
    </w:p>
    <w:tbl>
      <w:tblPr>
        <w:tblpPr w:leftFromText="180" w:rightFromText="180" w:vertAnchor="text" w:horzAnchor="margin" w:tblpXSpec="center" w:tblpY="202"/>
        <w:tblW w:w="9796" w:type="dxa"/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174"/>
        <w:gridCol w:w="277"/>
        <w:gridCol w:w="1150"/>
        <w:gridCol w:w="236"/>
        <w:gridCol w:w="1134"/>
        <w:gridCol w:w="236"/>
        <w:gridCol w:w="1134"/>
        <w:gridCol w:w="236"/>
        <w:gridCol w:w="1134"/>
      </w:tblGrid>
      <w:tr w:rsidR="00F51A3A" w:rsidRPr="00F51A3A" w:rsidTr="00F51A3A">
        <w:trPr>
          <w:trHeight w:val="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Balance (deficit) at 31/12/2013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Income during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Expenditure during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Project Transfers and Cross charges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Balance (deficit) at 31/12/2014</w:t>
            </w:r>
          </w:p>
        </w:tc>
      </w:tr>
      <w:tr w:rsidR="00F51A3A" w:rsidRPr="00F51A3A" w:rsidTr="00F51A3A">
        <w:trPr>
          <w:trHeight w:val="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/>
                <w:color w:val="000000"/>
                <w:sz w:val="14"/>
                <w:szCs w:val="14"/>
                <w:lang w:val="en-GB" w:eastAsia="en-GB"/>
              </w:rPr>
              <w:t>(DR)/CR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24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Admin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170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(223)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Surplus, Year End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459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RSIS redevelopment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(151)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124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Web redevelopment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2012 development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(54)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Science Review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(47)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Strategic Plan 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R100107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SC48 translation/</w:t>
            </w: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br/>
              <w:t>interpretation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Norway Travel Support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R100121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MAVA-COP 11 RCWG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R100180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PO Restricted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R100190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Water cycle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R100208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OIF-Africa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R100209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Ethiopia workshop 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WA Urbanisation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R100220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STRP Africa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Americas - Admin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R100311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Rio Cruces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197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197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Bhutan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AIT/JAPAN/MYANMAR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R100404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KOREA/WETLAND CENTRES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China High Altitude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R100411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Changwon Declaration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R100420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MEEDAT Oceania Mtg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R100430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SSFA Asia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R100510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CHAMP-PITTET SUPPORT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COP10 - Admin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R100621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COP11-SD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R100622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COP11 - RM Africa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R100625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COP11 - RM Europe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Admin budget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555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 - Delegate Support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COP12 - Africa Regional Meeting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COP12 - Americas Regional Meeting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(48)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(48)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COP12 - Asia Regional Meeting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COP12 - Europe Regional Meeting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R100636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COP12 - Oceania Regional Meeting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R100700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CEPA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R100901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STRP 2006-2008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R100902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STRP 2009-2011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(87)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R100903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STRP 2013-2015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(75)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R100910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TEEB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R101000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SSFA, Expert Group on Water Cycle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(16)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R101001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Ramsar vs IUCN Categorisation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R101002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NORAD 2015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914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R101003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MAVA 13-32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Total of Other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1,580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1,490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(908)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643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2,805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Regional Initiatives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RRCCWA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(0)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WACOWET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CARIWET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HA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(1)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Mangrove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LA PLATA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East Africa Centre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Niger River Basin Network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R100139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RI - Carpathian Wetlands Initiative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b/>
                <w:sz w:val="14"/>
                <w:szCs w:val="14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Total of Regional Initiatives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130</w:t>
            </w:r>
          </w:p>
        </w:tc>
      </w:tr>
      <w:tr w:rsidR="00F51A3A" w:rsidRPr="00F51A3A" w:rsidTr="00F51A3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rPr>
                <w:sz w:val="14"/>
                <w:szCs w:val="14"/>
              </w:rPr>
            </w:pPr>
          </w:p>
        </w:tc>
      </w:tr>
      <w:tr w:rsidR="00F51A3A" w:rsidRPr="00F51A3A" w:rsidTr="00F51A3A">
        <w:trPr>
          <w:trHeight w:val="108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 xml:space="preserve">Grand Total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2,977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2,059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(1,634)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729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A3A" w:rsidRPr="00F51A3A" w:rsidRDefault="00F51A3A" w:rsidP="00F51A3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</w:pPr>
            <w:r w:rsidRPr="00F51A3A"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en-GB" w:eastAsia="en-GB"/>
              </w:rPr>
              <w:t>4,131</w:t>
            </w:r>
          </w:p>
        </w:tc>
      </w:tr>
    </w:tbl>
    <w:p w:rsidR="005A5C29" w:rsidRDefault="005A5C29" w:rsidP="00F51A3A">
      <w:pPr>
        <w:rPr>
          <w:noProof/>
          <w:lang w:val="en-GB" w:eastAsia="en-GB"/>
        </w:rPr>
      </w:pPr>
    </w:p>
    <w:p w:rsidR="00142CB0" w:rsidRDefault="00142CB0" w:rsidP="005A736F">
      <w:pPr>
        <w:ind w:left="-142"/>
      </w:pPr>
    </w:p>
    <w:p w:rsidR="00CD0429" w:rsidRDefault="00CD0429" w:rsidP="002D688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Annex 2</w:t>
      </w:r>
    </w:p>
    <w:p w:rsidR="005A736F" w:rsidRDefault="005A736F" w:rsidP="002D6888">
      <w:pPr>
        <w:rPr>
          <w:rFonts w:asciiTheme="minorHAnsi" w:hAnsiTheme="minorHAnsi" w:cs="Calibri"/>
          <w:b/>
        </w:rPr>
      </w:pPr>
    </w:p>
    <w:p w:rsidR="00314514" w:rsidRPr="003A25EC" w:rsidRDefault="00314514" w:rsidP="002D688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2014 Surplus Reallocation</w:t>
      </w:r>
    </w:p>
    <w:p w:rsidR="00B540FD" w:rsidRDefault="00B540FD">
      <w:pPr>
        <w:rPr>
          <w:sz w:val="20"/>
          <w:szCs w:val="20"/>
          <w:lang w:val="en-GB" w:eastAsia="en-GB"/>
        </w:rPr>
      </w:pP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5120"/>
        <w:gridCol w:w="1060"/>
        <w:gridCol w:w="1100"/>
        <w:gridCol w:w="1060"/>
      </w:tblGrid>
      <w:tr w:rsidR="00B540FD" w:rsidRPr="005A5C29" w:rsidTr="00B540FD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40FD" w:rsidRPr="005A5C29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SC48</w:t>
            </w: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40FD" w:rsidRPr="005A5C29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SC49</w:t>
            </w: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40FD" w:rsidRPr="005A5C29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SC51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Core Surplus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460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Committed: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ENB (COP12 support)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Ramsar Advisory Missions (Nicaragua)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Staff provision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Subtotal, Committed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Core Surplus, Remaining Balance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Proposal for Remaining Surplus: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Ramsar Advisory Missions (Sierra Leone, Uganda)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Staff Training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Ramsar Regional Centres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Strategic plan workshops (4 x 10k)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Communications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STRP translation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Site manager publication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Post COP priorities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Sponsor Delegate Support (reserve fund repayment)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Subtotal, Proposal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Core Surplus, Remaining Balance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SC51, Nov 23-27, 2015</w:t>
            </w: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Support for website development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B540FD" w:rsidRPr="005A5C29" w:rsidTr="00B540F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540FD" w:rsidRPr="005A5C29" w:rsidTr="00B540FD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0FD" w:rsidRPr="005A5C29" w:rsidRDefault="00B540FD" w:rsidP="00B540F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Remaining Balance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0FD" w:rsidRPr="005A5C29" w:rsidRDefault="00B540FD" w:rsidP="00B540FD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5C2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B540FD" w:rsidRDefault="00B540FD">
      <w:pPr>
        <w:rPr>
          <w:rFonts w:asciiTheme="minorHAnsi" w:hAnsiTheme="minorHAnsi" w:cs="Calibri"/>
          <w:b/>
          <w:sz w:val="22"/>
          <w:szCs w:val="22"/>
        </w:rPr>
      </w:pPr>
    </w:p>
    <w:p w:rsidR="00B540FD" w:rsidRPr="00B540FD" w:rsidRDefault="00B540FD" w:rsidP="00B540FD">
      <w:pPr>
        <w:rPr>
          <w:rFonts w:asciiTheme="minorHAnsi" w:hAnsiTheme="minorHAnsi" w:cs="Calibri"/>
          <w:b/>
          <w:sz w:val="22"/>
          <w:szCs w:val="22"/>
        </w:rPr>
      </w:pPr>
      <w:r w:rsidRPr="00B540FD">
        <w:rPr>
          <w:rFonts w:asciiTheme="minorHAnsi" w:hAnsiTheme="minorHAnsi" w:cs="Calibri"/>
          <w:b/>
          <w:sz w:val="22"/>
          <w:szCs w:val="22"/>
        </w:rPr>
        <w:t>Notes:</w:t>
      </w:r>
    </w:p>
    <w:p w:rsidR="00B540FD" w:rsidRPr="00B540FD" w:rsidRDefault="00B540FD" w:rsidP="00B540FD">
      <w:pPr>
        <w:rPr>
          <w:rFonts w:asciiTheme="minorHAnsi" w:hAnsiTheme="minorHAnsi" w:cs="Calibri"/>
          <w:sz w:val="22"/>
          <w:szCs w:val="22"/>
        </w:rPr>
      </w:pPr>
      <w:r w:rsidRPr="00B540FD">
        <w:rPr>
          <w:rFonts w:asciiTheme="minorHAnsi" w:hAnsiTheme="minorHAnsi" w:cs="Calibri"/>
          <w:sz w:val="22"/>
          <w:szCs w:val="22"/>
        </w:rPr>
        <w:t>1. Approved with Decision SC48-12.</w:t>
      </w:r>
    </w:p>
    <w:p w:rsidR="00B540FD" w:rsidRPr="00B540FD" w:rsidRDefault="00B540FD" w:rsidP="00B540FD">
      <w:pPr>
        <w:rPr>
          <w:rFonts w:asciiTheme="minorHAnsi" w:hAnsiTheme="minorHAnsi" w:cs="Calibri"/>
          <w:sz w:val="22"/>
          <w:szCs w:val="22"/>
        </w:rPr>
      </w:pPr>
      <w:r w:rsidRPr="00B540FD">
        <w:rPr>
          <w:rFonts w:asciiTheme="minorHAnsi" w:hAnsiTheme="minorHAnsi" w:cs="Calibri"/>
          <w:sz w:val="22"/>
          <w:szCs w:val="22"/>
        </w:rPr>
        <w:t>2. No decision on proposed reallocation, deferred until SC50 with Decision 49-02.</w:t>
      </w:r>
    </w:p>
    <w:p w:rsidR="00B540FD" w:rsidRPr="00B540FD" w:rsidRDefault="00B540FD" w:rsidP="00B540FD">
      <w:pPr>
        <w:rPr>
          <w:rFonts w:asciiTheme="minorHAnsi" w:hAnsiTheme="minorHAnsi" w:cs="Calibri"/>
          <w:sz w:val="22"/>
          <w:szCs w:val="22"/>
        </w:rPr>
      </w:pPr>
      <w:r w:rsidRPr="00B540FD">
        <w:rPr>
          <w:rFonts w:asciiTheme="minorHAnsi" w:hAnsiTheme="minorHAnsi" w:cs="Calibri"/>
          <w:sz w:val="22"/>
          <w:szCs w:val="22"/>
        </w:rPr>
        <w:t>3. Decision SC50-07 "budget surplus of 2014 be used to fund SC51".</w:t>
      </w:r>
    </w:p>
    <w:p w:rsidR="00426AC6" w:rsidRDefault="00426AC6">
      <w:pPr>
        <w:rPr>
          <w:rFonts w:asciiTheme="minorHAnsi" w:hAnsiTheme="minorHAnsi" w:cs="Calibri"/>
          <w:b/>
        </w:rPr>
      </w:pPr>
    </w:p>
    <w:p w:rsidR="00426AC6" w:rsidRDefault="00426AC6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:rsidR="00426AC6" w:rsidRPr="00426AC6" w:rsidRDefault="00426AC6" w:rsidP="00426AC6">
      <w:pPr>
        <w:ind w:left="540" w:hanging="540"/>
        <w:rPr>
          <w:rFonts w:asciiTheme="minorHAnsi" w:hAnsiTheme="minorHAnsi"/>
          <w:b/>
        </w:rPr>
      </w:pPr>
      <w:r w:rsidRPr="00426AC6">
        <w:rPr>
          <w:rFonts w:asciiTheme="minorHAnsi" w:hAnsiTheme="minorHAnsi"/>
          <w:b/>
        </w:rPr>
        <w:lastRenderedPageBreak/>
        <w:t xml:space="preserve">Annex </w:t>
      </w:r>
      <w:r w:rsidR="00943081">
        <w:rPr>
          <w:rFonts w:asciiTheme="minorHAnsi" w:hAnsiTheme="minorHAnsi"/>
          <w:b/>
        </w:rPr>
        <w:t>3</w:t>
      </w:r>
    </w:p>
    <w:p w:rsidR="00426AC6" w:rsidRPr="00426AC6" w:rsidRDefault="00426AC6" w:rsidP="00426AC6">
      <w:pPr>
        <w:ind w:left="540" w:hanging="540"/>
        <w:rPr>
          <w:rFonts w:asciiTheme="minorHAnsi" w:hAnsiTheme="minorHAnsi"/>
          <w:b/>
        </w:rPr>
      </w:pPr>
    </w:p>
    <w:p w:rsidR="00426AC6" w:rsidRPr="00426AC6" w:rsidRDefault="00426AC6" w:rsidP="00426AC6">
      <w:pPr>
        <w:rPr>
          <w:rFonts w:asciiTheme="minorHAnsi" w:hAnsiTheme="minorHAnsi"/>
          <w:b/>
        </w:rPr>
      </w:pPr>
      <w:r w:rsidRPr="00426AC6">
        <w:rPr>
          <w:rFonts w:asciiTheme="minorHAnsi" w:hAnsiTheme="minorHAnsi"/>
          <w:b/>
        </w:rPr>
        <w:t>Approved Secretariat Staff (Core) for 2016-2018</w:t>
      </w:r>
    </w:p>
    <w:p w:rsidR="00426AC6" w:rsidRPr="00426AC6" w:rsidRDefault="00426AC6" w:rsidP="00426AC6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1935"/>
        <w:gridCol w:w="1935"/>
        <w:gridCol w:w="1935"/>
        <w:gridCol w:w="1935"/>
      </w:tblGrid>
      <w:tr w:rsidR="00426AC6" w:rsidRPr="00426AC6" w:rsidTr="004058D7">
        <w:trPr>
          <w:trHeight w:val="300"/>
        </w:trPr>
        <w:tc>
          <w:tcPr>
            <w:tcW w:w="1395" w:type="dxa"/>
            <w:shd w:val="clear" w:color="auto" w:fill="8DB3E2" w:themeFill="text2" w:themeFillTint="66"/>
            <w:noWrap/>
            <w:hideMark/>
          </w:tcPr>
          <w:p w:rsidR="00426AC6" w:rsidRPr="00426AC6" w:rsidRDefault="00426AC6" w:rsidP="004058D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6AC6">
              <w:rPr>
                <w:rFonts w:ascii="Calibri" w:hAnsi="Calibri" w:cs="Calibri"/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1935" w:type="dxa"/>
            <w:shd w:val="clear" w:color="auto" w:fill="8DB3E2" w:themeFill="text2" w:themeFillTint="66"/>
            <w:noWrap/>
            <w:hideMark/>
          </w:tcPr>
          <w:p w:rsidR="00426AC6" w:rsidRPr="00426AC6" w:rsidRDefault="00426AC6" w:rsidP="004058D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6AC6">
              <w:rPr>
                <w:rFonts w:ascii="Calibri" w:hAnsi="Calibri" w:cs="Calibri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935" w:type="dxa"/>
            <w:shd w:val="clear" w:color="auto" w:fill="8DB3E2" w:themeFill="text2" w:themeFillTint="66"/>
            <w:noWrap/>
            <w:hideMark/>
          </w:tcPr>
          <w:p w:rsidR="00426AC6" w:rsidRPr="00426AC6" w:rsidRDefault="00426AC6" w:rsidP="004058D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6AC6">
              <w:rPr>
                <w:rFonts w:ascii="Calibri" w:hAnsi="Calibri" w:cs="Calibri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35" w:type="dxa"/>
            <w:shd w:val="clear" w:color="auto" w:fill="8DB3E2" w:themeFill="text2" w:themeFillTint="66"/>
            <w:noWrap/>
            <w:hideMark/>
          </w:tcPr>
          <w:p w:rsidR="00426AC6" w:rsidRPr="00426AC6" w:rsidRDefault="00426AC6" w:rsidP="004058D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6AC6">
              <w:rPr>
                <w:rFonts w:ascii="Calibri" w:hAnsi="Calibri" w:cs="Calibr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35" w:type="dxa"/>
            <w:shd w:val="clear" w:color="auto" w:fill="8DB3E2" w:themeFill="text2" w:themeFillTint="66"/>
            <w:noWrap/>
            <w:hideMark/>
          </w:tcPr>
          <w:p w:rsidR="00426AC6" w:rsidRPr="00426AC6" w:rsidRDefault="00426AC6" w:rsidP="004058D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6AC6">
              <w:rPr>
                <w:rFonts w:ascii="Calibri" w:hAnsi="Calibri" w:cs="Calibri"/>
                <w:b/>
                <w:bCs/>
                <w:sz w:val="16"/>
                <w:szCs w:val="16"/>
              </w:rPr>
              <w:t>2018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ASMGT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S, M2,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S, M2,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S, M2,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S, M2, P1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BPART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CREGS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 (4), P1, Interns (4)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 (4), P1, Interns (4)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 (4), P1, Interns (4)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 (4), P1, Interns (4)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ESTRP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P1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FCOMM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M1, P2,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M1, P2,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M1, P2, P1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M1, P2, P1</w:t>
            </w:r>
          </w:p>
        </w:tc>
      </w:tr>
      <w:tr w:rsidR="00426AC6" w:rsidRPr="00F51A3A" w:rsidTr="004058D7">
        <w:trPr>
          <w:trHeight w:val="300"/>
        </w:trPr>
        <w:tc>
          <w:tcPr>
            <w:tcW w:w="139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GADMI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P2, P1 (2), A3 (3)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P2, P1 (2), A3 (3)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P2, P1 (2), A3 (3)</w:t>
            </w:r>
          </w:p>
        </w:tc>
        <w:tc>
          <w:tcPr>
            <w:tcW w:w="1935" w:type="dxa"/>
            <w:noWrap/>
            <w:hideMark/>
          </w:tcPr>
          <w:p w:rsidR="00426AC6" w:rsidRPr="00F51A3A" w:rsidRDefault="00426AC6" w:rsidP="004058D7">
            <w:pPr>
              <w:rPr>
                <w:rFonts w:ascii="Calibri" w:hAnsi="Calibri" w:cs="Calibri"/>
                <w:sz w:val="20"/>
                <w:szCs w:val="20"/>
              </w:rPr>
            </w:pPr>
            <w:r w:rsidRPr="00F51A3A">
              <w:rPr>
                <w:rFonts w:ascii="Calibri" w:hAnsi="Calibri" w:cs="Calibri"/>
                <w:sz w:val="20"/>
                <w:szCs w:val="20"/>
              </w:rPr>
              <w:t>P2, P1 (2), A3 (3)</w:t>
            </w:r>
          </w:p>
        </w:tc>
      </w:tr>
    </w:tbl>
    <w:p w:rsidR="00426AC6" w:rsidRPr="00426AC6" w:rsidRDefault="00426AC6" w:rsidP="00426AC6">
      <w:pPr>
        <w:rPr>
          <w:rFonts w:ascii="Calibri" w:hAnsi="Calibri" w:cs="Calibri"/>
          <w:sz w:val="16"/>
          <w:szCs w:val="16"/>
        </w:rPr>
      </w:pPr>
    </w:p>
    <w:p w:rsidR="00426AC6" w:rsidRPr="00426AC6" w:rsidRDefault="00426AC6" w:rsidP="00426AC6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426AC6">
        <w:rPr>
          <w:rFonts w:asciiTheme="minorHAnsi" w:hAnsiTheme="minorHAnsi"/>
          <w:sz w:val="22"/>
          <w:szCs w:val="22"/>
        </w:rPr>
        <w:t xml:space="preserve">*2015 staff </w:t>
      </w:r>
      <w:r w:rsidRPr="00426AC6">
        <w:rPr>
          <w:rFonts w:asciiTheme="minorHAnsi" w:hAnsiTheme="minorHAnsi"/>
          <w:sz w:val="22"/>
          <w:szCs w:val="22"/>
          <w:lang w:val="en-GB"/>
        </w:rPr>
        <w:t xml:space="preserve">numbers and position (according to the IUCN Human Resources Function Group) </w:t>
      </w:r>
      <w:r w:rsidRPr="00426AC6">
        <w:rPr>
          <w:rFonts w:asciiTheme="minorHAnsi" w:hAnsiTheme="minorHAnsi"/>
          <w:sz w:val="22"/>
          <w:szCs w:val="22"/>
        </w:rPr>
        <w:t>shown for reference</w:t>
      </w:r>
    </w:p>
    <w:p w:rsidR="00426AC6" w:rsidRDefault="00426AC6" w:rsidP="00426AC6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426AC6">
        <w:rPr>
          <w:rFonts w:asciiTheme="minorHAnsi" w:hAnsiTheme="minorHAnsi"/>
          <w:sz w:val="22"/>
          <w:szCs w:val="22"/>
        </w:rPr>
        <w:t>**Team refer to the categorization of Expenditures as listed in Annex I: Secretariat Senior Management (ASMGT); Partnership Coordinator (BPART); Regional Advice and Support (CREGS); Scientific and Technical Services (ESTRP); Communications (FCOMM); Administration/RSIS/Web (GADMI).</w:t>
      </w:r>
    </w:p>
    <w:p w:rsidR="00426AC6" w:rsidRDefault="00426AC6">
      <w:pPr>
        <w:rPr>
          <w:rFonts w:asciiTheme="minorHAnsi" w:hAnsiTheme="minorHAnsi" w:cs="Calibri"/>
          <w:b/>
        </w:rPr>
      </w:pPr>
    </w:p>
    <w:p w:rsidR="00426AC6" w:rsidRDefault="00426AC6">
      <w:pPr>
        <w:rPr>
          <w:rFonts w:asciiTheme="minorHAnsi" w:hAnsiTheme="minorHAnsi" w:cs="Calibri"/>
          <w:b/>
        </w:rPr>
        <w:sectPr w:rsidR="00426AC6" w:rsidSect="00FC0154">
          <w:headerReference w:type="even" r:id="rId10"/>
          <w:footerReference w:type="default" r:id="rId11"/>
          <w:pgSz w:w="11907" w:h="16840" w:code="9"/>
          <w:pgMar w:top="1440" w:right="1440" w:bottom="1440" w:left="1440" w:header="709" w:footer="720" w:gutter="0"/>
          <w:cols w:space="720"/>
          <w:titlePg/>
          <w:docGrid w:linePitch="360"/>
        </w:sectPr>
      </w:pPr>
    </w:p>
    <w:p w:rsidR="00426AC6" w:rsidRPr="005A736F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ind w:left="78"/>
        <w:rPr>
          <w:rFonts w:asciiTheme="minorHAnsi" w:hAnsiTheme="minorHAnsi" w:cs="Arial"/>
          <w:b/>
          <w:bCs/>
          <w:color w:val="000000"/>
          <w:lang w:val="en-GB" w:eastAsia="en-GB"/>
        </w:rPr>
      </w:pPr>
      <w:r w:rsidRPr="005A736F">
        <w:rPr>
          <w:rFonts w:asciiTheme="minorHAnsi" w:hAnsiTheme="minorHAnsi" w:cs="Arial"/>
          <w:b/>
          <w:bCs/>
          <w:color w:val="000000"/>
          <w:lang w:val="en-GB" w:eastAsia="en-GB"/>
        </w:rPr>
        <w:lastRenderedPageBreak/>
        <w:t xml:space="preserve">Annex </w:t>
      </w:r>
      <w:r w:rsidR="00943081">
        <w:rPr>
          <w:rFonts w:asciiTheme="minorHAnsi" w:hAnsiTheme="minorHAnsi" w:cs="Arial"/>
          <w:b/>
          <w:bCs/>
          <w:color w:val="000000"/>
          <w:lang w:val="en-GB" w:eastAsia="en-GB"/>
        </w:rPr>
        <w:t>4</w:t>
      </w:r>
      <w:r w:rsidRPr="005A736F">
        <w:rPr>
          <w:rFonts w:asciiTheme="minorHAnsi" w:hAnsiTheme="minorHAnsi" w:cs="Arial"/>
          <w:b/>
          <w:bCs/>
          <w:color w:val="000000"/>
          <w:lang w:val="en-GB" w:eastAsia="en-GB"/>
        </w:rPr>
        <w:t xml:space="preserve"> </w:t>
      </w:r>
    </w:p>
    <w:p w:rsidR="00426AC6" w:rsidRPr="005A736F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ind w:left="78"/>
        <w:rPr>
          <w:rFonts w:asciiTheme="minorHAnsi" w:hAnsiTheme="minorHAnsi" w:cs="Arial"/>
          <w:b/>
          <w:bCs/>
          <w:color w:val="000000"/>
          <w:lang w:val="en-GB" w:eastAsia="en-GB"/>
        </w:rPr>
      </w:pPr>
    </w:p>
    <w:p w:rsidR="00426AC6" w:rsidRPr="005A736F" w:rsidRDefault="00426AC6" w:rsidP="00426AC6">
      <w:pPr>
        <w:tabs>
          <w:tab w:val="left" w:pos="8209"/>
          <w:tab w:val="left" w:pos="1064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lang w:val="en-GB" w:eastAsia="en-GB"/>
        </w:rPr>
      </w:pPr>
      <w:r w:rsidRPr="005A736F">
        <w:rPr>
          <w:rFonts w:asciiTheme="minorHAnsi" w:hAnsiTheme="minorHAnsi" w:cs="Arial"/>
          <w:b/>
          <w:bCs/>
          <w:color w:val="000000"/>
          <w:lang w:val="en-GB" w:eastAsia="en-GB"/>
        </w:rPr>
        <w:t>List of External Consultants, 2015</w:t>
      </w:r>
      <w:r>
        <w:rPr>
          <w:rFonts w:asciiTheme="minorHAnsi" w:hAnsiTheme="minorHAnsi" w:cs="Arial"/>
          <w:b/>
          <w:bCs/>
          <w:color w:val="000000"/>
          <w:lang w:val="en-GB" w:eastAsia="en-GB"/>
        </w:rPr>
        <w:t xml:space="preserve"> </w:t>
      </w:r>
      <w:r w:rsidRPr="00F61EB6">
        <w:rPr>
          <w:rFonts w:asciiTheme="minorHAnsi" w:hAnsiTheme="minorHAnsi" w:cs="Arial"/>
          <w:b/>
          <w:bCs/>
          <w:color w:val="000000"/>
          <w:lang w:val="en-GB" w:eastAsia="en-GB"/>
        </w:rPr>
        <w:t>to date</w:t>
      </w:r>
      <w:r w:rsidRPr="005A736F">
        <w:rPr>
          <w:rFonts w:asciiTheme="minorHAnsi" w:hAnsiTheme="minorHAnsi" w:cs="Arial"/>
          <w:b/>
          <w:bCs/>
          <w:color w:val="000000"/>
          <w:lang w:val="en-GB" w:eastAsia="en-GB"/>
        </w:rPr>
        <w:tab/>
      </w:r>
      <w:r w:rsidRPr="005A736F">
        <w:rPr>
          <w:rFonts w:asciiTheme="minorHAnsi" w:hAnsiTheme="minorHAnsi" w:cs="Calibri"/>
          <w:color w:val="000000"/>
          <w:lang w:val="en-GB" w:eastAsia="en-GB"/>
        </w:rPr>
        <w:tab/>
      </w:r>
    </w:p>
    <w:p w:rsidR="00426AC6" w:rsidRPr="00C01C9A" w:rsidRDefault="00426AC6" w:rsidP="00426AC6">
      <w:pPr>
        <w:tabs>
          <w:tab w:val="left" w:pos="2497"/>
          <w:tab w:val="left" w:pos="3325"/>
          <w:tab w:val="left" w:pos="6385"/>
          <w:tab w:val="left" w:pos="7213"/>
          <w:tab w:val="left" w:pos="8209"/>
          <w:tab w:val="left" w:pos="1064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GB" w:eastAsia="en-GB"/>
        </w:rPr>
      </w:pP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 xml:space="preserve">Note: </w:t>
      </w:r>
      <w:r w:rsidRPr="00F61EB6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>as of 30 June 2015</w:t>
      </w:r>
      <w:r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 xml:space="preserve">; </w:t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>does not include translation for SC48/49 because work is not contracted, but billed by volume/time.</w:t>
      </w:r>
    </w:p>
    <w:p w:rsidR="00426AC6" w:rsidRPr="00C01C9A" w:rsidRDefault="00426AC6" w:rsidP="00426AC6">
      <w:pPr>
        <w:tabs>
          <w:tab w:val="left" w:pos="1951"/>
          <w:tab w:val="left" w:pos="3085"/>
          <w:tab w:val="left" w:pos="4503"/>
          <w:tab w:val="left" w:pos="7763"/>
          <w:tab w:val="left" w:pos="8897"/>
          <w:tab w:val="left" w:pos="10173"/>
          <w:tab w:val="left" w:pos="12724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GB" w:eastAsia="en-GB"/>
        </w:rPr>
      </w:pP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  <w:r w:rsidRPr="00C01C9A">
        <w:rPr>
          <w:rFonts w:asciiTheme="minorHAnsi" w:hAnsiTheme="minorHAnsi" w:cs="Calibri"/>
          <w:color w:val="000000"/>
          <w:sz w:val="22"/>
          <w:szCs w:val="22"/>
          <w:lang w:val="en-GB" w:eastAsia="en-GB"/>
        </w:rPr>
        <w:tab/>
      </w:r>
    </w:p>
    <w:tbl>
      <w:tblPr>
        <w:tblW w:w="14064" w:type="dxa"/>
        <w:tblInd w:w="7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73"/>
        <w:gridCol w:w="1134"/>
        <w:gridCol w:w="1418"/>
        <w:gridCol w:w="3260"/>
        <w:gridCol w:w="1134"/>
        <w:gridCol w:w="1276"/>
        <w:gridCol w:w="2551"/>
        <w:gridCol w:w="1418"/>
      </w:tblGrid>
      <w:tr w:rsidR="00426AC6" w:rsidTr="004058D7">
        <w:trPr>
          <w:trHeight w:val="56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Consultant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Contract Working Days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Contract Amount CHF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Contract No.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Non-core Funds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Source of funds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Responsible/ Budget Line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Casallas, Sara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19,621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Support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SC47 Decision: 2013 surplus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CREGS</w:t>
            </w:r>
          </w:p>
        </w:tc>
      </w:tr>
      <w:tr w:rsidR="00426AC6" w:rsidTr="004058D7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Pritchard, David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4,800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RAM Site 802 Norway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Ramsar Advisory Mission funded by Norway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CREGS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Communications Support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Yacot, Analia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7,239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360 degree feedback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Byrnes, Wendy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7,750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Translation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Fabre, Helen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4,550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Translation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Gesruisseaux, Ginette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3,250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Translation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Milev, Christine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5,850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Translation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Devitre, Daniel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7,750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Translation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4,000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Temporary Communications Support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6,000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Temporary Communications Support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Jenkins, Martin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8,250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Rapporteur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Rutherford, Catherine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7,500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Rapporteur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Peck, Dwight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5,500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Documentation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Pritchard, David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32,500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Celebrating Culture and Wetlands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MAVA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BPART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lastRenderedPageBreak/>
              <w:t>Cadmus, Rob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26,738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Natural Infrastructure project manager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NORAD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BPART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Huntington, Veronica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9,000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Communications Support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</w:tr>
      <w:tr w:rsidR="00426AC6" w:rsidTr="004058D7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Waite, Charlie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7,000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Landscape Photographer WWD 2015, Awards, photos etc.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Development Budget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SMGT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WCMC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4,000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Wetland Extent Index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 Implementation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Fry, Eve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15,000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Preparation of Water/Wetlands events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Development Budget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SMGT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15,000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Events Coordinator (WWD)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Development budget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SMGT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Persse, Emily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5,000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Temporary Communications Support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Tim Jones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5,600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SC 48 Rapporteur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ISTAN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RM Wetlands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4,000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Briefing note - ecosystem services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 Implementation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RM Wetlands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3,200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STRP-preparation of paper on REDD Plus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 Implementation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STRP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Interpreters (12)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135,000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COP12 Interpretation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COP12 budget MOU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GADMI</w:t>
            </w: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Interpreters (6)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27,000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SC48 Interpretation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ISTAN</w:t>
            </w:r>
          </w:p>
        </w:tc>
      </w:tr>
      <w:tr w:rsidR="00426AC6" w:rsidTr="004058D7">
        <w:trPr>
          <w:trHeight w:val="36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CISDL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C50AEE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26AC6"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90,000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Legal services: RoP, ICJ, COP12, IUCN, contracts, MOUs etc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KMISC</w:t>
            </w:r>
          </w:p>
        </w:tc>
      </w:tr>
      <w:tr w:rsidR="00426AC6" w:rsidTr="004058D7">
        <w:trPr>
          <w:trHeight w:val="19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26AC6" w:rsidTr="004058D7">
        <w:trPr>
          <w:trHeight w:val="199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645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478,099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26AC6" w:rsidTr="004058D7">
        <w:trPr>
          <w:trHeight w:val="1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26AC6" w:rsidTr="004058D7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Total, 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175,660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26AC6" w:rsidTr="004058D7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Total, non-core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 xml:space="preserve">302,438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26AC6" w:rsidTr="004058D7">
        <w:trPr>
          <w:trHeight w:val="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6" w:rsidRPr="00C01C9A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01C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478,099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C6" w:rsidRDefault="00426AC6" w:rsidP="004058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426AC6" w:rsidRDefault="00426AC6" w:rsidP="00426AC6">
      <w:pPr>
        <w:rPr>
          <w:rFonts w:ascii="Calibri" w:hAnsi="Calibri" w:cs="Calibri"/>
          <w:sz w:val="16"/>
          <w:szCs w:val="16"/>
        </w:rPr>
      </w:pPr>
    </w:p>
    <w:p w:rsidR="00426AC6" w:rsidRDefault="00426AC6">
      <w:pPr>
        <w:rPr>
          <w:rFonts w:asciiTheme="minorHAnsi" w:hAnsiTheme="minorHAnsi" w:cs="Calibri"/>
          <w:b/>
        </w:rPr>
        <w:sectPr w:rsidR="00426AC6" w:rsidSect="00426AC6">
          <w:footerReference w:type="default" r:id="rId12"/>
          <w:pgSz w:w="16840" w:h="11907" w:orient="landscape" w:code="9"/>
          <w:pgMar w:top="1440" w:right="1440" w:bottom="1440" w:left="1440" w:header="709" w:footer="720" w:gutter="0"/>
          <w:cols w:space="720"/>
          <w:docGrid w:linePitch="360"/>
        </w:sectPr>
      </w:pPr>
    </w:p>
    <w:p w:rsidR="003A25EC" w:rsidRPr="00FD3FF1" w:rsidRDefault="00102FC1" w:rsidP="00FD3FF1">
      <w:pPr>
        <w:rPr>
          <w:rFonts w:asciiTheme="minorHAnsi" w:hAnsiTheme="minorHAnsi" w:cs="Calibri"/>
          <w:b/>
        </w:rPr>
      </w:pPr>
      <w:r w:rsidRPr="00BF3BEA">
        <w:rPr>
          <w:rFonts w:asciiTheme="minorHAnsi" w:hAnsiTheme="minorHAnsi" w:cs="Calibri"/>
          <w:b/>
        </w:rPr>
        <w:lastRenderedPageBreak/>
        <w:t xml:space="preserve">Annex </w:t>
      </w:r>
      <w:r w:rsidR="00943081">
        <w:rPr>
          <w:rFonts w:asciiTheme="minorHAnsi" w:hAnsiTheme="minorHAnsi" w:cs="Calibri"/>
          <w:b/>
        </w:rPr>
        <w:t>5</w:t>
      </w:r>
      <w:r w:rsidRPr="00BF3BEA">
        <w:rPr>
          <w:rFonts w:asciiTheme="minorHAnsi" w:hAnsiTheme="minorHAnsi" w:cs="Calibri"/>
          <w:b/>
        </w:rPr>
        <w:t xml:space="preserve"> </w:t>
      </w:r>
    </w:p>
    <w:p w:rsidR="003A25EC" w:rsidRPr="005A736F" w:rsidRDefault="003A25EC" w:rsidP="0044433D">
      <w:pPr>
        <w:rPr>
          <w:rFonts w:ascii="Calibri" w:hAnsi="Calibri" w:cs="Calibri"/>
          <w:b/>
        </w:rPr>
      </w:pPr>
    </w:p>
    <w:p w:rsidR="000A7583" w:rsidRDefault="003A25EC" w:rsidP="0044433D">
      <w:pPr>
        <w:rPr>
          <w:rFonts w:ascii="Calibri" w:hAnsi="Calibri" w:cs="Calibri"/>
          <w:b/>
        </w:rPr>
      </w:pPr>
      <w:r w:rsidRPr="003A25EC">
        <w:rPr>
          <w:rFonts w:ascii="Calibri" w:hAnsi="Calibri" w:cs="Calibri"/>
          <w:b/>
        </w:rPr>
        <w:t>201</w:t>
      </w:r>
      <w:r w:rsidR="00EC3027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, COP1</w:t>
      </w:r>
      <w:r w:rsidR="00EC3027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Approved Budget</w:t>
      </w:r>
      <w:r w:rsidRPr="003A25EC">
        <w:rPr>
          <w:rFonts w:ascii="Calibri" w:hAnsi="Calibri" w:cs="Calibri"/>
          <w:b/>
        </w:rPr>
        <w:t xml:space="preserve"> </w:t>
      </w:r>
    </w:p>
    <w:p w:rsidR="00761DF1" w:rsidRDefault="00761DF1" w:rsidP="0044433D">
      <w:pPr>
        <w:rPr>
          <w:rFonts w:ascii="Calibri" w:hAnsi="Calibri" w:cs="Calibri"/>
          <w:sz w:val="16"/>
          <w:szCs w:val="16"/>
        </w:rPr>
      </w:pPr>
    </w:p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6057"/>
        <w:gridCol w:w="1127"/>
        <w:gridCol w:w="1129"/>
      </w:tblGrid>
      <w:tr w:rsidR="00EC3027" w:rsidRPr="00EC3027" w:rsidTr="00EC3027">
        <w:trPr>
          <w:trHeight w:val="737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2016 Combined Budget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C3027" w:rsidRPr="00EC3027" w:rsidRDefault="00EC3027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2016</w:t>
            </w:r>
          </w:p>
        </w:tc>
      </w:tr>
      <w:tr w:rsidR="00EC3027" w:rsidRPr="00EC3027" w:rsidTr="00EC3027">
        <w:trPr>
          <w:trHeight w:val="55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CHF 000'S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C3027" w:rsidRPr="00EC3027" w:rsidRDefault="00EC3027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Core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C3027" w:rsidRPr="00EC3027" w:rsidRDefault="00EC3027" w:rsidP="00EC302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Non-Core</w:t>
            </w:r>
          </w:p>
        </w:tc>
      </w:tr>
      <w:tr w:rsidR="00EC3027" w:rsidRPr="00EC302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Parties’ Contributions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Voluntary contributions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1,065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 Tax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Income Interest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INCOME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5,081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Secretariat Senior Management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798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B.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Partnership Coordinator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Regional Advice and Support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1,342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D.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Support to Regional Initiatives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E.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Scientific and Technical Services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F.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Communications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G.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Administration/RSIS/Web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896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H.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Operating Costs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I. Standing Committee Services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J.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IUCN Administrative Service Charges (maximum)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K.</w:t>
            </w:r>
            <w:r w:rsidR="004A3E7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Provisions, Legal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1. Ramsar Advisory Missions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2. STRP 2016-2018 Programme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3. RSIS, IM and IT (Website)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4. Pre-COP13 Regional Meetings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217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5. COP13 (2018) Sponsorship (eligible delegates)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6. Arabic Language Translation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7. Small Grants Funds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333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8. Regional Initiative Networks and Centres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9. Ramsar CEPA Programme (2016-2021)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10. On-line system for National Reports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EXPENDITURES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5,081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1,399</w:t>
            </w:r>
          </w:p>
        </w:tc>
      </w:tr>
      <w:tr w:rsidR="00EC3027" w:rsidRPr="00EC302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TOTAL SALARY COSTS – staff salaries and related costs 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3,429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67%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5A736F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TRAVEL COSTS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C3027" w:rsidRPr="00EC3027" w:rsidTr="00EC3027">
        <w:trPr>
          <w:trHeight w:val="26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3%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27" w:rsidRPr="00EC3027" w:rsidRDefault="00EC3027" w:rsidP="00EC3027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EC3027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EC3027" w:rsidRDefault="00EC3027" w:rsidP="0044433D">
      <w:pPr>
        <w:rPr>
          <w:rFonts w:ascii="Calibri" w:hAnsi="Calibri" w:cs="Calibri"/>
          <w:sz w:val="16"/>
          <w:szCs w:val="16"/>
        </w:rPr>
      </w:pPr>
    </w:p>
    <w:p w:rsidR="00820762" w:rsidRDefault="00820762" w:rsidP="0044433D">
      <w:pPr>
        <w:rPr>
          <w:rFonts w:ascii="Calibri" w:hAnsi="Calibri" w:cs="Calibri"/>
          <w:sz w:val="16"/>
          <w:szCs w:val="16"/>
        </w:rPr>
      </w:pPr>
    </w:p>
    <w:p w:rsidR="00820762" w:rsidRDefault="0082076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20762" w:rsidRPr="005A736F" w:rsidRDefault="00820762" w:rsidP="00820762">
      <w:pPr>
        <w:ind w:left="540" w:hanging="540"/>
        <w:rPr>
          <w:rFonts w:asciiTheme="minorHAnsi" w:hAnsiTheme="minorHAnsi"/>
          <w:b/>
        </w:rPr>
      </w:pPr>
      <w:r w:rsidRPr="005A736F">
        <w:rPr>
          <w:rFonts w:asciiTheme="minorHAnsi" w:hAnsiTheme="minorHAnsi"/>
          <w:b/>
        </w:rPr>
        <w:lastRenderedPageBreak/>
        <w:t xml:space="preserve">Annex </w:t>
      </w:r>
      <w:r w:rsidR="00943081">
        <w:rPr>
          <w:rFonts w:asciiTheme="minorHAnsi" w:hAnsiTheme="minorHAnsi"/>
          <w:b/>
        </w:rPr>
        <w:t>6</w:t>
      </w:r>
    </w:p>
    <w:p w:rsidR="005A736F" w:rsidRPr="005A736F" w:rsidRDefault="005A736F" w:rsidP="00820762">
      <w:pPr>
        <w:ind w:left="540" w:hanging="540"/>
        <w:rPr>
          <w:rFonts w:asciiTheme="minorHAnsi" w:hAnsiTheme="minorHAnsi"/>
          <w:b/>
        </w:rPr>
      </w:pPr>
    </w:p>
    <w:p w:rsidR="00820762" w:rsidRPr="005A736F" w:rsidRDefault="00820762" w:rsidP="00820762">
      <w:pPr>
        <w:rPr>
          <w:rFonts w:asciiTheme="minorHAnsi" w:hAnsiTheme="minorHAnsi"/>
          <w:b/>
        </w:rPr>
      </w:pPr>
      <w:r w:rsidRPr="005A736F">
        <w:rPr>
          <w:rFonts w:asciiTheme="minorHAnsi" w:hAnsiTheme="minorHAnsi"/>
          <w:b/>
        </w:rPr>
        <w:t>2016-2018 budgeted non-core items, in order of priority</w:t>
      </w:r>
    </w:p>
    <w:p w:rsidR="00820762" w:rsidRDefault="00820762" w:rsidP="0044433D">
      <w:pPr>
        <w:rPr>
          <w:rFonts w:ascii="Calibri" w:hAnsi="Calibri" w:cs="Calibri"/>
          <w:sz w:val="16"/>
          <w:szCs w:val="16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820"/>
        <w:gridCol w:w="4600"/>
        <w:gridCol w:w="2080"/>
      </w:tblGrid>
      <w:tr w:rsidR="00820762" w:rsidRPr="00820762" w:rsidTr="00820762">
        <w:trPr>
          <w:trHeight w:val="64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  <w:t>No.</w:t>
            </w:r>
          </w:p>
        </w:tc>
        <w:tc>
          <w:tcPr>
            <w:tcW w:w="46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  <w:t>NON-CORE FUNDS 2016 – 2018</w:t>
            </w:r>
          </w:p>
        </w:tc>
        <w:tc>
          <w:tcPr>
            <w:tcW w:w="20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FFFFFF"/>
                <w:lang w:val="en-GB" w:eastAsia="en-GB"/>
              </w:rPr>
              <w:t>3 Year Funding Requirement (CHF)</w:t>
            </w:r>
          </w:p>
        </w:tc>
      </w:tr>
      <w:tr w:rsidR="00820762" w:rsidRPr="00820762" w:rsidTr="0082076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Ramsar Advisory Missions for Parties requiring assistance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600,000</w:t>
            </w:r>
          </w:p>
        </w:tc>
      </w:tr>
      <w:tr w:rsidR="00820762" w:rsidRPr="00820762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STRP 2016-2018 programme of work support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</w:tr>
      <w:tr w:rsidR="00820762" w:rsidRPr="00820762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RSIS, IM/IT (Website) Continuing Development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175,000</w:t>
            </w:r>
          </w:p>
        </w:tc>
      </w:tr>
      <w:tr w:rsidR="00820762" w:rsidRPr="00820762" w:rsidTr="00820762">
        <w:trPr>
          <w:trHeight w:val="64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Pre-COP13 regional meetings (delegates support and meeting costs for preparatory meetings)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650,000</w:t>
            </w:r>
          </w:p>
        </w:tc>
      </w:tr>
      <w:tr w:rsidR="00820762" w:rsidRPr="00820762" w:rsidTr="00820762">
        <w:trPr>
          <w:trHeight w:val="3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COP13 (2018) sponsorship to eligible delegates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600,000</w:t>
            </w:r>
          </w:p>
        </w:tc>
      </w:tr>
      <w:tr w:rsidR="00820762" w:rsidRPr="00820762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Arabic language introduction and translation support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250,000</w:t>
            </w:r>
          </w:p>
        </w:tc>
      </w:tr>
      <w:tr w:rsidR="00820762" w:rsidRPr="00820762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Small Grants Funds for protection and wise use of wetlands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1,000,000</w:t>
            </w:r>
          </w:p>
        </w:tc>
      </w:tr>
      <w:tr w:rsidR="00820762" w:rsidRPr="00820762" w:rsidTr="00820762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Regional Initiative Networks and Centres support (priority activities).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150,000</w:t>
            </w:r>
          </w:p>
        </w:tc>
      </w:tr>
      <w:tr w:rsidR="00820762" w:rsidRPr="00820762" w:rsidTr="0082076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Ramsar CEPA Programme (2016-2021), exclusion of World Wetlands Day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300,000</w:t>
            </w:r>
          </w:p>
        </w:tc>
      </w:tr>
      <w:tr w:rsidR="00820762" w:rsidRPr="00820762" w:rsidTr="00820762">
        <w:trPr>
          <w:trHeight w:val="615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On-line system for National Reports, reporting and indicators development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175,000</w:t>
            </w:r>
          </w:p>
        </w:tc>
      </w:tr>
      <w:tr w:rsidR="00820762" w:rsidRPr="00820762" w:rsidTr="00820762">
        <w:trPr>
          <w:trHeight w:val="330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820762" w:rsidRPr="00820762" w:rsidRDefault="00820762" w:rsidP="008207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820762" w:rsidRPr="00820762" w:rsidRDefault="00820762" w:rsidP="00820762">
            <w:pPr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  <w:t xml:space="preserve">TOTAL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820762" w:rsidRPr="00820762" w:rsidRDefault="00820762" w:rsidP="0082076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</w:pPr>
            <w:r w:rsidRPr="00820762">
              <w:rPr>
                <w:rFonts w:ascii="Calibri" w:eastAsia="Times New Roman" w:hAnsi="Calibri"/>
                <w:b/>
                <w:bCs/>
                <w:color w:val="000000"/>
                <w:lang w:val="en-GB" w:eastAsia="en-GB"/>
              </w:rPr>
              <w:t>4,200,000</w:t>
            </w:r>
          </w:p>
        </w:tc>
      </w:tr>
    </w:tbl>
    <w:p w:rsidR="00CD0429" w:rsidRPr="00EF715A" w:rsidRDefault="00CD0429" w:rsidP="00EF715A">
      <w:pPr>
        <w:rPr>
          <w:rFonts w:ascii="Calibri" w:hAnsi="Calibri" w:cs="Calibri"/>
          <w:sz w:val="16"/>
          <w:szCs w:val="16"/>
        </w:rPr>
      </w:pPr>
    </w:p>
    <w:sectPr w:rsidR="00CD0429" w:rsidRPr="00EF715A" w:rsidSect="00EF715A">
      <w:footerReference w:type="default" r:id="rId13"/>
      <w:pgSz w:w="11907" w:h="16840" w:code="9"/>
      <w:pgMar w:top="1440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BE" w:rsidRDefault="009857BE">
      <w:r>
        <w:separator/>
      </w:r>
    </w:p>
  </w:endnote>
  <w:endnote w:type="continuationSeparator" w:id="0">
    <w:p w:rsidR="009857BE" w:rsidRDefault="0098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BE" w:rsidRPr="003A25EC" w:rsidRDefault="009857BE" w:rsidP="00FC0154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51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18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fldChar w:fldCharType="begin"/>
    </w:r>
    <w:r w:rsidRPr="003A25EC">
      <w:rPr>
        <w:rFonts w:asciiTheme="minorHAnsi" w:hAnsiTheme="minorHAnsi"/>
        <w:sz w:val="20"/>
        <w:szCs w:val="20"/>
      </w:rPr>
      <w:instrText xml:space="preserve"> PAGE   \* MERGEFORMAT </w:instrText>
    </w:r>
    <w:r w:rsidRPr="003A25EC">
      <w:rPr>
        <w:rFonts w:asciiTheme="minorHAnsi" w:hAnsiTheme="minorHAnsi"/>
        <w:sz w:val="20"/>
        <w:szCs w:val="20"/>
      </w:rPr>
      <w:fldChar w:fldCharType="separate"/>
    </w:r>
    <w:r w:rsidR="00FC0154">
      <w:rPr>
        <w:rFonts w:asciiTheme="minorHAnsi" w:hAnsiTheme="minorHAnsi"/>
        <w:noProof/>
        <w:sz w:val="20"/>
        <w:szCs w:val="20"/>
      </w:rPr>
      <w:t>2</w:t>
    </w:r>
    <w:r w:rsidRPr="003A25EC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4" w:rsidRPr="003A25EC" w:rsidRDefault="00FC0154" w:rsidP="00FC0154">
    <w:pPr>
      <w:pStyle w:val="Footer"/>
      <w:tabs>
        <w:tab w:val="clear" w:pos="8640"/>
        <w:tab w:val="right" w:pos="13892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51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18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fldChar w:fldCharType="begin"/>
    </w:r>
    <w:r w:rsidRPr="003A25EC">
      <w:rPr>
        <w:rFonts w:asciiTheme="minorHAnsi" w:hAnsiTheme="minorHAnsi"/>
        <w:sz w:val="20"/>
        <w:szCs w:val="20"/>
      </w:rPr>
      <w:instrText xml:space="preserve"> PAGE   \* MERGEFORMAT </w:instrText>
    </w:r>
    <w:r w:rsidRPr="003A25E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11</w:t>
    </w:r>
    <w:r w:rsidRPr="003A25EC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BE" w:rsidRPr="00FC0154" w:rsidRDefault="00FC0154" w:rsidP="00FC0154">
    <w:pPr>
      <w:pStyle w:val="Footer"/>
      <w:tabs>
        <w:tab w:val="clear" w:pos="8640"/>
        <w:tab w:val="right" w:pos="8931"/>
      </w:tabs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51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18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FC0154">
      <w:rPr>
        <w:rFonts w:asciiTheme="minorHAnsi" w:hAnsiTheme="minorHAnsi"/>
        <w:sz w:val="20"/>
        <w:szCs w:val="20"/>
      </w:rPr>
      <w:fldChar w:fldCharType="begin"/>
    </w:r>
    <w:r w:rsidRPr="00FC0154">
      <w:rPr>
        <w:rFonts w:asciiTheme="minorHAnsi" w:hAnsiTheme="minorHAnsi"/>
        <w:sz w:val="20"/>
        <w:szCs w:val="20"/>
      </w:rPr>
      <w:instrText xml:space="preserve"> PAGE   \* MERGEFORMAT </w:instrText>
    </w:r>
    <w:r w:rsidRPr="00FC0154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13</w:t>
    </w:r>
    <w:r w:rsidRPr="00FC0154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BE" w:rsidRDefault="009857BE">
      <w:r>
        <w:separator/>
      </w:r>
    </w:p>
  </w:footnote>
  <w:footnote w:type="continuationSeparator" w:id="0">
    <w:p w:rsidR="009857BE" w:rsidRDefault="0098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BE" w:rsidRDefault="00FC01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16297" o:spid="_x0000_s2051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C7BAA1F2"/>
    <w:lvl w:ilvl="0" w:tplc="415E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1496"/>
    <w:multiLevelType w:val="hybridMultilevel"/>
    <w:tmpl w:val="D9B2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516B"/>
    <w:multiLevelType w:val="hybridMultilevel"/>
    <w:tmpl w:val="562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039"/>
    <w:multiLevelType w:val="hybridMultilevel"/>
    <w:tmpl w:val="7468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73D9D"/>
    <w:multiLevelType w:val="hybridMultilevel"/>
    <w:tmpl w:val="60C0317C"/>
    <w:lvl w:ilvl="0" w:tplc="AC780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25EF6"/>
    <w:multiLevelType w:val="hybridMultilevel"/>
    <w:tmpl w:val="5CC8E3BA"/>
    <w:lvl w:ilvl="0" w:tplc="BB4842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C87"/>
    <w:multiLevelType w:val="hybridMultilevel"/>
    <w:tmpl w:val="922401D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0306"/>
    <w:multiLevelType w:val="hybridMultilevel"/>
    <w:tmpl w:val="439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56B2"/>
    <w:multiLevelType w:val="hybridMultilevel"/>
    <w:tmpl w:val="633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A484B"/>
    <w:multiLevelType w:val="hybridMultilevel"/>
    <w:tmpl w:val="36C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A77CF"/>
    <w:multiLevelType w:val="hybridMultilevel"/>
    <w:tmpl w:val="201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98C"/>
    <w:rsid w:val="00002D40"/>
    <w:rsid w:val="000069E0"/>
    <w:rsid w:val="0000744C"/>
    <w:rsid w:val="0001135A"/>
    <w:rsid w:val="00012537"/>
    <w:rsid w:val="00012828"/>
    <w:rsid w:val="0001420D"/>
    <w:rsid w:val="0001736C"/>
    <w:rsid w:val="00017FEC"/>
    <w:rsid w:val="000211F3"/>
    <w:rsid w:val="000238D5"/>
    <w:rsid w:val="00024785"/>
    <w:rsid w:val="00026108"/>
    <w:rsid w:val="000265DF"/>
    <w:rsid w:val="00027190"/>
    <w:rsid w:val="000302DD"/>
    <w:rsid w:val="000303B9"/>
    <w:rsid w:val="00030BE3"/>
    <w:rsid w:val="00031725"/>
    <w:rsid w:val="00032B16"/>
    <w:rsid w:val="000331C5"/>
    <w:rsid w:val="00033217"/>
    <w:rsid w:val="000342B7"/>
    <w:rsid w:val="00036EAE"/>
    <w:rsid w:val="00040F55"/>
    <w:rsid w:val="0004138F"/>
    <w:rsid w:val="000414C7"/>
    <w:rsid w:val="00043345"/>
    <w:rsid w:val="00043D31"/>
    <w:rsid w:val="000442FE"/>
    <w:rsid w:val="00046481"/>
    <w:rsid w:val="000470AA"/>
    <w:rsid w:val="00047647"/>
    <w:rsid w:val="00047C59"/>
    <w:rsid w:val="000528FA"/>
    <w:rsid w:val="000538AA"/>
    <w:rsid w:val="00054DA0"/>
    <w:rsid w:val="00062160"/>
    <w:rsid w:val="00063B3F"/>
    <w:rsid w:val="00064F37"/>
    <w:rsid w:val="000661D8"/>
    <w:rsid w:val="000674C5"/>
    <w:rsid w:val="00070241"/>
    <w:rsid w:val="000709C1"/>
    <w:rsid w:val="000739BA"/>
    <w:rsid w:val="00074D35"/>
    <w:rsid w:val="000755A6"/>
    <w:rsid w:val="00075CC3"/>
    <w:rsid w:val="000763D9"/>
    <w:rsid w:val="00077664"/>
    <w:rsid w:val="00077CD3"/>
    <w:rsid w:val="00081E15"/>
    <w:rsid w:val="00083D79"/>
    <w:rsid w:val="00083F16"/>
    <w:rsid w:val="0008448B"/>
    <w:rsid w:val="00086D09"/>
    <w:rsid w:val="0009101A"/>
    <w:rsid w:val="00092F1E"/>
    <w:rsid w:val="00093118"/>
    <w:rsid w:val="00093EAD"/>
    <w:rsid w:val="0009664B"/>
    <w:rsid w:val="000A0953"/>
    <w:rsid w:val="000A2B7E"/>
    <w:rsid w:val="000A582B"/>
    <w:rsid w:val="000A7583"/>
    <w:rsid w:val="000B1686"/>
    <w:rsid w:val="000B301B"/>
    <w:rsid w:val="000B330F"/>
    <w:rsid w:val="000B4A7F"/>
    <w:rsid w:val="000B6573"/>
    <w:rsid w:val="000B7A27"/>
    <w:rsid w:val="000C0271"/>
    <w:rsid w:val="000C0ED3"/>
    <w:rsid w:val="000C1043"/>
    <w:rsid w:val="000C154E"/>
    <w:rsid w:val="000C2055"/>
    <w:rsid w:val="000C2B05"/>
    <w:rsid w:val="000C488F"/>
    <w:rsid w:val="000C5AD0"/>
    <w:rsid w:val="000C6701"/>
    <w:rsid w:val="000D00AA"/>
    <w:rsid w:val="000D0B0F"/>
    <w:rsid w:val="000D2D66"/>
    <w:rsid w:val="000D385B"/>
    <w:rsid w:val="000D7CF1"/>
    <w:rsid w:val="000D7D6D"/>
    <w:rsid w:val="000E0551"/>
    <w:rsid w:val="000E0C0D"/>
    <w:rsid w:val="000E650E"/>
    <w:rsid w:val="000E65CA"/>
    <w:rsid w:val="000E6D1F"/>
    <w:rsid w:val="000E7399"/>
    <w:rsid w:val="000E750C"/>
    <w:rsid w:val="000F045B"/>
    <w:rsid w:val="000F4158"/>
    <w:rsid w:val="000F608B"/>
    <w:rsid w:val="000F676C"/>
    <w:rsid w:val="000F6B82"/>
    <w:rsid w:val="000F7671"/>
    <w:rsid w:val="0010071E"/>
    <w:rsid w:val="00101A5A"/>
    <w:rsid w:val="00102FC1"/>
    <w:rsid w:val="001074D5"/>
    <w:rsid w:val="00107792"/>
    <w:rsid w:val="00107C65"/>
    <w:rsid w:val="00110D85"/>
    <w:rsid w:val="00111923"/>
    <w:rsid w:val="00112516"/>
    <w:rsid w:val="00112C71"/>
    <w:rsid w:val="00112DF4"/>
    <w:rsid w:val="00113F9D"/>
    <w:rsid w:val="001161C4"/>
    <w:rsid w:val="00116AEA"/>
    <w:rsid w:val="001204C1"/>
    <w:rsid w:val="00120CBE"/>
    <w:rsid w:val="0012137E"/>
    <w:rsid w:val="00121B06"/>
    <w:rsid w:val="00124EF4"/>
    <w:rsid w:val="00126366"/>
    <w:rsid w:val="00126B45"/>
    <w:rsid w:val="0012728F"/>
    <w:rsid w:val="00127C82"/>
    <w:rsid w:val="00131031"/>
    <w:rsid w:val="001331EB"/>
    <w:rsid w:val="00134599"/>
    <w:rsid w:val="00135B39"/>
    <w:rsid w:val="00136805"/>
    <w:rsid w:val="00137F31"/>
    <w:rsid w:val="0014079B"/>
    <w:rsid w:val="00141490"/>
    <w:rsid w:val="00141718"/>
    <w:rsid w:val="00141C37"/>
    <w:rsid w:val="00142317"/>
    <w:rsid w:val="00142CB0"/>
    <w:rsid w:val="00143507"/>
    <w:rsid w:val="00144E0A"/>
    <w:rsid w:val="00146DBD"/>
    <w:rsid w:val="001472A8"/>
    <w:rsid w:val="00147C7D"/>
    <w:rsid w:val="0015459C"/>
    <w:rsid w:val="00156778"/>
    <w:rsid w:val="00161AB9"/>
    <w:rsid w:val="00161D05"/>
    <w:rsid w:val="0016270D"/>
    <w:rsid w:val="00166322"/>
    <w:rsid w:val="00167059"/>
    <w:rsid w:val="001704C0"/>
    <w:rsid w:val="00171983"/>
    <w:rsid w:val="0017243B"/>
    <w:rsid w:val="00173006"/>
    <w:rsid w:val="0017328C"/>
    <w:rsid w:val="001734B2"/>
    <w:rsid w:val="00173B97"/>
    <w:rsid w:val="00174527"/>
    <w:rsid w:val="00174AFC"/>
    <w:rsid w:val="001778C4"/>
    <w:rsid w:val="001805A0"/>
    <w:rsid w:val="00181C11"/>
    <w:rsid w:val="00184A0A"/>
    <w:rsid w:val="00187B67"/>
    <w:rsid w:val="001900EB"/>
    <w:rsid w:val="001911A5"/>
    <w:rsid w:val="00191760"/>
    <w:rsid w:val="00192290"/>
    <w:rsid w:val="00192AE5"/>
    <w:rsid w:val="00196B36"/>
    <w:rsid w:val="001A1B45"/>
    <w:rsid w:val="001A226C"/>
    <w:rsid w:val="001A2D0C"/>
    <w:rsid w:val="001A4CEC"/>
    <w:rsid w:val="001B0ECF"/>
    <w:rsid w:val="001B1A73"/>
    <w:rsid w:val="001B3677"/>
    <w:rsid w:val="001C005C"/>
    <w:rsid w:val="001C2B94"/>
    <w:rsid w:val="001C2EA9"/>
    <w:rsid w:val="001C3A58"/>
    <w:rsid w:val="001C5192"/>
    <w:rsid w:val="001C5504"/>
    <w:rsid w:val="001C7F6C"/>
    <w:rsid w:val="001D1B0C"/>
    <w:rsid w:val="001D48D7"/>
    <w:rsid w:val="001D6BB5"/>
    <w:rsid w:val="001D7463"/>
    <w:rsid w:val="001D7666"/>
    <w:rsid w:val="001D780E"/>
    <w:rsid w:val="001E1ED5"/>
    <w:rsid w:val="001E26CB"/>
    <w:rsid w:val="001E2B38"/>
    <w:rsid w:val="001E2EC7"/>
    <w:rsid w:val="001E5DBE"/>
    <w:rsid w:val="001F0DEF"/>
    <w:rsid w:val="001F1273"/>
    <w:rsid w:val="001F2842"/>
    <w:rsid w:val="001F3D66"/>
    <w:rsid w:val="001F40B9"/>
    <w:rsid w:val="001F40E1"/>
    <w:rsid w:val="001F6BDD"/>
    <w:rsid w:val="001F717F"/>
    <w:rsid w:val="001F7D0B"/>
    <w:rsid w:val="001F7EF9"/>
    <w:rsid w:val="00207B29"/>
    <w:rsid w:val="00211897"/>
    <w:rsid w:val="00211BF6"/>
    <w:rsid w:val="002155E2"/>
    <w:rsid w:val="0022079A"/>
    <w:rsid w:val="00221239"/>
    <w:rsid w:val="00224108"/>
    <w:rsid w:val="00224AD6"/>
    <w:rsid w:val="0022565E"/>
    <w:rsid w:val="00226328"/>
    <w:rsid w:val="002268E8"/>
    <w:rsid w:val="002340A8"/>
    <w:rsid w:val="00234D98"/>
    <w:rsid w:val="00237712"/>
    <w:rsid w:val="00241724"/>
    <w:rsid w:val="00241F7D"/>
    <w:rsid w:val="002464F2"/>
    <w:rsid w:val="002466F5"/>
    <w:rsid w:val="00250633"/>
    <w:rsid w:val="00250796"/>
    <w:rsid w:val="0025252F"/>
    <w:rsid w:val="00253966"/>
    <w:rsid w:val="00257138"/>
    <w:rsid w:val="00263953"/>
    <w:rsid w:val="00264C44"/>
    <w:rsid w:val="0026560A"/>
    <w:rsid w:val="00271D0E"/>
    <w:rsid w:val="00272633"/>
    <w:rsid w:val="00275C85"/>
    <w:rsid w:val="00276C10"/>
    <w:rsid w:val="00283A46"/>
    <w:rsid w:val="002928ED"/>
    <w:rsid w:val="00293670"/>
    <w:rsid w:val="00294CAC"/>
    <w:rsid w:val="00295095"/>
    <w:rsid w:val="00297427"/>
    <w:rsid w:val="002A302D"/>
    <w:rsid w:val="002A4581"/>
    <w:rsid w:val="002A50F3"/>
    <w:rsid w:val="002A6AC6"/>
    <w:rsid w:val="002A6B70"/>
    <w:rsid w:val="002B25E3"/>
    <w:rsid w:val="002B3403"/>
    <w:rsid w:val="002B491E"/>
    <w:rsid w:val="002B4BF2"/>
    <w:rsid w:val="002B5735"/>
    <w:rsid w:val="002B78A9"/>
    <w:rsid w:val="002C0090"/>
    <w:rsid w:val="002C0F8B"/>
    <w:rsid w:val="002C180A"/>
    <w:rsid w:val="002C5219"/>
    <w:rsid w:val="002C58C3"/>
    <w:rsid w:val="002C69BF"/>
    <w:rsid w:val="002C7FA7"/>
    <w:rsid w:val="002D0EA1"/>
    <w:rsid w:val="002D0F06"/>
    <w:rsid w:val="002D6888"/>
    <w:rsid w:val="002D76C0"/>
    <w:rsid w:val="002E1432"/>
    <w:rsid w:val="002E152D"/>
    <w:rsid w:val="002E1B28"/>
    <w:rsid w:val="002E298E"/>
    <w:rsid w:val="002E57AE"/>
    <w:rsid w:val="002F0512"/>
    <w:rsid w:val="002F208E"/>
    <w:rsid w:val="002F381C"/>
    <w:rsid w:val="002F7D7B"/>
    <w:rsid w:val="0030049F"/>
    <w:rsid w:val="003007B2"/>
    <w:rsid w:val="003007EE"/>
    <w:rsid w:val="00300F31"/>
    <w:rsid w:val="00302314"/>
    <w:rsid w:val="00302FD9"/>
    <w:rsid w:val="00306845"/>
    <w:rsid w:val="00306DB4"/>
    <w:rsid w:val="0030798A"/>
    <w:rsid w:val="003112A8"/>
    <w:rsid w:val="00313A78"/>
    <w:rsid w:val="00314514"/>
    <w:rsid w:val="00314B65"/>
    <w:rsid w:val="00315578"/>
    <w:rsid w:val="0031585B"/>
    <w:rsid w:val="00315B41"/>
    <w:rsid w:val="00320407"/>
    <w:rsid w:val="00321781"/>
    <w:rsid w:val="00322084"/>
    <w:rsid w:val="00322996"/>
    <w:rsid w:val="003240A2"/>
    <w:rsid w:val="0032644F"/>
    <w:rsid w:val="00327E4E"/>
    <w:rsid w:val="0033113E"/>
    <w:rsid w:val="00331EB8"/>
    <w:rsid w:val="00332D36"/>
    <w:rsid w:val="003357A9"/>
    <w:rsid w:val="00341FC8"/>
    <w:rsid w:val="00342946"/>
    <w:rsid w:val="00342C63"/>
    <w:rsid w:val="00345053"/>
    <w:rsid w:val="003464B6"/>
    <w:rsid w:val="003505DE"/>
    <w:rsid w:val="0035099E"/>
    <w:rsid w:val="0035655B"/>
    <w:rsid w:val="0036059A"/>
    <w:rsid w:val="0036164D"/>
    <w:rsid w:val="00361FFD"/>
    <w:rsid w:val="0036661A"/>
    <w:rsid w:val="0036720F"/>
    <w:rsid w:val="0037146E"/>
    <w:rsid w:val="0037555D"/>
    <w:rsid w:val="0037674F"/>
    <w:rsid w:val="003777DE"/>
    <w:rsid w:val="00380039"/>
    <w:rsid w:val="003800FC"/>
    <w:rsid w:val="00380503"/>
    <w:rsid w:val="00382F4A"/>
    <w:rsid w:val="00383172"/>
    <w:rsid w:val="00385A5F"/>
    <w:rsid w:val="00385CA2"/>
    <w:rsid w:val="00386BBE"/>
    <w:rsid w:val="00390178"/>
    <w:rsid w:val="00390E5C"/>
    <w:rsid w:val="003914B6"/>
    <w:rsid w:val="003916FC"/>
    <w:rsid w:val="00392DA6"/>
    <w:rsid w:val="00394D25"/>
    <w:rsid w:val="00395DD1"/>
    <w:rsid w:val="003A1651"/>
    <w:rsid w:val="003A1E0A"/>
    <w:rsid w:val="003A25EC"/>
    <w:rsid w:val="003A361B"/>
    <w:rsid w:val="003A48BA"/>
    <w:rsid w:val="003A50AD"/>
    <w:rsid w:val="003A6FAE"/>
    <w:rsid w:val="003A7F44"/>
    <w:rsid w:val="003B0786"/>
    <w:rsid w:val="003B16DE"/>
    <w:rsid w:val="003B1AEA"/>
    <w:rsid w:val="003B396A"/>
    <w:rsid w:val="003B5DEF"/>
    <w:rsid w:val="003B7523"/>
    <w:rsid w:val="003C13D3"/>
    <w:rsid w:val="003C1D24"/>
    <w:rsid w:val="003C349D"/>
    <w:rsid w:val="003C371B"/>
    <w:rsid w:val="003C4198"/>
    <w:rsid w:val="003C6412"/>
    <w:rsid w:val="003D1A74"/>
    <w:rsid w:val="003D34B7"/>
    <w:rsid w:val="003D402F"/>
    <w:rsid w:val="003D4592"/>
    <w:rsid w:val="003E0E35"/>
    <w:rsid w:val="003E237D"/>
    <w:rsid w:val="003E25C0"/>
    <w:rsid w:val="003E41CB"/>
    <w:rsid w:val="003F01C9"/>
    <w:rsid w:val="003F0B30"/>
    <w:rsid w:val="003F1988"/>
    <w:rsid w:val="003F2534"/>
    <w:rsid w:val="004009E9"/>
    <w:rsid w:val="0040442C"/>
    <w:rsid w:val="00404E09"/>
    <w:rsid w:val="004058D7"/>
    <w:rsid w:val="0040715E"/>
    <w:rsid w:val="00411BB1"/>
    <w:rsid w:val="0041227A"/>
    <w:rsid w:val="00414328"/>
    <w:rsid w:val="00414F10"/>
    <w:rsid w:val="00416DF3"/>
    <w:rsid w:val="00417672"/>
    <w:rsid w:val="00417A93"/>
    <w:rsid w:val="00421DDD"/>
    <w:rsid w:val="0042642D"/>
    <w:rsid w:val="00426866"/>
    <w:rsid w:val="00426AC6"/>
    <w:rsid w:val="00432445"/>
    <w:rsid w:val="004340A5"/>
    <w:rsid w:val="00436190"/>
    <w:rsid w:val="0044012B"/>
    <w:rsid w:val="00441CF2"/>
    <w:rsid w:val="0044433D"/>
    <w:rsid w:val="00445578"/>
    <w:rsid w:val="00451878"/>
    <w:rsid w:val="00452FF0"/>
    <w:rsid w:val="0045519B"/>
    <w:rsid w:val="00455E06"/>
    <w:rsid w:val="00456EDA"/>
    <w:rsid w:val="004570C6"/>
    <w:rsid w:val="004574CD"/>
    <w:rsid w:val="00461047"/>
    <w:rsid w:val="0046200F"/>
    <w:rsid w:val="00462F28"/>
    <w:rsid w:val="00462F63"/>
    <w:rsid w:val="0046334E"/>
    <w:rsid w:val="004634DB"/>
    <w:rsid w:val="00464606"/>
    <w:rsid w:val="00465482"/>
    <w:rsid w:val="004729B9"/>
    <w:rsid w:val="004732C1"/>
    <w:rsid w:val="00473B42"/>
    <w:rsid w:val="00480719"/>
    <w:rsid w:val="00480F48"/>
    <w:rsid w:val="004810F2"/>
    <w:rsid w:val="00483AB6"/>
    <w:rsid w:val="004848CF"/>
    <w:rsid w:val="00485139"/>
    <w:rsid w:val="00485219"/>
    <w:rsid w:val="004868DD"/>
    <w:rsid w:val="00487388"/>
    <w:rsid w:val="004908A3"/>
    <w:rsid w:val="0049618E"/>
    <w:rsid w:val="004966A1"/>
    <w:rsid w:val="004979EC"/>
    <w:rsid w:val="004A3E76"/>
    <w:rsid w:val="004A531A"/>
    <w:rsid w:val="004A6723"/>
    <w:rsid w:val="004A6ABB"/>
    <w:rsid w:val="004A70CD"/>
    <w:rsid w:val="004A753B"/>
    <w:rsid w:val="004B3903"/>
    <w:rsid w:val="004B5D6F"/>
    <w:rsid w:val="004C1CA2"/>
    <w:rsid w:val="004C54AC"/>
    <w:rsid w:val="004C629F"/>
    <w:rsid w:val="004D02D0"/>
    <w:rsid w:val="004D0BB4"/>
    <w:rsid w:val="004D1AED"/>
    <w:rsid w:val="004D3472"/>
    <w:rsid w:val="004D3F4D"/>
    <w:rsid w:val="004D746E"/>
    <w:rsid w:val="004E125F"/>
    <w:rsid w:val="004E1EF7"/>
    <w:rsid w:val="004E6693"/>
    <w:rsid w:val="004E7940"/>
    <w:rsid w:val="004E7ABB"/>
    <w:rsid w:val="004E7D07"/>
    <w:rsid w:val="004F087A"/>
    <w:rsid w:val="004F0AD5"/>
    <w:rsid w:val="004F3121"/>
    <w:rsid w:val="004F3485"/>
    <w:rsid w:val="004F3E7C"/>
    <w:rsid w:val="004F6CD7"/>
    <w:rsid w:val="004F70EF"/>
    <w:rsid w:val="004F7A87"/>
    <w:rsid w:val="00500792"/>
    <w:rsid w:val="00501B06"/>
    <w:rsid w:val="0050578F"/>
    <w:rsid w:val="00511AED"/>
    <w:rsid w:val="0051260E"/>
    <w:rsid w:val="00512A47"/>
    <w:rsid w:val="00513B77"/>
    <w:rsid w:val="00515D38"/>
    <w:rsid w:val="0051641E"/>
    <w:rsid w:val="00521840"/>
    <w:rsid w:val="005244A4"/>
    <w:rsid w:val="00526A47"/>
    <w:rsid w:val="00527C60"/>
    <w:rsid w:val="00532E81"/>
    <w:rsid w:val="00533D9D"/>
    <w:rsid w:val="005363C2"/>
    <w:rsid w:val="00537103"/>
    <w:rsid w:val="00541A4F"/>
    <w:rsid w:val="005438A1"/>
    <w:rsid w:val="0055409F"/>
    <w:rsid w:val="005559AB"/>
    <w:rsid w:val="00560A8F"/>
    <w:rsid w:val="0056312E"/>
    <w:rsid w:val="00563486"/>
    <w:rsid w:val="00563B03"/>
    <w:rsid w:val="005650CB"/>
    <w:rsid w:val="00565391"/>
    <w:rsid w:val="0056687C"/>
    <w:rsid w:val="00566B37"/>
    <w:rsid w:val="005676AA"/>
    <w:rsid w:val="00571AE9"/>
    <w:rsid w:val="00571E47"/>
    <w:rsid w:val="005761AC"/>
    <w:rsid w:val="00581A67"/>
    <w:rsid w:val="00584E29"/>
    <w:rsid w:val="00592897"/>
    <w:rsid w:val="00596137"/>
    <w:rsid w:val="005975AB"/>
    <w:rsid w:val="005A0C49"/>
    <w:rsid w:val="005A1404"/>
    <w:rsid w:val="005A5036"/>
    <w:rsid w:val="005A5C29"/>
    <w:rsid w:val="005A731D"/>
    <w:rsid w:val="005A736F"/>
    <w:rsid w:val="005A7505"/>
    <w:rsid w:val="005A7517"/>
    <w:rsid w:val="005A7CD7"/>
    <w:rsid w:val="005B0C30"/>
    <w:rsid w:val="005B3BED"/>
    <w:rsid w:val="005B6670"/>
    <w:rsid w:val="005C098C"/>
    <w:rsid w:val="005C0E05"/>
    <w:rsid w:val="005C2B56"/>
    <w:rsid w:val="005C35BE"/>
    <w:rsid w:val="005D076B"/>
    <w:rsid w:val="005D0C79"/>
    <w:rsid w:val="005D36C6"/>
    <w:rsid w:val="005D3E21"/>
    <w:rsid w:val="005D46C3"/>
    <w:rsid w:val="005D58E2"/>
    <w:rsid w:val="005D7969"/>
    <w:rsid w:val="005E3E68"/>
    <w:rsid w:val="005E4084"/>
    <w:rsid w:val="005E4491"/>
    <w:rsid w:val="005F12E7"/>
    <w:rsid w:val="005F7929"/>
    <w:rsid w:val="006001D8"/>
    <w:rsid w:val="006008AA"/>
    <w:rsid w:val="006011D5"/>
    <w:rsid w:val="00603096"/>
    <w:rsid w:val="00604851"/>
    <w:rsid w:val="00604E00"/>
    <w:rsid w:val="00605F53"/>
    <w:rsid w:val="00610EB4"/>
    <w:rsid w:val="00612D5A"/>
    <w:rsid w:val="006146A9"/>
    <w:rsid w:val="00614AEB"/>
    <w:rsid w:val="00614DB4"/>
    <w:rsid w:val="00621364"/>
    <w:rsid w:val="00621600"/>
    <w:rsid w:val="00622897"/>
    <w:rsid w:val="00622EF4"/>
    <w:rsid w:val="00624FDE"/>
    <w:rsid w:val="00626641"/>
    <w:rsid w:val="00627B89"/>
    <w:rsid w:val="0063065A"/>
    <w:rsid w:val="0063105D"/>
    <w:rsid w:val="0063664B"/>
    <w:rsid w:val="006377DD"/>
    <w:rsid w:val="00640BA2"/>
    <w:rsid w:val="006427DC"/>
    <w:rsid w:val="006446C6"/>
    <w:rsid w:val="00645507"/>
    <w:rsid w:val="0064748F"/>
    <w:rsid w:val="006479AC"/>
    <w:rsid w:val="00647DF1"/>
    <w:rsid w:val="00651FEA"/>
    <w:rsid w:val="00652B6A"/>
    <w:rsid w:val="00655B39"/>
    <w:rsid w:val="006601F8"/>
    <w:rsid w:val="0066424E"/>
    <w:rsid w:val="0066468C"/>
    <w:rsid w:val="0066562F"/>
    <w:rsid w:val="006716D9"/>
    <w:rsid w:val="00671BBC"/>
    <w:rsid w:val="00672EEF"/>
    <w:rsid w:val="00673139"/>
    <w:rsid w:val="0067314E"/>
    <w:rsid w:val="006733A4"/>
    <w:rsid w:val="00673514"/>
    <w:rsid w:val="00673834"/>
    <w:rsid w:val="00674391"/>
    <w:rsid w:val="006757DE"/>
    <w:rsid w:val="0067694B"/>
    <w:rsid w:val="006808C9"/>
    <w:rsid w:val="0068474C"/>
    <w:rsid w:val="00684D9C"/>
    <w:rsid w:val="00685128"/>
    <w:rsid w:val="00686BA4"/>
    <w:rsid w:val="006878BF"/>
    <w:rsid w:val="00691FCF"/>
    <w:rsid w:val="00695547"/>
    <w:rsid w:val="00695B85"/>
    <w:rsid w:val="006961AC"/>
    <w:rsid w:val="006967CF"/>
    <w:rsid w:val="00696DBE"/>
    <w:rsid w:val="006A215D"/>
    <w:rsid w:val="006A2460"/>
    <w:rsid w:val="006A2DCE"/>
    <w:rsid w:val="006A4196"/>
    <w:rsid w:val="006A6727"/>
    <w:rsid w:val="006A70BC"/>
    <w:rsid w:val="006B35FC"/>
    <w:rsid w:val="006B5DFC"/>
    <w:rsid w:val="006B6844"/>
    <w:rsid w:val="006B754C"/>
    <w:rsid w:val="006B7AA8"/>
    <w:rsid w:val="006C1DD8"/>
    <w:rsid w:val="006C1DE7"/>
    <w:rsid w:val="006C2598"/>
    <w:rsid w:val="006C2AF8"/>
    <w:rsid w:val="006C4DE9"/>
    <w:rsid w:val="006C58C9"/>
    <w:rsid w:val="006C7F4A"/>
    <w:rsid w:val="006D0786"/>
    <w:rsid w:val="006D127C"/>
    <w:rsid w:val="006D14EE"/>
    <w:rsid w:val="006D2E52"/>
    <w:rsid w:val="006D429C"/>
    <w:rsid w:val="006D4D06"/>
    <w:rsid w:val="006D65E9"/>
    <w:rsid w:val="006D6C5C"/>
    <w:rsid w:val="006E1099"/>
    <w:rsid w:val="006E1FDC"/>
    <w:rsid w:val="006E35D3"/>
    <w:rsid w:val="006E3D93"/>
    <w:rsid w:val="006E4E4B"/>
    <w:rsid w:val="006F1F00"/>
    <w:rsid w:val="006F2240"/>
    <w:rsid w:val="006F3028"/>
    <w:rsid w:val="006F4F21"/>
    <w:rsid w:val="00702061"/>
    <w:rsid w:val="00704839"/>
    <w:rsid w:val="00705583"/>
    <w:rsid w:val="00705A29"/>
    <w:rsid w:val="00707BD2"/>
    <w:rsid w:val="00710B9B"/>
    <w:rsid w:val="00711958"/>
    <w:rsid w:val="007125C0"/>
    <w:rsid w:val="00712FA3"/>
    <w:rsid w:val="0071330E"/>
    <w:rsid w:val="00713A27"/>
    <w:rsid w:val="00713E17"/>
    <w:rsid w:val="00715639"/>
    <w:rsid w:val="00722A4C"/>
    <w:rsid w:val="00723E3F"/>
    <w:rsid w:val="00724819"/>
    <w:rsid w:val="0072564A"/>
    <w:rsid w:val="00726981"/>
    <w:rsid w:val="0072762F"/>
    <w:rsid w:val="00727664"/>
    <w:rsid w:val="00727F14"/>
    <w:rsid w:val="00732641"/>
    <w:rsid w:val="00733BBF"/>
    <w:rsid w:val="007344D7"/>
    <w:rsid w:val="00734816"/>
    <w:rsid w:val="00736A6C"/>
    <w:rsid w:val="00741175"/>
    <w:rsid w:val="0074590E"/>
    <w:rsid w:val="00745E7F"/>
    <w:rsid w:val="007508CF"/>
    <w:rsid w:val="007512B3"/>
    <w:rsid w:val="00752371"/>
    <w:rsid w:val="00752E21"/>
    <w:rsid w:val="00753C3E"/>
    <w:rsid w:val="00753DE0"/>
    <w:rsid w:val="007548FB"/>
    <w:rsid w:val="0075746B"/>
    <w:rsid w:val="0076149F"/>
    <w:rsid w:val="00761DF1"/>
    <w:rsid w:val="007625FF"/>
    <w:rsid w:val="00766209"/>
    <w:rsid w:val="007705EE"/>
    <w:rsid w:val="00770A5E"/>
    <w:rsid w:val="00774036"/>
    <w:rsid w:val="0077737B"/>
    <w:rsid w:val="0077738F"/>
    <w:rsid w:val="00777E45"/>
    <w:rsid w:val="00780865"/>
    <w:rsid w:val="00782ADA"/>
    <w:rsid w:val="00782CED"/>
    <w:rsid w:val="00784A2D"/>
    <w:rsid w:val="007858FA"/>
    <w:rsid w:val="00787BEC"/>
    <w:rsid w:val="00790566"/>
    <w:rsid w:val="007905FF"/>
    <w:rsid w:val="00790664"/>
    <w:rsid w:val="0079070A"/>
    <w:rsid w:val="007914B9"/>
    <w:rsid w:val="00791A68"/>
    <w:rsid w:val="0079327A"/>
    <w:rsid w:val="0079386E"/>
    <w:rsid w:val="007A1F3D"/>
    <w:rsid w:val="007A2CC1"/>
    <w:rsid w:val="007A37CE"/>
    <w:rsid w:val="007A46E5"/>
    <w:rsid w:val="007A486C"/>
    <w:rsid w:val="007A5332"/>
    <w:rsid w:val="007A6914"/>
    <w:rsid w:val="007A6C6B"/>
    <w:rsid w:val="007B2A34"/>
    <w:rsid w:val="007B2D89"/>
    <w:rsid w:val="007B3CFE"/>
    <w:rsid w:val="007B5191"/>
    <w:rsid w:val="007B5D0D"/>
    <w:rsid w:val="007B616C"/>
    <w:rsid w:val="007B7DCA"/>
    <w:rsid w:val="007C021E"/>
    <w:rsid w:val="007C26EC"/>
    <w:rsid w:val="007C289E"/>
    <w:rsid w:val="007C50E4"/>
    <w:rsid w:val="007C5751"/>
    <w:rsid w:val="007C5BC5"/>
    <w:rsid w:val="007D216A"/>
    <w:rsid w:val="007D3429"/>
    <w:rsid w:val="007E1E5E"/>
    <w:rsid w:val="007E4224"/>
    <w:rsid w:val="007E618A"/>
    <w:rsid w:val="007E629A"/>
    <w:rsid w:val="007E6B05"/>
    <w:rsid w:val="007E7884"/>
    <w:rsid w:val="007E7AE4"/>
    <w:rsid w:val="007F1735"/>
    <w:rsid w:val="007F2873"/>
    <w:rsid w:val="007F358E"/>
    <w:rsid w:val="007F37B6"/>
    <w:rsid w:val="007F6BFF"/>
    <w:rsid w:val="007F70CC"/>
    <w:rsid w:val="00804D90"/>
    <w:rsid w:val="008123FD"/>
    <w:rsid w:val="00812529"/>
    <w:rsid w:val="008129DE"/>
    <w:rsid w:val="00812F67"/>
    <w:rsid w:val="00813315"/>
    <w:rsid w:val="00814B04"/>
    <w:rsid w:val="008163B6"/>
    <w:rsid w:val="008205D1"/>
    <w:rsid w:val="00820762"/>
    <w:rsid w:val="00821216"/>
    <w:rsid w:val="008215B2"/>
    <w:rsid w:val="0082316D"/>
    <w:rsid w:val="008236DA"/>
    <w:rsid w:val="00824F2C"/>
    <w:rsid w:val="0082548D"/>
    <w:rsid w:val="00825AAA"/>
    <w:rsid w:val="00831616"/>
    <w:rsid w:val="00832B34"/>
    <w:rsid w:val="00835970"/>
    <w:rsid w:val="00836FFA"/>
    <w:rsid w:val="00840047"/>
    <w:rsid w:val="0084108C"/>
    <w:rsid w:val="0084197D"/>
    <w:rsid w:val="00842399"/>
    <w:rsid w:val="00843DCF"/>
    <w:rsid w:val="008440BE"/>
    <w:rsid w:val="0085129D"/>
    <w:rsid w:val="00851AF3"/>
    <w:rsid w:val="00852AD9"/>
    <w:rsid w:val="008532A7"/>
    <w:rsid w:val="0085609A"/>
    <w:rsid w:val="00856F5A"/>
    <w:rsid w:val="00861A80"/>
    <w:rsid w:val="00861AA2"/>
    <w:rsid w:val="00863A79"/>
    <w:rsid w:val="00863AEC"/>
    <w:rsid w:val="008653B5"/>
    <w:rsid w:val="0086543D"/>
    <w:rsid w:val="008658E5"/>
    <w:rsid w:val="00866232"/>
    <w:rsid w:val="00866F1D"/>
    <w:rsid w:val="008705D6"/>
    <w:rsid w:val="008721F6"/>
    <w:rsid w:val="0087272B"/>
    <w:rsid w:val="00873D51"/>
    <w:rsid w:val="00874D36"/>
    <w:rsid w:val="008753CD"/>
    <w:rsid w:val="00876454"/>
    <w:rsid w:val="008765E9"/>
    <w:rsid w:val="0087775E"/>
    <w:rsid w:val="00877C5F"/>
    <w:rsid w:val="008824C9"/>
    <w:rsid w:val="00883322"/>
    <w:rsid w:val="008845E9"/>
    <w:rsid w:val="00884B74"/>
    <w:rsid w:val="0088687B"/>
    <w:rsid w:val="008869EC"/>
    <w:rsid w:val="008938BF"/>
    <w:rsid w:val="00893F55"/>
    <w:rsid w:val="008944FA"/>
    <w:rsid w:val="0089471A"/>
    <w:rsid w:val="008966E0"/>
    <w:rsid w:val="00897C9F"/>
    <w:rsid w:val="00897EC0"/>
    <w:rsid w:val="008A1AE8"/>
    <w:rsid w:val="008A21A4"/>
    <w:rsid w:val="008A2AC9"/>
    <w:rsid w:val="008A3C22"/>
    <w:rsid w:val="008A3F44"/>
    <w:rsid w:val="008A77F1"/>
    <w:rsid w:val="008B0160"/>
    <w:rsid w:val="008B0AE0"/>
    <w:rsid w:val="008B40E3"/>
    <w:rsid w:val="008B41B3"/>
    <w:rsid w:val="008B560E"/>
    <w:rsid w:val="008B6013"/>
    <w:rsid w:val="008C098D"/>
    <w:rsid w:val="008C1902"/>
    <w:rsid w:val="008C1BE1"/>
    <w:rsid w:val="008C458D"/>
    <w:rsid w:val="008C5D5F"/>
    <w:rsid w:val="008D4703"/>
    <w:rsid w:val="008D497C"/>
    <w:rsid w:val="008D6775"/>
    <w:rsid w:val="008E0508"/>
    <w:rsid w:val="008E101B"/>
    <w:rsid w:val="008E3238"/>
    <w:rsid w:val="008E3400"/>
    <w:rsid w:val="008E47A4"/>
    <w:rsid w:val="008E4EAF"/>
    <w:rsid w:val="008E59BC"/>
    <w:rsid w:val="008E7C71"/>
    <w:rsid w:val="008F27D5"/>
    <w:rsid w:val="008F296F"/>
    <w:rsid w:val="008F46AE"/>
    <w:rsid w:val="008F66BD"/>
    <w:rsid w:val="00900786"/>
    <w:rsid w:val="00903910"/>
    <w:rsid w:val="009061A5"/>
    <w:rsid w:val="0090652D"/>
    <w:rsid w:val="00906BF0"/>
    <w:rsid w:val="00910474"/>
    <w:rsid w:val="009108D9"/>
    <w:rsid w:val="00911718"/>
    <w:rsid w:val="00912CB8"/>
    <w:rsid w:val="00913CD1"/>
    <w:rsid w:val="009144C0"/>
    <w:rsid w:val="009169C0"/>
    <w:rsid w:val="00920540"/>
    <w:rsid w:val="00923CE9"/>
    <w:rsid w:val="00925AB6"/>
    <w:rsid w:val="00927834"/>
    <w:rsid w:val="00930505"/>
    <w:rsid w:val="0093204C"/>
    <w:rsid w:val="00933ECD"/>
    <w:rsid w:val="009342F7"/>
    <w:rsid w:val="00935361"/>
    <w:rsid w:val="00937ABD"/>
    <w:rsid w:val="009400D2"/>
    <w:rsid w:val="0094190E"/>
    <w:rsid w:val="00943081"/>
    <w:rsid w:val="00943B2B"/>
    <w:rsid w:val="00944692"/>
    <w:rsid w:val="00944F73"/>
    <w:rsid w:val="00945507"/>
    <w:rsid w:val="00946EF0"/>
    <w:rsid w:val="00952B18"/>
    <w:rsid w:val="00952F5B"/>
    <w:rsid w:val="00953DBE"/>
    <w:rsid w:val="0095416E"/>
    <w:rsid w:val="00954F85"/>
    <w:rsid w:val="0095754C"/>
    <w:rsid w:val="00957A1B"/>
    <w:rsid w:val="009614DB"/>
    <w:rsid w:val="00961EDA"/>
    <w:rsid w:val="00961F4A"/>
    <w:rsid w:val="00963F4F"/>
    <w:rsid w:val="00965B70"/>
    <w:rsid w:val="00967162"/>
    <w:rsid w:val="009674D2"/>
    <w:rsid w:val="00972139"/>
    <w:rsid w:val="0097332E"/>
    <w:rsid w:val="00974F57"/>
    <w:rsid w:val="00975BAA"/>
    <w:rsid w:val="00976070"/>
    <w:rsid w:val="0098314C"/>
    <w:rsid w:val="009837C1"/>
    <w:rsid w:val="0098442A"/>
    <w:rsid w:val="009857BE"/>
    <w:rsid w:val="00986F51"/>
    <w:rsid w:val="00991F32"/>
    <w:rsid w:val="00992C91"/>
    <w:rsid w:val="009934E3"/>
    <w:rsid w:val="0099372C"/>
    <w:rsid w:val="009937E0"/>
    <w:rsid w:val="009966E8"/>
    <w:rsid w:val="00996DAB"/>
    <w:rsid w:val="009A2918"/>
    <w:rsid w:val="009A2B38"/>
    <w:rsid w:val="009A3502"/>
    <w:rsid w:val="009A4BC2"/>
    <w:rsid w:val="009A55C0"/>
    <w:rsid w:val="009A5E78"/>
    <w:rsid w:val="009B39EF"/>
    <w:rsid w:val="009B3A10"/>
    <w:rsid w:val="009B3DFE"/>
    <w:rsid w:val="009B4BEB"/>
    <w:rsid w:val="009B5DF0"/>
    <w:rsid w:val="009B6EC9"/>
    <w:rsid w:val="009C3135"/>
    <w:rsid w:val="009C3C17"/>
    <w:rsid w:val="009C4788"/>
    <w:rsid w:val="009C5E7D"/>
    <w:rsid w:val="009C7DB0"/>
    <w:rsid w:val="009D1153"/>
    <w:rsid w:val="009D2213"/>
    <w:rsid w:val="009D28C3"/>
    <w:rsid w:val="009D2ABE"/>
    <w:rsid w:val="009E189D"/>
    <w:rsid w:val="009E337B"/>
    <w:rsid w:val="009E3D78"/>
    <w:rsid w:val="009E4055"/>
    <w:rsid w:val="009E4E32"/>
    <w:rsid w:val="009E7032"/>
    <w:rsid w:val="009F0C9B"/>
    <w:rsid w:val="009F0E51"/>
    <w:rsid w:val="009F217F"/>
    <w:rsid w:val="009F38EF"/>
    <w:rsid w:val="009F39BD"/>
    <w:rsid w:val="009F7F78"/>
    <w:rsid w:val="00A0303A"/>
    <w:rsid w:val="00A03D8D"/>
    <w:rsid w:val="00A0452E"/>
    <w:rsid w:val="00A0483E"/>
    <w:rsid w:val="00A0496A"/>
    <w:rsid w:val="00A0635E"/>
    <w:rsid w:val="00A11417"/>
    <w:rsid w:val="00A11B52"/>
    <w:rsid w:val="00A135F5"/>
    <w:rsid w:val="00A13804"/>
    <w:rsid w:val="00A14C8F"/>
    <w:rsid w:val="00A16E0C"/>
    <w:rsid w:val="00A173BD"/>
    <w:rsid w:val="00A20028"/>
    <w:rsid w:val="00A20784"/>
    <w:rsid w:val="00A22651"/>
    <w:rsid w:val="00A23412"/>
    <w:rsid w:val="00A24C61"/>
    <w:rsid w:val="00A2680D"/>
    <w:rsid w:val="00A272BC"/>
    <w:rsid w:val="00A31897"/>
    <w:rsid w:val="00A323E6"/>
    <w:rsid w:val="00A33D0E"/>
    <w:rsid w:val="00A345E1"/>
    <w:rsid w:val="00A37739"/>
    <w:rsid w:val="00A37D74"/>
    <w:rsid w:val="00A4030B"/>
    <w:rsid w:val="00A41B98"/>
    <w:rsid w:val="00A42159"/>
    <w:rsid w:val="00A42BD2"/>
    <w:rsid w:val="00A42CAA"/>
    <w:rsid w:val="00A45B73"/>
    <w:rsid w:val="00A46B32"/>
    <w:rsid w:val="00A5053F"/>
    <w:rsid w:val="00A52060"/>
    <w:rsid w:val="00A5226D"/>
    <w:rsid w:val="00A52270"/>
    <w:rsid w:val="00A53FEF"/>
    <w:rsid w:val="00A5450D"/>
    <w:rsid w:val="00A66CF8"/>
    <w:rsid w:val="00A7093B"/>
    <w:rsid w:val="00A732F7"/>
    <w:rsid w:val="00A73850"/>
    <w:rsid w:val="00A73B9C"/>
    <w:rsid w:val="00A752E7"/>
    <w:rsid w:val="00A753A3"/>
    <w:rsid w:val="00A76597"/>
    <w:rsid w:val="00A76F3E"/>
    <w:rsid w:val="00A776FB"/>
    <w:rsid w:val="00A77C2B"/>
    <w:rsid w:val="00A80F86"/>
    <w:rsid w:val="00A81083"/>
    <w:rsid w:val="00A8357F"/>
    <w:rsid w:val="00A84835"/>
    <w:rsid w:val="00A9014E"/>
    <w:rsid w:val="00A95F0F"/>
    <w:rsid w:val="00A96771"/>
    <w:rsid w:val="00A97B44"/>
    <w:rsid w:val="00AA00C6"/>
    <w:rsid w:val="00AA0EBC"/>
    <w:rsid w:val="00AA0ED6"/>
    <w:rsid w:val="00AA50C0"/>
    <w:rsid w:val="00AA6FF7"/>
    <w:rsid w:val="00AB2006"/>
    <w:rsid w:val="00AB5D10"/>
    <w:rsid w:val="00AB729C"/>
    <w:rsid w:val="00AC10CE"/>
    <w:rsid w:val="00AC22D3"/>
    <w:rsid w:val="00AC369B"/>
    <w:rsid w:val="00AC4A58"/>
    <w:rsid w:val="00AC6013"/>
    <w:rsid w:val="00AC705D"/>
    <w:rsid w:val="00AD10D0"/>
    <w:rsid w:val="00AD308C"/>
    <w:rsid w:val="00AD4D46"/>
    <w:rsid w:val="00AD4FFF"/>
    <w:rsid w:val="00AD55D6"/>
    <w:rsid w:val="00AD6449"/>
    <w:rsid w:val="00AD7AC5"/>
    <w:rsid w:val="00AE649A"/>
    <w:rsid w:val="00AE67C1"/>
    <w:rsid w:val="00AE79D5"/>
    <w:rsid w:val="00AF3EEA"/>
    <w:rsid w:val="00AF5935"/>
    <w:rsid w:val="00AF6042"/>
    <w:rsid w:val="00AF6DF2"/>
    <w:rsid w:val="00AF736E"/>
    <w:rsid w:val="00B00594"/>
    <w:rsid w:val="00B007AC"/>
    <w:rsid w:val="00B0100F"/>
    <w:rsid w:val="00B01857"/>
    <w:rsid w:val="00B03300"/>
    <w:rsid w:val="00B04E20"/>
    <w:rsid w:val="00B1402F"/>
    <w:rsid w:val="00B14753"/>
    <w:rsid w:val="00B16047"/>
    <w:rsid w:val="00B1650F"/>
    <w:rsid w:val="00B17D4C"/>
    <w:rsid w:val="00B21B27"/>
    <w:rsid w:val="00B22A52"/>
    <w:rsid w:val="00B23554"/>
    <w:rsid w:val="00B23CDF"/>
    <w:rsid w:val="00B24009"/>
    <w:rsid w:val="00B246C9"/>
    <w:rsid w:val="00B25F33"/>
    <w:rsid w:val="00B27BE9"/>
    <w:rsid w:val="00B30D14"/>
    <w:rsid w:val="00B30DEC"/>
    <w:rsid w:val="00B31C49"/>
    <w:rsid w:val="00B332D8"/>
    <w:rsid w:val="00B3518D"/>
    <w:rsid w:val="00B37A3C"/>
    <w:rsid w:val="00B37ED1"/>
    <w:rsid w:val="00B40165"/>
    <w:rsid w:val="00B41EFC"/>
    <w:rsid w:val="00B42B40"/>
    <w:rsid w:val="00B43793"/>
    <w:rsid w:val="00B43F93"/>
    <w:rsid w:val="00B45215"/>
    <w:rsid w:val="00B45E80"/>
    <w:rsid w:val="00B46537"/>
    <w:rsid w:val="00B517CD"/>
    <w:rsid w:val="00B53D7B"/>
    <w:rsid w:val="00B540FD"/>
    <w:rsid w:val="00B5419B"/>
    <w:rsid w:val="00B55A4A"/>
    <w:rsid w:val="00B62E7F"/>
    <w:rsid w:val="00B650F1"/>
    <w:rsid w:val="00B66E8B"/>
    <w:rsid w:val="00B72E88"/>
    <w:rsid w:val="00B73EA1"/>
    <w:rsid w:val="00B74DDA"/>
    <w:rsid w:val="00B762E2"/>
    <w:rsid w:val="00B77613"/>
    <w:rsid w:val="00B81CDA"/>
    <w:rsid w:val="00B81EBB"/>
    <w:rsid w:val="00B83697"/>
    <w:rsid w:val="00B85035"/>
    <w:rsid w:val="00B87575"/>
    <w:rsid w:val="00B91093"/>
    <w:rsid w:val="00B914A4"/>
    <w:rsid w:val="00B93BEE"/>
    <w:rsid w:val="00B9421B"/>
    <w:rsid w:val="00B95321"/>
    <w:rsid w:val="00B967A7"/>
    <w:rsid w:val="00B969C6"/>
    <w:rsid w:val="00BA023A"/>
    <w:rsid w:val="00BA1696"/>
    <w:rsid w:val="00BA5D99"/>
    <w:rsid w:val="00BA6559"/>
    <w:rsid w:val="00BB0FB2"/>
    <w:rsid w:val="00BB2E38"/>
    <w:rsid w:val="00BB361C"/>
    <w:rsid w:val="00BB4586"/>
    <w:rsid w:val="00BC0A40"/>
    <w:rsid w:val="00BC1E63"/>
    <w:rsid w:val="00BC2CF4"/>
    <w:rsid w:val="00BC405B"/>
    <w:rsid w:val="00BC5BC2"/>
    <w:rsid w:val="00BC63C9"/>
    <w:rsid w:val="00BD0521"/>
    <w:rsid w:val="00BD08E0"/>
    <w:rsid w:val="00BD0A44"/>
    <w:rsid w:val="00BD25C0"/>
    <w:rsid w:val="00BD345B"/>
    <w:rsid w:val="00BD5401"/>
    <w:rsid w:val="00BD6BB2"/>
    <w:rsid w:val="00BD7978"/>
    <w:rsid w:val="00BE2722"/>
    <w:rsid w:val="00BE2F53"/>
    <w:rsid w:val="00BE3A6D"/>
    <w:rsid w:val="00BE66F9"/>
    <w:rsid w:val="00BF2718"/>
    <w:rsid w:val="00BF345D"/>
    <w:rsid w:val="00BF3BEA"/>
    <w:rsid w:val="00BF633F"/>
    <w:rsid w:val="00BF6D9E"/>
    <w:rsid w:val="00C001A1"/>
    <w:rsid w:val="00C01C9A"/>
    <w:rsid w:val="00C020BA"/>
    <w:rsid w:val="00C02B99"/>
    <w:rsid w:val="00C031A9"/>
    <w:rsid w:val="00C058D0"/>
    <w:rsid w:val="00C11ECA"/>
    <w:rsid w:val="00C13462"/>
    <w:rsid w:val="00C135FD"/>
    <w:rsid w:val="00C13F0A"/>
    <w:rsid w:val="00C14A48"/>
    <w:rsid w:val="00C151F8"/>
    <w:rsid w:val="00C22818"/>
    <w:rsid w:val="00C22C92"/>
    <w:rsid w:val="00C22EFF"/>
    <w:rsid w:val="00C254AF"/>
    <w:rsid w:val="00C2601E"/>
    <w:rsid w:val="00C26037"/>
    <w:rsid w:val="00C2740F"/>
    <w:rsid w:val="00C27D90"/>
    <w:rsid w:val="00C300B6"/>
    <w:rsid w:val="00C31ACD"/>
    <w:rsid w:val="00C31DFF"/>
    <w:rsid w:val="00C33FC6"/>
    <w:rsid w:val="00C34133"/>
    <w:rsid w:val="00C34CAA"/>
    <w:rsid w:val="00C3550F"/>
    <w:rsid w:val="00C42145"/>
    <w:rsid w:val="00C43945"/>
    <w:rsid w:val="00C43DF3"/>
    <w:rsid w:val="00C46F39"/>
    <w:rsid w:val="00C471F6"/>
    <w:rsid w:val="00C476D2"/>
    <w:rsid w:val="00C47AD4"/>
    <w:rsid w:val="00C47D6D"/>
    <w:rsid w:val="00C47FA6"/>
    <w:rsid w:val="00C500C1"/>
    <w:rsid w:val="00C50AEE"/>
    <w:rsid w:val="00C50BD3"/>
    <w:rsid w:val="00C52AD1"/>
    <w:rsid w:val="00C53323"/>
    <w:rsid w:val="00C535DB"/>
    <w:rsid w:val="00C554AC"/>
    <w:rsid w:val="00C56872"/>
    <w:rsid w:val="00C6434A"/>
    <w:rsid w:val="00C664B9"/>
    <w:rsid w:val="00C70712"/>
    <w:rsid w:val="00C72DBD"/>
    <w:rsid w:val="00C75621"/>
    <w:rsid w:val="00C80075"/>
    <w:rsid w:val="00C81294"/>
    <w:rsid w:val="00C81E24"/>
    <w:rsid w:val="00C825BA"/>
    <w:rsid w:val="00C83193"/>
    <w:rsid w:val="00C83633"/>
    <w:rsid w:val="00C902FC"/>
    <w:rsid w:val="00C970CD"/>
    <w:rsid w:val="00C97643"/>
    <w:rsid w:val="00CA159D"/>
    <w:rsid w:val="00CA26F6"/>
    <w:rsid w:val="00CA3BAE"/>
    <w:rsid w:val="00CA787C"/>
    <w:rsid w:val="00CB13E8"/>
    <w:rsid w:val="00CB18C9"/>
    <w:rsid w:val="00CB2E2E"/>
    <w:rsid w:val="00CB43B8"/>
    <w:rsid w:val="00CB4643"/>
    <w:rsid w:val="00CB5F8E"/>
    <w:rsid w:val="00CB64C3"/>
    <w:rsid w:val="00CB679B"/>
    <w:rsid w:val="00CB754F"/>
    <w:rsid w:val="00CB7FFA"/>
    <w:rsid w:val="00CC58BC"/>
    <w:rsid w:val="00CC6571"/>
    <w:rsid w:val="00CC6B60"/>
    <w:rsid w:val="00CD0429"/>
    <w:rsid w:val="00CD1518"/>
    <w:rsid w:val="00CD261D"/>
    <w:rsid w:val="00CD3B25"/>
    <w:rsid w:val="00CD428E"/>
    <w:rsid w:val="00CD5A80"/>
    <w:rsid w:val="00CE0797"/>
    <w:rsid w:val="00CE1AFB"/>
    <w:rsid w:val="00CE22C5"/>
    <w:rsid w:val="00CE31E7"/>
    <w:rsid w:val="00CE69EC"/>
    <w:rsid w:val="00CF2223"/>
    <w:rsid w:val="00CF6C30"/>
    <w:rsid w:val="00CF75E5"/>
    <w:rsid w:val="00CF7DF1"/>
    <w:rsid w:val="00D000F4"/>
    <w:rsid w:val="00D01A42"/>
    <w:rsid w:val="00D03C05"/>
    <w:rsid w:val="00D05ACD"/>
    <w:rsid w:val="00D06377"/>
    <w:rsid w:val="00D064B7"/>
    <w:rsid w:val="00D112F9"/>
    <w:rsid w:val="00D11E00"/>
    <w:rsid w:val="00D1335B"/>
    <w:rsid w:val="00D15998"/>
    <w:rsid w:val="00D167EC"/>
    <w:rsid w:val="00D201D9"/>
    <w:rsid w:val="00D22B7C"/>
    <w:rsid w:val="00D22F60"/>
    <w:rsid w:val="00D23386"/>
    <w:rsid w:val="00D2642D"/>
    <w:rsid w:val="00D27AE0"/>
    <w:rsid w:val="00D27FFB"/>
    <w:rsid w:val="00D32A21"/>
    <w:rsid w:val="00D34195"/>
    <w:rsid w:val="00D35E7B"/>
    <w:rsid w:val="00D37698"/>
    <w:rsid w:val="00D40109"/>
    <w:rsid w:val="00D41361"/>
    <w:rsid w:val="00D42079"/>
    <w:rsid w:val="00D43BEB"/>
    <w:rsid w:val="00D445B5"/>
    <w:rsid w:val="00D459A7"/>
    <w:rsid w:val="00D47A45"/>
    <w:rsid w:val="00D50A38"/>
    <w:rsid w:val="00D523D3"/>
    <w:rsid w:val="00D537C7"/>
    <w:rsid w:val="00D61FB2"/>
    <w:rsid w:val="00D63F69"/>
    <w:rsid w:val="00D649D1"/>
    <w:rsid w:val="00D65957"/>
    <w:rsid w:val="00D70683"/>
    <w:rsid w:val="00D71026"/>
    <w:rsid w:val="00D72BF5"/>
    <w:rsid w:val="00D75B11"/>
    <w:rsid w:val="00D776A7"/>
    <w:rsid w:val="00D81B34"/>
    <w:rsid w:val="00D81FB7"/>
    <w:rsid w:val="00D82697"/>
    <w:rsid w:val="00D83393"/>
    <w:rsid w:val="00D84F93"/>
    <w:rsid w:val="00D85386"/>
    <w:rsid w:val="00D857A9"/>
    <w:rsid w:val="00D86939"/>
    <w:rsid w:val="00D872CB"/>
    <w:rsid w:val="00D915C6"/>
    <w:rsid w:val="00D94A62"/>
    <w:rsid w:val="00D94AC8"/>
    <w:rsid w:val="00D95CF0"/>
    <w:rsid w:val="00D97206"/>
    <w:rsid w:val="00DA392E"/>
    <w:rsid w:val="00DA7CA4"/>
    <w:rsid w:val="00DB4EC1"/>
    <w:rsid w:val="00DB4FDE"/>
    <w:rsid w:val="00DB51F0"/>
    <w:rsid w:val="00DB53B7"/>
    <w:rsid w:val="00DB5A68"/>
    <w:rsid w:val="00DC03FF"/>
    <w:rsid w:val="00DC231D"/>
    <w:rsid w:val="00DC2F0C"/>
    <w:rsid w:val="00DC3E53"/>
    <w:rsid w:val="00DC3FF4"/>
    <w:rsid w:val="00DC6168"/>
    <w:rsid w:val="00DC715A"/>
    <w:rsid w:val="00DD0308"/>
    <w:rsid w:val="00DD0A3A"/>
    <w:rsid w:val="00DD3900"/>
    <w:rsid w:val="00DE06B1"/>
    <w:rsid w:val="00DE084D"/>
    <w:rsid w:val="00DE09A9"/>
    <w:rsid w:val="00DE0E6F"/>
    <w:rsid w:val="00DE1715"/>
    <w:rsid w:val="00DE47AF"/>
    <w:rsid w:val="00DE563D"/>
    <w:rsid w:val="00DE6070"/>
    <w:rsid w:val="00DE69BB"/>
    <w:rsid w:val="00DF0B11"/>
    <w:rsid w:val="00DF1B8F"/>
    <w:rsid w:val="00DF3EA9"/>
    <w:rsid w:val="00DF3EC0"/>
    <w:rsid w:val="00DF52CE"/>
    <w:rsid w:val="00DF6817"/>
    <w:rsid w:val="00DF68B1"/>
    <w:rsid w:val="00E01D86"/>
    <w:rsid w:val="00E02876"/>
    <w:rsid w:val="00E03D7A"/>
    <w:rsid w:val="00E055A2"/>
    <w:rsid w:val="00E11150"/>
    <w:rsid w:val="00E11E41"/>
    <w:rsid w:val="00E1245E"/>
    <w:rsid w:val="00E15E1B"/>
    <w:rsid w:val="00E2174A"/>
    <w:rsid w:val="00E21E4B"/>
    <w:rsid w:val="00E24F0D"/>
    <w:rsid w:val="00E25FC7"/>
    <w:rsid w:val="00E26446"/>
    <w:rsid w:val="00E27035"/>
    <w:rsid w:val="00E27BEB"/>
    <w:rsid w:val="00E3560F"/>
    <w:rsid w:val="00E35F5A"/>
    <w:rsid w:val="00E36334"/>
    <w:rsid w:val="00E418E3"/>
    <w:rsid w:val="00E42AD3"/>
    <w:rsid w:val="00E44873"/>
    <w:rsid w:val="00E45423"/>
    <w:rsid w:val="00E45C25"/>
    <w:rsid w:val="00E47EA8"/>
    <w:rsid w:val="00E50BEF"/>
    <w:rsid w:val="00E50F5E"/>
    <w:rsid w:val="00E5188F"/>
    <w:rsid w:val="00E55073"/>
    <w:rsid w:val="00E5571E"/>
    <w:rsid w:val="00E61ABE"/>
    <w:rsid w:val="00E6240C"/>
    <w:rsid w:val="00E65758"/>
    <w:rsid w:val="00E70296"/>
    <w:rsid w:val="00E70E25"/>
    <w:rsid w:val="00E71B57"/>
    <w:rsid w:val="00E71B65"/>
    <w:rsid w:val="00E71C44"/>
    <w:rsid w:val="00E73055"/>
    <w:rsid w:val="00E75ED9"/>
    <w:rsid w:val="00E76E7B"/>
    <w:rsid w:val="00E80672"/>
    <w:rsid w:val="00E820C1"/>
    <w:rsid w:val="00E83060"/>
    <w:rsid w:val="00E86184"/>
    <w:rsid w:val="00E86C0C"/>
    <w:rsid w:val="00E957AA"/>
    <w:rsid w:val="00E97B02"/>
    <w:rsid w:val="00EA0531"/>
    <w:rsid w:val="00EA0538"/>
    <w:rsid w:val="00EA1AED"/>
    <w:rsid w:val="00EA3D17"/>
    <w:rsid w:val="00EA776F"/>
    <w:rsid w:val="00EB1863"/>
    <w:rsid w:val="00EB2238"/>
    <w:rsid w:val="00EB5001"/>
    <w:rsid w:val="00EB63BB"/>
    <w:rsid w:val="00EB7CA6"/>
    <w:rsid w:val="00EC0651"/>
    <w:rsid w:val="00EC2160"/>
    <w:rsid w:val="00EC27C7"/>
    <w:rsid w:val="00EC2E04"/>
    <w:rsid w:val="00EC3027"/>
    <w:rsid w:val="00EC7E6B"/>
    <w:rsid w:val="00ED176A"/>
    <w:rsid w:val="00ED3361"/>
    <w:rsid w:val="00EE0229"/>
    <w:rsid w:val="00EE2653"/>
    <w:rsid w:val="00EE343C"/>
    <w:rsid w:val="00EE783D"/>
    <w:rsid w:val="00EF0BE0"/>
    <w:rsid w:val="00EF0FF7"/>
    <w:rsid w:val="00EF2603"/>
    <w:rsid w:val="00EF2B4D"/>
    <w:rsid w:val="00EF32C2"/>
    <w:rsid w:val="00EF5D92"/>
    <w:rsid w:val="00EF7136"/>
    <w:rsid w:val="00EF715A"/>
    <w:rsid w:val="00F01937"/>
    <w:rsid w:val="00F01D3A"/>
    <w:rsid w:val="00F04FB5"/>
    <w:rsid w:val="00F05194"/>
    <w:rsid w:val="00F06351"/>
    <w:rsid w:val="00F11FE8"/>
    <w:rsid w:val="00F12815"/>
    <w:rsid w:val="00F14576"/>
    <w:rsid w:val="00F146CC"/>
    <w:rsid w:val="00F157E3"/>
    <w:rsid w:val="00F16BFC"/>
    <w:rsid w:val="00F2379B"/>
    <w:rsid w:val="00F239C2"/>
    <w:rsid w:val="00F23D12"/>
    <w:rsid w:val="00F260E9"/>
    <w:rsid w:val="00F262D6"/>
    <w:rsid w:val="00F27C73"/>
    <w:rsid w:val="00F311C9"/>
    <w:rsid w:val="00F326F1"/>
    <w:rsid w:val="00F33DB1"/>
    <w:rsid w:val="00F352DF"/>
    <w:rsid w:val="00F377C6"/>
    <w:rsid w:val="00F40AE8"/>
    <w:rsid w:val="00F45446"/>
    <w:rsid w:val="00F45E17"/>
    <w:rsid w:val="00F4610D"/>
    <w:rsid w:val="00F46901"/>
    <w:rsid w:val="00F50605"/>
    <w:rsid w:val="00F51672"/>
    <w:rsid w:val="00F51A3A"/>
    <w:rsid w:val="00F53D93"/>
    <w:rsid w:val="00F53F78"/>
    <w:rsid w:val="00F54AB0"/>
    <w:rsid w:val="00F55867"/>
    <w:rsid w:val="00F5756B"/>
    <w:rsid w:val="00F61EB6"/>
    <w:rsid w:val="00F62909"/>
    <w:rsid w:val="00F649C9"/>
    <w:rsid w:val="00F67D6A"/>
    <w:rsid w:val="00F70141"/>
    <w:rsid w:val="00F719E5"/>
    <w:rsid w:val="00F739BE"/>
    <w:rsid w:val="00F74840"/>
    <w:rsid w:val="00F75ACB"/>
    <w:rsid w:val="00F7694E"/>
    <w:rsid w:val="00F9381E"/>
    <w:rsid w:val="00F952A2"/>
    <w:rsid w:val="00F96AF8"/>
    <w:rsid w:val="00F96FB9"/>
    <w:rsid w:val="00FA091E"/>
    <w:rsid w:val="00FA186B"/>
    <w:rsid w:val="00FA3B09"/>
    <w:rsid w:val="00FA3C51"/>
    <w:rsid w:val="00FA3E1C"/>
    <w:rsid w:val="00FA3ECE"/>
    <w:rsid w:val="00FA4B32"/>
    <w:rsid w:val="00FA7892"/>
    <w:rsid w:val="00FA7D22"/>
    <w:rsid w:val="00FB13AF"/>
    <w:rsid w:val="00FB2905"/>
    <w:rsid w:val="00FB4DCC"/>
    <w:rsid w:val="00FB65D0"/>
    <w:rsid w:val="00FC0154"/>
    <w:rsid w:val="00FC1DF4"/>
    <w:rsid w:val="00FC3C8C"/>
    <w:rsid w:val="00FC49AA"/>
    <w:rsid w:val="00FC5118"/>
    <w:rsid w:val="00FC5D3A"/>
    <w:rsid w:val="00FD335A"/>
    <w:rsid w:val="00FD3FF1"/>
    <w:rsid w:val="00FD4D7F"/>
    <w:rsid w:val="00FD536F"/>
    <w:rsid w:val="00FD5D2A"/>
    <w:rsid w:val="00FE1172"/>
    <w:rsid w:val="00FE1498"/>
    <w:rsid w:val="00FE2C1A"/>
    <w:rsid w:val="00FE3695"/>
    <w:rsid w:val="00FE524E"/>
    <w:rsid w:val="00FF2FC7"/>
    <w:rsid w:val="00FF34DF"/>
    <w:rsid w:val="00FF67F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E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E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cda/en/ramsar-documents-standing-40th-meeting-of-the-22812/main/ramsar/1-31-41%5e22812_4000_0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D070-BE7F-4E37-903D-AD154E8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3317</Words>
  <Characters>17250</Characters>
  <Application>Microsoft Office Word</Application>
  <DocSecurity>0</DocSecurity>
  <Lines>392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IUCN</Company>
  <LinksUpToDate>false</LinksUpToDate>
  <CharactersWithSpaces>20446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http://www.ramsar.org/cda/en/ramsar-documents-standing-40th-meeting-of-the-22812/main/ramsar/1-31-41%5e22812_4000_0__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ELefebvre</dc:creator>
  <cp:lastModifiedBy>Ramsar\JenningsE</cp:lastModifiedBy>
  <cp:revision>2</cp:revision>
  <cp:lastPrinted>2015-08-20T12:48:00Z</cp:lastPrinted>
  <dcterms:created xsi:type="dcterms:W3CDTF">2015-08-21T09:08:00Z</dcterms:created>
  <dcterms:modified xsi:type="dcterms:W3CDTF">2015-08-21T09:08:00Z</dcterms:modified>
</cp:coreProperties>
</file>