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45" w:rsidRPr="00734EA7" w:rsidRDefault="00CA5045" w:rsidP="00734EA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both"/>
        <w:rPr>
          <w:rFonts w:eastAsia="Calibri"/>
          <w:bCs/>
          <w:sz w:val="24"/>
          <w:szCs w:val="24"/>
        </w:rPr>
      </w:pPr>
      <w:r w:rsidRPr="00734EA7">
        <w:rPr>
          <w:rFonts w:eastAsia="Calibri"/>
          <w:bCs/>
          <w:sz w:val="24"/>
          <w:szCs w:val="24"/>
        </w:rPr>
        <w:t>CONVENTION ON WETLANDS (Ramsar, Iran, 1971)</w:t>
      </w:r>
    </w:p>
    <w:p w:rsidR="00CA5045" w:rsidRPr="00734EA7" w:rsidRDefault="00CA5045" w:rsidP="00734EA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both"/>
        <w:rPr>
          <w:rFonts w:eastAsia="Calibri"/>
          <w:bCs/>
          <w:sz w:val="24"/>
          <w:szCs w:val="24"/>
        </w:rPr>
      </w:pPr>
      <w:r w:rsidRPr="00734EA7">
        <w:rPr>
          <w:rFonts w:eastAsia="Calibri"/>
          <w:bCs/>
          <w:sz w:val="24"/>
          <w:szCs w:val="24"/>
        </w:rPr>
        <w:t>4</w:t>
      </w:r>
      <w:r w:rsidR="00437EF6" w:rsidRPr="00734EA7">
        <w:rPr>
          <w:rFonts w:eastAsia="Calibri"/>
          <w:bCs/>
          <w:sz w:val="24"/>
          <w:szCs w:val="24"/>
        </w:rPr>
        <w:t>8</w:t>
      </w:r>
      <w:r w:rsidRPr="00734EA7">
        <w:rPr>
          <w:rFonts w:eastAsia="Calibri"/>
          <w:bCs/>
          <w:sz w:val="24"/>
          <w:szCs w:val="24"/>
        </w:rPr>
        <w:t>th Meeting of the Standing Committee</w:t>
      </w:r>
    </w:p>
    <w:p w:rsidR="00CA5045" w:rsidRPr="00734EA7" w:rsidRDefault="00CA5045" w:rsidP="00734EA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both"/>
        <w:rPr>
          <w:rFonts w:eastAsia="Calibri"/>
          <w:bCs/>
          <w:sz w:val="24"/>
          <w:szCs w:val="24"/>
        </w:rPr>
      </w:pPr>
      <w:r w:rsidRPr="00734EA7">
        <w:rPr>
          <w:rFonts w:eastAsia="Calibri"/>
          <w:bCs/>
          <w:sz w:val="24"/>
          <w:szCs w:val="24"/>
        </w:rPr>
        <w:t xml:space="preserve">Gland, Switzerland, </w:t>
      </w:r>
      <w:r w:rsidR="00EB44F0">
        <w:rPr>
          <w:rFonts w:eastAsia="Calibri"/>
          <w:bCs/>
          <w:sz w:val="24"/>
          <w:szCs w:val="24"/>
        </w:rPr>
        <w:t>26-30 January 2015</w:t>
      </w:r>
    </w:p>
    <w:p w:rsidR="00CA5045" w:rsidRPr="00734EA7" w:rsidRDefault="00CA5045" w:rsidP="00734E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CA5045" w:rsidRPr="00734EA7" w:rsidRDefault="00CA5045" w:rsidP="00734EA7">
      <w:pPr>
        <w:spacing w:after="0" w:line="240" w:lineRule="auto"/>
        <w:jc w:val="right"/>
        <w:rPr>
          <w:b/>
          <w:sz w:val="28"/>
          <w:szCs w:val="28"/>
        </w:rPr>
      </w:pPr>
      <w:r w:rsidRPr="00734EA7">
        <w:rPr>
          <w:b/>
          <w:sz w:val="28"/>
          <w:szCs w:val="28"/>
        </w:rPr>
        <w:t>SC4</w:t>
      </w:r>
      <w:r w:rsidR="00437EF6" w:rsidRPr="00734EA7">
        <w:rPr>
          <w:b/>
          <w:sz w:val="28"/>
          <w:szCs w:val="28"/>
        </w:rPr>
        <w:t>8</w:t>
      </w:r>
      <w:r w:rsidRPr="00734EA7">
        <w:rPr>
          <w:b/>
          <w:sz w:val="28"/>
          <w:szCs w:val="28"/>
        </w:rPr>
        <w:t>-</w:t>
      </w:r>
      <w:r w:rsidR="00734EA7" w:rsidRPr="00734EA7">
        <w:rPr>
          <w:b/>
          <w:sz w:val="28"/>
          <w:szCs w:val="28"/>
        </w:rPr>
        <w:t>11</w:t>
      </w:r>
    </w:p>
    <w:p w:rsidR="00CA5045" w:rsidRPr="00734EA7" w:rsidRDefault="00CA5045" w:rsidP="00734E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CA5045" w:rsidRPr="00734EA7" w:rsidRDefault="00CA5045" w:rsidP="00734EA7">
      <w:pPr>
        <w:spacing w:after="0" w:line="240" w:lineRule="auto"/>
        <w:ind w:right="-568"/>
        <w:jc w:val="center"/>
        <w:rPr>
          <w:rFonts w:cs="Arial"/>
          <w:b/>
          <w:sz w:val="28"/>
          <w:szCs w:val="28"/>
        </w:rPr>
      </w:pPr>
      <w:r w:rsidRPr="00734EA7">
        <w:rPr>
          <w:rFonts w:cs="Arial"/>
          <w:b/>
          <w:sz w:val="28"/>
          <w:szCs w:val="28"/>
        </w:rPr>
        <w:t xml:space="preserve">Report of the Secretary General </w:t>
      </w:r>
      <w:r w:rsidR="00437EF6" w:rsidRPr="00734EA7">
        <w:rPr>
          <w:rFonts w:cs="Arial"/>
          <w:b/>
          <w:sz w:val="28"/>
          <w:szCs w:val="28"/>
        </w:rPr>
        <w:t>and</w:t>
      </w:r>
      <w:r w:rsidRPr="00734EA7">
        <w:rPr>
          <w:rFonts w:cs="Arial"/>
          <w:b/>
          <w:sz w:val="28"/>
          <w:szCs w:val="28"/>
        </w:rPr>
        <w:t xml:space="preserve"> the Secretariat</w:t>
      </w:r>
    </w:p>
    <w:p w:rsidR="00CA5045" w:rsidRPr="003305EC" w:rsidRDefault="00CA5045" w:rsidP="00CA5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rPr>
      </w:pPr>
    </w:p>
    <w:p w:rsidR="00CA5045" w:rsidRPr="003305EC" w:rsidRDefault="002D4DA6" w:rsidP="00CA5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sidRPr="002D4DA6">
        <w:rPr>
          <w:szCs w:val="20"/>
        </w:rPr>
      </w:r>
      <w:r w:rsidRPr="002D4DA6">
        <w:rPr>
          <w:szCs w:val="20"/>
        </w:rPr>
        <w:pict>
          <v:shapetype id="_x0000_t202" coordsize="21600,21600" o:spt="202" path="m,l,21600r21600,l21600,xe">
            <v:stroke joinstyle="miter"/>
            <v:path gradientshapeok="t" o:connecttype="rect"/>
          </v:shapetype>
          <v:shape id="_x0000_s1026" type="#_x0000_t202" style="width:460.05pt;height:61.2pt;mso-left-percent:-10001;mso-top-percent:-10001;mso-position-horizontal:absolute;mso-position-horizontal-relative:char;mso-position-vertical:absolute;mso-position-vertical-relative:line;mso-left-percent:-10001;mso-top-percent:-10001;mso-width-relative:margin;mso-height-relative:margin">
            <v:textbox>
              <w:txbxContent>
                <w:p w:rsidR="00270332" w:rsidRPr="002A080C" w:rsidRDefault="00270332" w:rsidP="00734EA7">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270332" w:rsidRPr="002A080C" w:rsidRDefault="00270332" w:rsidP="00CA5045">
                  <w:pPr>
                    <w:pStyle w:val="ListParagraph"/>
                    <w:numPr>
                      <w:ilvl w:val="0"/>
                      <w:numId w:val="5"/>
                    </w:numPr>
                    <w:spacing w:after="0" w:line="240" w:lineRule="auto"/>
                    <w:rPr>
                      <w:rFonts w:ascii="Calibri" w:eastAsia="Calibri" w:hAnsi="Calibri"/>
                    </w:rPr>
                  </w:pPr>
                  <w:r w:rsidRPr="002A080C">
                    <w:rPr>
                      <w:rFonts w:ascii="Calibri" w:eastAsia="Calibri" w:hAnsi="Calibri"/>
                    </w:rPr>
                    <w:t xml:space="preserve">The Standing Committee is invited to take note of the </w:t>
                  </w:r>
                  <w:r>
                    <w:rPr>
                      <w:rFonts w:ascii="Calibri" w:eastAsia="Calibri" w:hAnsi="Calibri"/>
                    </w:rPr>
                    <w:t>Secretary General’ s report and his vision for the Secretariat</w:t>
                  </w:r>
                </w:p>
                <w:p w:rsidR="00270332" w:rsidRPr="002A080C" w:rsidRDefault="00270332" w:rsidP="00CA5045">
                  <w:pPr>
                    <w:pStyle w:val="ListParagraph"/>
                    <w:spacing w:after="0"/>
                    <w:ind w:left="0"/>
                    <w:rPr>
                      <w:rFonts w:ascii="Calibri" w:hAnsi="Calibri" w:cs="Arial"/>
                    </w:rPr>
                  </w:pPr>
                </w:p>
              </w:txbxContent>
            </v:textbox>
            <w10:wrap type="none"/>
            <w10:anchorlock/>
          </v:shape>
        </w:pict>
      </w:r>
    </w:p>
    <w:p w:rsidR="00CA5045" w:rsidRDefault="00CA5045" w:rsidP="00734EA7">
      <w:pPr>
        <w:spacing w:after="0" w:line="240" w:lineRule="auto"/>
        <w:ind w:left="567" w:hanging="567"/>
        <w:rPr>
          <w:rFonts w:ascii="Calibri" w:hAnsi="Calibri" w:cs="Calibri"/>
          <w:b/>
        </w:rPr>
      </w:pPr>
    </w:p>
    <w:p w:rsidR="00CA5045" w:rsidRDefault="00CA5045" w:rsidP="00734EA7">
      <w:pPr>
        <w:spacing w:after="0" w:line="240" w:lineRule="auto"/>
        <w:ind w:left="567" w:hanging="567"/>
        <w:jc w:val="both"/>
        <w:rPr>
          <w:rFonts w:ascii="Calibri" w:hAnsi="Calibri" w:cs="Calibri"/>
          <w:b/>
        </w:rPr>
      </w:pPr>
      <w:r>
        <w:rPr>
          <w:rFonts w:ascii="Calibri" w:hAnsi="Calibri" w:cs="Calibri"/>
          <w:b/>
        </w:rPr>
        <w:t>Background</w:t>
      </w:r>
    </w:p>
    <w:p w:rsidR="00734EA7" w:rsidRDefault="00734EA7" w:rsidP="00734EA7">
      <w:pPr>
        <w:spacing w:after="0" w:line="240" w:lineRule="auto"/>
        <w:rPr>
          <w:rFonts w:ascii="Calibri" w:hAnsi="Calibri" w:cs="Calibri"/>
        </w:rPr>
      </w:pPr>
    </w:p>
    <w:p w:rsidR="00CA5045" w:rsidRPr="000A1BE5" w:rsidRDefault="00CA5045"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w:t>
      </w:r>
      <w:r w:rsidR="00437EF6" w:rsidRPr="000A1BE5">
        <w:rPr>
          <w:rFonts w:ascii="Calibri" w:hAnsi="Calibri" w:cs="Calibri"/>
        </w:rPr>
        <w:t xml:space="preserve"> fifth </w:t>
      </w:r>
      <w:r w:rsidRPr="000A1BE5">
        <w:rPr>
          <w:rFonts w:ascii="Calibri" w:hAnsi="Calibri" w:cs="Calibri"/>
        </w:rPr>
        <w:t xml:space="preserve">Secretary General of the Convention on Wetlands started work on 12 August 2013, and prepared </w:t>
      </w:r>
      <w:r w:rsidR="00437EF6" w:rsidRPr="000A1BE5">
        <w:rPr>
          <w:rFonts w:ascii="Calibri" w:hAnsi="Calibri" w:cs="Calibri"/>
        </w:rPr>
        <w:t xml:space="preserve">elements of a vision and </w:t>
      </w:r>
      <w:r w:rsidRPr="000A1BE5">
        <w:rPr>
          <w:rFonts w:ascii="Calibri" w:hAnsi="Calibri" w:cs="Calibri"/>
        </w:rPr>
        <w:t xml:space="preserve">a </w:t>
      </w:r>
      <w:r w:rsidR="008F51FA" w:rsidRPr="000A1BE5">
        <w:rPr>
          <w:rFonts w:ascii="Calibri" w:hAnsi="Calibri" w:cs="Calibri"/>
        </w:rPr>
        <w:t>report of actions undertaken up until the end of 2013 for consideration of SC47</w:t>
      </w:r>
      <w:r w:rsidR="00437EF6" w:rsidRPr="000A1BE5">
        <w:rPr>
          <w:rFonts w:ascii="Calibri" w:hAnsi="Calibri" w:cs="Calibri"/>
        </w:rPr>
        <w:t xml:space="preserve">. This year of 2014 has been central to development of that vision and the development </w:t>
      </w:r>
      <w:r w:rsidR="008F51FA" w:rsidRPr="000A1BE5">
        <w:rPr>
          <w:rFonts w:ascii="Calibri" w:hAnsi="Calibri" w:cs="Calibri"/>
        </w:rPr>
        <w:t xml:space="preserve">of a </w:t>
      </w:r>
      <w:r w:rsidR="00437EF6" w:rsidRPr="000A1BE5">
        <w:rPr>
          <w:rFonts w:ascii="Calibri" w:hAnsi="Calibri" w:cs="Calibri"/>
        </w:rPr>
        <w:t xml:space="preserve">new </w:t>
      </w:r>
      <w:r w:rsidR="008F51FA" w:rsidRPr="000A1BE5">
        <w:rPr>
          <w:rFonts w:ascii="Calibri" w:hAnsi="Calibri" w:cs="Calibri"/>
        </w:rPr>
        <w:t xml:space="preserve">Strategic Plan </w:t>
      </w:r>
      <w:r w:rsidR="00437EF6" w:rsidRPr="000A1BE5">
        <w:rPr>
          <w:rFonts w:ascii="Calibri" w:hAnsi="Calibri" w:cs="Calibri"/>
        </w:rPr>
        <w:t xml:space="preserve">for eventual approval by the </w:t>
      </w:r>
      <w:r w:rsidR="008F51FA" w:rsidRPr="000A1BE5">
        <w:rPr>
          <w:rFonts w:ascii="Calibri" w:hAnsi="Calibri" w:cs="Calibri"/>
        </w:rPr>
        <w:t xml:space="preserve">Contracting Parties, </w:t>
      </w:r>
      <w:r w:rsidR="00C32556" w:rsidRPr="000A1BE5">
        <w:rPr>
          <w:rFonts w:ascii="Calibri" w:hAnsi="Calibri" w:cs="Calibri"/>
        </w:rPr>
        <w:t xml:space="preserve">IOPs and other key </w:t>
      </w:r>
      <w:r w:rsidR="008F51FA" w:rsidRPr="000A1BE5">
        <w:rPr>
          <w:rFonts w:ascii="Calibri" w:hAnsi="Calibri" w:cs="Calibri"/>
        </w:rPr>
        <w:t>partners</w:t>
      </w:r>
      <w:r w:rsidR="00C32556" w:rsidRPr="000A1BE5">
        <w:rPr>
          <w:rFonts w:ascii="Calibri" w:hAnsi="Calibri" w:cs="Calibri"/>
        </w:rPr>
        <w:t>, as well as</w:t>
      </w:r>
      <w:r w:rsidR="008F51FA" w:rsidRPr="000A1BE5">
        <w:rPr>
          <w:rFonts w:ascii="Calibri" w:hAnsi="Calibri" w:cs="Calibri"/>
        </w:rPr>
        <w:t xml:space="preserve"> other organizations and groups interested in the wise use of wetlands and water.</w:t>
      </w:r>
      <w:r w:rsidR="00437EF6" w:rsidRPr="000A1BE5">
        <w:rPr>
          <w:rFonts w:ascii="Calibri" w:hAnsi="Calibri" w:cs="Calibri"/>
        </w:rPr>
        <w:t xml:space="preserve"> The report covers </w:t>
      </w:r>
      <w:r w:rsidR="00577E03" w:rsidRPr="000A1BE5">
        <w:rPr>
          <w:rFonts w:ascii="Calibri" w:hAnsi="Calibri" w:cs="Calibri"/>
        </w:rPr>
        <w:t xml:space="preserve">refinements to the vision, and details </w:t>
      </w:r>
      <w:r w:rsidR="00D73336" w:rsidRPr="000A1BE5">
        <w:rPr>
          <w:rFonts w:ascii="Calibri" w:hAnsi="Calibri" w:cs="Calibri"/>
        </w:rPr>
        <w:t>meetings and o</w:t>
      </w:r>
      <w:r w:rsidR="00437EF6" w:rsidRPr="000A1BE5">
        <w:rPr>
          <w:rFonts w:ascii="Calibri" w:hAnsi="Calibri" w:cs="Calibri"/>
        </w:rPr>
        <w:t>the</w:t>
      </w:r>
      <w:r w:rsidR="00D73336" w:rsidRPr="000A1BE5">
        <w:rPr>
          <w:rFonts w:ascii="Calibri" w:hAnsi="Calibri" w:cs="Calibri"/>
        </w:rPr>
        <w:t>r</w:t>
      </w:r>
      <w:r w:rsidR="00437EF6" w:rsidRPr="000A1BE5">
        <w:rPr>
          <w:rFonts w:ascii="Calibri" w:hAnsi="Calibri" w:cs="Calibri"/>
        </w:rPr>
        <w:t xml:space="preserve"> actions undertaken </w:t>
      </w:r>
      <w:r w:rsidR="00AF2F46" w:rsidRPr="000A1BE5">
        <w:rPr>
          <w:rFonts w:ascii="Calibri" w:hAnsi="Calibri" w:cs="Calibri"/>
        </w:rPr>
        <w:t xml:space="preserve">in support of the Convention </w:t>
      </w:r>
      <w:r w:rsidR="00437EF6" w:rsidRPr="000A1BE5">
        <w:rPr>
          <w:rFonts w:ascii="Calibri" w:hAnsi="Calibri" w:cs="Calibri"/>
        </w:rPr>
        <w:t>and</w:t>
      </w:r>
      <w:r w:rsidR="000A1BE5" w:rsidRPr="000A1BE5">
        <w:rPr>
          <w:rFonts w:ascii="Calibri" w:hAnsi="Calibri" w:cs="Calibri"/>
        </w:rPr>
        <w:t xml:space="preserve"> </w:t>
      </w:r>
      <w:r w:rsidR="00437EF6" w:rsidRPr="000A1BE5">
        <w:rPr>
          <w:rFonts w:ascii="Calibri" w:hAnsi="Calibri" w:cs="Calibri"/>
        </w:rPr>
        <w:t>progress made towards</w:t>
      </w:r>
      <w:r w:rsidR="000A1BE5" w:rsidRPr="000A1BE5">
        <w:rPr>
          <w:rFonts w:ascii="Calibri" w:hAnsi="Calibri" w:cs="Calibri"/>
        </w:rPr>
        <w:t xml:space="preserve"> </w:t>
      </w:r>
      <w:r w:rsidR="00437EF6" w:rsidRPr="000A1BE5">
        <w:rPr>
          <w:rFonts w:ascii="Calibri" w:hAnsi="Calibri" w:cs="Calibri"/>
        </w:rPr>
        <w:t>objectives</w:t>
      </w:r>
      <w:r w:rsidR="00577E03" w:rsidRPr="000A1BE5">
        <w:rPr>
          <w:rFonts w:ascii="Calibri" w:hAnsi="Calibri" w:cs="Calibri"/>
        </w:rPr>
        <w:t>.</w:t>
      </w:r>
    </w:p>
    <w:p w:rsidR="00CA5045" w:rsidRPr="003305EC" w:rsidRDefault="00CA5045" w:rsidP="00734EA7">
      <w:pPr>
        <w:spacing w:after="0" w:line="240" w:lineRule="auto"/>
        <w:ind w:left="567" w:hanging="567"/>
        <w:rPr>
          <w:rFonts w:ascii="Calibri" w:hAnsi="Calibri" w:cs="Calibri"/>
          <w:b/>
        </w:rPr>
      </w:pPr>
    </w:p>
    <w:p w:rsidR="005203DC" w:rsidRDefault="005203DC" w:rsidP="00734EA7">
      <w:pPr>
        <w:spacing w:after="0" w:line="240" w:lineRule="auto"/>
        <w:rPr>
          <w:b/>
          <w:sz w:val="24"/>
        </w:rPr>
      </w:pPr>
    </w:p>
    <w:p w:rsidR="005203DC" w:rsidRDefault="005203DC" w:rsidP="000A1BE5">
      <w:pPr>
        <w:spacing w:after="0" w:line="240" w:lineRule="auto"/>
        <w:ind w:left="567" w:hanging="567"/>
        <w:jc w:val="both"/>
        <w:rPr>
          <w:b/>
          <w:sz w:val="24"/>
        </w:rPr>
      </w:pPr>
    </w:p>
    <w:p w:rsidR="005B7EC2" w:rsidRPr="000A1BE5" w:rsidRDefault="005B7EC2" w:rsidP="00734EA7">
      <w:pPr>
        <w:spacing w:after="0" w:line="240" w:lineRule="auto"/>
        <w:rPr>
          <w:b/>
          <w:sz w:val="24"/>
          <w:szCs w:val="24"/>
        </w:rPr>
      </w:pPr>
      <w:r w:rsidRPr="000A1BE5">
        <w:rPr>
          <w:b/>
          <w:sz w:val="24"/>
          <w:szCs w:val="24"/>
        </w:rPr>
        <w:t xml:space="preserve">Vision </w:t>
      </w:r>
      <w:r w:rsidR="00577E03" w:rsidRPr="000A1BE5">
        <w:rPr>
          <w:b/>
          <w:sz w:val="24"/>
          <w:szCs w:val="24"/>
        </w:rPr>
        <w:t>o</w:t>
      </w:r>
      <w:r w:rsidRPr="000A1BE5">
        <w:rPr>
          <w:b/>
          <w:sz w:val="24"/>
          <w:szCs w:val="24"/>
        </w:rPr>
        <w:t>f the Secretar</w:t>
      </w:r>
      <w:r w:rsidR="005203DC" w:rsidRPr="000A1BE5">
        <w:rPr>
          <w:b/>
          <w:sz w:val="24"/>
          <w:szCs w:val="24"/>
        </w:rPr>
        <w:t>y General</w:t>
      </w:r>
      <w:r w:rsidRPr="000A1BE5">
        <w:rPr>
          <w:b/>
          <w:sz w:val="24"/>
          <w:szCs w:val="24"/>
        </w:rPr>
        <w:t xml:space="preserve"> of the Convention on Wetlands </w:t>
      </w:r>
    </w:p>
    <w:p w:rsidR="005B7EC2" w:rsidRPr="00577E03" w:rsidRDefault="005B7EC2" w:rsidP="00734EA7">
      <w:pPr>
        <w:spacing w:after="0" w:line="240" w:lineRule="auto"/>
        <w:rPr>
          <w:rFonts w:cstheme="minorHAnsi"/>
          <w:iCs/>
          <w:sz w:val="24"/>
        </w:rPr>
      </w:pPr>
    </w:p>
    <w:p w:rsidR="005B7EC2" w:rsidRPr="00734EA7" w:rsidRDefault="005B7EC2"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Wetlands </w:t>
      </w:r>
      <w:r w:rsidR="00F71ECE" w:rsidRPr="00734EA7">
        <w:rPr>
          <w:rFonts w:ascii="Calibri" w:hAnsi="Calibri" w:cs="Calibri"/>
        </w:rPr>
        <w:t xml:space="preserve">are the source of sustainable development and </w:t>
      </w:r>
      <w:r w:rsidRPr="00734EA7">
        <w:rPr>
          <w:rFonts w:ascii="Calibri" w:hAnsi="Calibri" w:cs="Calibri"/>
        </w:rPr>
        <w:t>play a vital role for humanity and for nature by providing all our water for drinking</w:t>
      </w:r>
      <w:r w:rsidR="00F71ECE" w:rsidRPr="00734EA7">
        <w:rPr>
          <w:rFonts w:ascii="Calibri" w:hAnsi="Calibri" w:cs="Calibri"/>
        </w:rPr>
        <w:t>, cooking</w:t>
      </w:r>
      <w:r w:rsidRPr="00734EA7">
        <w:rPr>
          <w:rFonts w:ascii="Calibri" w:hAnsi="Calibri" w:cs="Calibri"/>
        </w:rPr>
        <w:t xml:space="preserve"> and washing, for agriculture, food, storm protection and flood resistance, and </w:t>
      </w:r>
      <w:r w:rsidR="00F71ECE" w:rsidRPr="00734EA7">
        <w:rPr>
          <w:rFonts w:ascii="Calibri" w:hAnsi="Calibri" w:cs="Calibri"/>
        </w:rPr>
        <w:t>provide other services such as carbon sinks, transport, leisure and spiritual and cultural inspiration</w:t>
      </w:r>
      <w:r w:rsidRPr="00734EA7">
        <w:rPr>
          <w:rFonts w:ascii="Calibri" w:hAnsi="Calibri" w:cs="Calibri"/>
        </w:rPr>
        <w:t xml:space="preserve">. Wetlands have important economic </w:t>
      </w:r>
      <w:r w:rsidR="00F71ECE" w:rsidRPr="00734EA7">
        <w:rPr>
          <w:rFonts w:ascii="Calibri" w:hAnsi="Calibri" w:cs="Calibri"/>
        </w:rPr>
        <w:t xml:space="preserve">and non-economic </w:t>
      </w:r>
      <w:r w:rsidRPr="00734EA7">
        <w:rPr>
          <w:rFonts w:ascii="Calibri" w:hAnsi="Calibri" w:cs="Calibri"/>
        </w:rPr>
        <w:t>value</w:t>
      </w:r>
      <w:r w:rsidR="00F71ECE" w:rsidRPr="00734EA7">
        <w:rPr>
          <w:rFonts w:ascii="Calibri" w:hAnsi="Calibri" w:cs="Calibri"/>
        </w:rPr>
        <w:t>s</w:t>
      </w:r>
      <w:r w:rsidRPr="00734EA7">
        <w:rPr>
          <w:rFonts w:ascii="Calibri" w:hAnsi="Calibri" w:cs="Calibri"/>
        </w:rPr>
        <w:t>, and are the basis of all civilizations and our natural world.</w:t>
      </w:r>
    </w:p>
    <w:p w:rsidR="005B7EC2" w:rsidRPr="00734EA7" w:rsidRDefault="005B7EC2" w:rsidP="000A1BE5">
      <w:pPr>
        <w:pStyle w:val="ListParagraph"/>
        <w:spacing w:after="0" w:line="240" w:lineRule="auto"/>
        <w:ind w:left="426"/>
        <w:rPr>
          <w:rFonts w:ascii="Calibri" w:hAnsi="Calibri" w:cs="Calibri"/>
        </w:rPr>
      </w:pPr>
    </w:p>
    <w:p w:rsidR="00FD3E95" w:rsidRPr="00734EA7" w:rsidRDefault="00F71ECE"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Recent studies show that 64% of </w:t>
      </w:r>
      <w:r w:rsidR="005B7EC2" w:rsidRPr="00734EA7">
        <w:rPr>
          <w:rFonts w:ascii="Calibri" w:hAnsi="Calibri" w:cs="Calibri"/>
        </w:rPr>
        <w:t xml:space="preserve">wetlands </w:t>
      </w:r>
      <w:r w:rsidRPr="00734EA7">
        <w:rPr>
          <w:rFonts w:ascii="Calibri" w:hAnsi="Calibri" w:cs="Calibri"/>
        </w:rPr>
        <w:t xml:space="preserve">have been lost in the last 100 years and that 76% of wetland wildlife populations have been lost in the last 40 years. </w:t>
      </w:r>
      <w:r w:rsidR="00FD3E95" w:rsidRPr="00734EA7">
        <w:rPr>
          <w:rFonts w:ascii="Calibri" w:hAnsi="Calibri" w:cs="Calibri"/>
        </w:rPr>
        <w:t>Wetlands are still being</w:t>
      </w:r>
      <w:r w:rsidR="005B7EC2" w:rsidRPr="00734EA7">
        <w:rPr>
          <w:rFonts w:ascii="Calibri" w:hAnsi="Calibri" w:cs="Calibri"/>
        </w:rPr>
        <w:t xml:space="preserve"> degraded or lost due to our increasing demands for land and water for agriculture, economic development, urbanisation and </w:t>
      </w:r>
      <w:r w:rsidR="00FD3E95" w:rsidRPr="00734EA7">
        <w:rPr>
          <w:rFonts w:ascii="Calibri" w:hAnsi="Calibri" w:cs="Calibri"/>
        </w:rPr>
        <w:t>other</w:t>
      </w:r>
      <w:r w:rsidR="005B7EC2" w:rsidRPr="00734EA7">
        <w:rPr>
          <w:rFonts w:ascii="Calibri" w:hAnsi="Calibri" w:cs="Calibri"/>
        </w:rPr>
        <w:t xml:space="preserve"> domestic and industrial use</w:t>
      </w:r>
      <w:r w:rsidR="00FD3E95" w:rsidRPr="00734EA7">
        <w:rPr>
          <w:rFonts w:ascii="Calibri" w:hAnsi="Calibri" w:cs="Calibri"/>
        </w:rPr>
        <w:t>, and the situation is worsened by climate change</w:t>
      </w:r>
      <w:r w:rsidR="005B7EC2" w:rsidRPr="00734EA7">
        <w:rPr>
          <w:rFonts w:ascii="Calibri" w:hAnsi="Calibri" w:cs="Calibri"/>
        </w:rPr>
        <w:t xml:space="preserve">. </w:t>
      </w:r>
      <w:r w:rsidR="00FD3E95" w:rsidRPr="00734EA7">
        <w:rPr>
          <w:rFonts w:ascii="Calibri" w:hAnsi="Calibri" w:cs="Calibri"/>
        </w:rPr>
        <w:t>The loss of</w:t>
      </w:r>
      <w:r w:rsidR="005B7EC2" w:rsidRPr="00734EA7">
        <w:rPr>
          <w:rFonts w:ascii="Calibri" w:hAnsi="Calibri" w:cs="Calibri"/>
        </w:rPr>
        <w:t xml:space="preserve"> wetlands could increase further with a growing human population, reaching nine billion by 2050, and with a growing population that increasingly seeks the same benefits as the Western world. The pressure on wetlands </w:t>
      </w:r>
      <w:r w:rsidR="00FD3E95" w:rsidRPr="00734EA7">
        <w:rPr>
          <w:rFonts w:ascii="Calibri" w:hAnsi="Calibri" w:cs="Calibri"/>
        </w:rPr>
        <w:t>is increasing</w:t>
      </w:r>
      <w:r w:rsidR="005B7EC2" w:rsidRPr="00734EA7">
        <w:rPr>
          <w:rFonts w:ascii="Calibri" w:hAnsi="Calibri" w:cs="Calibri"/>
        </w:rPr>
        <w:t>, while the understanding of the benefits they bring has not grown</w:t>
      </w:r>
      <w:r w:rsidR="00FD3E95" w:rsidRPr="00734EA7">
        <w:rPr>
          <w:rFonts w:ascii="Calibri" w:hAnsi="Calibri" w:cs="Calibri"/>
        </w:rPr>
        <w:t>. Our role as the Wetlands Convention must be to stop, slow and reverse the loss and degradation of wetlands and to prevent future loss and degradation.</w:t>
      </w:r>
    </w:p>
    <w:p w:rsidR="005B7EC2" w:rsidRPr="00734EA7" w:rsidRDefault="005B7EC2" w:rsidP="000A1BE5">
      <w:pPr>
        <w:pStyle w:val="ListParagraph"/>
        <w:spacing w:after="0" w:line="240" w:lineRule="auto"/>
        <w:ind w:left="426"/>
        <w:rPr>
          <w:rFonts w:ascii="Calibri" w:hAnsi="Calibri" w:cs="Calibri"/>
        </w:rPr>
      </w:pPr>
    </w:p>
    <w:p w:rsidR="005B7EC2" w:rsidRPr="00734EA7" w:rsidRDefault="00FD3E95"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All of us must learn to balance development against wise use, and we can help </w:t>
      </w:r>
      <w:r w:rsidR="005B7EC2" w:rsidRPr="00734EA7">
        <w:rPr>
          <w:rFonts w:ascii="Calibri" w:hAnsi="Calibri" w:cs="Calibri"/>
        </w:rPr>
        <w:t xml:space="preserve">and </w:t>
      </w:r>
      <w:r w:rsidRPr="00734EA7">
        <w:rPr>
          <w:rFonts w:ascii="Calibri" w:hAnsi="Calibri" w:cs="Calibri"/>
        </w:rPr>
        <w:t xml:space="preserve">support stakeholders </w:t>
      </w:r>
      <w:r w:rsidR="005B7EC2" w:rsidRPr="00734EA7">
        <w:rPr>
          <w:rFonts w:ascii="Calibri" w:hAnsi="Calibri" w:cs="Calibri"/>
        </w:rPr>
        <w:t xml:space="preserve">to </w:t>
      </w:r>
      <w:r w:rsidRPr="00734EA7">
        <w:rPr>
          <w:rFonts w:ascii="Calibri" w:hAnsi="Calibri" w:cs="Calibri"/>
        </w:rPr>
        <w:t>seize</w:t>
      </w:r>
      <w:r w:rsidR="005B7EC2" w:rsidRPr="00734EA7">
        <w:rPr>
          <w:rFonts w:ascii="Calibri" w:hAnsi="Calibri" w:cs="Calibri"/>
        </w:rPr>
        <w:t xml:space="preserve"> </w:t>
      </w:r>
      <w:r w:rsidRPr="00734EA7">
        <w:rPr>
          <w:rFonts w:ascii="Calibri" w:hAnsi="Calibri" w:cs="Calibri"/>
        </w:rPr>
        <w:t>alternatives to destruction of natural infrastructure and show examples of good win-win practices</w:t>
      </w:r>
      <w:r w:rsidR="005B7EC2" w:rsidRPr="00734EA7">
        <w:rPr>
          <w:rFonts w:ascii="Calibri" w:hAnsi="Calibri" w:cs="Calibri"/>
        </w:rPr>
        <w:t xml:space="preserve">. </w:t>
      </w:r>
      <w:r w:rsidRPr="00734EA7">
        <w:rPr>
          <w:rFonts w:ascii="Calibri" w:hAnsi="Calibri" w:cs="Calibri"/>
        </w:rPr>
        <w:t>If we want to</w:t>
      </w:r>
      <w:r w:rsidR="005B7EC2" w:rsidRPr="00734EA7">
        <w:rPr>
          <w:rFonts w:ascii="Calibri" w:hAnsi="Calibri" w:cs="Calibri"/>
        </w:rPr>
        <w:t xml:space="preserve"> ensure that wetlands are managed sustainably, stop their </w:t>
      </w:r>
      <w:r w:rsidRPr="00734EA7">
        <w:rPr>
          <w:rFonts w:ascii="Calibri" w:hAnsi="Calibri" w:cs="Calibri"/>
        </w:rPr>
        <w:lastRenderedPageBreak/>
        <w:t xml:space="preserve">increasing </w:t>
      </w:r>
      <w:r w:rsidR="005B7EC2" w:rsidRPr="00734EA7">
        <w:rPr>
          <w:rFonts w:ascii="Calibri" w:hAnsi="Calibri" w:cs="Calibri"/>
        </w:rPr>
        <w:t xml:space="preserve">loss and restore degraded wetlands </w:t>
      </w:r>
      <w:r w:rsidRPr="00734EA7">
        <w:rPr>
          <w:rFonts w:ascii="Calibri" w:hAnsi="Calibri" w:cs="Calibri"/>
        </w:rPr>
        <w:t>to</w:t>
      </w:r>
      <w:r w:rsidR="005B7EC2" w:rsidRPr="00734EA7">
        <w:rPr>
          <w:rFonts w:ascii="Calibri" w:hAnsi="Calibri" w:cs="Calibri"/>
        </w:rPr>
        <w:t xml:space="preserve"> provide their natural ben</w:t>
      </w:r>
      <w:r w:rsidRPr="00734EA7">
        <w:rPr>
          <w:rFonts w:ascii="Calibri" w:hAnsi="Calibri" w:cs="Calibri"/>
        </w:rPr>
        <w:t>efits and services</w:t>
      </w:r>
      <w:r w:rsidR="00577E03" w:rsidRPr="00734EA7">
        <w:rPr>
          <w:rFonts w:ascii="Calibri" w:hAnsi="Calibri" w:cs="Calibri"/>
        </w:rPr>
        <w:t xml:space="preserve"> into the future</w:t>
      </w:r>
      <w:r w:rsidRPr="00734EA7">
        <w:rPr>
          <w:rFonts w:ascii="Calibri" w:hAnsi="Calibri" w:cs="Calibri"/>
        </w:rPr>
        <w:t xml:space="preserve">, we </w:t>
      </w:r>
      <w:r w:rsidR="00577E03" w:rsidRPr="00734EA7">
        <w:rPr>
          <w:rFonts w:ascii="Calibri" w:hAnsi="Calibri" w:cs="Calibri"/>
        </w:rPr>
        <w:t>should</w:t>
      </w:r>
      <w:r w:rsidRPr="00734EA7">
        <w:rPr>
          <w:rFonts w:ascii="Calibri" w:hAnsi="Calibri" w:cs="Calibri"/>
        </w:rPr>
        <w:t xml:space="preserve"> </w:t>
      </w:r>
      <w:r w:rsidR="005B7EC2" w:rsidRPr="00734EA7">
        <w:rPr>
          <w:rFonts w:ascii="Calibri" w:hAnsi="Calibri" w:cs="Calibri"/>
        </w:rPr>
        <w:t xml:space="preserve">design our approach around four areas of work: </w:t>
      </w:r>
    </w:p>
    <w:p w:rsidR="005B7EC2" w:rsidRDefault="005B7EC2" w:rsidP="00734EA7">
      <w:pPr>
        <w:spacing w:after="0" w:line="240" w:lineRule="auto"/>
        <w:rPr>
          <w:rFonts w:cstheme="minorHAnsi"/>
          <w:bCs/>
          <w:sz w:val="24"/>
          <w:highlight w:val="yellow"/>
        </w:rPr>
      </w:pPr>
    </w:p>
    <w:p w:rsidR="00FA5750" w:rsidRPr="00D30D6B" w:rsidRDefault="00FA5750" w:rsidP="00734EA7">
      <w:pPr>
        <w:pStyle w:val="ListParagraph"/>
        <w:numPr>
          <w:ilvl w:val="0"/>
          <w:numId w:val="9"/>
        </w:numPr>
        <w:spacing w:after="0" w:line="240" w:lineRule="auto"/>
        <w:rPr>
          <w:rFonts w:cstheme="minorHAnsi"/>
          <w:b/>
          <w:bCs/>
        </w:rPr>
      </w:pPr>
      <w:r w:rsidRPr="00D30D6B">
        <w:rPr>
          <w:rFonts w:cstheme="minorHAnsi"/>
          <w:b/>
          <w:bCs/>
        </w:rPr>
        <w:t xml:space="preserve">Communications and </w:t>
      </w:r>
      <w:r w:rsidR="000A1BE5" w:rsidRPr="00D30D6B">
        <w:rPr>
          <w:rFonts w:cstheme="minorHAnsi"/>
          <w:b/>
          <w:bCs/>
        </w:rPr>
        <w:t>o</w:t>
      </w:r>
      <w:r w:rsidR="000A4B70" w:rsidRPr="00D30D6B">
        <w:rPr>
          <w:rFonts w:cstheme="minorHAnsi"/>
          <w:b/>
          <w:bCs/>
        </w:rPr>
        <w:t>utreach</w:t>
      </w:r>
    </w:p>
    <w:p w:rsidR="00FA5750" w:rsidRPr="00D30D6B" w:rsidRDefault="000462BC" w:rsidP="00734EA7">
      <w:pPr>
        <w:pStyle w:val="ListParagraph"/>
        <w:numPr>
          <w:ilvl w:val="0"/>
          <w:numId w:val="9"/>
        </w:numPr>
        <w:spacing w:after="0" w:line="240" w:lineRule="auto"/>
        <w:rPr>
          <w:rFonts w:cstheme="minorHAnsi"/>
          <w:b/>
          <w:bCs/>
        </w:rPr>
      </w:pPr>
      <w:r w:rsidRPr="00D30D6B">
        <w:rPr>
          <w:rFonts w:cstheme="minorHAnsi"/>
          <w:b/>
          <w:bCs/>
        </w:rPr>
        <w:t>Helping countries by building c</w:t>
      </w:r>
      <w:r w:rsidR="00FA5750" w:rsidRPr="00D30D6B">
        <w:rPr>
          <w:rFonts w:cstheme="minorHAnsi"/>
          <w:b/>
          <w:bCs/>
        </w:rPr>
        <w:t>apacit</w:t>
      </w:r>
      <w:r w:rsidR="00526D65" w:rsidRPr="00D30D6B">
        <w:rPr>
          <w:rFonts w:cstheme="minorHAnsi"/>
          <w:b/>
          <w:bCs/>
        </w:rPr>
        <w:t>y</w:t>
      </w:r>
      <w:r w:rsidR="00FA5750" w:rsidRPr="00D30D6B">
        <w:rPr>
          <w:rFonts w:cstheme="minorHAnsi"/>
          <w:b/>
          <w:bCs/>
        </w:rPr>
        <w:t xml:space="preserve"> </w:t>
      </w:r>
    </w:p>
    <w:p w:rsidR="00FA5750" w:rsidRPr="00D30D6B" w:rsidRDefault="00FA5750" w:rsidP="00734EA7">
      <w:pPr>
        <w:pStyle w:val="ListParagraph"/>
        <w:numPr>
          <w:ilvl w:val="0"/>
          <w:numId w:val="9"/>
        </w:numPr>
        <w:spacing w:after="0" w:line="240" w:lineRule="auto"/>
        <w:rPr>
          <w:rFonts w:cstheme="minorHAnsi"/>
          <w:b/>
          <w:bCs/>
        </w:rPr>
      </w:pPr>
      <w:r w:rsidRPr="00D30D6B">
        <w:rPr>
          <w:rFonts w:cstheme="minorHAnsi"/>
          <w:b/>
          <w:bCs/>
        </w:rPr>
        <w:t>Partnerships</w:t>
      </w:r>
      <w:r w:rsidR="000462BC" w:rsidRPr="00D30D6B">
        <w:rPr>
          <w:rFonts w:cstheme="minorHAnsi"/>
          <w:b/>
          <w:bCs/>
        </w:rPr>
        <w:t xml:space="preserve"> to achieve goals</w:t>
      </w:r>
    </w:p>
    <w:p w:rsidR="00FA5750" w:rsidRPr="00D30D6B" w:rsidRDefault="00FA5750" w:rsidP="00734EA7">
      <w:pPr>
        <w:pStyle w:val="ListParagraph"/>
        <w:numPr>
          <w:ilvl w:val="0"/>
          <w:numId w:val="9"/>
        </w:numPr>
        <w:spacing w:after="0" w:line="240" w:lineRule="auto"/>
        <w:rPr>
          <w:b/>
        </w:rPr>
      </w:pPr>
      <w:r w:rsidRPr="00D30D6B">
        <w:rPr>
          <w:b/>
        </w:rPr>
        <w:t xml:space="preserve">Measurement of the status and values of wetlands </w:t>
      </w:r>
    </w:p>
    <w:p w:rsidR="00AF2F46" w:rsidRPr="00D30D6B" w:rsidRDefault="00AF2F46" w:rsidP="00734EA7">
      <w:pPr>
        <w:spacing w:after="0" w:line="240" w:lineRule="auto"/>
        <w:rPr>
          <w:rFonts w:cstheme="minorHAnsi"/>
          <w:bCs/>
          <w:highlight w:val="yellow"/>
        </w:rPr>
      </w:pPr>
    </w:p>
    <w:p w:rsidR="005B7EC2" w:rsidRPr="00D30D6B" w:rsidRDefault="005B7EC2" w:rsidP="000A1BE5">
      <w:pPr>
        <w:pStyle w:val="ListParagraph"/>
        <w:numPr>
          <w:ilvl w:val="0"/>
          <w:numId w:val="10"/>
        </w:numPr>
        <w:spacing w:after="0" w:line="240" w:lineRule="auto"/>
        <w:rPr>
          <w:rFonts w:cstheme="minorHAnsi"/>
          <w:b/>
          <w:bCs/>
        </w:rPr>
      </w:pPr>
      <w:r w:rsidRPr="00D30D6B">
        <w:rPr>
          <w:rFonts w:cstheme="minorHAnsi"/>
          <w:b/>
          <w:bCs/>
        </w:rPr>
        <w:t xml:space="preserve">Communications and </w:t>
      </w:r>
      <w:r w:rsidR="000A1BE5" w:rsidRPr="00D30D6B">
        <w:rPr>
          <w:rFonts w:cstheme="minorHAnsi"/>
          <w:b/>
          <w:bCs/>
        </w:rPr>
        <w:t>o</w:t>
      </w:r>
      <w:r w:rsidR="000A4B70" w:rsidRPr="00D30D6B">
        <w:rPr>
          <w:rFonts w:cstheme="minorHAnsi"/>
          <w:b/>
          <w:bCs/>
        </w:rPr>
        <w:t>utreach</w:t>
      </w:r>
    </w:p>
    <w:p w:rsidR="00526D65" w:rsidRPr="00577E03" w:rsidRDefault="00526D65" w:rsidP="00734EA7">
      <w:pPr>
        <w:pStyle w:val="ListParagraph"/>
        <w:spacing w:after="0" w:line="240" w:lineRule="auto"/>
        <w:rPr>
          <w:rFonts w:cstheme="minorHAnsi"/>
          <w:b/>
          <w:bCs/>
          <w:sz w:val="24"/>
        </w:rPr>
      </w:pPr>
    </w:p>
    <w:p w:rsidR="00A20E2A" w:rsidRPr="00734EA7" w:rsidRDefault="005B7EC2"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Many people </w:t>
      </w:r>
      <w:r w:rsidR="00577E03" w:rsidRPr="00734EA7">
        <w:rPr>
          <w:rFonts w:ascii="Calibri" w:hAnsi="Calibri" w:cs="Calibri"/>
        </w:rPr>
        <w:t>still</w:t>
      </w:r>
      <w:r w:rsidRPr="00734EA7">
        <w:rPr>
          <w:rFonts w:ascii="Calibri" w:hAnsi="Calibri" w:cs="Calibri"/>
        </w:rPr>
        <w:t xml:space="preserve"> do not realize the importance of wetlands </w:t>
      </w:r>
      <w:r w:rsidR="00577E03" w:rsidRPr="00734EA7">
        <w:rPr>
          <w:rFonts w:ascii="Calibri" w:hAnsi="Calibri" w:cs="Calibri"/>
        </w:rPr>
        <w:t>to their lives, nor</w:t>
      </w:r>
      <w:r w:rsidRPr="00734EA7">
        <w:rPr>
          <w:rFonts w:ascii="Calibri" w:hAnsi="Calibri" w:cs="Calibri"/>
        </w:rPr>
        <w:t xml:space="preserve"> the threats they face. By reaching out to them with targeted messages, and with the support of local champions and global ambassadors, we can affect their idea of wetlands and stimulate interest and engagement. W</w:t>
      </w:r>
      <w:r w:rsidR="00577E03" w:rsidRPr="00734EA7">
        <w:rPr>
          <w:rFonts w:ascii="Calibri" w:hAnsi="Calibri" w:cs="Calibri"/>
        </w:rPr>
        <w:t>ith the help of supporters, we are</w:t>
      </w:r>
      <w:r w:rsidRPr="00734EA7">
        <w:rPr>
          <w:rFonts w:ascii="Calibri" w:hAnsi="Calibri" w:cs="Calibri"/>
        </w:rPr>
        <w:t xml:space="preserve"> set</w:t>
      </w:r>
      <w:r w:rsidR="00577E03" w:rsidRPr="00734EA7">
        <w:rPr>
          <w:rFonts w:ascii="Calibri" w:hAnsi="Calibri" w:cs="Calibri"/>
        </w:rPr>
        <w:t>ting</w:t>
      </w:r>
      <w:r w:rsidRPr="00734EA7">
        <w:rPr>
          <w:rFonts w:ascii="Calibri" w:hAnsi="Calibri" w:cs="Calibri"/>
        </w:rPr>
        <w:t xml:space="preserve"> up public awareness campaign</w:t>
      </w:r>
      <w:r w:rsidR="00577E03" w:rsidRPr="00734EA7">
        <w:rPr>
          <w:rFonts w:ascii="Calibri" w:hAnsi="Calibri" w:cs="Calibri"/>
        </w:rPr>
        <w:t>s with</w:t>
      </w:r>
      <w:r w:rsidRPr="00734EA7">
        <w:rPr>
          <w:rFonts w:ascii="Calibri" w:hAnsi="Calibri" w:cs="Calibri"/>
        </w:rPr>
        <w:t xml:space="preserve"> traditional and new media</w:t>
      </w:r>
      <w:r w:rsidR="00577E03" w:rsidRPr="00734EA7">
        <w:rPr>
          <w:rFonts w:ascii="Calibri" w:hAnsi="Calibri" w:cs="Calibri"/>
        </w:rPr>
        <w:t xml:space="preserve"> to</w:t>
      </w:r>
      <w:r w:rsidRPr="00734EA7">
        <w:rPr>
          <w:rFonts w:ascii="Calibri" w:hAnsi="Calibri" w:cs="Calibri"/>
        </w:rPr>
        <w:t xml:space="preserve"> increase awareness about wetlands among </w:t>
      </w:r>
      <w:r w:rsidR="00577E03" w:rsidRPr="00734EA7">
        <w:rPr>
          <w:rFonts w:ascii="Calibri" w:hAnsi="Calibri" w:cs="Calibri"/>
        </w:rPr>
        <w:t xml:space="preserve">the youth and other </w:t>
      </w:r>
      <w:r w:rsidRPr="00734EA7">
        <w:rPr>
          <w:rFonts w:ascii="Calibri" w:hAnsi="Calibri" w:cs="Calibri"/>
        </w:rPr>
        <w:t xml:space="preserve">target groups, and encourage local </w:t>
      </w:r>
      <w:r w:rsidR="00577E03" w:rsidRPr="00734EA7">
        <w:rPr>
          <w:rFonts w:ascii="Calibri" w:hAnsi="Calibri" w:cs="Calibri"/>
        </w:rPr>
        <w:t xml:space="preserve">involvement and </w:t>
      </w:r>
      <w:r w:rsidRPr="00734EA7">
        <w:rPr>
          <w:rFonts w:ascii="Calibri" w:hAnsi="Calibri" w:cs="Calibri"/>
        </w:rPr>
        <w:t xml:space="preserve">solutions. </w:t>
      </w:r>
      <w:r w:rsidR="00577E03" w:rsidRPr="00734EA7">
        <w:rPr>
          <w:rFonts w:ascii="Calibri" w:hAnsi="Calibri" w:cs="Calibri"/>
        </w:rPr>
        <w:t xml:space="preserve">We need to explain the simple, clear message that </w:t>
      </w:r>
      <w:r w:rsidRPr="00734EA7">
        <w:rPr>
          <w:rFonts w:ascii="Calibri" w:hAnsi="Calibri" w:cs="Calibri"/>
        </w:rPr>
        <w:t>wetlands are the source of water for us all</w:t>
      </w:r>
      <w:r w:rsidR="00577E03" w:rsidRPr="00734EA7">
        <w:rPr>
          <w:rFonts w:ascii="Calibri" w:hAnsi="Calibri" w:cs="Calibri"/>
        </w:rPr>
        <w:t>, that they are under threat</w:t>
      </w:r>
      <w:r w:rsidR="00A20E2A" w:rsidRPr="00734EA7">
        <w:rPr>
          <w:rFonts w:ascii="Calibri" w:hAnsi="Calibri" w:cs="Calibri"/>
        </w:rPr>
        <w:t>.</w:t>
      </w:r>
      <w:r w:rsidR="000A1BE5">
        <w:rPr>
          <w:rFonts w:ascii="Calibri" w:hAnsi="Calibri" w:cs="Calibri"/>
        </w:rPr>
        <w:t xml:space="preserve"> </w:t>
      </w:r>
      <w:r w:rsidR="00A20E2A" w:rsidRPr="00734EA7">
        <w:rPr>
          <w:rFonts w:ascii="Calibri" w:hAnsi="Calibri" w:cs="Calibri"/>
        </w:rPr>
        <w:t>A campaign that attracts attention and sparks the imagination can make attitudes change and bring energies to focus on the future of our wetlands,</w:t>
      </w:r>
    </w:p>
    <w:p w:rsidR="00A20E2A" w:rsidRPr="00734EA7" w:rsidRDefault="00A20E2A" w:rsidP="000A1BE5">
      <w:pPr>
        <w:pStyle w:val="ListParagraph"/>
        <w:spacing w:after="0" w:line="240" w:lineRule="auto"/>
        <w:ind w:left="426"/>
        <w:rPr>
          <w:rFonts w:ascii="Calibri" w:hAnsi="Calibri" w:cs="Calibri"/>
        </w:rPr>
      </w:pPr>
    </w:p>
    <w:p w:rsidR="005B7EC2" w:rsidRPr="00734EA7" w:rsidRDefault="00A20E2A"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It is a fact that is all too easily overlooked t</w:t>
      </w:r>
      <w:r w:rsidR="005B7EC2" w:rsidRPr="00734EA7">
        <w:rPr>
          <w:rFonts w:ascii="Calibri" w:hAnsi="Calibri" w:cs="Calibri"/>
        </w:rPr>
        <w:t xml:space="preserve">hat we spend </w:t>
      </w:r>
      <w:r w:rsidR="00B417BA" w:rsidRPr="00734EA7">
        <w:rPr>
          <w:rFonts w:ascii="Calibri" w:hAnsi="Calibri" w:cs="Calibri"/>
        </w:rPr>
        <w:t>more</w:t>
      </w:r>
      <w:r w:rsidR="00577E03" w:rsidRPr="00734EA7">
        <w:rPr>
          <w:rFonts w:ascii="Calibri" w:hAnsi="Calibri" w:cs="Calibri"/>
        </w:rPr>
        <w:t xml:space="preserve"> </w:t>
      </w:r>
      <w:r w:rsidR="00B417BA" w:rsidRPr="00734EA7">
        <w:rPr>
          <w:rFonts w:ascii="Calibri" w:hAnsi="Calibri" w:cs="Calibri"/>
        </w:rPr>
        <w:t xml:space="preserve">pleasure </w:t>
      </w:r>
      <w:r w:rsidR="00577E03" w:rsidRPr="00734EA7">
        <w:rPr>
          <w:rFonts w:ascii="Calibri" w:hAnsi="Calibri" w:cs="Calibri"/>
        </w:rPr>
        <w:t>money</w:t>
      </w:r>
      <w:r w:rsidR="00B417BA" w:rsidRPr="00734EA7">
        <w:rPr>
          <w:rFonts w:ascii="Calibri" w:hAnsi="Calibri" w:cs="Calibri"/>
        </w:rPr>
        <w:t xml:space="preserve"> on wetlands than any other ecosystem</w:t>
      </w:r>
      <w:r w:rsidR="00577E03" w:rsidRPr="00734EA7">
        <w:rPr>
          <w:rFonts w:ascii="Calibri" w:hAnsi="Calibri" w:cs="Calibri"/>
        </w:rPr>
        <w:t xml:space="preserve"> and </w:t>
      </w:r>
      <w:r w:rsidR="00B417BA" w:rsidRPr="00734EA7">
        <w:rPr>
          <w:rFonts w:ascii="Calibri" w:hAnsi="Calibri" w:cs="Calibri"/>
        </w:rPr>
        <w:t xml:space="preserve">devote </w:t>
      </w:r>
      <w:r w:rsidR="00577E03" w:rsidRPr="00734EA7">
        <w:rPr>
          <w:rFonts w:ascii="Calibri" w:hAnsi="Calibri" w:cs="Calibri"/>
        </w:rPr>
        <w:t>most of our leisure</w:t>
      </w:r>
      <w:r w:rsidR="005B7EC2" w:rsidRPr="00734EA7">
        <w:rPr>
          <w:rFonts w:ascii="Calibri" w:hAnsi="Calibri" w:cs="Calibri"/>
        </w:rPr>
        <w:t xml:space="preserve"> time </w:t>
      </w:r>
      <w:r w:rsidR="00B417BA" w:rsidRPr="00734EA7">
        <w:rPr>
          <w:rFonts w:ascii="Calibri" w:hAnsi="Calibri" w:cs="Calibri"/>
        </w:rPr>
        <w:t>to</w:t>
      </w:r>
      <w:r w:rsidR="005B7EC2" w:rsidRPr="00734EA7">
        <w:rPr>
          <w:rFonts w:ascii="Calibri" w:hAnsi="Calibri" w:cs="Calibri"/>
        </w:rPr>
        <w:t xml:space="preserve"> wetlands</w:t>
      </w:r>
      <w:r w:rsidR="00B417BA" w:rsidRPr="00734EA7">
        <w:rPr>
          <w:rFonts w:ascii="Calibri" w:hAnsi="Calibri" w:cs="Calibri"/>
        </w:rPr>
        <w:t>, above and below the surface</w:t>
      </w:r>
      <w:r w:rsidR="005B7EC2" w:rsidRPr="00734EA7">
        <w:rPr>
          <w:rFonts w:ascii="Calibri" w:hAnsi="Calibri" w:cs="Calibri"/>
        </w:rPr>
        <w:t xml:space="preserve"> (</w:t>
      </w:r>
      <w:r w:rsidR="00577E03" w:rsidRPr="00734EA7">
        <w:rPr>
          <w:rFonts w:ascii="Calibri" w:hAnsi="Calibri" w:cs="Calibri"/>
        </w:rPr>
        <w:t>i</w:t>
      </w:r>
      <w:r w:rsidR="000A1BE5">
        <w:rPr>
          <w:rFonts w:ascii="Calibri" w:hAnsi="Calibri" w:cs="Calibri"/>
        </w:rPr>
        <w:t>.</w:t>
      </w:r>
      <w:r w:rsidR="00577E03" w:rsidRPr="00734EA7">
        <w:rPr>
          <w:rFonts w:ascii="Calibri" w:hAnsi="Calibri" w:cs="Calibri"/>
        </w:rPr>
        <w:t>e</w:t>
      </w:r>
      <w:r w:rsidR="000A1BE5">
        <w:rPr>
          <w:rFonts w:ascii="Calibri" w:hAnsi="Calibri" w:cs="Calibri"/>
        </w:rPr>
        <w:t>.</w:t>
      </w:r>
      <w:r w:rsidR="00577E03" w:rsidRPr="00734EA7">
        <w:rPr>
          <w:rFonts w:ascii="Calibri" w:hAnsi="Calibri" w:cs="Calibri"/>
        </w:rPr>
        <w:t xml:space="preserve"> </w:t>
      </w:r>
      <w:r w:rsidR="00B417BA" w:rsidRPr="00734EA7">
        <w:rPr>
          <w:rFonts w:ascii="Calibri" w:hAnsi="Calibri" w:cs="Calibri"/>
        </w:rPr>
        <w:t xml:space="preserve">coasts, </w:t>
      </w:r>
      <w:r w:rsidR="005B7EC2" w:rsidRPr="00734EA7">
        <w:rPr>
          <w:rFonts w:ascii="Calibri" w:hAnsi="Calibri" w:cs="Calibri"/>
        </w:rPr>
        <w:t xml:space="preserve">beaches, </w:t>
      </w:r>
      <w:r w:rsidR="00577E03" w:rsidRPr="00734EA7">
        <w:rPr>
          <w:rFonts w:ascii="Calibri" w:hAnsi="Calibri" w:cs="Calibri"/>
        </w:rPr>
        <w:t xml:space="preserve">coral reefs, ponds, streams, </w:t>
      </w:r>
      <w:r w:rsidR="005B7EC2" w:rsidRPr="00734EA7">
        <w:rPr>
          <w:rFonts w:ascii="Calibri" w:hAnsi="Calibri" w:cs="Calibri"/>
        </w:rPr>
        <w:t>lakes, rivers, etc)</w:t>
      </w:r>
      <w:r w:rsidR="00577E03" w:rsidRPr="00734EA7">
        <w:rPr>
          <w:rFonts w:ascii="Calibri" w:hAnsi="Calibri" w:cs="Calibri"/>
        </w:rPr>
        <w:t xml:space="preserve">. </w:t>
      </w:r>
      <w:r w:rsidRPr="00734EA7">
        <w:rPr>
          <w:rFonts w:ascii="Calibri" w:hAnsi="Calibri" w:cs="Calibri"/>
        </w:rPr>
        <w:t xml:space="preserve">We </w:t>
      </w:r>
      <w:r w:rsidR="00AF2F46" w:rsidRPr="00734EA7">
        <w:rPr>
          <w:rFonts w:ascii="Calibri" w:hAnsi="Calibri" w:cs="Calibri"/>
        </w:rPr>
        <w:t>need</w:t>
      </w:r>
      <w:r w:rsidRPr="00734EA7">
        <w:rPr>
          <w:rFonts w:ascii="Calibri" w:hAnsi="Calibri" w:cs="Calibri"/>
        </w:rPr>
        <w:t xml:space="preserve"> to know the value of investments on leisure in wetland and then find ways to engage the enthusiasts and those working to maintain healthy </w:t>
      </w:r>
      <w:r w:rsidR="00B417BA" w:rsidRPr="00734EA7">
        <w:rPr>
          <w:rFonts w:ascii="Calibri" w:hAnsi="Calibri" w:cs="Calibri"/>
        </w:rPr>
        <w:t>wetlands</w:t>
      </w:r>
      <w:r w:rsidRPr="00734EA7">
        <w:rPr>
          <w:rFonts w:ascii="Calibri" w:hAnsi="Calibri" w:cs="Calibri"/>
        </w:rPr>
        <w:t xml:space="preserve"> for their sport and engage them in the work of Ramsar. </w:t>
      </w:r>
    </w:p>
    <w:p w:rsidR="00A02BC6" w:rsidRPr="00734EA7" w:rsidRDefault="00A02BC6" w:rsidP="000A1BE5">
      <w:pPr>
        <w:pStyle w:val="ListParagraph"/>
        <w:spacing w:after="0" w:line="240" w:lineRule="auto"/>
        <w:ind w:left="426"/>
        <w:rPr>
          <w:rFonts w:ascii="Calibri" w:hAnsi="Calibri" w:cs="Calibri"/>
        </w:rPr>
      </w:pPr>
    </w:p>
    <w:p w:rsidR="000A4B70" w:rsidRPr="00734EA7" w:rsidRDefault="00A02BC6"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I see that </w:t>
      </w:r>
      <w:r w:rsidR="00357373" w:rsidRPr="00734EA7">
        <w:rPr>
          <w:rFonts w:ascii="Calibri" w:hAnsi="Calibri" w:cs="Calibri"/>
        </w:rPr>
        <w:t>one</w:t>
      </w:r>
      <w:r w:rsidRPr="00734EA7">
        <w:rPr>
          <w:rFonts w:ascii="Calibri" w:hAnsi="Calibri" w:cs="Calibri"/>
        </w:rPr>
        <w:t xml:space="preserve"> critical step for the Convention to </w:t>
      </w:r>
      <w:r w:rsidR="00357373" w:rsidRPr="00734EA7">
        <w:rPr>
          <w:rFonts w:ascii="Calibri" w:hAnsi="Calibri" w:cs="Calibri"/>
        </w:rPr>
        <w:t>take now</w:t>
      </w:r>
      <w:r w:rsidRPr="00734EA7">
        <w:rPr>
          <w:rFonts w:ascii="Calibri" w:hAnsi="Calibri" w:cs="Calibri"/>
        </w:rPr>
        <w:t xml:space="preserve"> is to reach out to the wide world and get across messages that reach into hearts and homes and aspirations. Wetlands are relevant to all our lives and central to our future, but this is not a generally accepted fact </w:t>
      </w:r>
      <w:r w:rsidR="000A1BE5">
        <w:rPr>
          <w:rFonts w:ascii="Calibri" w:hAnsi="Calibri" w:cs="Calibri"/>
        </w:rPr>
        <w:t xml:space="preserve">which is </w:t>
      </w:r>
      <w:r w:rsidRPr="00734EA7">
        <w:rPr>
          <w:rFonts w:ascii="Calibri" w:hAnsi="Calibri" w:cs="Calibri"/>
        </w:rPr>
        <w:t xml:space="preserve">known or internalized </w:t>
      </w:r>
      <w:r w:rsidR="000A1BE5">
        <w:rPr>
          <w:rFonts w:ascii="Calibri" w:hAnsi="Calibri" w:cs="Calibri"/>
        </w:rPr>
        <w:t xml:space="preserve">by </w:t>
      </w:r>
      <w:r w:rsidRPr="00734EA7">
        <w:rPr>
          <w:rFonts w:ascii="Calibri" w:hAnsi="Calibri" w:cs="Calibri"/>
        </w:rPr>
        <w:t xml:space="preserve">most people. We already have key audiences to reach out </w:t>
      </w:r>
      <w:r w:rsidR="000A1BE5">
        <w:rPr>
          <w:rFonts w:ascii="Calibri" w:hAnsi="Calibri" w:cs="Calibri"/>
        </w:rPr>
        <w:t xml:space="preserve">to </w:t>
      </w:r>
      <w:r w:rsidRPr="00734EA7">
        <w:rPr>
          <w:rFonts w:ascii="Calibri" w:hAnsi="Calibri" w:cs="Calibri"/>
        </w:rPr>
        <w:t>and th</w:t>
      </w:r>
      <w:r w:rsidR="00357373" w:rsidRPr="00734EA7">
        <w:rPr>
          <w:rFonts w:ascii="Calibri" w:hAnsi="Calibri" w:cs="Calibri"/>
        </w:rPr>
        <w:t>is</w:t>
      </w:r>
      <w:r w:rsidRPr="00734EA7">
        <w:rPr>
          <w:rFonts w:ascii="Calibri" w:hAnsi="Calibri" w:cs="Calibri"/>
        </w:rPr>
        <w:t xml:space="preserve"> include</w:t>
      </w:r>
      <w:r w:rsidR="00357373" w:rsidRPr="00734EA7">
        <w:rPr>
          <w:rFonts w:ascii="Calibri" w:hAnsi="Calibri" w:cs="Calibri"/>
        </w:rPr>
        <w:t>s</w:t>
      </w:r>
      <w:r w:rsidRPr="00734EA7">
        <w:rPr>
          <w:rFonts w:ascii="Calibri" w:hAnsi="Calibri" w:cs="Calibri"/>
        </w:rPr>
        <w:t xml:space="preserve"> policy-makers, from the environment and water sectors and other related sectors and wetlands practitioners and wetland managers. We also have a need and ambition to reach out to youth since they need to be aware of their opportunities and responsibilities and what they can do to affect the future. We already have </w:t>
      </w:r>
      <w:r w:rsidR="00357373" w:rsidRPr="00734EA7">
        <w:rPr>
          <w:rFonts w:ascii="Calibri" w:hAnsi="Calibri" w:cs="Calibri"/>
        </w:rPr>
        <w:t xml:space="preserve">one </w:t>
      </w:r>
      <w:r w:rsidRPr="00734EA7">
        <w:rPr>
          <w:rFonts w:ascii="Calibri" w:hAnsi="Calibri" w:cs="Calibri"/>
        </w:rPr>
        <w:t xml:space="preserve">great tool in </w:t>
      </w:r>
      <w:r w:rsidR="00357373" w:rsidRPr="00734EA7">
        <w:rPr>
          <w:rFonts w:ascii="Calibri" w:hAnsi="Calibri" w:cs="Calibri"/>
        </w:rPr>
        <w:t xml:space="preserve">our </w:t>
      </w:r>
      <w:r w:rsidRPr="00734EA7">
        <w:rPr>
          <w:rFonts w:ascii="Calibri" w:hAnsi="Calibri" w:cs="Calibri"/>
        </w:rPr>
        <w:t>W</w:t>
      </w:r>
      <w:r w:rsidR="000A1BE5">
        <w:rPr>
          <w:rFonts w:ascii="Calibri" w:hAnsi="Calibri" w:cs="Calibri"/>
        </w:rPr>
        <w:t>orld Wetlands Day and, next year,</w:t>
      </w:r>
      <w:r w:rsidRPr="00734EA7">
        <w:rPr>
          <w:rFonts w:ascii="Calibri" w:hAnsi="Calibri" w:cs="Calibri"/>
        </w:rPr>
        <w:t xml:space="preserve"> it will focus on youth and getting increased involvement of the public in wetlands issues</w:t>
      </w:r>
      <w:r w:rsidR="00357373" w:rsidRPr="00734EA7">
        <w:rPr>
          <w:rFonts w:ascii="Calibri" w:hAnsi="Calibri" w:cs="Calibri"/>
        </w:rPr>
        <w:t xml:space="preserve"> by asking youth to take photographs of wetlands and make pledges on behalf of </w:t>
      </w:r>
      <w:r w:rsidR="000A4B70" w:rsidRPr="00734EA7">
        <w:rPr>
          <w:rFonts w:ascii="Calibri" w:hAnsi="Calibri" w:cs="Calibri"/>
        </w:rPr>
        <w:t>wetlands</w:t>
      </w:r>
      <w:r w:rsidR="00357373" w:rsidRPr="00734EA7">
        <w:rPr>
          <w:rFonts w:ascii="Calibri" w:hAnsi="Calibri" w:cs="Calibri"/>
        </w:rPr>
        <w:t xml:space="preserve"> with prizes as an added stimulus. Special </w:t>
      </w:r>
      <w:r w:rsidR="000A4B70" w:rsidRPr="00734EA7">
        <w:rPr>
          <w:rFonts w:ascii="Calibri" w:hAnsi="Calibri" w:cs="Calibri"/>
        </w:rPr>
        <w:t xml:space="preserve">WWD2015 </w:t>
      </w:r>
      <w:r w:rsidR="00357373" w:rsidRPr="00734EA7">
        <w:rPr>
          <w:rFonts w:ascii="Calibri" w:hAnsi="Calibri" w:cs="Calibri"/>
        </w:rPr>
        <w:t xml:space="preserve">information sheets </w:t>
      </w:r>
      <w:r w:rsidR="000A4B70" w:rsidRPr="00734EA7">
        <w:rPr>
          <w:rFonts w:ascii="Calibri" w:hAnsi="Calibri" w:cs="Calibri"/>
        </w:rPr>
        <w:t>are already</w:t>
      </w:r>
      <w:r w:rsidR="00357373" w:rsidRPr="00734EA7">
        <w:rPr>
          <w:rFonts w:ascii="Calibri" w:hAnsi="Calibri" w:cs="Calibri"/>
        </w:rPr>
        <w:t xml:space="preserve"> </w:t>
      </w:r>
      <w:r w:rsidR="000A4B70" w:rsidRPr="00734EA7">
        <w:rPr>
          <w:rFonts w:ascii="Calibri" w:hAnsi="Calibri" w:cs="Calibri"/>
        </w:rPr>
        <w:t>online</w:t>
      </w:r>
      <w:r w:rsidR="00357373" w:rsidRPr="00734EA7">
        <w:rPr>
          <w:rFonts w:ascii="Calibri" w:hAnsi="Calibri" w:cs="Calibri"/>
        </w:rPr>
        <w:t xml:space="preserve"> to help</w:t>
      </w:r>
      <w:r w:rsidR="000A4B70" w:rsidRPr="00734EA7">
        <w:rPr>
          <w:rFonts w:ascii="Calibri" w:hAnsi="Calibri" w:cs="Calibri"/>
        </w:rPr>
        <w:t xml:space="preserve"> get young people to understand the basics of wetlands</w:t>
      </w:r>
      <w:r w:rsidR="000A1BE5">
        <w:rPr>
          <w:rFonts w:ascii="Calibri" w:hAnsi="Calibri" w:cs="Calibri"/>
        </w:rPr>
        <w:t>,</w:t>
      </w:r>
      <w:r w:rsidR="000A4B70" w:rsidRPr="00734EA7">
        <w:rPr>
          <w:rFonts w:ascii="Calibri" w:hAnsi="Calibri" w:cs="Calibri"/>
        </w:rPr>
        <w:t xml:space="preserve"> and having this information tailored for specific audiences will define our approach to reaching out to the world. </w:t>
      </w:r>
    </w:p>
    <w:p w:rsidR="000A4B70" w:rsidRPr="00734EA7" w:rsidRDefault="000A4B70" w:rsidP="000A1BE5">
      <w:pPr>
        <w:pStyle w:val="ListParagraph"/>
        <w:spacing w:after="0" w:line="240" w:lineRule="auto"/>
        <w:ind w:left="426"/>
        <w:rPr>
          <w:rFonts w:ascii="Calibri" w:hAnsi="Calibri" w:cs="Calibri"/>
        </w:rPr>
      </w:pPr>
    </w:p>
    <w:p w:rsidR="000A4B70" w:rsidRPr="00734EA7" w:rsidRDefault="00357373"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We have also develop</w:t>
      </w:r>
      <w:r w:rsidR="000A4B70" w:rsidRPr="00734EA7">
        <w:rPr>
          <w:rFonts w:ascii="Calibri" w:hAnsi="Calibri" w:cs="Calibri"/>
        </w:rPr>
        <w:t>ed</w:t>
      </w:r>
      <w:r w:rsidRPr="00734EA7">
        <w:rPr>
          <w:rFonts w:ascii="Calibri" w:hAnsi="Calibri" w:cs="Calibri"/>
        </w:rPr>
        <w:t xml:space="preserve"> one page factsheets that treat central questions in simple clear language that can reach our target audiences and many </w:t>
      </w:r>
      <w:r w:rsidR="000A4B70" w:rsidRPr="00734EA7">
        <w:rPr>
          <w:rFonts w:ascii="Calibri" w:hAnsi="Calibri" w:cs="Calibri"/>
        </w:rPr>
        <w:t>others.</w:t>
      </w:r>
      <w:r w:rsidRPr="00734EA7">
        <w:rPr>
          <w:rFonts w:ascii="Calibri" w:hAnsi="Calibri" w:cs="Calibri"/>
        </w:rPr>
        <w:t xml:space="preserve"> The first four topics are “Wetlands</w:t>
      </w:r>
      <w:r w:rsidR="000A1BE5">
        <w:rPr>
          <w:rFonts w:ascii="Calibri" w:hAnsi="Calibri" w:cs="Calibri"/>
        </w:rPr>
        <w:t xml:space="preserve"> – W</w:t>
      </w:r>
      <w:r w:rsidRPr="00734EA7">
        <w:rPr>
          <w:rFonts w:ascii="Calibri" w:hAnsi="Calibri" w:cs="Calibri"/>
        </w:rPr>
        <w:t>hy should I care?” “Wetlands</w:t>
      </w:r>
      <w:r w:rsidR="000A1BE5">
        <w:rPr>
          <w:rFonts w:ascii="Calibri" w:hAnsi="Calibri" w:cs="Calibri"/>
        </w:rPr>
        <w:t xml:space="preserve"> – W</w:t>
      </w:r>
      <w:r w:rsidRPr="00734EA7">
        <w:rPr>
          <w:rFonts w:ascii="Calibri" w:hAnsi="Calibri" w:cs="Calibri"/>
        </w:rPr>
        <w:t>ise use basics on site” “Wetlands</w:t>
      </w:r>
      <w:r w:rsidR="000A1BE5">
        <w:rPr>
          <w:rFonts w:ascii="Calibri" w:hAnsi="Calibri" w:cs="Calibri"/>
        </w:rPr>
        <w:t xml:space="preserve"> – A</w:t>
      </w:r>
      <w:r w:rsidRPr="00734EA7">
        <w:rPr>
          <w:rFonts w:ascii="Calibri" w:hAnsi="Calibri" w:cs="Calibri"/>
        </w:rPr>
        <w:t xml:space="preserve"> global disappearing act” and “Wetlands</w:t>
      </w:r>
      <w:r w:rsidR="000A1BE5">
        <w:rPr>
          <w:rFonts w:ascii="Calibri" w:hAnsi="Calibri" w:cs="Calibri"/>
        </w:rPr>
        <w:t xml:space="preserve"> – W</w:t>
      </w:r>
      <w:r w:rsidRPr="00734EA7">
        <w:rPr>
          <w:rFonts w:ascii="Calibri" w:hAnsi="Calibri" w:cs="Calibri"/>
        </w:rPr>
        <w:t>hat can I do?</w:t>
      </w:r>
      <w:r w:rsidR="000A1BE5">
        <w:rPr>
          <w:rFonts w:ascii="Calibri" w:hAnsi="Calibri" w:cs="Calibri"/>
        </w:rPr>
        <w:t>”</w:t>
      </w:r>
      <w:r w:rsidRPr="00734EA7">
        <w:rPr>
          <w:rFonts w:ascii="Calibri" w:hAnsi="Calibri" w:cs="Calibri"/>
        </w:rPr>
        <w:t xml:space="preserve"> The continuing expansion of these factsheets will power up our outreach in</w:t>
      </w:r>
      <w:r w:rsidR="001A1A62" w:rsidRPr="00734EA7">
        <w:rPr>
          <w:rFonts w:ascii="Calibri" w:hAnsi="Calibri" w:cs="Calibri"/>
        </w:rPr>
        <w:t>to</w:t>
      </w:r>
      <w:r w:rsidRPr="00734EA7">
        <w:rPr>
          <w:rFonts w:ascii="Calibri" w:hAnsi="Calibri" w:cs="Calibri"/>
        </w:rPr>
        <w:t xml:space="preserve"> social and traditional media and allow a large range of topics to be </w:t>
      </w:r>
      <w:r w:rsidR="001A1A62" w:rsidRPr="00734EA7">
        <w:rPr>
          <w:rFonts w:ascii="Calibri" w:hAnsi="Calibri" w:cs="Calibri"/>
        </w:rPr>
        <w:t xml:space="preserve">widely </w:t>
      </w:r>
      <w:r w:rsidRPr="00734EA7">
        <w:rPr>
          <w:rFonts w:ascii="Calibri" w:hAnsi="Calibri" w:cs="Calibri"/>
        </w:rPr>
        <w:t>accessible and raise the profile of wetlands and the Convention.</w:t>
      </w:r>
      <w:r w:rsidR="000A1BE5">
        <w:rPr>
          <w:rFonts w:ascii="Calibri" w:hAnsi="Calibri" w:cs="Calibri"/>
        </w:rPr>
        <w:t xml:space="preserve"> </w:t>
      </w:r>
    </w:p>
    <w:p w:rsidR="000A4B70" w:rsidRPr="00734EA7" w:rsidRDefault="000A4B70" w:rsidP="000A1BE5">
      <w:pPr>
        <w:pStyle w:val="ListParagraph"/>
        <w:spacing w:after="0" w:line="240" w:lineRule="auto"/>
        <w:ind w:left="426"/>
        <w:rPr>
          <w:rFonts w:ascii="Calibri" w:hAnsi="Calibri" w:cs="Calibri"/>
        </w:rPr>
      </w:pPr>
    </w:p>
    <w:p w:rsidR="00DC231A" w:rsidRPr="00734EA7" w:rsidRDefault="001A1A62"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In the coming year, we </w:t>
      </w:r>
      <w:r w:rsidR="000A4B70" w:rsidRPr="00734EA7">
        <w:rPr>
          <w:rFonts w:ascii="Calibri" w:hAnsi="Calibri" w:cs="Calibri"/>
        </w:rPr>
        <w:t>seek</w:t>
      </w:r>
      <w:r w:rsidRPr="00734EA7">
        <w:rPr>
          <w:rFonts w:ascii="Calibri" w:hAnsi="Calibri" w:cs="Calibri"/>
        </w:rPr>
        <w:t xml:space="preserve"> </w:t>
      </w:r>
      <w:r w:rsidR="000A4B70" w:rsidRPr="00734EA7">
        <w:rPr>
          <w:rFonts w:ascii="Calibri" w:hAnsi="Calibri" w:cs="Calibri"/>
        </w:rPr>
        <w:t xml:space="preserve">to source the preparation and launch of a publication, with Star Alliance support, on the “Ramsar Effect” in Africa that would show ten illustrated stories of why the Ramsar Convention is so important and useful to Parties, and how it has helped people and </w:t>
      </w:r>
      <w:r w:rsidR="000A4B70" w:rsidRPr="00734EA7">
        <w:rPr>
          <w:rFonts w:ascii="Calibri" w:hAnsi="Calibri" w:cs="Calibri"/>
        </w:rPr>
        <w:lastRenderedPageBreak/>
        <w:t xml:space="preserve">nature and the role of stakeholders. Each story would show what the </w:t>
      </w:r>
      <w:r w:rsidR="00DC231A" w:rsidRPr="00734EA7">
        <w:rPr>
          <w:rFonts w:ascii="Calibri" w:hAnsi="Calibri" w:cs="Calibri"/>
        </w:rPr>
        <w:t xml:space="preserve">specific </w:t>
      </w:r>
      <w:r w:rsidR="000A4B70" w:rsidRPr="00734EA7">
        <w:rPr>
          <w:rFonts w:ascii="Calibri" w:hAnsi="Calibri" w:cs="Calibri"/>
        </w:rPr>
        <w:t xml:space="preserve">role of Ramsar in making </w:t>
      </w:r>
      <w:r w:rsidR="00DC231A" w:rsidRPr="00734EA7">
        <w:rPr>
          <w:rFonts w:ascii="Calibri" w:hAnsi="Calibri" w:cs="Calibri"/>
        </w:rPr>
        <w:t>positive changes</w:t>
      </w:r>
      <w:r w:rsidR="000A4B70" w:rsidRPr="00734EA7">
        <w:rPr>
          <w:rFonts w:ascii="Calibri" w:hAnsi="Calibri" w:cs="Calibri"/>
        </w:rPr>
        <w:t xml:space="preserve"> happen</w:t>
      </w:r>
      <w:r w:rsidR="00DC231A" w:rsidRPr="00734EA7">
        <w:rPr>
          <w:rFonts w:ascii="Calibri" w:hAnsi="Calibri" w:cs="Calibri"/>
        </w:rPr>
        <w:t xml:space="preserve">, and </w:t>
      </w:r>
      <w:r w:rsidR="000A4B70" w:rsidRPr="00734EA7">
        <w:rPr>
          <w:rFonts w:ascii="Calibri" w:hAnsi="Calibri" w:cs="Calibri"/>
        </w:rPr>
        <w:t>display best practices of wise use management or restoration of Ramsar Sites and show how the normal developmental challenges for Ramsar Sites were positively resolved. Each “Ramsar Effect” publication would be made available through the web and in hard copy, and used to stimulate its replication around the world.</w:t>
      </w:r>
      <w:r w:rsidR="000A1BE5">
        <w:rPr>
          <w:rFonts w:ascii="Calibri" w:hAnsi="Calibri" w:cs="Calibri"/>
        </w:rPr>
        <w:t xml:space="preserve"> </w:t>
      </w:r>
    </w:p>
    <w:p w:rsidR="00DC231A" w:rsidRPr="000A1BE5" w:rsidRDefault="00DC231A" w:rsidP="000A1BE5">
      <w:pPr>
        <w:spacing w:after="0" w:line="240" w:lineRule="auto"/>
        <w:rPr>
          <w:rFonts w:ascii="Calibri" w:hAnsi="Calibri" w:cs="Calibri"/>
        </w:rPr>
      </w:pPr>
    </w:p>
    <w:p w:rsidR="00DC231A" w:rsidRPr="00734EA7" w:rsidRDefault="00DC231A"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Equally important in our drive to increase knowledge about Ramsar and wetlands would be the p</w:t>
      </w:r>
      <w:r w:rsidR="000A4B70" w:rsidRPr="00734EA7">
        <w:rPr>
          <w:rFonts w:ascii="Calibri" w:hAnsi="Calibri" w:cs="Calibri"/>
        </w:rPr>
        <w:t xml:space="preserve">reparation of </w:t>
      </w:r>
      <w:r w:rsidRPr="00734EA7">
        <w:rPr>
          <w:rFonts w:ascii="Calibri" w:hAnsi="Calibri" w:cs="Calibri"/>
        </w:rPr>
        <w:t>a pilot</w:t>
      </w:r>
      <w:r w:rsidR="000A1BE5">
        <w:rPr>
          <w:rFonts w:ascii="Calibri" w:hAnsi="Calibri" w:cs="Calibri"/>
        </w:rPr>
        <w:t xml:space="preserve"> “Ramsar Compendium”:</w:t>
      </w:r>
      <w:r w:rsidR="000A4B70" w:rsidRPr="00734EA7">
        <w:rPr>
          <w:rFonts w:ascii="Calibri" w:hAnsi="Calibri" w:cs="Calibri"/>
        </w:rPr>
        <w:t xml:space="preserve"> a folder with one page summaries of each Ramsar Site, for a region of the world or for a country, which would give a set of stunning images, map and other key information on </w:t>
      </w:r>
      <w:r w:rsidRPr="00734EA7">
        <w:rPr>
          <w:rFonts w:ascii="Calibri" w:hAnsi="Calibri" w:cs="Calibri"/>
        </w:rPr>
        <w:t xml:space="preserve">Ramsar </w:t>
      </w:r>
      <w:r w:rsidR="000A4B70" w:rsidRPr="00734EA7">
        <w:rPr>
          <w:rFonts w:ascii="Calibri" w:hAnsi="Calibri" w:cs="Calibri"/>
        </w:rPr>
        <w:t>Sites to act as a model for other countries</w:t>
      </w:r>
      <w:r w:rsidR="000A1BE5">
        <w:rPr>
          <w:rFonts w:ascii="Calibri" w:hAnsi="Calibri" w:cs="Calibri"/>
        </w:rPr>
        <w:t xml:space="preserve"> or </w:t>
      </w:r>
      <w:r w:rsidR="000A4B70" w:rsidRPr="00734EA7">
        <w:rPr>
          <w:rFonts w:ascii="Calibri" w:hAnsi="Calibri" w:cs="Calibri"/>
        </w:rPr>
        <w:t xml:space="preserve">regions. </w:t>
      </w:r>
      <w:r w:rsidRPr="00734EA7">
        <w:rPr>
          <w:rFonts w:ascii="Calibri" w:hAnsi="Calibri" w:cs="Calibri"/>
        </w:rPr>
        <w:t xml:space="preserve">Basic information on the area, animals and plants present would be visible to attract visitors and tourists and attention of other sectors. Other highlights will </w:t>
      </w:r>
      <w:r w:rsidR="000A1BE5">
        <w:rPr>
          <w:rFonts w:ascii="Calibri" w:hAnsi="Calibri" w:cs="Calibri"/>
        </w:rPr>
        <w:t xml:space="preserve">cover </w:t>
      </w:r>
      <w:r w:rsidRPr="00734EA7">
        <w:rPr>
          <w:rFonts w:ascii="Calibri" w:hAnsi="Calibri" w:cs="Calibri"/>
        </w:rPr>
        <w:t xml:space="preserve">how the </w:t>
      </w:r>
      <w:r w:rsidR="000A1BE5">
        <w:rPr>
          <w:rFonts w:ascii="Calibri" w:hAnsi="Calibri" w:cs="Calibri"/>
        </w:rPr>
        <w:t>S</w:t>
      </w:r>
      <w:r w:rsidRPr="00734EA7">
        <w:rPr>
          <w:rFonts w:ascii="Calibri" w:hAnsi="Calibri" w:cs="Calibri"/>
        </w:rPr>
        <w:t xml:space="preserve">ite </w:t>
      </w:r>
      <w:r w:rsidR="000A1BE5">
        <w:rPr>
          <w:rFonts w:ascii="Calibri" w:hAnsi="Calibri" w:cs="Calibri"/>
        </w:rPr>
        <w:t xml:space="preserve">is </w:t>
      </w:r>
      <w:r w:rsidRPr="00734EA7">
        <w:rPr>
          <w:rFonts w:ascii="Calibri" w:hAnsi="Calibri" w:cs="Calibri"/>
        </w:rPr>
        <w:t>being managed and how it is integrated with local communities, with human interest stories showing how the Ramsar Site improves quality of life for local residents and delivers other important wetland services.</w:t>
      </w:r>
    </w:p>
    <w:p w:rsidR="000A4B70" w:rsidRPr="000A4B70" w:rsidRDefault="000A4B70" w:rsidP="00734EA7">
      <w:pPr>
        <w:spacing w:after="0" w:line="240" w:lineRule="auto"/>
        <w:rPr>
          <w:rFonts w:ascii="Calibri" w:hAnsi="Calibri" w:cs="Calibri"/>
          <w:bCs/>
        </w:rPr>
      </w:pPr>
    </w:p>
    <w:p w:rsidR="00526D65" w:rsidRPr="00D30D6B" w:rsidRDefault="00526D65" w:rsidP="00734EA7">
      <w:pPr>
        <w:pStyle w:val="ListParagraph"/>
        <w:numPr>
          <w:ilvl w:val="0"/>
          <w:numId w:val="10"/>
        </w:numPr>
        <w:spacing w:after="0" w:line="240" w:lineRule="auto"/>
        <w:rPr>
          <w:rFonts w:cstheme="minorHAnsi"/>
          <w:b/>
          <w:bCs/>
        </w:rPr>
      </w:pPr>
      <w:r w:rsidRPr="00D30D6B">
        <w:rPr>
          <w:rFonts w:cstheme="minorHAnsi"/>
          <w:b/>
          <w:bCs/>
        </w:rPr>
        <w:t xml:space="preserve">Helping countries by building capacity </w:t>
      </w:r>
    </w:p>
    <w:p w:rsidR="00D73336" w:rsidRDefault="00D73336" w:rsidP="00734EA7">
      <w:pPr>
        <w:spacing w:after="0" w:line="240" w:lineRule="auto"/>
        <w:rPr>
          <w:rFonts w:ascii="Calibri" w:hAnsi="Calibri" w:cs="Calibri"/>
          <w:b/>
          <w:bCs/>
        </w:rPr>
      </w:pPr>
    </w:p>
    <w:p w:rsidR="00D73336" w:rsidRPr="00734EA7" w:rsidRDefault="00D73336"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It is clear that Parties find that there is a heavy burden </w:t>
      </w:r>
      <w:r w:rsidR="00526D65" w:rsidRPr="00734EA7">
        <w:rPr>
          <w:rFonts w:ascii="Calibri" w:hAnsi="Calibri" w:cs="Calibri"/>
        </w:rPr>
        <w:t xml:space="preserve">deriving </w:t>
      </w:r>
      <w:r w:rsidRPr="00734EA7">
        <w:rPr>
          <w:rFonts w:ascii="Calibri" w:hAnsi="Calibri" w:cs="Calibri"/>
        </w:rPr>
        <w:t>from the decisions and resolutions of the Convention and a consequent need to build capacity at different levels and get more support from the Secretariat</w:t>
      </w:r>
      <w:r w:rsidR="00526D65" w:rsidRPr="00734EA7">
        <w:rPr>
          <w:rFonts w:ascii="Calibri" w:hAnsi="Calibri" w:cs="Calibri"/>
        </w:rPr>
        <w:t xml:space="preserve">. However, the Secretariat </w:t>
      </w:r>
      <w:r w:rsidRPr="00734EA7">
        <w:rPr>
          <w:rFonts w:ascii="Calibri" w:hAnsi="Calibri" w:cs="Calibri"/>
        </w:rPr>
        <w:t>has maintained its size for many years despite an increase in calls on its time</w:t>
      </w:r>
      <w:r w:rsidR="00526D65" w:rsidRPr="00734EA7">
        <w:rPr>
          <w:rFonts w:ascii="Calibri" w:hAnsi="Calibri" w:cs="Calibri"/>
        </w:rPr>
        <w:t>, and has not been able to respond more</w:t>
      </w:r>
      <w:r w:rsidRPr="00734EA7">
        <w:rPr>
          <w:rFonts w:ascii="Calibri" w:hAnsi="Calibri" w:cs="Calibri"/>
        </w:rPr>
        <w:t xml:space="preserve">. For that reason, the Secretary General </w:t>
      </w:r>
      <w:r w:rsidR="00526D65" w:rsidRPr="00734EA7">
        <w:rPr>
          <w:rFonts w:ascii="Calibri" w:hAnsi="Calibri" w:cs="Calibri"/>
        </w:rPr>
        <w:t>believes it</w:t>
      </w:r>
      <w:r w:rsidRPr="00734EA7">
        <w:rPr>
          <w:rFonts w:ascii="Calibri" w:hAnsi="Calibri" w:cs="Calibri"/>
        </w:rPr>
        <w:t xml:space="preserve"> is the right time to increase the strength of the Secretariat to respond to the increased call for help in m</w:t>
      </w:r>
      <w:r w:rsidR="00FA5750" w:rsidRPr="00734EA7">
        <w:rPr>
          <w:rFonts w:ascii="Calibri" w:hAnsi="Calibri" w:cs="Calibri"/>
        </w:rPr>
        <w:t xml:space="preserve">eeting needs of </w:t>
      </w:r>
      <w:r w:rsidRPr="00734EA7">
        <w:rPr>
          <w:rFonts w:ascii="Calibri" w:hAnsi="Calibri" w:cs="Calibri"/>
        </w:rPr>
        <w:t>P</w:t>
      </w:r>
      <w:r w:rsidR="00FA5750" w:rsidRPr="00734EA7">
        <w:rPr>
          <w:rFonts w:ascii="Calibri" w:hAnsi="Calibri" w:cs="Calibri"/>
        </w:rPr>
        <w:t xml:space="preserve">arties for </w:t>
      </w:r>
      <w:r w:rsidRPr="00734EA7">
        <w:rPr>
          <w:rFonts w:ascii="Calibri" w:hAnsi="Calibri" w:cs="Calibri"/>
        </w:rPr>
        <w:t>technical support in using and updating the new RSIS, analysis, investigation and resolution of Art</w:t>
      </w:r>
      <w:r w:rsidR="000A1BE5">
        <w:rPr>
          <w:rFonts w:ascii="Calibri" w:hAnsi="Calibri" w:cs="Calibri"/>
        </w:rPr>
        <w:t>icle</w:t>
      </w:r>
      <w:r w:rsidRPr="00734EA7">
        <w:rPr>
          <w:rFonts w:ascii="Calibri" w:hAnsi="Calibri" w:cs="Calibri"/>
        </w:rPr>
        <w:t xml:space="preserve"> 3.2 files, helping in making regional initiatives happen and securing finance for regional and national initiatives </w:t>
      </w:r>
      <w:r w:rsidR="00FA5750" w:rsidRPr="00734EA7">
        <w:rPr>
          <w:rFonts w:ascii="Calibri" w:hAnsi="Calibri" w:cs="Calibri"/>
        </w:rPr>
        <w:t>advice</w:t>
      </w:r>
      <w:r w:rsidRPr="00734EA7">
        <w:rPr>
          <w:rFonts w:ascii="Calibri" w:hAnsi="Calibri" w:cs="Calibri"/>
        </w:rPr>
        <w:t xml:space="preserve"> across the broad range of Sustainable Development</w:t>
      </w:r>
      <w:r w:rsidR="00AF2F46" w:rsidRPr="00734EA7">
        <w:rPr>
          <w:rFonts w:ascii="Calibri" w:hAnsi="Calibri" w:cs="Calibri"/>
        </w:rPr>
        <w:t xml:space="preserve"> Goals, as currently drafted.</w:t>
      </w:r>
      <w:r w:rsidR="00526D65" w:rsidRPr="00734EA7">
        <w:rPr>
          <w:rFonts w:ascii="Calibri" w:hAnsi="Calibri" w:cs="Calibri"/>
        </w:rPr>
        <w:t xml:space="preserve"> </w:t>
      </w:r>
    </w:p>
    <w:p w:rsidR="00FA5750" w:rsidRPr="000A1BE5" w:rsidRDefault="00FA5750" w:rsidP="000A1BE5">
      <w:pPr>
        <w:spacing w:after="0" w:line="240" w:lineRule="auto"/>
        <w:rPr>
          <w:rFonts w:ascii="Calibri" w:hAnsi="Calibri" w:cs="Calibri"/>
        </w:rPr>
      </w:pPr>
    </w:p>
    <w:p w:rsidR="00526D65" w:rsidRPr="00734EA7" w:rsidRDefault="0072341C"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In addition, we need to find out what our wetland professionals need to do their job better and deliver solutions and capacity development to their queries. We should reach out, through Parties and our Partners to get in contact with the professionals </w:t>
      </w:r>
      <w:r w:rsidR="000A1BE5" w:rsidRPr="00734EA7">
        <w:rPr>
          <w:rFonts w:ascii="Calibri" w:hAnsi="Calibri" w:cs="Calibri"/>
        </w:rPr>
        <w:t>and listen to their voices</w:t>
      </w:r>
      <w:r w:rsidR="000A1BE5">
        <w:rPr>
          <w:rFonts w:ascii="Calibri" w:hAnsi="Calibri" w:cs="Calibri"/>
        </w:rPr>
        <w:t>,</w:t>
      </w:r>
      <w:r w:rsidR="000A1BE5" w:rsidRPr="00734EA7">
        <w:rPr>
          <w:rFonts w:ascii="Calibri" w:hAnsi="Calibri" w:cs="Calibri"/>
        </w:rPr>
        <w:t xml:space="preserve"> </w:t>
      </w:r>
      <w:r w:rsidRPr="00734EA7">
        <w:rPr>
          <w:rFonts w:ascii="Calibri" w:hAnsi="Calibri" w:cs="Calibri"/>
        </w:rPr>
        <w:t>as this has not happened before. Simple virtual surveys can help us know the challenges faced and we can develop solutions with our broad range of partners.</w:t>
      </w:r>
      <w:r w:rsidR="00526D65" w:rsidRPr="00734EA7">
        <w:rPr>
          <w:rFonts w:ascii="Calibri" w:hAnsi="Calibri" w:cs="Calibri"/>
        </w:rPr>
        <w:t xml:space="preserve"> We can help them to share their rich knowledge around the world of all aspects of wetlands management so that others have easy access to a network of other professionals that can respond to their needs. By building such a network, we will find more about the conditions that exist and the challenges faced by practitioners. Questionnaires will allow us insights into priority issues that can be tackled by </w:t>
      </w:r>
      <w:r w:rsidR="00076BB6" w:rsidRPr="00734EA7">
        <w:rPr>
          <w:rFonts w:ascii="Calibri" w:hAnsi="Calibri" w:cs="Calibri"/>
        </w:rPr>
        <w:t>online courses, webinars, guides or manuals adapted to their regional realities and languages</w:t>
      </w:r>
      <w:r w:rsidR="00526D65" w:rsidRPr="00734EA7">
        <w:rPr>
          <w:rFonts w:ascii="Calibri" w:hAnsi="Calibri" w:cs="Calibri"/>
        </w:rPr>
        <w:t>. There are already many courses provided and much material but it may not be accessible or visible or usable in that format. Building a network will help access the most relevant materials and a high volume of similar requests will make it possible to design and deliver</w:t>
      </w:r>
      <w:r w:rsidR="00076BB6" w:rsidRPr="00734EA7">
        <w:rPr>
          <w:rFonts w:ascii="Calibri" w:hAnsi="Calibri" w:cs="Calibri"/>
        </w:rPr>
        <w:t xml:space="preserve"> at volume</w:t>
      </w:r>
      <w:r w:rsidR="00526D65" w:rsidRPr="00734EA7">
        <w:rPr>
          <w:rFonts w:ascii="Calibri" w:hAnsi="Calibri" w:cs="Calibri"/>
        </w:rPr>
        <w:t xml:space="preserve"> </w:t>
      </w:r>
      <w:r w:rsidRPr="00734EA7">
        <w:rPr>
          <w:rFonts w:ascii="Calibri" w:hAnsi="Calibri" w:cs="Calibri"/>
        </w:rPr>
        <w:t xml:space="preserve">the right product </w:t>
      </w:r>
      <w:r w:rsidR="00076BB6" w:rsidRPr="00734EA7">
        <w:rPr>
          <w:rFonts w:ascii="Calibri" w:hAnsi="Calibri" w:cs="Calibri"/>
        </w:rPr>
        <w:t xml:space="preserve">out of </w:t>
      </w:r>
      <w:r w:rsidR="000A1BE5">
        <w:rPr>
          <w:rFonts w:ascii="Calibri" w:hAnsi="Calibri" w:cs="Calibri"/>
        </w:rPr>
        <w:t>u</w:t>
      </w:r>
      <w:r w:rsidR="00526D65" w:rsidRPr="00734EA7">
        <w:rPr>
          <w:rFonts w:ascii="Calibri" w:hAnsi="Calibri" w:cs="Calibri"/>
        </w:rPr>
        <w:t>niversities, institutions, colleges, UNESCO, NGO</w:t>
      </w:r>
      <w:r w:rsidR="000A1BE5">
        <w:rPr>
          <w:rFonts w:ascii="Calibri" w:hAnsi="Calibri" w:cs="Calibri"/>
        </w:rPr>
        <w:t>s</w:t>
      </w:r>
      <w:r w:rsidR="00526D65" w:rsidRPr="00734EA7">
        <w:rPr>
          <w:rFonts w:ascii="Calibri" w:hAnsi="Calibri" w:cs="Calibri"/>
        </w:rPr>
        <w:t xml:space="preserve">, etc. </w:t>
      </w:r>
      <w:r w:rsidRPr="00734EA7">
        <w:rPr>
          <w:rFonts w:ascii="Calibri" w:hAnsi="Calibri" w:cs="Calibri"/>
        </w:rPr>
        <w:t>Another great benefit of such a Ramsar Network, is that we can listen to and transmit stories of</w:t>
      </w:r>
      <w:r w:rsidR="000A1BE5">
        <w:rPr>
          <w:rFonts w:ascii="Calibri" w:hAnsi="Calibri" w:cs="Calibri"/>
        </w:rPr>
        <w:t xml:space="preserve"> </w:t>
      </w:r>
      <w:r w:rsidRPr="00734EA7">
        <w:rPr>
          <w:rFonts w:ascii="Calibri" w:hAnsi="Calibri" w:cs="Calibri"/>
        </w:rPr>
        <w:t>best practice through the Communications team to the world through the media and increase information flow across countries and people</w:t>
      </w:r>
      <w:r w:rsidR="00526D65" w:rsidRPr="00734EA7">
        <w:rPr>
          <w:rFonts w:ascii="Calibri" w:hAnsi="Calibri" w:cs="Calibri"/>
        </w:rPr>
        <w:t xml:space="preserve">. </w:t>
      </w:r>
    </w:p>
    <w:p w:rsidR="00526D65" w:rsidRPr="00577E03" w:rsidRDefault="00526D65" w:rsidP="00734EA7">
      <w:pPr>
        <w:spacing w:after="0" w:line="240" w:lineRule="auto"/>
        <w:rPr>
          <w:rFonts w:cstheme="minorHAnsi"/>
          <w:bCs/>
          <w:sz w:val="24"/>
        </w:rPr>
      </w:pPr>
    </w:p>
    <w:p w:rsidR="005B7EC2" w:rsidRPr="00D30D6B" w:rsidRDefault="005B7EC2" w:rsidP="00734EA7">
      <w:pPr>
        <w:pStyle w:val="ListParagraph"/>
        <w:numPr>
          <w:ilvl w:val="0"/>
          <w:numId w:val="10"/>
        </w:numPr>
        <w:spacing w:after="0" w:line="240" w:lineRule="auto"/>
        <w:rPr>
          <w:rFonts w:cstheme="minorHAnsi"/>
          <w:b/>
          <w:bCs/>
        </w:rPr>
      </w:pPr>
      <w:r w:rsidRPr="00D30D6B">
        <w:rPr>
          <w:rFonts w:cstheme="minorHAnsi"/>
          <w:b/>
          <w:bCs/>
        </w:rPr>
        <w:t>Partnerships</w:t>
      </w:r>
    </w:p>
    <w:p w:rsidR="00577E03" w:rsidRDefault="00577E03" w:rsidP="00734EA7">
      <w:pPr>
        <w:spacing w:after="0" w:line="240" w:lineRule="auto"/>
        <w:rPr>
          <w:rFonts w:cstheme="minorHAnsi"/>
          <w:bCs/>
          <w:sz w:val="24"/>
        </w:rPr>
      </w:pPr>
    </w:p>
    <w:p w:rsidR="005B7EC2" w:rsidRPr="00734EA7" w:rsidRDefault="005B7EC2"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As a Secretariat, our job is to support our countries and help them achieve the goals of the Convention, but many of these goals simply cannot be achieved by any one country or by any one organization. We need to work with, and through, many partners to bring in the wide diversity of skills and experiences needed, to help multiply local investments, bring in global strengths and reduce risks to the investments in wetlands. We see potential partners in our International Organisation Partners, in United Nations agencies and other Conventions, as well as private sector actors interested in water and wetlands. With such partners, as well as local and international NGOs, we can help to tackle key problems that affect our wetlands across the Water and Agriculture sectors. </w:t>
      </w:r>
    </w:p>
    <w:p w:rsidR="007E1B4E" w:rsidRPr="000A1BE5" w:rsidRDefault="007E1B4E" w:rsidP="000A1BE5">
      <w:pPr>
        <w:spacing w:after="0" w:line="240" w:lineRule="auto"/>
        <w:rPr>
          <w:rFonts w:ascii="Calibri" w:hAnsi="Calibri" w:cs="Calibri"/>
        </w:rPr>
      </w:pPr>
    </w:p>
    <w:p w:rsidR="007E1B4E" w:rsidRPr="00734EA7" w:rsidRDefault="007E1B4E"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The need for partnerships </w:t>
      </w:r>
      <w:r w:rsidR="0072341C" w:rsidRPr="00734EA7">
        <w:rPr>
          <w:rFonts w:ascii="Calibri" w:hAnsi="Calibri" w:cs="Calibri"/>
        </w:rPr>
        <w:t>works in</w:t>
      </w:r>
      <w:r w:rsidRPr="00734EA7">
        <w:rPr>
          <w:rFonts w:ascii="Calibri" w:hAnsi="Calibri" w:cs="Calibri"/>
        </w:rPr>
        <w:t xml:space="preserve"> both </w:t>
      </w:r>
      <w:r w:rsidR="0072341C" w:rsidRPr="00734EA7">
        <w:rPr>
          <w:rFonts w:ascii="Calibri" w:hAnsi="Calibri" w:cs="Calibri"/>
        </w:rPr>
        <w:t xml:space="preserve">directions, as we </w:t>
      </w:r>
      <w:r w:rsidRPr="00734EA7">
        <w:rPr>
          <w:rFonts w:ascii="Calibri" w:hAnsi="Calibri" w:cs="Calibri"/>
        </w:rPr>
        <w:t>seek partnerships with groups that are affecting wetlands in order to achieve their wiser use. Examples include engaging with the water supply and treatment industries, with the water and sanitation (WASH) sector, engaging in the governance of transboundary aquifers, or seeking increases in water productivity in agriculture. Our strategic plan needs to look at the drivers of loss and degradation of wetlands and work with partners to find solutions and offer alternative models of</w:t>
      </w:r>
      <w:r w:rsidR="000A1BE5">
        <w:rPr>
          <w:rFonts w:ascii="Calibri" w:hAnsi="Calibri" w:cs="Calibri"/>
        </w:rPr>
        <w:t xml:space="preserve"> a more sustainable development.</w:t>
      </w:r>
    </w:p>
    <w:p w:rsidR="007E1B4E" w:rsidRPr="000A1BE5" w:rsidRDefault="007E1B4E" w:rsidP="000A1BE5">
      <w:pPr>
        <w:spacing w:after="0" w:line="240" w:lineRule="auto"/>
        <w:rPr>
          <w:rFonts w:ascii="Calibri" w:hAnsi="Calibri" w:cs="Calibri"/>
        </w:rPr>
      </w:pPr>
    </w:p>
    <w:p w:rsidR="00076BB6" w:rsidRPr="00734EA7" w:rsidRDefault="00076BB6"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We must work to support Parties and all relevant partners s</w:t>
      </w:r>
      <w:r w:rsidR="007E1B4E" w:rsidRPr="00734EA7">
        <w:rPr>
          <w:rFonts w:ascii="Calibri" w:hAnsi="Calibri" w:cs="Calibri"/>
        </w:rPr>
        <w:t>uch</w:t>
      </w:r>
      <w:r w:rsidRPr="00734EA7">
        <w:rPr>
          <w:rFonts w:ascii="Calibri" w:hAnsi="Calibri" w:cs="Calibri"/>
        </w:rPr>
        <w:t xml:space="preserve"> that wetlands sites, especially Ramsar </w:t>
      </w:r>
      <w:r w:rsidR="000A1BE5">
        <w:rPr>
          <w:rFonts w:ascii="Calibri" w:hAnsi="Calibri" w:cs="Calibri"/>
        </w:rPr>
        <w:t>S</w:t>
      </w:r>
      <w:r w:rsidRPr="00734EA7">
        <w:rPr>
          <w:rFonts w:ascii="Calibri" w:hAnsi="Calibri" w:cs="Calibri"/>
        </w:rPr>
        <w:t>ites, are better managed</w:t>
      </w:r>
      <w:r w:rsidR="000A1BE5">
        <w:rPr>
          <w:rFonts w:ascii="Calibri" w:hAnsi="Calibri" w:cs="Calibri"/>
        </w:rPr>
        <w:t>,</w:t>
      </w:r>
      <w:r w:rsidRPr="00734EA7">
        <w:rPr>
          <w:rFonts w:ascii="Calibri" w:hAnsi="Calibri" w:cs="Calibri"/>
        </w:rPr>
        <w:t xml:space="preserve"> as all indications are that the status of wetland sites is deteriorating</w:t>
      </w:r>
      <w:r w:rsidR="007E1B4E" w:rsidRPr="00734EA7">
        <w:rPr>
          <w:rFonts w:ascii="Calibri" w:hAnsi="Calibri" w:cs="Calibri"/>
        </w:rPr>
        <w:t>,</w:t>
      </w:r>
      <w:r w:rsidRPr="00734EA7">
        <w:rPr>
          <w:rFonts w:ascii="Calibri" w:hAnsi="Calibri" w:cs="Calibri"/>
        </w:rPr>
        <w:t xml:space="preserve"> even when protected by international or national designations</w:t>
      </w:r>
      <w:r w:rsidR="007E1B4E" w:rsidRPr="00734EA7">
        <w:rPr>
          <w:rFonts w:ascii="Calibri" w:hAnsi="Calibri" w:cs="Calibri"/>
        </w:rPr>
        <w:t>,</w:t>
      </w:r>
      <w:r w:rsidRPr="00734EA7">
        <w:rPr>
          <w:rFonts w:ascii="Calibri" w:hAnsi="Calibri" w:cs="Calibri"/>
        </w:rPr>
        <w:t xml:space="preserve"> as the IUCN Conservation Outlook figures show. </w:t>
      </w:r>
      <w:r w:rsidR="007E1B4E" w:rsidRPr="00734EA7">
        <w:rPr>
          <w:rFonts w:ascii="Calibri" w:hAnsi="Calibri" w:cs="Calibri"/>
        </w:rPr>
        <w:t>However</w:t>
      </w:r>
      <w:r w:rsidRPr="00734EA7">
        <w:rPr>
          <w:rFonts w:ascii="Calibri" w:hAnsi="Calibri" w:cs="Calibri"/>
        </w:rPr>
        <w:t>, the massive loss of wetlands over the last years (64% lost between 1900 and 2000</w:t>
      </w:r>
      <w:r w:rsidR="007E1B4E" w:rsidRPr="00734EA7">
        <w:rPr>
          <w:rFonts w:ascii="Calibri" w:hAnsi="Calibri" w:cs="Calibri"/>
        </w:rPr>
        <w:t>; 40% reduction in extent in the last 40 years</w:t>
      </w:r>
      <w:r w:rsidRPr="00734EA7">
        <w:rPr>
          <w:rFonts w:ascii="Calibri" w:hAnsi="Calibri" w:cs="Calibri"/>
        </w:rPr>
        <w:t>)</w:t>
      </w:r>
      <w:r w:rsidR="007E1B4E" w:rsidRPr="00734EA7">
        <w:rPr>
          <w:rFonts w:ascii="Calibri" w:hAnsi="Calibri" w:cs="Calibri"/>
        </w:rPr>
        <w:t>, leads to an urgent need to work on restoration of wetlands. Already, there is a volume of work going on to restore wetlands, but it is not necessarily directed at the highest priority sites and is not being supported by an International Convention, nor are all the good works being added up to assess how the actions support the restoration targets of the Bonn Challenge. These needs have led us to consider how best to respond to the challenges</w:t>
      </w:r>
      <w:r w:rsidR="000A1BE5">
        <w:rPr>
          <w:rFonts w:ascii="Calibri" w:hAnsi="Calibri" w:cs="Calibri"/>
        </w:rPr>
        <w:t xml:space="preserve">, </w:t>
      </w:r>
      <w:r w:rsidR="007E1B4E" w:rsidRPr="00734EA7">
        <w:rPr>
          <w:rFonts w:ascii="Calibri" w:hAnsi="Calibri" w:cs="Calibri"/>
        </w:rPr>
        <w:t>and we have already</w:t>
      </w:r>
      <w:r w:rsidR="000A1BE5">
        <w:rPr>
          <w:rFonts w:ascii="Calibri" w:hAnsi="Calibri" w:cs="Calibri"/>
        </w:rPr>
        <w:t xml:space="preserve"> </w:t>
      </w:r>
      <w:r w:rsidR="007E1B4E" w:rsidRPr="00734EA7">
        <w:rPr>
          <w:rFonts w:ascii="Calibri" w:hAnsi="Calibri" w:cs="Calibri"/>
        </w:rPr>
        <w:t xml:space="preserve">designed a </w:t>
      </w:r>
      <w:r w:rsidRPr="00734EA7">
        <w:rPr>
          <w:rFonts w:ascii="Calibri" w:hAnsi="Calibri" w:cs="Calibri"/>
        </w:rPr>
        <w:t>Global Wetlands Restoration Partnership</w:t>
      </w:r>
      <w:r w:rsidR="007E1B4E" w:rsidRPr="00734EA7">
        <w:rPr>
          <w:rFonts w:ascii="Calibri" w:hAnsi="Calibri" w:cs="Calibri"/>
        </w:rPr>
        <w:t xml:space="preserve"> that has received positive feedback and support from </w:t>
      </w:r>
      <w:r w:rsidR="0072341C" w:rsidRPr="00734EA7">
        <w:rPr>
          <w:rFonts w:ascii="Calibri" w:hAnsi="Calibri" w:cs="Calibri"/>
        </w:rPr>
        <w:t xml:space="preserve">some </w:t>
      </w:r>
      <w:r w:rsidR="007E1B4E" w:rsidRPr="00734EA7">
        <w:rPr>
          <w:rFonts w:ascii="Calibri" w:hAnsi="Calibri" w:cs="Calibri"/>
        </w:rPr>
        <w:t>Parties and is proposed for consideration by all Parties</w:t>
      </w:r>
      <w:r w:rsidR="0072341C" w:rsidRPr="00734EA7">
        <w:rPr>
          <w:rFonts w:ascii="Calibri" w:hAnsi="Calibri" w:cs="Calibri"/>
        </w:rPr>
        <w:t xml:space="preserve"> at the next COP</w:t>
      </w:r>
      <w:r w:rsidR="007E1B4E" w:rsidRPr="00734EA7">
        <w:rPr>
          <w:rFonts w:ascii="Calibri" w:hAnsi="Calibri" w:cs="Calibri"/>
        </w:rPr>
        <w:t>. T</w:t>
      </w:r>
      <w:r w:rsidRPr="00734EA7">
        <w:rPr>
          <w:rFonts w:ascii="Calibri" w:hAnsi="Calibri" w:cs="Calibri"/>
        </w:rPr>
        <w:t>he current needs include developing a plan, consulting with Parties to incorporate all recommendations, building a coalition of partners and allies, securing pledges and commitments from national governments, and then launching and implementing it as an inclusive global initiative.</w:t>
      </w:r>
    </w:p>
    <w:p w:rsidR="005B7EC2" w:rsidRPr="000A1BE5" w:rsidRDefault="005B7EC2" w:rsidP="000A1BE5">
      <w:pPr>
        <w:spacing w:after="0" w:line="240" w:lineRule="auto"/>
        <w:rPr>
          <w:rFonts w:ascii="Calibri" w:hAnsi="Calibri" w:cs="Calibri"/>
        </w:rPr>
      </w:pPr>
    </w:p>
    <w:p w:rsidR="00A35F26" w:rsidRPr="00734EA7" w:rsidRDefault="00FB068B"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One partnership </w:t>
      </w:r>
      <w:r w:rsidR="00A35F26" w:rsidRPr="00734EA7">
        <w:rPr>
          <w:rFonts w:ascii="Calibri" w:hAnsi="Calibri" w:cs="Calibri"/>
        </w:rPr>
        <w:t xml:space="preserve">that </w:t>
      </w:r>
      <w:r w:rsidRPr="00734EA7">
        <w:rPr>
          <w:rFonts w:ascii="Calibri" w:hAnsi="Calibri" w:cs="Calibri"/>
        </w:rPr>
        <w:t xml:space="preserve">has been continuing successfully for over 15 years </w:t>
      </w:r>
      <w:r w:rsidR="00A35F26" w:rsidRPr="00734EA7">
        <w:rPr>
          <w:rFonts w:ascii="Calibri" w:hAnsi="Calibri" w:cs="Calibri"/>
        </w:rPr>
        <w:t xml:space="preserve">is </w:t>
      </w:r>
      <w:r w:rsidR="00712613">
        <w:rPr>
          <w:rFonts w:ascii="Calibri" w:hAnsi="Calibri" w:cs="Calibri"/>
        </w:rPr>
        <w:t>with Danone and E</w:t>
      </w:r>
      <w:r w:rsidRPr="00734EA7">
        <w:rPr>
          <w:rFonts w:ascii="Calibri" w:hAnsi="Calibri" w:cs="Calibri"/>
        </w:rPr>
        <w:t xml:space="preserve">vian in a </w:t>
      </w:r>
      <w:r w:rsidR="00A35F26" w:rsidRPr="00734EA7">
        <w:rPr>
          <w:rFonts w:ascii="Calibri" w:hAnsi="Calibri" w:cs="Calibri"/>
        </w:rPr>
        <w:t>fully</w:t>
      </w:r>
      <w:r w:rsidRPr="00734EA7">
        <w:rPr>
          <w:rFonts w:ascii="Calibri" w:hAnsi="Calibri" w:cs="Calibri"/>
        </w:rPr>
        <w:t xml:space="preserve"> supportive relationship. To meet our </w:t>
      </w:r>
      <w:r w:rsidR="00A35F26" w:rsidRPr="00734EA7">
        <w:rPr>
          <w:rFonts w:ascii="Calibri" w:hAnsi="Calibri" w:cs="Calibri"/>
        </w:rPr>
        <w:t xml:space="preserve">joint </w:t>
      </w:r>
      <w:r w:rsidRPr="00734EA7">
        <w:rPr>
          <w:rFonts w:ascii="Calibri" w:hAnsi="Calibri" w:cs="Calibri"/>
        </w:rPr>
        <w:t xml:space="preserve">needs for </w:t>
      </w:r>
      <w:r w:rsidR="00A35F26" w:rsidRPr="00734EA7">
        <w:rPr>
          <w:rFonts w:ascii="Calibri" w:hAnsi="Calibri" w:cs="Calibri"/>
        </w:rPr>
        <w:t xml:space="preserve">greater </w:t>
      </w:r>
      <w:r w:rsidRPr="00734EA7">
        <w:rPr>
          <w:rFonts w:ascii="Calibri" w:hAnsi="Calibri" w:cs="Calibri"/>
        </w:rPr>
        <w:t>outreach and change</w:t>
      </w:r>
      <w:r w:rsidR="00A35F26" w:rsidRPr="00734EA7">
        <w:rPr>
          <w:rFonts w:ascii="Calibri" w:hAnsi="Calibri" w:cs="Calibri"/>
        </w:rPr>
        <w:t xml:space="preserve"> of image</w:t>
      </w:r>
      <w:r w:rsidRPr="00734EA7">
        <w:rPr>
          <w:rFonts w:ascii="Calibri" w:hAnsi="Calibri" w:cs="Calibri"/>
        </w:rPr>
        <w:t>, we have also been</w:t>
      </w:r>
      <w:r w:rsidR="00712613">
        <w:rPr>
          <w:rFonts w:ascii="Calibri" w:hAnsi="Calibri" w:cs="Calibri"/>
        </w:rPr>
        <w:t xml:space="preserve"> re-focus</w:t>
      </w:r>
      <w:r w:rsidRPr="00734EA7">
        <w:rPr>
          <w:rFonts w:ascii="Calibri" w:hAnsi="Calibri" w:cs="Calibri"/>
        </w:rPr>
        <w:t xml:space="preserve">ing the way we work together, and the products we are putting out, and have had a </w:t>
      </w:r>
      <w:r w:rsidR="00A35F26" w:rsidRPr="00734EA7">
        <w:rPr>
          <w:rFonts w:ascii="Calibri" w:hAnsi="Calibri" w:cs="Calibri"/>
        </w:rPr>
        <w:t xml:space="preserve">very </w:t>
      </w:r>
      <w:r w:rsidRPr="00734EA7">
        <w:rPr>
          <w:rFonts w:ascii="Calibri" w:hAnsi="Calibri" w:cs="Calibri"/>
        </w:rPr>
        <w:t xml:space="preserve">positive response to these new ways of working. We will be working to see how to make a larger impact on the large audience of consumers that use their products, but one </w:t>
      </w:r>
      <w:r w:rsidR="00A35F26" w:rsidRPr="00734EA7">
        <w:rPr>
          <w:rFonts w:ascii="Calibri" w:hAnsi="Calibri" w:cs="Calibri"/>
        </w:rPr>
        <w:t>great</w:t>
      </w:r>
      <w:r w:rsidRPr="00734EA7">
        <w:rPr>
          <w:rFonts w:ascii="Calibri" w:hAnsi="Calibri" w:cs="Calibri"/>
        </w:rPr>
        <w:t xml:space="preserve"> example </w:t>
      </w:r>
      <w:r w:rsidR="00A35F26" w:rsidRPr="00734EA7">
        <w:rPr>
          <w:rFonts w:ascii="Calibri" w:hAnsi="Calibri" w:cs="Calibri"/>
        </w:rPr>
        <w:t>of that responsiveness was</w:t>
      </w:r>
      <w:r w:rsidRPr="00734EA7">
        <w:rPr>
          <w:rFonts w:ascii="Calibri" w:hAnsi="Calibri" w:cs="Calibri"/>
        </w:rPr>
        <w:t xml:space="preserve"> the decision of </w:t>
      </w:r>
      <w:r w:rsidR="00712613">
        <w:rPr>
          <w:rFonts w:ascii="Calibri" w:hAnsi="Calibri" w:cs="Calibri"/>
        </w:rPr>
        <w:t>E</w:t>
      </w:r>
      <w:r w:rsidRPr="00734EA7">
        <w:rPr>
          <w:rFonts w:ascii="Calibri" w:hAnsi="Calibri" w:cs="Calibri"/>
        </w:rPr>
        <w:t xml:space="preserve">vian to put a link to Ramsar </w:t>
      </w:r>
      <w:r w:rsidR="00712613">
        <w:rPr>
          <w:rFonts w:ascii="Calibri" w:hAnsi="Calibri" w:cs="Calibri"/>
        </w:rPr>
        <w:t>on</w:t>
      </w:r>
      <w:r w:rsidRPr="00734EA7">
        <w:rPr>
          <w:rFonts w:ascii="Calibri" w:hAnsi="Calibri" w:cs="Calibri"/>
        </w:rPr>
        <w:t xml:space="preserve"> their </w:t>
      </w:r>
      <w:r w:rsidR="00A35F26" w:rsidRPr="00734EA7">
        <w:rPr>
          <w:rFonts w:ascii="Calibri" w:hAnsi="Calibri" w:cs="Calibri"/>
        </w:rPr>
        <w:t xml:space="preserve">new line of bottles. </w:t>
      </w:r>
      <w:r w:rsidRPr="00734EA7">
        <w:rPr>
          <w:rFonts w:ascii="Calibri" w:hAnsi="Calibri" w:cs="Calibri"/>
        </w:rPr>
        <w:t xml:space="preserve">Collaboration has </w:t>
      </w:r>
      <w:r w:rsidR="00A35F26" w:rsidRPr="00734EA7">
        <w:rPr>
          <w:rFonts w:ascii="Calibri" w:hAnsi="Calibri" w:cs="Calibri"/>
        </w:rPr>
        <w:t>also l</w:t>
      </w:r>
      <w:r w:rsidRPr="00734EA7">
        <w:rPr>
          <w:rFonts w:ascii="Calibri" w:hAnsi="Calibri" w:cs="Calibri"/>
        </w:rPr>
        <w:t xml:space="preserve">ed </w:t>
      </w:r>
      <w:r w:rsidR="00A35F26" w:rsidRPr="00734EA7">
        <w:rPr>
          <w:rFonts w:ascii="Calibri" w:hAnsi="Calibri" w:cs="Calibri"/>
        </w:rPr>
        <w:t xml:space="preserve">to our inputs </w:t>
      </w:r>
      <w:r w:rsidRPr="00734EA7">
        <w:rPr>
          <w:rFonts w:ascii="Calibri" w:hAnsi="Calibri" w:cs="Calibri"/>
        </w:rPr>
        <w:t xml:space="preserve">in a wetland centre in Evian and will </w:t>
      </w:r>
      <w:r w:rsidR="00A35F26" w:rsidRPr="00734EA7">
        <w:rPr>
          <w:rFonts w:ascii="Calibri" w:hAnsi="Calibri" w:cs="Calibri"/>
        </w:rPr>
        <w:t xml:space="preserve">likely </w:t>
      </w:r>
      <w:r w:rsidRPr="00734EA7">
        <w:rPr>
          <w:rFonts w:ascii="Calibri" w:hAnsi="Calibri" w:cs="Calibri"/>
        </w:rPr>
        <w:t xml:space="preserve">lead to inputs to the refurbishment of the factory, reflecting the important role of Ramsar in the </w:t>
      </w:r>
      <w:r w:rsidR="00712613">
        <w:rPr>
          <w:rFonts w:ascii="Calibri" w:hAnsi="Calibri" w:cs="Calibri"/>
        </w:rPr>
        <w:t>E</w:t>
      </w:r>
      <w:r w:rsidRPr="00734EA7">
        <w:rPr>
          <w:rFonts w:ascii="Calibri" w:hAnsi="Calibri" w:cs="Calibri"/>
        </w:rPr>
        <w:t xml:space="preserve">vian story. </w:t>
      </w:r>
    </w:p>
    <w:p w:rsidR="00A35F26" w:rsidRPr="000A1BE5" w:rsidRDefault="00A35F26" w:rsidP="000A1BE5">
      <w:pPr>
        <w:spacing w:after="0" w:line="240" w:lineRule="auto"/>
        <w:rPr>
          <w:rFonts w:ascii="Calibri" w:hAnsi="Calibri" w:cs="Calibri"/>
        </w:rPr>
      </w:pPr>
    </w:p>
    <w:p w:rsidR="005B7EC2" w:rsidRPr="00734EA7" w:rsidRDefault="00A35F26"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Danone has seen a change in leadership in the year, but the commitment to Ramsar continues strongly and we are more involved in their policy</w:t>
      </w:r>
      <w:r w:rsidR="00AE6397">
        <w:rPr>
          <w:rFonts w:ascii="Calibri" w:hAnsi="Calibri" w:cs="Calibri"/>
        </w:rPr>
        <w:t>-</w:t>
      </w:r>
      <w:r w:rsidRPr="00734EA7">
        <w:rPr>
          <w:rFonts w:ascii="Calibri" w:hAnsi="Calibri" w:cs="Calibri"/>
        </w:rPr>
        <w:t xml:space="preserve">making processes and continue to work with them and IUCN on a new Water Management </w:t>
      </w:r>
      <w:r w:rsidR="00AE6397">
        <w:rPr>
          <w:rFonts w:ascii="Calibri" w:hAnsi="Calibri" w:cs="Calibri"/>
        </w:rPr>
        <w:t>T</w:t>
      </w:r>
      <w:r w:rsidRPr="00734EA7">
        <w:rPr>
          <w:rFonts w:ascii="Calibri" w:hAnsi="Calibri" w:cs="Calibri"/>
        </w:rPr>
        <w:t xml:space="preserve">ool for the company that will soon be made public as an example of best practice for other companies. Indeed, we </w:t>
      </w:r>
      <w:r w:rsidR="003D1C19" w:rsidRPr="00734EA7">
        <w:rPr>
          <w:rFonts w:ascii="Calibri" w:hAnsi="Calibri" w:cs="Calibri"/>
        </w:rPr>
        <w:t>se</w:t>
      </w:r>
      <w:r w:rsidRPr="00734EA7">
        <w:rPr>
          <w:rFonts w:ascii="Calibri" w:hAnsi="Calibri" w:cs="Calibri"/>
        </w:rPr>
        <w:t xml:space="preserve">e that the relationship between Ramsar and </w:t>
      </w:r>
      <w:r w:rsidR="00AE6397">
        <w:rPr>
          <w:rFonts w:ascii="Calibri" w:hAnsi="Calibri" w:cs="Calibri"/>
        </w:rPr>
        <w:t>E</w:t>
      </w:r>
      <w:r w:rsidRPr="00734EA7">
        <w:rPr>
          <w:rFonts w:ascii="Calibri" w:hAnsi="Calibri" w:cs="Calibri"/>
        </w:rPr>
        <w:t xml:space="preserve">vian </w:t>
      </w:r>
      <w:r w:rsidR="003D1C19" w:rsidRPr="00734EA7">
        <w:rPr>
          <w:rFonts w:ascii="Calibri" w:hAnsi="Calibri" w:cs="Calibri"/>
        </w:rPr>
        <w:t>and the good example is</w:t>
      </w:r>
      <w:r w:rsidRPr="00734EA7">
        <w:rPr>
          <w:rFonts w:ascii="Calibri" w:hAnsi="Calibri" w:cs="Calibri"/>
        </w:rPr>
        <w:t xml:space="preserve"> </w:t>
      </w:r>
      <w:r w:rsidR="003D1C19" w:rsidRPr="00734EA7">
        <w:rPr>
          <w:rFonts w:ascii="Calibri" w:hAnsi="Calibri" w:cs="Calibri"/>
        </w:rPr>
        <w:t>expanding to</w:t>
      </w:r>
      <w:r w:rsidRPr="00734EA7">
        <w:rPr>
          <w:rFonts w:ascii="Calibri" w:hAnsi="Calibri" w:cs="Calibri"/>
        </w:rPr>
        <w:t xml:space="preserve"> Danone’s other water companies</w:t>
      </w:r>
      <w:r w:rsidR="003D1C19" w:rsidRPr="00734EA7">
        <w:rPr>
          <w:rFonts w:ascii="Calibri" w:hAnsi="Calibri" w:cs="Calibri"/>
        </w:rPr>
        <w:t xml:space="preserve">, but we can hope to transfer such good examples outwards to other companies. One good example is how a public private organization has been set up in Evian to distribute the local taxes from all companies using the mineral water in Evian to support the wise use management of the Evian </w:t>
      </w:r>
      <w:r w:rsidR="00AE6397">
        <w:rPr>
          <w:rFonts w:ascii="Calibri" w:hAnsi="Calibri" w:cs="Calibri"/>
        </w:rPr>
        <w:t>I</w:t>
      </w:r>
      <w:r w:rsidR="003D1C19" w:rsidRPr="00734EA7">
        <w:rPr>
          <w:rFonts w:ascii="Calibri" w:hAnsi="Calibri" w:cs="Calibri"/>
        </w:rPr>
        <w:t xml:space="preserve">mpluvium. </w:t>
      </w:r>
    </w:p>
    <w:p w:rsidR="003D1C19" w:rsidRPr="000A1BE5" w:rsidRDefault="003D1C19" w:rsidP="000A1BE5">
      <w:pPr>
        <w:spacing w:after="0" w:line="240" w:lineRule="auto"/>
        <w:rPr>
          <w:rFonts w:ascii="Calibri" w:hAnsi="Calibri" w:cs="Calibri"/>
        </w:rPr>
      </w:pPr>
    </w:p>
    <w:p w:rsidR="00FB068B" w:rsidRPr="00734EA7" w:rsidRDefault="003D1C19"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Another interesting development has been our partnership with, and the coming of age of, the Livelihoods Venture, which could be described as a private sector development agency. </w:t>
      </w:r>
      <w:r w:rsidR="00AE6397">
        <w:rPr>
          <w:rFonts w:ascii="Calibri" w:hAnsi="Calibri" w:cs="Calibri"/>
        </w:rPr>
        <w:t>Ten c</w:t>
      </w:r>
      <w:r w:rsidRPr="00734EA7">
        <w:rPr>
          <w:rFonts w:ascii="Calibri" w:hAnsi="Calibri" w:cs="Calibri"/>
        </w:rPr>
        <w:t>ompanies have invested over 40</w:t>
      </w:r>
      <w:r w:rsidR="00AE6397">
        <w:rPr>
          <w:rFonts w:ascii="Calibri" w:hAnsi="Calibri" w:cs="Calibri"/>
        </w:rPr>
        <w:t xml:space="preserve"> million</w:t>
      </w:r>
      <w:r w:rsidRPr="00734EA7">
        <w:rPr>
          <w:rFonts w:ascii="Calibri" w:hAnsi="Calibri" w:cs="Calibri"/>
        </w:rPr>
        <w:t xml:space="preserve"> Euros </w:t>
      </w:r>
      <w:r w:rsidR="00AE6397">
        <w:rPr>
          <w:rFonts w:ascii="Calibri" w:hAnsi="Calibri" w:cs="Calibri"/>
        </w:rPr>
        <w:t>in</w:t>
      </w:r>
      <w:r w:rsidRPr="00734EA7">
        <w:rPr>
          <w:rFonts w:ascii="Calibri" w:hAnsi="Calibri" w:cs="Calibri"/>
        </w:rPr>
        <w:t xml:space="preserve"> </w:t>
      </w:r>
      <w:r w:rsidR="001560BE" w:rsidRPr="00734EA7">
        <w:rPr>
          <w:rFonts w:ascii="Calibri" w:hAnsi="Calibri" w:cs="Calibri"/>
        </w:rPr>
        <w:t>projects such as large</w:t>
      </w:r>
      <w:r w:rsidR="00AE6397">
        <w:rPr>
          <w:rFonts w:ascii="Calibri" w:hAnsi="Calibri" w:cs="Calibri"/>
        </w:rPr>
        <w:t>-</w:t>
      </w:r>
      <w:r w:rsidR="001560BE" w:rsidRPr="00734EA7">
        <w:rPr>
          <w:rFonts w:ascii="Calibri" w:hAnsi="Calibri" w:cs="Calibri"/>
        </w:rPr>
        <w:t>scale mangrove restoration, afforestation</w:t>
      </w:r>
      <w:r w:rsidR="00AE6397">
        <w:rPr>
          <w:rFonts w:ascii="Calibri" w:hAnsi="Calibri" w:cs="Calibri"/>
        </w:rPr>
        <w:t>,</w:t>
      </w:r>
      <w:r w:rsidR="001560BE" w:rsidRPr="00734EA7">
        <w:rPr>
          <w:rFonts w:ascii="Calibri" w:hAnsi="Calibri" w:cs="Calibri"/>
        </w:rPr>
        <w:t xml:space="preserve"> and </w:t>
      </w:r>
      <w:r w:rsidR="00AE6397">
        <w:rPr>
          <w:rFonts w:ascii="Calibri" w:hAnsi="Calibri" w:cs="Calibri"/>
        </w:rPr>
        <w:t xml:space="preserve">sustainable </w:t>
      </w:r>
      <w:r w:rsidR="001560BE" w:rsidRPr="00734EA7">
        <w:rPr>
          <w:rFonts w:ascii="Calibri" w:hAnsi="Calibri" w:cs="Calibri"/>
        </w:rPr>
        <w:t>cookstoves</w:t>
      </w:r>
      <w:r w:rsidR="00AE6397">
        <w:rPr>
          <w:rFonts w:ascii="Calibri" w:hAnsi="Calibri" w:cs="Calibri"/>
        </w:rPr>
        <w:t>,</w:t>
      </w:r>
      <w:r w:rsidR="001560BE" w:rsidRPr="00734EA7">
        <w:rPr>
          <w:rFonts w:ascii="Calibri" w:hAnsi="Calibri" w:cs="Calibri"/>
        </w:rPr>
        <w:t xml:space="preserve"> </w:t>
      </w:r>
      <w:r w:rsidR="00AE6397">
        <w:rPr>
          <w:rFonts w:ascii="Calibri" w:hAnsi="Calibri" w:cs="Calibri"/>
        </w:rPr>
        <w:t>which</w:t>
      </w:r>
      <w:r w:rsidR="001560BE" w:rsidRPr="00734EA7">
        <w:rPr>
          <w:rFonts w:ascii="Calibri" w:hAnsi="Calibri" w:cs="Calibri"/>
        </w:rPr>
        <w:t xml:space="preserve"> all </w:t>
      </w:r>
      <w:r w:rsidRPr="00734EA7">
        <w:rPr>
          <w:rFonts w:ascii="Calibri" w:hAnsi="Calibri" w:cs="Calibri"/>
        </w:rPr>
        <w:t xml:space="preserve">improve livelihoods for people in </w:t>
      </w:r>
      <w:r w:rsidR="001560BE" w:rsidRPr="00734EA7">
        <w:rPr>
          <w:rFonts w:ascii="Calibri" w:hAnsi="Calibri" w:cs="Calibri"/>
        </w:rPr>
        <w:t>Senegal, India, Kenya, Guatemala, Burkina Faso and Indonesia. Projects benefit the local people and the land, while the companies earn the carbon credits from these carbon positive actions. Ramsar has been involved in the process and would intend to be involved in the next stage where more companies will commit far larger sums to improving livelihoods of family farmers using similar approaches. We see that this type of i</w:t>
      </w:r>
      <w:r w:rsidRPr="00734EA7">
        <w:rPr>
          <w:rFonts w:ascii="Calibri" w:hAnsi="Calibri" w:cs="Calibri"/>
        </w:rPr>
        <w:t>nnovation</w:t>
      </w:r>
      <w:r w:rsidR="001560BE" w:rsidRPr="00734EA7">
        <w:rPr>
          <w:rFonts w:ascii="Calibri" w:hAnsi="Calibri" w:cs="Calibri"/>
        </w:rPr>
        <w:t xml:space="preserve"> is key for increasing engagement with the private sector and capturing the goodwill of private sector companies and their employees to do good, while covering all costs of the operations. Replication of this example would be a very positive model to employ in working on wetland restoration where the multiple benefits of such restoration can be monetized and costs spread across beneficiaries.</w:t>
      </w:r>
    </w:p>
    <w:p w:rsidR="001560BE" w:rsidRDefault="001560BE" w:rsidP="00734EA7">
      <w:pPr>
        <w:pStyle w:val="Default"/>
        <w:rPr>
          <w:rFonts w:cstheme="minorHAnsi"/>
          <w:bCs/>
        </w:rPr>
      </w:pPr>
    </w:p>
    <w:p w:rsidR="005B7EC2" w:rsidRPr="00D30D6B" w:rsidRDefault="005B7EC2" w:rsidP="000A1BE5">
      <w:pPr>
        <w:pStyle w:val="ListParagraph"/>
        <w:numPr>
          <w:ilvl w:val="0"/>
          <w:numId w:val="10"/>
        </w:numPr>
        <w:spacing w:after="0" w:line="240" w:lineRule="auto"/>
        <w:rPr>
          <w:rFonts w:cstheme="minorHAnsi"/>
          <w:b/>
          <w:bCs/>
        </w:rPr>
      </w:pPr>
      <w:r w:rsidRPr="00D30D6B">
        <w:rPr>
          <w:rFonts w:cstheme="minorHAnsi"/>
          <w:b/>
          <w:bCs/>
        </w:rPr>
        <w:t>Measurement of the</w:t>
      </w:r>
      <w:r w:rsidR="000A1BE5" w:rsidRPr="00D30D6B">
        <w:rPr>
          <w:rFonts w:cstheme="minorHAnsi"/>
          <w:b/>
          <w:bCs/>
        </w:rPr>
        <w:t xml:space="preserve"> </w:t>
      </w:r>
      <w:r w:rsidRPr="00D30D6B">
        <w:rPr>
          <w:rFonts w:cstheme="minorHAnsi"/>
          <w:b/>
          <w:bCs/>
        </w:rPr>
        <w:t>status and value</w:t>
      </w:r>
      <w:r w:rsidR="00A20E2A" w:rsidRPr="00D30D6B">
        <w:rPr>
          <w:rFonts w:cstheme="minorHAnsi"/>
          <w:b/>
          <w:bCs/>
        </w:rPr>
        <w:t>s</w:t>
      </w:r>
      <w:r w:rsidRPr="00D30D6B">
        <w:rPr>
          <w:rFonts w:cstheme="minorHAnsi"/>
          <w:b/>
          <w:bCs/>
        </w:rPr>
        <w:t xml:space="preserve"> of wetlands </w:t>
      </w:r>
    </w:p>
    <w:p w:rsidR="00FA5750" w:rsidRPr="00FA5750" w:rsidRDefault="00FA5750" w:rsidP="00734EA7">
      <w:pPr>
        <w:spacing w:after="0" w:line="240" w:lineRule="auto"/>
        <w:rPr>
          <w:rFonts w:ascii="Calibri" w:hAnsi="Calibri" w:cs="Calibri"/>
          <w:b/>
          <w:bCs/>
        </w:rPr>
      </w:pPr>
    </w:p>
    <w:p w:rsidR="00A20E2A" w:rsidRPr="00734EA7" w:rsidRDefault="005B7EC2"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Measurement </w:t>
      </w:r>
      <w:r w:rsidR="00BE01BA" w:rsidRPr="00734EA7">
        <w:rPr>
          <w:rFonts w:ascii="Calibri" w:hAnsi="Calibri" w:cs="Calibri"/>
        </w:rPr>
        <w:t xml:space="preserve">of </w:t>
      </w:r>
      <w:r w:rsidR="00556430" w:rsidRPr="00734EA7">
        <w:rPr>
          <w:rFonts w:ascii="Calibri" w:hAnsi="Calibri" w:cs="Calibri"/>
        </w:rPr>
        <w:t xml:space="preserve">wetlands’ </w:t>
      </w:r>
      <w:r w:rsidR="00BE01BA" w:rsidRPr="00734EA7">
        <w:rPr>
          <w:rFonts w:ascii="Calibri" w:hAnsi="Calibri" w:cs="Calibri"/>
        </w:rPr>
        <w:t xml:space="preserve">status and change </w:t>
      </w:r>
      <w:r w:rsidRPr="00734EA7">
        <w:rPr>
          <w:rFonts w:ascii="Calibri" w:hAnsi="Calibri" w:cs="Calibri"/>
        </w:rPr>
        <w:t xml:space="preserve">is essential to inform action and influence change. </w:t>
      </w:r>
      <w:r w:rsidR="00BE01BA" w:rsidRPr="00734EA7">
        <w:rPr>
          <w:rFonts w:ascii="Calibri" w:hAnsi="Calibri" w:cs="Calibri"/>
        </w:rPr>
        <w:t xml:space="preserve">We still lack a clear picture of the status of the world’s wetlands and to find out how much wetlands are lost, Ramsar’s own Scientific and Technical Review Panel (STRP) is focusing on an assessment of the global state of wetlands with multiple partners. </w:t>
      </w:r>
      <w:r w:rsidR="00A20E2A" w:rsidRPr="00734EA7">
        <w:rPr>
          <w:rFonts w:ascii="Calibri" w:hAnsi="Calibri" w:cs="Calibri"/>
        </w:rPr>
        <w:t>The work to be done builds on existing work including the Global Wetland Observing Systems (GWOS) and Ramsar Sites Information Service (RSIS) and will allow us to map the State of the Worlds’ Wetlands and Wetland Services as is needed as a baseline and to set aspirational targets for the world</w:t>
      </w:r>
      <w:r w:rsidR="00AE6397">
        <w:rPr>
          <w:rFonts w:ascii="Calibri" w:hAnsi="Calibri" w:cs="Calibri"/>
        </w:rPr>
        <w:t>’</w:t>
      </w:r>
      <w:r w:rsidR="00A20E2A" w:rsidRPr="00734EA7">
        <w:rPr>
          <w:rFonts w:ascii="Calibri" w:hAnsi="Calibri" w:cs="Calibri"/>
        </w:rPr>
        <w:t>s wetlands.</w:t>
      </w:r>
      <w:r w:rsidR="000A1BE5">
        <w:rPr>
          <w:rFonts w:ascii="Calibri" w:hAnsi="Calibri" w:cs="Calibri"/>
        </w:rPr>
        <w:t xml:space="preserve"> </w:t>
      </w:r>
      <w:r w:rsidR="00A20E2A" w:rsidRPr="00734EA7">
        <w:rPr>
          <w:rFonts w:ascii="Calibri" w:hAnsi="Calibri" w:cs="Calibri"/>
        </w:rPr>
        <w:t xml:space="preserve"> </w:t>
      </w:r>
    </w:p>
    <w:p w:rsidR="00556430" w:rsidRPr="000A1BE5" w:rsidRDefault="00556430" w:rsidP="000A1BE5">
      <w:pPr>
        <w:spacing w:after="0" w:line="240" w:lineRule="auto"/>
        <w:rPr>
          <w:rFonts w:ascii="Calibri" w:hAnsi="Calibri" w:cs="Calibri"/>
        </w:rPr>
      </w:pPr>
    </w:p>
    <w:p w:rsidR="00A20E2A" w:rsidRPr="00734EA7" w:rsidRDefault="00BE01BA"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But we </w:t>
      </w:r>
      <w:r w:rsidR="00A20E2A" w:rsidRPr="00734EA7">
        <w:rPr>
          <w:rFonts w:ascii="Calibri" w:hAnsi="Calibri" w:cs="Calibri"/>
        </w:rPr>
        <w:t xml:space="preserve">now </w:t>
      </w:r>
      <w:r w:rsidRPr="00734EA7">
        <w:rPr>
          <w:rFonts w:ascii="Calibri" w:hAnsi="Calibri" w:cs="Calibri"/>
        </w:rPr>
        <w:t xml:space="preserve">need to work with multiple partners and seek </w:t>
      </w:r>
      <w:r w:rsidR="00A20E2A" w:rsidRPr="00734EA7">
        <w:rPr>
          <w:rFonts w:ascii="Calibri" w:hAnsi="Calibri" w:cs="Calibri"/>
        </w:rPr>
        <w:t>ways</w:t>
      </w:r>
      <w:r w:rsidRPr="00734EA7">
        <w:rPr>
          <w:rFonts w:ascii="Calibri" w:hAnsi="Calibri" w:cs="Calibri"/>
        </w:rPr>
        <w:t xml:space="preserve"> to combine Earth Observation, Citizen Engagement, and key partners to improve the availability of up-to-date knowledge on extent and status of wetlands. </w:t>
      </w:r>
      <w:r w:rsidR="00A20E2A" w:rsidRPr="00734EA7">
        <w:rPr>
          <w:rFonts w:ascii="Calibri" w:hAnsi="Calibri" w:cs="Calibri"/>
        </w:rPr>
        <w:t>One avenue being explored is the combination of data from different sources such as NASA, JAXA, ESA, and the Chinese Geomatics Centre in order to gain a clearer view of the status of wetlands and wetland types around the world. Our close collaboration will help us achieve more precise data</w:t>
      </w:r>
      <w:r w:rsidR="00D30D6B">
        <w:rPr>
          <w:rFonts w:ascii="Calibri" w:hAnsi="Calibri" w:cs="Calibri"/>
        </w:rPr>
        <w:t>,</w:t>
      </w:r>
      <w:r w:rsidR="00A20E2A" w:rsidRPr="00734EA7">
        <w:rPr>
          <w:rFonts w:ascii="Calibri" w:hAnsi="Calibri" w:cs="Calibri"/>
        </w:rPr>
        <w:t xml:space="preserve"> but we need to work further to have as clear an overview of our wetlands as we have of</w:t>
      </w:r>
      <w:r w:rsidR="00D30D6B">
        <w:rPr>
          <w:rFonts w:ascii="Calibri" w:hAnsi="Calibri" w:cs="Calibri"/>
        </w:rPr>
        <w:t>,</w:t>
      </w:r>
      <w:r w:rsidR="00A20E2A" w:rsidRPr="00734EA7">
        <w:rPr>
          <w:rFonts w:ascii="Calibri" w:hAnsi="Calibri" w:cs="Calibri"/>
        </w:rPr>
        <w:t xml:space="preserve"> say, forests.</w:t>
      </w:r>
    </w:p>
    <w:p w:rsidR="00B417BA" w:rsidRPr="000A1BE5" w:rsidRDefault="00B417BA" w:rsidP="000A1BE5">
      <w:pPr>
        <w:spacing w:after="0" w:line="240" w:lineRule="auto"/>
        <w:rPr>
          <w:rFonts w:ascii="Calibri" w:hAnsi="Calibri" w:cs="Calibri"/>
        </w:rPr>
      </w:pPr>
    </w:p>
    <w:p w:rsidR="00A20E2A" w:rsidRPr="00734EA7" w:rsidRDefault="00A20E2A"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Other necessary steps in gaining more knowledge are to improve </w:t>
      </w:r>
      <w:r w:rsidR="00B417BA" w:rsidRPr="00734EA7">
        <w:rPr>
          <w:rFonts w:ascii="Calibri" w:hAnsi="Calibri" w:cs="Calibri"/>
        </w:rPr>
        <w:t>mapping</w:t>
      </w:r>
      <w:r w:rsidRPr="00734EA7">
        <w:rPr>
          <w:rFonts w:ascii="Calibri" w:hAnsi="Calibri" w:cs="Calibri"/>
        </w:rPr>
        <w:t xml:space="preserve"> and categorisation of Ramsar Sites under Protected Areas categories, and to move towards integrated management of sites with multiple international protected area designations (e.g. UNESCO World Heritage Centre, Man and Biosphere, GeoParks and Ramsar Sites).</w:t>
      </w:r>
      <w:r w:rsidR="00B417BA" w:rsidRPr="00734EA7">
        <w:rPr>
          <w:rFonts w:ascii="Calibri" w:hAnsi="Calibri" w:cs="Calibri"/>
        </w:rPr>
        <w:t xml:space="preserve"> This will help Parties in management of their globally important treasures and ensure that full attention can be given to keep their values intact.</w:t>
      </w:r>
      <w:r w:rsidR="000A1BE5">
        <w:rPr>
          <w:rFonts w:ascii="Calibri" w:hAnsi="Calibri" w:cs="Calibri"/>
        </w:rPr>
        <w:t xml:space="preserve"> </w:t>
      </w:r>
    </w:p>
    <w:p w:rsidR="00556430" w:rsidRPr="000A1BE5" w:rsidRDefault="00556430" w:rsidP="000A1BE5">
      <w:pPr>
        <w:spacing w:after="0" w:line="240" w:lineRule="auto"/>
        <w:rPr>
          <w:rFonts w:ascii="Calibri" w:hAnsi="Calibri" w:cs="Calibri"/>
        </w:rPr>
      </w:pPr>
    </w:p>
    <w:p w:rsidR="007611E1" w:rsidRDefault="00B417BA"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On Valuation of ecosystems, w</w:t>
      </w:r>
      <w:r w:rsidR="007611E1" w:rsidRPr="00734EA7">
        <w:rPr>
          <w:rFonts w:ascii="Calibri" w:hAnsi="Calibri" w:cs="Calibri"/>
        </w:rPr>
        <w:t>e know that</w:t>
      </w:r>
      <w:r w:rsidR="005B7EC2" w:rsidRPr="00734EA7">
        <w:rPr>
          <w:rFonts w:ascii="Calibri" w:hAnsi="Calibri" w:cs="Calibri"/>
        </w:rPr>
        <w:t xml:space="preserve"> “The Economics of Ecosystems and Biodiversity” (TEEB) for Water and Wetlands report in 2013, commissioned by </w:t>
      </w:r>
      <w:r w:rsidR="00EB14A4" w:rsidRPr="00734EA7">
        <w:rPr>
          <w:rFonts w:ascii="Calibri" w:hAnsi="Calibri" w:cs="Calibri"/>
        </w:rPr>
        <w:t>Ramsar</w:t>
      </w:r>
      <w:r w:rsidR="005B7EC2" w:rsidRPr="00734EA7">
        <w:rPr>
          <w:rFonts w:ascii="Calibri" w:hAnsi="Calibri" w:cs="Calibri"/>
        </w:rPr>
        <w:t xml:space="preserve">, has provided </w:t>
      </w:r>
      <w:r w:rsidRPr="00734EA7">
        <w:rPr>
          <w:rFonts w:ascii="Calibri" w:hAnsi="Calibri" w:cs="Calibri"/>
        </w:rPr>
        <w:t xml:space="preserve">highly </w:t>
      </w:r>
      <w:r w:rsidR="005B7EC2" w:rsidRPr="00734EA7">
        <w:rPr>
          <w:rFonts w:ascii="Calibri" w:hAnsi="Calibri" w:cs="Calibri"/>
        </w:rPr>
        <w:t xml:space="preserve">useful data on the value of wetlands ecosystems and the costs of their loss and degradation. Further work </w:t>
      </w:r>
      <w:r w:rsidR="007611E1" w:rsidRPr="00734EA7">
        <w:rPr>
          <w:rFonts w:ascii="Calibri" w:hAnsi="Calibri" w:cs="Calibri"/>
        </w:rPr>
        <w:t xml:space="preserve">is now being done by UNEP at country level that will give more data on scenario analysis and </w:t>
      </w:r>
      <w:r w:rsidR="005B7EC2" w:rsidRPr="00734EA7">
        <w:rPr>
          <w:rFonts w:ascii="Calibri" w:hAnsi="Calibri" w:cs="Calibri"/>
        </w:rPr>
        <w:t xml:space="preserve">help decision makers assess the impacts on wetlands of development options and help steer towards wise use of natural capital. </w:t>
      </w:r>
    </w:p>
    <w:p w:rsidR="00734EA7" w:rsidRPr="000A1BE5" w:rsidRDefault="00734EA7" w:rsidP="000A1BE5">
      <w:pPr>
        <w:spacing w:after="0" w:line="240" w:lineRule="auto"/>
        <w:rPr>
          <w:rFonts w:ascii="Calibri" w:hAnsi="Calibri" w:cs="Calibri"/>
        </w:rPr>
      </w:pPr>
    </w:p>
    <w:p w:rsidR="005B7EC2" w:rsidRDefault="00A20E2A"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Another</w:t>
      </w:r>
      <w:r w:rsidR="005B7EC2" w:rsidRPr="00734EA7">
        <w:rPr>
          <w:rFonts w:ascii="Calibri" w:hAnsi="Calibri" w:cs="Calibri"/>
        </w:rPr>
        <w:t xml:space="preserve"> example </w:t>
      </w:r>
      <w:r w:rsidR="007611E1" w:rsidRPr="00734EA7">
        <w:rPr>
          <w:rFonts w:ascii="Calibri" w:hAnsi="Calibri" w:cs="Calibri"/>
        </w:rPr>
        <w:t xml:space="preserve">of the work ahead on valuing wetlands </w:t>
      </w:r>
      <w:r w:rsidR="005B7EC2" w:rsidRPr="00734EA7">
        <w:rPr>
          <w:rFonts w:ascii="Calibri" w:hAnsi="Calibri" w:cs="Calibri"/>
        </w:rPr>
        <w:t xml:space="preserve">is the </w:t>
      </w:r>
      <w:r w:rsidR="007611E1" w:rsidRPr="00734EA7">
        <w:rPr>
          <w:rFonts w:ascii="Calibri" w:hAnsi="Calibri" w:cs="Calibri"/>
        </w:rPr>
        <w:t>task of</w:t>
      </w:r>
      <w:r w:rsidR="005B7EC2" w:rsidRPr="00734EA7">
        <w:rPr>
          <w:rFonts w:ascii="Calibri" w:hAnsi="Calibri" w:cs="Calibri"/>
        </w:rPr>
        <w:t xml:space="preserve"> promoting wetlands as “natural infrastructure” and collaboration with partners </w:t>
      </w:r>
      <w:r w:rsidR="007611E1" w:rsidRPr="00734EA7">
        <w:rPr>
          <w:rFonts w:ascii="Calibri" w:hAnsi="Calibri" w:cs="Calibri"/>
        </w:rPr>
        <w:t>to</w:t>
      </w:r>
      <w:r w:rsidR="005B7EC2" w:rsidRPr="00734EA7">
        <w:rPr>
          <w:rFonts w:ascii="Calibri" w:hAnsi="Calibri" w:cs="Calibri"/>
        </w:rPr>
        <w:t xml:space="preserve"> explore the </w:t>
      </w:r>
      <w:r w:rsidR="007611E1" w:rsidRPr="00734EA7">
        <w:rPr>
          <w:rFonts w:ascii="Calibri" w:hAnsi="Calibri" w:cs="Calibri"/>
        </w:rPr>
        <w:t xml:space="preserve">structured </w:t>
      </w:r>
      <w:r w:rsidR="005B7EC2" w:rsidRPr="00734EA7">
        <w:rPr>
          <w:rFonts w:ascii="Calibri" w:hAnsi="Calibri" w:cs="Calibri"/>
        </w:rPr>
        <w:t xml:space="preserve">combination of green and grey infrastructure to </w:t>
      </w:r>
      <w:r w:rsidR="007611E1" w:rsidRPr="00734EA7">
        <w:rPr>
          <w:rFonts w:ascii="Calibri" w:hAnsi="Calibri" w:cs="Calibri"/>
        </w:rPr>
        <w:t>give long-term sustainable solutions</w:t>
      </w:r>
      <w:r w:rsidR="005B7EC2" w:rsidRPr="00734EA7">
        <w:rPr>
          <w:rFonts w:ascii="Calibri" w:hAnsi="Calibri" w:cs="Calibri"/>
        </w:rPr>
        <w:t>.</w:t>
      </w:r>
      <w:r w:rsidR="00B417BA" w:rsidRPr="00734EA7">
        <w:rPr>
          <w:rFonts w:ascii="Calibri" w:hAnsi="Calibri" w:cs="Calibri"/>
        </w:rPr>
        <w:t xml:space="preserve"> Much work still needs to be done to convert engineers and planners </w:t>
      </w:r>
      <w:r w:rsidR="00D30D6B">
        <w:rPr>
          <w:rFonts w:ascii="Calibri" w:hAnsi="Calibri" w:cs="Calibri"/>
        </w:rPr>
        <w:t>to</w:t>
      </w:r>
      <w:r w:rsidR="00B417BA" w:rsidRPr="00734EA7">
        <w:rPr>
          <w:rFonts w:ascii="Calibri" w:hAnsi="Calibri" w:cs="Calibri"/>
        </w:rPr>
        <w:t xml:space="preserve"> the cost effective greener solutions, but this is a key tool in mainstreaming wetlands into development. </w:t>
      </w:r>
    </w:p>
    <w:p w:rsidR="00734EA7" w:rsidRPr="000A1BE5" w:rsidRDefault="00734EA7" w:rsidP="000A1BE5">
      <w:pPr>
        <w:spacing w:after="0" w:line="240" w:lineRule="auto"/>
        <w:rPr>
          <w:rFonts w:ascii="Calibri" w:hAnsi="Calibri" w:cs="Calibri"/>
        </w:rPr>
      </w:pPr>
    </w:p>
    <w:p w:rsidR="005B7EC2" w:rsidRPr="000A1BE5" w:rsidRDefault="005B7EC2" w:rsidP="000A1BE5">
      <w:pPr>
        <w:pStyle w:val="ListParagraph"/>
        <w:numPr>
          <w:ilvl w:val="0"/>
          <w:numId w:val="17"/>
        </w:numPr>
        <w:spacing w:after="0" w:line="240" w:lineRule="auto"/>
        <w:ind w:left="426" w:hanging="426"/>
        <w:rPr>
          <w:rFonts w:ascii="Calibri" w:hAnsi="Calibri" w:cs="Calibri"/>
        </w:rPr>
      </w:pPr>
      <w:r w:rsidRPr="00734EA7">
        <w:rPr>
          <w:rFonts w:ascii="Calibri" w:hAnsi="Calibri" w:cs="Calibri"/>
        </w:rPr>
        <w:t xml:space="preserve">The idea of payment for ecosystem services </w:t>
      </w:r>
      <w:r w:rsidR="007611E1" w:rsidRPr="00734EA7">
        <w:rPr>
          <w:rFonts w:ascii="Calibri" w:hAnsi="Calibri" w:cs="Calibri"/>
        </w:rPr>
        <w:t xml:space="preserve">(PES) </w:t>
      </w:r>
      <w:r w:rsidR="005714C5" w:rsidRPr="00734EA7">
        <w:rPr>
          <w:rFonts w:ascii="Calibri" w:hAnsi="Calibri" w:cs="Calibri"/>
        </w:rPr>
        <w:t xml:space="preserve">has </w:t>
      </w:r>
      <w:r w:rsidR="00B417BA" w:rsidRPr="00734EA7">
        <w:rPr>
          <w:rFonts w:ascii="Calibri" w:hAnsi="Calibri" w:cs="Calibri"/>
        </w:rPr>
        <w:t xml:space="preserve">now </w:t>
      </w:r>
      <w:r w:rsidR="005714C5" w:rsidRPr="00734EA7">
        <w:rPr>
          <w:rFonts w:ascii="Calibri" w:hAnsi="Calibri" w:cs="Calibri"/>
        </w:rPr>
        <w:t>caught fire with new</w:t>
      </w:r>
      <w:r w:rsidRPr="00734EA7">
        <w:rPr>
          <w:rFonts w:ascii="Calibri" w:hAnsi="Calibri" w:cs="Calibri"/>
        </w:rPr>
        <w:t xml:space="preserve"> solutions </w:t>
      </w:r>
      <w:r w:rsidR="005714C5" w:rsidRPr="00734EA7">
        <w:rPr>
          <w:rFonts w:ascii="Calibri" w:hAnsi="Calibri" w:cs="Calibri"/>
        </w:rPr>
        <w:t>on</w:t>
      </w:r>
      <w:r w:rsidRPr="00734EA7">
        <w:rPr>
          <w:rFonts w:ascii="Calibri" w:hAnsi="Calibri" w:cs="Calibri"/>
        </w:rPr>
        <w:t xml:space="preserve"> how to provide the necessary quantity and quality of water for cities and industries by paying for sustained upstream basin management. </w:t>
      </w:r>
      <w:r w:rsidR="005714C5" w:rsidRPr="00734EA7">
        <w:rPr>
          <w:rFonts w:ascii="Calibri" w:hAnsi="Calibri" w:cs="Calibri"/>
        </w:rPr>
        <w:t>The “Water Funds” in Latin America highlight the value of water and wetlands, and have some solutions on how to maintain reliable water supplies with growing populations. Likewise, t</w:t>
      </w:r>
      <w:r w:rsidR="007611E1" w:rsidRPr="00734EA7">
        <w:rPr>
          <w:rFonts w:ascii="Calibri" w:hAnsi="Calibri" w:cs="Calibri"/>
        </w:rPr>
        <w:t xml:space="preserve">he success of the </w:t>
      </w:r>
      <w:r w:rsidR="005714C5" w:rsidRPr="00734EA7">
        <w:rPr>
          <w:rFonts w:ascii="Calibri" w:hAnsi="Calibri" w:cs="Calibri"/>
        </w:rPr>
        <w:t xml:space="preserve">Evian watershed management and the </w:t>
      </w:r>
      <w:r w:rsidR="007611E1" w:rsidRPr="00734EA7">
        <w:rPr>
          <w:rFonts w:ascii="Calibri" w:hAnsi="Calibri" w:cs="Calibri"/>
        </w:rPr>
        <w:t>Livelihoods Initiative show</w:t>
      </w:r>
      <w:r w:rsidR="005714C5" w:rsidRPr="00734EA7">
        <w:rPr>
          <w:rFonts w:ascii="Calibri" w:hAnsi="Calibri" w:cs="Calibri"/>
        </w:rPr>
        <w:t xml:space="preserve"> other </w:t>
      </w:r>
      <w:r w:rsidR="007611E1" w:rsidRPr="00734EA7">
        <w:rPr>
          <w:rFonts w:ascii="Calibri" w:hAnsi="Calibri" w:cs="Calibri"/>
        </w:rPr>
        <w:t>way</w:t>
      </w:r>
      <w:r w:rsidR="005714C5" w:rsidRPr="00734EA7">
        <w:rPr>
          <w:rFonts w:ascii="Calibri" w:hAnsi="Calibri" w:cs="Calibri"/>
        </w:rPr>
        <w:t>s</w:t>
      </w:r>
      <w:r w:rsidR="007611E1" w:rsidRPr="00734EA7">
        <w:rPr>
          <w:rFonts w:ascii="Calibri" w:hAnsi="Calibri" w:cs="Calibri"/>
        </w:rPr>
        <w:t xml:space="preserve"> to have </w:t>
      </w:r>
      <w:r w:rsidR="00B417BA" w:rsidRPr="00734EA7">
        <w:rPr>
          <w:rFonts w:ascii="Calibri" w:hAnsi="Calibri" w:cs="Calibri"/>
        </w:rPr>
        <w:t xml:space="preserve">fully fundable, </w:t>
      </w:r>
      <w:r w:rsidR="007611E1" w:rsidRPr="00734EA7">
        <w:rPr>
          <w:rFonts w:ascii="Calibri" w:hAnsi="Calibri" w:cs="Calibri"/>
        </w:rPr>
        <w:t xml:space="preserve">commercially viable </w:t>
      </w:r>
      <w:r w:rsidR="00BE01BA" w:rsidRPr="00734EA7">
        <w:rPr>
          <w:rFonts w:ascii="Calibri" w:hAnsi="Calibri" w:cs="Calibri"/>
        </w:rPr>
        <w:t xml:space="preserve">solutions </w:t>
      </w:r>
      <w:r w:rsidR="007611E1" w:rsidRPr="00734EA7">
        <w:rPr>
          <w:rFonts w:ascii="Calibri" w:hAnsi="Calibri" w:cs="Calibri"/>
        </w:rPr>
        <w:t xml:space="preserve">in wetland restoration </w:t>
      </w:r>
      <w:r w:rsidR="005714C5" w:rsidRPr="00734EA7">
        <w:rPr>
          <w:rFonts w:ascii="Calibri" w:hAnsi="Calibri" w:cs="Calibri"/>
        </w:rPr>
        <w:t>and management</w:t>
      </w:r>
      <w:r w:rsidR="00B417BA" w:rsidRPr="00734EA7">
        <w:rPr>
          <w:rFonts w:ascii="Calibri" w:hAnsi="Calibri" w:cs="Calibri"/>
        </w:rPr>
        <w:t xml:space="preserve"> that lead to major improvements in livelihoods and food security</w:t>
      </w:r>
      <w:r w:rsidR="005714C5" w:rsidRPr="00734EA7">
        <w:rPr>
          <w:rFonts w:ascii="Calibri" w:hAnsi="Calibri" w:cs="Calibri"/>
        </w:rPr>
        <w:t xml:space="preserve">. </w:t>
      </w:r>
      <w:r w:rsidRPr="00734EA7">
        <w:rPr>
          <w:rFonts w:ascii="Calibri" w:hAnsi="Calibri" w:cs="Calibri"/>
        </w:rPr>
        <w:t xml:space="preserve">Such ideas have great potential and </w:t>
      </w:r>
      <w:r w:rsidR="005714C5" w:rsidRPr="00734EA7">
        <w:rPr>
          <w:rFonts w:ascii="Calibri" w:hAnsi="Calibri" w:cs="Calibri"/>
        </w:rPr>
        <w:t>need to</w:t>
      </w:r>
      <w:r w:rsidRPr="00734EA7">
        <w:rPr>
          <w:rFonts w:ascii="Calibri" w:hAnsi="Calibri" w:cs="Calibri"/>
        </w:rPr>
        <w:t xml:space="preserve"> be replicated around the world</w:t>
      </w:r>
      <w:r w:rsidR="00B417BA" w:rsidRPr="00734EA7">
        <w:rPr>
          <w:rFonts w:ascii="Calibri" w:hAnsi="Calibri" w:cs="Calibri"/>
        </w:rPr>
        <w:t>, and the Convention should assist in this movement of good practice around the globe</w:t>
      </w:r>
      <w:r w:rsidRPr="00734EA7">
        <w:rPr>
          <w:rFonts w:ascii="Calibri" w:hAnsi="Calibri" w:cs="Calibri"/>
        </w:rPr>
        <w:t xml:space="preserve">. </w:t>
      </w:r>
    </w:p>
    <w:p w:rsidR="005714C5" w:rsidRPr="00577E03" w:rsidRDefault="005714C5" w:rsidP="00734EA7">
      <w:pPr>
        <w:spacing w:after="0" w:line="240" w:lineRule="auto"/>
        <w:ind w:firstLine="720"/>
        <w:rPr>
          <w:sz w:val="24"/>
        </w:rPr>
      </w:pPr>
    </w:p>
    <w:p w:rsidR="00416B88" w:rsidRPr="00A20E2A" w:rsidRDefault="00416B88" w:rsidP="00734EA7">
      <w:pPr>
        <w:spacing w:after="0" w:line="240" w:lineRule="auto"/>
        <w:rPr>
          <w:rFonts w:cstheme="minorHAnsi"/>
          <w:bCs/>
          <w:sz w:val="24"/>
        </w:rPr>
      </w:pPr>
    </w:p>
    <w:p w:rsidR="009A7F01" w:rsidRPr="00D30D6B" w:rsidRDefault="009A7F01" w:rsidP="00734EA7">
      <w:pPr>
        <w:spacing w:after="0" w:line="240" w:lineRule="auto"/>
        <w:rPr>
          <w:b/>
          <w:sz w:val="24"/>
        </w:rPr>
      </w:pPr>
      <w:r w:rsidRPr="00D30D6B">
        <w:rPr>
          <w:b/>
          <w:sz w:val="24"/>
        </w:rPr>
        <w:t>Actions undertaken and missions of the Secretary General from 1 January to 31 December 2014:</w:t>
      </w:r>
    </w:p>
    <w:p w:rsidR="00416B88" w:rsidRPr="00535EF3" w:rsidRDefault="00416B88" w:rsidP="00734EA7">
      <w:pPr>
        <w:spacing w:after="0" w:line="240" w:lineRule="auto"/>
        <w:rPr>
          <w:sz w:val="24"/>
        </w:rPr>
      </w:pPr>
    </w:p>
    <w:p w:rsidR="005B7EC2" w:rsidRPr="000A1BE5" w:rsidRDefault="00437EF6"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Bringing the vision of the Secretary General</w:t>
      </w:r>
      <w:r w:rsidR="00B417BA" w:rsidRPr="000A1BE5">
        <w:rPr>
          <w:rFonts w:ascii="Calibri" w:hAnsi="Calibri" w:cs="Calibri"/>
        </w:rPr>
        <w:t xml:space="preserve"> (SG)</w:t>
      </w:r>
      <w:r w:rsidRPr="000A1BE5">
        <w:rPr>
          <w:rFonts w:ascii="Calibri" w:hAnsi="Calibri" w:cs="Calibri"/>
        </w:rPr>
        <w:t xml:space="preserve"> to life in 2014 has brought about a number of </w:t>
      </w:r>
      <w:r w:rsidR="00B417BA" w:rsidRPr="000A1BE5">
        <w:rPr>
          <w:rFonts w:ascii="Calibri" w:hAnsi="Calibri" w:cs="Calibri"/>
        </w:rPr>
        <w:t xml:space="preserve">Secretariat and Party </w:t>
      </w:r>
      <w:r w:rsidRPr="000A1BE5">
        <w:rPr>
          <w:rFonts w:ascii="Calibri" w:hAnsi="Calibri" w:cs="Calibri"/>
        </w:rPr>
        <w:t xml:space="preserve">actions and </w:t>
      </w:r>
      <w:r w:rsidR="00B417BA" w:rsidRPr="000A1BE5">
        <w:rPr>
          <w:rFonts w:ascii="Calibri" w:hAnsi="Calibri" w:cs="Calibri"/>
        </w:rPr>
        <w:t xml:space="preserve">led the Secretariat and SG into </w:t>
      </w:r>
      <w:r w:rsidRPr="000A1BE5">
        <w:rPr>
          <w:rFonts w:ascii="Calibri" w:hAnsi="Calibri" w:cs="Calibri"/>
        </w:rPr>
        <w:t xml:space="preserve">a series of meetings around the world to advance on the major themes covered in that vision. </w:t>
      </w:r>
      <w:r w:rsidR="00824557" w:rsidRPr="000A1BE5">
        <w:rPr>
          <w:rFonts w:ascii="Calibri" w:hAnsi="Calibri" w:cs="Calibri"/>
        </w:rPr>
        <w:t xml:space="preserve">The broad layout in his first report has been retained in order to allow the Parties and our partners to assess the progress, and </w:t>
      </w:r>
      <w:r w:rsidR="00B417BA" w:rsidRPr="000A1BE5">
        <w:rPr>
          <w:rFonts w:ascii="Calibri" w:hAnsi="Calibri" w:cs="Calibri"/>
        </w:rPr>
        <w:t xml:space="preserve">necessary </w:t>
      </w:r>
      <w:r w:rsidR="00824557" w:rsidRPr="000A1BE5">
        <w:rPr>
          <w:rFonts w:ascii="Calibri" w:hAnsi="Calibri" w:cs="Calibri"/>
        </w:rPr>
        <w:t>adjustments made in response to realities and opportunities.</w:t>
      </w:r>
    </w:p>
    <w:p w:rsidR="00F71ECE" w:rsidRPr="00437EF6" w:rsidRDefault="00F71ECE" w:rsidP="00734EA7">
      <w:pPr>
        <w:pStyle w:val="ListParagraph"/>
        <w:spacing w:after="0" w:line="240" w:lineRule="auto"/>
        <w:rPr>
          <w:rFonts w:cstheme="minorHAnsi"/>
          <w:b/>
          <w:bCs/>
          <w:sz w:val="24"/>
          <w:highlight w:val="yellow"/>
        </w:rPr>
      </w:pPr>
    </w:p>
    <w:p w:rsidR="00437EF6" w:rsidRPr="00556430" w:rsidRDefault="00437EF6" w:rsidP="000A1BE5">
      <w:pPr>
        <w:pStyle w:val="ListParagraph"/>
        <w:numPr>
          <w:ilvl w:val="2"/>
          <w:numId w:val="4"/>
        </w:numPr>
        <w:spacing w:after="0" w:line="240" w:lineRule="auto"/>
        <w:ind w:left="993" w:hanging="567"/>
        <w:outlineLvl w:val="0"/>
        <w:rPr>
          <w:b/>
        </w:rPr>
      </w:pPr>
      <w:r w:rsidRPr="00556430">
        <w:rPr>
          <w:b/>
        </w:rPr>
        <w:t>Preparation of COP 12</w:t>
      </w:r>
    </w:p>
    <w:p w:rsidR="00437EF6" w:rsidRPr="00556430" w:rsidRDefault="00437EF6" w:rsidP="000A1BE5">
      <w:pPr>
        <w:pStyle w:val="ListParagraph"/>
        <w:numPr>
          <w:ilvl w:val="2"/>
          <w:numId w:val="4"/>
        </w:numPr>
        <w:spacing w:after="0" w:line="240" w:lineRule="auto"/>
        <w:ind w:left="993" w:hanging="567"/>
        <w:outlineLvl w:val="0"/>
        <w:rPr>
          <w:b/>
        </w:rPr>
      </w:pPr>
      <w:r w:rsidRPr="00556430">
        <w:rPr>
          <w:b/>
        </w:rPr>
        <w:t>Office layout and design in IUCN</w:t>
      </w:r>
    </w:p>
    <w:p w:rsidR="00437EF6" w:rsidRPr="00556430" w:rsidRDefault="00437EF6" w:rsidP="000A1BE5">
      <w:pPr>
        <w:pStyle w:val="ListParagraph"/>
        <w:numPr>
          <w:ilvl w:val="2"/>
          <w:numId w:val="4"/>
        </w:numPr>
        <w:spacing w:after="0" w:line="240" w:lineRule="auto"/>
        <w:ind w:left="993" w:hanging="567"/>
        <w:outlineLvl w:val="0"/>
        <w:rPr>
          <w:b/>
        </w:rPr>
      </w:pPr>
      <w:r w:rsidRPr="00556430">
        <w:rPr>
          <w:b/>
        </w:rPr>
        <w:t>Collaboration with IUCN</w:t>
      </w:r>
    </w:p>
    <w:p w:rsidR="00E86048" w:rsidRPr="00334D44" w:rsidRDefault="00E86048" w:rsidP="000A1BE5">
      <w:pPr>
        <w:pStyle w:val="PlainText"/>
        <w:numPr>
          <w:ilvl w:val="2"/>
          <w:numId w:val="4"/>
        </w:numPr>
        <w:ind w:left="993" w:hanging="567"/>
        <w:outlineLvl w:val="0"/>
        <w:rPr>
          <w:rFonts w:asciiTheme="minorHAnsi" w:hAnsiTheme="minorHAnsi" w:cstheme="minorBidi"/>
          <w:b/>
          <w:sz w:val="22"/>
          <w:szCs w:val="22"/>
          <w:lang w:val="en-GB"/>
        </w:rPr>
      </w:pPr>
      <w:r w:rsidRPr="00334D44">
        <w:rPr>
          <w:rFonts w:asciiTheme="minorHAnsi" w:hAnsiTheme="minorHAnsi" w:cstheme="minorBidi"/>
          <w:b/>
          <w:sz w:val="22"/>
          <w:szCs w:val="22"/>
          <w:lang w:val="en-GB"/>
        </w:rPr>
        <w:t>Collaboration with UNECE</w:t>
      </w:r>
    </w:p>
    <w:p w:rsidR="00824557" w:rsidRPr="00556430" w:rsidRDefault="00824557" w:rsidP="000A1BE5">
      <w:pPr>
        <w:pStyle w:val="ListParagraph"/>
        <w:numPr>
          <w:ilvl w:val="2"/>
          <w:numId w:val="4"/>
        </w:numPr>
        <w:spacing w:after="0" w:line="240" w:lineRule="auto"/>
        <w:ind w:left="993" w:hanging="567"/>
        <w:outlineLvl w:val="0"/>
        <w:rPr>
          <w:b/>
        </w:rPr>
      </w:pPr>
      <w:r w:rsidRPr="00556430">
        <w:rPr>
          <w:b/>
        </w:rPr>
        <w:t>Collaboration with UNESCO</w:t>
      </w:r>
    </w:p>
    <w:p w:rsidR="00824557" w:rsidRPr="00556430" w:rsidRDefault="00824557" w:rsidP="000A1BE5">
      <w:pPr>
        <w:pStyle w:val="ListParagraph"/>
        <w:numPr>
          <w:ilvl w:val="2"/>
          <w:numId w:val="4"/>
        </w:numPr>
        <w:spacing w:after="0" w:line="240" w:lineRule="auto"/>
        <w:ind w:left="993" w:hanging="567"/>
        <w:outlineLvl w:val="0"/>
        <w:rPr>
          <w:b/>
        </w:rPr>
      </w:pPr>
      <w:r w:rsidRPr="00556430">
        <w:rPr>
          <w:b/>
        </w:rPr>
        <w:t>Collaboration with UNEP</w:t>
      </w:r>
    </w:p>
    <w:p w:rsidR="00C376C3" w:rsidRPr="00556430" w:rsidRDefault="00C376C3" w:rsidP="000A1BE5">
      <w:pPr>
        <w:pStyle w:val="ListParagraph"/>
        <w:numPr>
          <w:ilvl w:val="2"/>
          <w:numId w:val="4"/>
        </w:numPr>
        <w:spacing w:after="0" w:line="240" w:lineRule="auto"/>
        <w:ind w:left="993" w:hanging="567"/>
        <w:outlineLvl w:val="0"/>
        <w:rPr>
          <w:b/>
        </w:rPr>
      </w:pPr>
      <w:r w:rsidRPr="00556430">
        <w:rPr>
          <w:b/>
        </w:rPr>
        <w:t>Collaboration with UN</w:t>
      </w:r>
      <w:r>
        <w:rPr>
          <w:b/>
        </w:rPr>
        <w:t>D</w:t>
      </w:r>
      <w:r w:rsidRPr="00556430">
        <w:rPr>
          <w:b/>
        </w:rPr>
        <w:t>P</w:t>
      </w:r>
    </w:p>
    <w:p w:rsidR="00824557" w:rsidRPr="00E86048" w:rsidRDefault="00824557" w:rsidP="000A1BE5">
      <w:pPr>
        <w:pStyle w:val="ListParagraph"/>
        <w:numPr>
          <w:ilvl w:val="2"/>
          <w:numId w:val="4"/>
        </w:numPr>
        <w:spacing w:after="0" w:line="240" w:lineRule="auto"/>
        <w:ind w:left="993" w:hanging="567"/>
        <w:outlineLvl w:val="0"/>
        <w:rPr>
          <w:b/>
        </w:rPr>
      </w:pPr>
      <w:r w:rsidRPr="00E86048">
        <w:rPr>
          <w:b/>
        </w:rPr>
        <w:t xml:space="preserve">Collaboration with </w:t>
      </w:r>
      <w:r w:rsidR="00E86048" w:rsidRPr="00E86048">
        <w:rPr>
          <w:b/>
        </w:rPr>
        <w:t xml:space="preserve">MEAs and </w:t>
      </w:r>
      <w:r w:rsidRPr="00E86048">
        <w:rPr>
          <w:b/>
        </w:rPr>
        <w:t xml:space="preserve">other bodies </w:t>
      </w:r>
    </w:p>
    <w:p w:rsidR="00E86048" w:rsidRPr="00E86048" w:rsidRDefault="00E86048" w:rsidP="00734EA7">
      <w:pPr>
        <w:pStyle w:val="ListParagraph"/>
        <w:spacing w:after="0" w:line="240" w:lineRule="auto"/>
        <w:ind w:left="1800"/>
        <w:outlineLvl w:val="0"/>
        <w:rPr>
          <w:u w:val="single"/>
        </w:rPr>
      </w:pPr>
    </w:p>
    <w:p w:rsidR="00824557" w:rsidRPr="00D30D6B" w:rsidRDefault="00824557" w:rsidP="00D30D6B">
      <w:pPr>
        <w:pStyle w:val="ListParagraph"/>
        <w:numPr>
          <w:ilvl w:val="0"/>
          <w:numId w:val="18"/>
        </w:numPr>
        <w:spacing w:after="0" w:line="240" w:lineRule="auto"/>
        <w:ind w:left="993" w:hanging="567"/>
        <w:outlineLvl w:val="0"/>
        <w:rPr>
          <w:b/>
        </w:rPr>
      </w:pPr>
      <w:r w:rsidRPr="00D30D6B">
        <w:rPr>
          <w:b/>
        </w:rPr>
        <w:t>Preparation of COP 12</w:t>
      </w:r>
    </w:p>
    <w:p w:rsidR="000A1BE5" w:rsidRDefault="000A1BE5" w:rsidP="00734EA7">
      <w:pPr>
        <w:spacing w:after="0" w:line="240" w:lineRule="auto"/>
        <w:outlineLvl w:val="0"/>
        <w:rPr>
          <w:u w:val="single"/>
        </w:rPr>
      </w:pPr>
    </w:p>
    <w:p w:rsidR="006E70A7" w:rsidRDefault="00556430"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The SG visited Uruguay in January to see the site for COP12 and discuss all arrangements with the </w:t>
      </w:r>
      <w:r w:rsidR="00D30D6B">
        <w:rPr>
          <w:rFonts w:ascii="Calibri" w:hAnsi="Calibri" w:cs="Calibri"/>
        </w:rPr>
        <w:t>G</w:t>
      </w:r>
      <w:r w:rsidRPr="000A1BE5">
        <w:rPr>
          <w:rFonts w:ascii="Calibri" w:hAnsi="Calibri" w:cs="Calibri"/>
        </w:rPr>
        <w:t>overnment</w:t>
      </w:r>
      <w:r w:rsidR="00D30D6B">
        <w:rPr>
          <w:rFonts w:ascii="Calibri" w:hAnsi="Calibri" w:cs="Calibri"/>
        </w:rPr>
        <w:t xml:space="preserve">, </w:t>
      </w:r>
      <w:r w:rsidRPr="000A1BE5">
        <w:rPr>
          <w:rFonts w:ascii="Calibri" w:hAnsi="Calibri" w:cs="Calibri"/>
        </w:rPr>
        <w:t xml:space="preserve">and found that all was going well and meetings were held to address outstanding issues that have now been resolved. </w:t>
      </w:r>
      <w:r w:rsidR="007817A5" w:rsidRPr="000A1BE5">
        <w:rPr>
          <w:rFonts w:ascii="Calibri" w:hAnsi="Calibri" w:cs="Calibri"/>
        </w:rPr>
        <w:t xml:space="preserve">Ongoing meetings with the Mission have proved helpful in progressing on remaining issues and there has been, as yet, no need to carry out more missions. </w:t>
      </w:r>
      <w:r w:rsidR="00BC2E46" w:rsidRPr="000A1BE5">
        <w:rPr>
          <w:rFonts w:ascii="Calibri" w:hAnsi="Calibri" w:cs="Calibri"/>
        </w:rPr>
        <w:t xml:space="preserve">The positive and supportive collaboration with the Uruguayan government has continued and all </w:t>
      </w:r>
      <w:r w:rsidR="006E70A7" w:rsidRPr="000A1BE5">
        <w:rPr>
          <w:rFonts w:ascii="Calibri" w:hAnsi="Calibri" w:cs="Calibri"/>
        </w:rPr>
        <w:t xml:space="preserve">necessary </w:t>
      </w:r>
      <w:r w:rsidR="00BC2E46" w:rsidRPr="000A1BE5">
        <w:rPr>
          <w:rFonts w:ascii="Calibri" w:hAnsi="Calibri" w:cs="Calibri"/>
        </w:rPr>
        <w:t>arrangements have been made</w:t>
      </w:r>
      <w:r w:rsidR="006E70A7" w:rsidRPr="000A1BE5">
        <w:rPr>
          <w:rFonts w:ascii="Calibri" w:hAnsi="Calibri" w:cs="Calibri"/>
        </w:rPr>
        <w:t xml:space="preserve"> on their side and on the side of the Secretariat</w:t>
      </w:r>
      <w:r w:rsidR="00BC2E46" w:rsidRPr="000A1BE5">
        <w:rPr>
          <w:rFonts w:ascii="Calibri" w:hAnsi="Calibri" w:cs="Calibri"/>
        </w:rPr>
        <w:t xml:space="preserve">, including informative briefings at SC47 that showed the new logo and motto for the upcoming COP12. </w:t>
      </w:r>
    </w:p>
    <w:p w:rsidR="000A1BE5" w:rsidRPr="000A1BE5" w:rsidRDefault="000A1BE5" w:rsidP="000A1BE5">
      <w:pPr>
        <w:pStyle w:val="ListParagraph"/>
        <w:spacing w:after="0" w:line="240" w:lineRule="auto"/>
        <w:ind w:left="426"/>
        <w:rPr>
          <w:rFonts w:ascii="Calibri" w:hAnsi="Calibri" w:cs="Calibri"/>
        </w:rPr>
      </w:pPr>
    </w:p>
    <w:p w:rsidR="006E70A7" w:rsidRDefault="00BC2E46"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The financial gaps have now been </w:t>
      </w:r>
      <w:r w:rsidR="006E70A7" w:rsidRPr="000A1BE5">
        <w:rPr>
          <w:rFonts w:ascii="Calibri" w:hAnsi="Calibri" w:cs="Calibri"/>
        </w:rPr>
        <w:t>filled in for the respective arrangements</w:t>
      </w:r>
      <w:r w:rsidR="00D30D6B">
        <w:rPr>
          <w:rFonts w:ascii="Calibri" w:hAnsi="Calibri" w:cs="Calibri"/>
        </w:rPr>
        <w:t>,</w:t>
      </w:r>
      <w:r w:rsidR="006E70A7" w:rsidRPr="000A1BE5">
        <w:rPr>
          <w:rFonts w:ascii="Calibri" w:hAnsi="Calibri" w:cs="Calibri"/>
        </w:rPr>
        <w:t xml:space="preserve"> apart from the need to raise funds for the attendance of some Parties to COP12. Letters to request support from previously supportive Parties have been </w:t>
      </w:r>
      <w:r w:rsidR="00556430" w:rsidRPr="000A1BE5">
        <w:rPr>
          <w:rFonts w:ascii="Calibri" w:hAnsi="Calibri" w:cs="Calibri"/>
        </w:rPr>
        <w:t>sent out</w:t>
      </w:r>
      <w:r w:rsidR="006E70A7" w:rsidRPr="000A1BE5">
        <w:rPr>
          <w:rFonts w:ascii="Calibri" w:hAnsi="Calibri" w:cs="Calibri"/>
        </w:rPr>
        <w:t xml:space="preserve"> and we are following up with them to ensure that we can get the necessary support for around 100 participants that are entitled to request support under DAC / OECD bands.</w:t>
      </w:r>
    </w:p>
    <w:p w:rsidR="000A1BE5" w:rsidRPr="000A1BE5" w:rsidRDefault="000A1BE5" w:rsidP="000A1BE5">
      <w:pPr>
        <w:pStyle w:val="ListParagraph"/>
        <w:spacing w:after="0" w:line="240" w:lineRule="auto"/>
        <w:ind w:left="426"/>
        <w:rPr>
          <w:rFonts w:ascii="Calibri" w:hAnsi="Calibri" w:cs="Calibri"/>
        </w:rPr>
      </w:pPr>
    </w:p>
    <w:p w:rsidR="00556430" w:rsidRDefault="006E70A7"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 final draft decision papers for COP12 will be discussed in SC48</w:t>
      </w:r>
      <w:r w:rsidR="00D30D6B">
        <w:rPr>
          <w:rFonts w:ascii="Calibri" w:hAnsi="Calibri" w:cs="Calibri"/>
        </w:rPr>
        <w:t>,</w:t>
      </w:r>
      <w:r w:rsidRPr="000A1BE5">
        <w:rPr>
          <w:rFonts w:ascii="Calibri" w:hAnsi="Calibri" w:cs="Calibri"/>
        </w:rPr>
        <w:t xml:space="preserve"> and </w:t>
      </w:r>
      <w:r w:rsidR="00556430" w:rsidRPr="000A1BE5">
        <w:rPr>
          <w:rFonts w:ascii="Calibri" w:hAnsi="Calibri" w:cs="Calibri"/>
        </w:rPr>
        <w:t>the</w:t>
      </w:r>
      <w:r w:rsidRPr="000A1BE5">
        <w:rPr>
          <w:rFonts w:ascii="Calibri" w:hAnsi="Calibri" w:cs="Calibri"/>
        </w:rPr>
        <w:t xml:space="preserve"> strong representation of country</w:t>
      </w:r>
      <w:r w:rsidR="00556430" w:rsidRPr="000A1BE5">
        <w:rPr>
          <w:rFonts w:ascii="Calibri" w:hAnsi="Calibri" w:cs="Calibri"/>
        </w:rPr>
        <w:t>-</w:t>
      </w:r>
      <w:r w:rsidRPr="000A1BE5">
        <w:rPr>
          <w:rFonts w:ascii="Calibri" w:hAnsi="Calibri" w:cs="Calibri"/>
        </w:rPr>
        <w:t>led DRs in this COP</w:t>
      </w:r>
      <w:r w:rsidR="00556430" w:rsidRPr="000A1BE5">
        <w:rPr>
          <w:rFonts w:ascii="Calibri" w:hAnsi="Calibri" w:cs="Calibri"/>
        </w:rPr>
        <w:t xml:space="preserve"> has indicated the growing interest in wetlands at a national level and all SC48 papers will be translated into French and Spanish, for the first time as a result of SC47 decisions and the ongoing needs to continue this action are well taken account of in the next budget for the </w:t>
      </w:r>
      <w:r w:rsidR="00D30D6B">
        <w:rPr>
          <w:rFonts w:ascii="Calibri" w:hAnsi="Calibri" w:cs="Calibri"/>
        </w:rPr>
        <w:t>t</w:t>
      </w:r>
      <w:r w:rsidR="00556430" w:rsidRPr="000A1BE5">
        <w:rPr>
          <w:rFonts w:ascii="Calibri" w:hAnsi="Calibri" w:cs="Calibri"/>
        </w:rPr>
        <w:t>riennium.</w:t>
      </w:r>
    </w:p>
    <w:p w:rsidR="000A1BE5" w:rsidRPr="000A1BE5" w:rsidRDefault="000A1BE5" w:rsidP="000A1BE5">
      <w:pPr>
        <w:pStyle w:val="ListParagraph"/>
        <w:spacing w:after="0" w:line="240" w:lineRule="auto"/>
        <w:ind w:left="426"/>
        <w:rPr>
          <w:rFonts w:ascii="Calibri" w:hAnsi="Calibri" w:cs="Calibri"/>
        </w:rPr>
      </w:pPr>
    </w:p>
    <w:p w:rsidR="006E70A7" w:rsidRDefault="00556430"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w:t>
      </w:r>
      <w:r w:rsidR="006E70A7" w:rsidRPr="000A1BE5">
        <w:rPr>
          <w:rFonts w:ascii="Calibri" w:hAnsi="Calibri" w:cs="Calibri"/>
        </w:rPr>
        <w:t xml:space="preserve"> Secretariat has been at pains to</w:t>
      </w:r>
      <w:r w:rsidR="007817A5" w:rsidRPr="000A1BE5">
        <w:rPr>
          <w:rFonts w:ascii="Calibri" w:hAnsi="Calibri" w:cs="Calibri"/>
        </w:rPr>
        <w:t xml:space="preserve"> increase the clarity and reduce</w:t>
      </w:r>
      <w:r w:rsidR="006E70A7" w:rsidRPr="000A1BE5">
        <w:rPr>
          <w:rFonts w:ascii="Calibri" w:hAnsi="Calibri" w:cs="Calibri"/>
        </w:rPr>
        <w:t xml:space="preserve"> the length of the</w:t>
      </w:r>
      <w:r w:rsidRPr="000A1BE5">
        <w:rPr>
          <w:rFonts w:ascii="Calibri" w:hAnsi="Calibri" w:cs="Calibri"/>
        </w:rPr>
        <w:t xml:space="preserve"> papers at SC48 and for COP, and will seek to bring in page limits for all </w:t>
      </w:r>
      <w:r w:rsidR="007817A5" w:rsidRPr="000A1BE5">
        <w:rPr>
          <w:rFonts w:ascii="Calibri" w:hAnsi="Calibri" w:cs="Calibri"/>
        </w:rPr>
        <w:t>papers</w:t>
      </w:r>
      <w:r w:rsidRPr="000A1BE5">
        <w:rPr>
          <w:rFonts w:ascii="Calibri" w:hAnsi="Calibri" w:cs="Calibri"/>
        </w:rPr>
        <w:t xml:space="preserve"> that are to be translated at cost to the </w:t>
      </w:r>
      <w:r w:rsidR="007817A5" w:rsidRPr="000A1BE5">
        <w:rPr>
          <w:rFonts w:ascii="Calibri" w:hAnsi="Calibri" w:cs="Calibri"/>
        </w:rPr>
        <w:t>Parties</w:t>
      </w:r>
      <w:r w:rsidRPr="000A1BE5">
        <w:rPr>
          <w:rFonts w:ascii="Calibri" w:hAnsi="Calibri" w:cs="Calibri"/>
        </w:rPr>
        <w:t xml:space="preserve">’ core budget. </w:t>
      </w:r>
    </w:p>
    <w:p w:rsidR="000A1BE5" w:rsidRPr="000A1BE5" w:rsidRDefault="000A1BE5" w:rsidP="000A1BE5">
      <w:pPr>
        <w:pStyle w:val="ListParagraph"/>
        <w:spacing w:after="0" w:line="240" w:lineRule="auto"/>
        <w:ind w:left="426"/>
        <w:rPr>
          <w:rFonts w:ascii="Calibri" w:hAnsi="Calibri" w:cs="Calibri"/>
        </w:rPr>
      </w:pPr>
    </w:p>
    <w:p w:rsidR="006E70A7" w:rsidRPr="000A1BE5" w:rsidRDefault="007817A5"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In order to save trees, energy, water and other costs, COP12 is planned, with full support of Uruguay, to be run as a paperless meeting and this will be able to indicate the potential for replicating this trend for other Convention meetings.</w:t>
      </w:r>
    </w:p>
    <w:p w:rsidR="007817A5" w:rsidRPr="00BC2E46" w:rsidRDefault="007817A5" w:rsidP="00734EA7">
      <w:pPr>
        <w:spacing w:after="0" w:line="240" w:lineRule="auto"/>
        <w:outlineLvl w:val="0"/>
      </w:pPr>
    </w:p>
    <w:p w:rsidR="00824557" w:rsidRPr="00D30D6B" w:rsidRDefault="00824557" w:rsidP="00D30D6B">
      <w:pPr>
        <w:pStyle w:val="ListParagraph"/>
        <w:numPr>
          <w:ilvl w:val="0"/>
          <w:numId w:val="18"/>
        </w:numPr>
        <w:spacing w:after="0" w:line="240" w:lineRule="auto"/>
        <w:ind w:left="993" w:hanging="567"/>
        <w:outlineLvl w:val="0"/>
        <w:rPr>
          <w:b/>
        </w:rPr>
      </w:pPr>
      <w:r w:rsidRPr="00D30D6B">
        <w:rPr>
          <w:b/>
        </w:rPr>
        <w:t>Office layout and design in IUCN</w:t>
      </w:r>
    </w:p>
    <w:p w:rsidR="000A1BE5" w:rsidRPr="0095118B" w:rsidRDefault="000A1BE5" w:rsidP="00734EA7">
      <w:pPr>
        <w:spacing w:after="0" w:line="240" w:lineRule="auto"/>
        <w:outlineLvl w:val="0"/>
        <w:rPr>
          <w:u w:val="single"/>
        </w:rPr>
      </w:pPr>
    </w:p>
    <w:p w:rsidR="00334D44" w:rsidRPr="000A1BE5" w:rsidRDefault="00334D44"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The support of IUCN has helped us to renovate the offices and bring them up to </w:t>
      </w:r>
      <w:r w:rsidR="007817A5" w:rsidRPr="000A1BE5">
        <w:rPr>
          <w:rFonts w:ascii="Calibri" w:hAnsi="Calibri" w:cs="Calibri"/>
        </w:rPr>
        <w:t xml:space="preserve">the </w:t>
      </w:r>
      <w:r w:rsidRPr="000A1BE5">
        <w:rPr>
          <w:rFonts w:ascii="Calibri" w:hAnsi="Calibri" w:cs="Calibri"/>
        </w:rPr>
        <w:t xml:space="preserve">standard and equivalent </w:t>
      </w:r>
      <w:r w:rsidR="007817A5" w:rsidRPr="000A1BE5">
        <w:rPr>
          <w:rFonts w:ascii="Calibri" w:hAnsi="Calibri" w:cs="Calibri"/>
        </w:rPr>
        <w:t xml:space="preserve">appearance </w:t>
      </w:r>
      <w:r w:rsidRPr="000A1BE5">
        <w:rPr>
          <w:rFonts w:ascii="Calibri" w:hAnsi="Calibri" w:cs="Calibri"/>
        </w:rPr>
        <w:t>to the IUCN offices, as per the terms of the Agreement between IUCN and Ramsar. Staff and Parties have both appreciated the more open plan offices and more efficient use of space.</w:t>
      </w:r>
      <w:r w:rsidR="007817A5" w:rsidRPr="000A1BE5">
        <w:rPr>
          <w:rFonts w:ascii="Calibri" w:hAnsi="Calibri" w:cs="Calibri"/>
        </w:rPr>
        <w:t xml:space="preserve"> A sign of the Ramsar logo has also been mounted on the outside of </w:t>
      </w:r>
      <w:r w:rsidR="009A7F01" w:rsidRPr="000A1BE5">
        <w:rPr>
          <w:rFonts w:ascii="Calibri" w:hAnsi="Calibri" w:cs="Calibri"/>
        </w:rPr>
        <w:t>our shared</w:t>
      </w:r>
      <w:r w:rsidR="007817A5" w:rsidRPr="000A1BE5">
        <w:rPr>
          <w:rFonts w:ascii="Calibri" w:hAnsi="Calibri" w:cs="Calibri"/>
        </w:rPr>
        <w:t xml:space="preserve"> </w:t>
      </w:r>
      <w:r w:rsidR="009A7F01" w:rsidRPr="000A1BE5">
        <w:rPr>
          <w:rFonts w:ascii="Calibri" w:hAnsi="Calibri" w:cs="Calibri"/>
        </w:rPr>
        <w:t>headquarters with IUCN,</w:t>
      </w:r>
      <w:r w:rsidR="007817A5" w:rsidRPr="000A1BE5">
        <w:rPr>
          <w:rFonts w:ascii="Calibri" w:hAnsi="Calibri" w:cs="Calibri"/>
        </w:rPr>
        <w:t xml:space="preserve"> but more branding i</w:t>
      </w:r>
      <w:r w:rsidR="009A7F01" w:rsidRPr="000A1BE5">
        <w:rPr>
          <w:rFonts w:ascii="Calibri" w:hAnsi="Calibri" w:cs="Calibri"/>
        </w:rPr>
        <w:t>s</w:t>
      </w:r>
      <w:r w:rsidR="007817A5" w:rsidRPr="000A1BE5">
        <w:rPr>
          <w:rFonts w:ascii="Calibri" w:hAnsi="Calibri" w:cs="Calibri"/>
        </w:rPr>
        <w:t xml:space="preserve"> still possible </w:t>
      </w:r>
      <w:r w:rsidR="009A7F01" w:rsidRPr="000A1BE5">
        <w:rPr>
          <w:rFonts w:ascii="Calibri" w:hAnsi="Calibri" w:cs="Calibri"/>
        </w:rPr>
        <w:t>and needed.</w:t>
      </w:r>
      <w:r w:rsidRPr="000A1BE5">
        <w:rPr>
          <w:rFonts w:ascii="Calibri" w:hAnsi="Calibri" w:cs="Calibri"/>
        </w:rPr>
        <w:t xml:space="preserve"> It </w:t>
      </w:r>
      <w:r w:rsidR="007817A5" w:rsidRPr="000A1BE5">
        <w:rPr>
          <w:rFonts w:ascii="Calibri" w:hAnsi="Calibri" w:cs="Calibri"/>
        </w:rPr>
        <w:t>is hoped</w:t>
      </w:r>
      <w:r w:rsidRPr="000A1BE5">
        <w:rPr>
          <w:rFonts w:ascii="Calibri" w:hAnsi="Calibri" w:cs="Calibri"/>
        </w:rPr>
        <w:t xml:space="preserve"> to make the approach to the Ramsar offices a more interesting </w:t>
      </w:r>
      <w:r w:rsidR="00D30D6B">
        <w:rPr>
          <w:rFonts w:ascii="Calibri" w:hAnsi="Calibri" w:cs="Calibri"/>
        </w:rPr>
        <w:t>w</w:t>
      </w:r>
      <w:r w:rsidRPr="000A1BE5">
        <w:rPr>
          <w:rFonts w:ascii="Calibri" w:hAnsi="Calibri" w:cs="Calibri"/>
        </w:rPr>
        <w:t>etlands experience and give visitors a different experience vision from outside the offices</w:t>
      </w:r>
      <w:r w:rsidR="009A7F01" w:rsidRPr="000A1BE5">
        <w:rPr>
          <w:rFonts w:ascii="Calibri" w:hAnsi="Calibri" w:cs="Calibri"/>
        </w:rPr>
        <w:t xml:space="preserve"> with support from wetland enthusiasts.</w:t>
      </w:r>
    </w:p>
    <w:p w:rsidR="00334D44" w:rsidRDefault="00334D44" w:rsidP="00734EA7">
      <w:pPr>
        <w:spacing w:after="0" w:line="240" w:lineRule="auto"/>
        <w:outlineLvl w:val="0"/>
      </w:pPr>
    </w:p>
    <w:p w:rsidR="00F822A1" w:rsidRPr="00D30D6B" w:rsidRDefault="00F822A1" w:rsidP="00D30D6B">
      <w:pPr>
        <w:pStyle w:val="ListParagraph"/>
        <w:numPr>
          <w:ilvl w:val="0"/>
          <w:numId w:val="18"/>
        </w:numPr>
        <w:spacing w:after="0" w:line="240" w:lineRule="auto"/>
        <w:ind w:left="993" w:hanging="567"/>
        <w:outlineLvl w:val="0"/>
        <w:rPr>
          <w:b/>
        </w:rPr>
      </w:pPr>
      <w:r w:rsidRPr="00D30D6B">
        <w:rPr>
          <w:b/>
        </w:rPr>
        <w:t>Collaboration with IUCN</w:t>
      </w:r>
    </w:p>
    <w:p w:rsidR="009A7F01" w:rsidRPr="009A7F01" w:rsidRDefault="009A7F01" w:rsidP="00734EA7">
      <w:pPr>
        <w:spacing w:after="0" w:line="240" w:lineRule="auto"/>
        <w:outlineLvl w:val="0"/>
        <w:rPr>
          <w:highlight w:val="yellow"/>
          <w:u w:val="single"/>
        </w:rPr>
      </w:pPr>
    </w:p>
    <w:p w:rsidR="00B95F1A" w:rsidRPr="000A1BE5" w:rsidRDefault="00B95F1A"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Relations with IUCN have </w:t>
      </w:r>
      <w:r w:rsidR="00270332">
        <w:rPr>
          <w:rFonts w:ascii="Calibri" w:hAnsi="Calibri" w:cs="Calibri"/>
        </w:rPr>
        <w:t>continued to be</w:t>
      </w:r>
      <w:r w:rsidRPr="000A1BE5">
        <w:rPr>
          <w:rFonts w:ascii="Calibri" w:hAnsi="Calibri" w:cs="Calibri"/>
        </w:rPr>
        <w:t xml:space="preserve"> solid and supportive and have expanded in many technical areas such as in water, protected area management,</w:t>
      </w:r>
      <w:r w:rsidR="00617989" w:rsidRPr="000A1BE5">
        <w:rPr>
          <w:rFonts w:ascii="Calibri" w:hAnsi="Calibri" w:cs="Calibri"/>
        </w:rPr>
        <w:t xml:space="preserve"> world heritage sites,</w:t>
      </w:r>
      <w:r w:rsidRPr="000A1BE5">
        <w:rPr>
          <w:rFonts w:ascii="Calibri" w:hAnsi="Calibri" w:cs="Calibri"/>
        </w:rPr>
        <w:t xml:space="preserve"> marine and coastal areas, </w:t>
      </w:r>
      <w:r w:rsidR="00617989" w:rsidRPr="000A1BE5">
        <w:rPr>
          <w:rFonts w:ascii="Calibri" w:hAnsi="Calibri" w:cs="Calibri"/>
        </w:rPr>
        <w:t>and opportunities for expansion are being explored with the sections involved with fundraising, GEF, business and biodiversity. Indeed, the mutual advantages of collaboration are becoming more evident on the technical side.</w:t>
      </w:r>
      <w:r w:rsidR="000A1BE5" w:rsidRPr="000A1BE5">
        <w:rPr>
          <w:rFonts w:ascii="Calibri" w:hAnsi="Calibri" w:cs="Calibri"/>
        </w:rPr>
        <w:t xml:space="preserve"> </w:t>
      </w:r>
      <w:r w:rsidRPr="000A1BE5">
        <w:rPr>
          <w:rFonts w:ascii="Calibri" w:hAnsi="Calibri" w:cs="Calibri"/>
        </w:rPr>
        <w:t xml:space="preserve"> </w:t>
      </w:r>
    </w:p>
    <w:p w:rsidR="00062ABD" w:rsidRPr="000A1BE5" w:rsidRDefault="00062ABD" w:rsidP="000A1BE5">
      <w:pPr>
        <w:pStyle w:val="ListParagraph"/>
        <w:spacing w:after="0" w:line="240" w:lineRule="auto"/>
        <w:ind w:left="426"/>
        <w:rPr>
          <w:rFonts w:ascii="Calibri" w:hAnsi="Calibri" w:cs="Calibri"/>
        </w:rPr>
      </w:pPr>
    </w:p>
    <w:p w:rsidR="00617989" w:rsidRDefault="00617989"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High-level meetings are held twice a year to look at issues requiring attention and potential areas for cooperation. These have proved useful in signalling areas for improvement and recognizing success.</w:t>
      </w:r>
    </w:p>
    <w:p w:rsidR="000A1BE5" w:rsidRPr="000A1BE5" w:rsidRDefault="000A1BE5" w:rsidP="000A1BE5">
      <w:pPr>
        <w:pStyle w:val="ListParagraph"/>
        <w:rPr>
          <w:rFonts w:ascii="Calibri" w:hAnsi="Calibri" w:cs="Calibri"/>
        </w:rPr>
      </w:pPr>
    </w:p>
    <w:p w:rsidR="00617989" w:rsidRPr="000A1BE5" w:rsidRDefault="00617989"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 support received from IUCN on human resources issues and the assistance given to renovate its offices has been well recognized and appreciation given for the work carried out on Ramsar’s logo to complement the flag and other signage that recognizes the status of Ramsar as sharing headquarters with IUCN, but the goal of greater visibility for Ramsar requires further work. The support for IT services has been less satisfactory, in the absence of a leader in IUCN, but this situation looks likely to improve steadily under new dynamic leadership.</w:t>
      </w:r>
    </w:p>
    <w:p w:rsidR="00617989" w:rsidRPr="000A1BE5" w:rsidRDefault="00617989" w:rsidP="000A1BE5">
      <w:pPr>
        <w:pStyle w:val="ListParagraph"/>
        <w:spacing w:after="0" w:line="240" w:lineRule="auto"/>
        <w:ind w:left="426"/>
        <w:rPr>
          <w:rFonts w:ascii="Calibri" w:hAnsi="Calibri" w:cs="Calibri"/>
        </w:rPr>
      </w:pPr>
    </w:p>
    <w:p w:rsidR="00D83668" w:rsidRPr="000A1BE5" w:rsidRDefault="00617989"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Three issues continue to need further attention, and have been signalled in all the meetings in 2014. Firstly, a system is needed to ensure that IUCN consults the Secretariat, at the early stages </w:t>
      </w:r>
      <w:r w:rsidR="00D83668" w:rsidRPr="000A1BE5">
        <w:rPr>
          <w:rFonts w:ascii="Calibri" w:hAnsi="Calibri" w:cs="Calibri"/>
        </w:rPr>
        <w:t>and before</w:t>
      </w:r>
      <w:r w:rsidRPr="000A1BE5">
        <w:rPr>
          <w:rFonts w:ascii="Calibri" w:hAnsi="Calibri" w:cs="Calibri"/>
        </w:rPr>
        <w:t xml:space="preserve"> putting in place any policies and procedures that affect Ramsar</w:t>
      </w:r>
      <w:r w:rsidR="00D83668" w:rsidRPr="000A1BE5">
        <w:rPr>
          <w:rFonts w:ascii="Calibri" w:hAnsi="Calibri" w:cs="Calibri"/>
        </w:rPr>
        <w:t>. This has lately been recognized after new draft proposals were circulated on travel policies and grievance procedures that had not been discussed with the Secretary General. It is expected that a system will be set up under the new Director General</w:t>
      </w:r>
      <w:r w:rsidR="0064669A" w:rsidRPr="000A1BE5">
        <w:rPr>
          <w:rFonts w:ascii="Calibri" w:hAnsi="Calibri" w:cs="Calibri"/>
        </w:rPr>
        <w:t xml:space="preserve">. </w:t>
      </w:r>
    </w:p>
    <w:p w:rsidR="0064669A" w:rsidRPr="000A1BE5" w:rsidRDefault="0064669A" w:rsidP="000A1BE5">
      <w:pPr>
        <w:pStyle w:val="ListParagraph"/>
        <w:spacing w:after="0" w:line="240" w:lineRule="auto"/>
        <w:ind w:left="426"/>
        <w:rPr>
          <w:rFonts w:ascii="Calibri" w:hAnsi="Calibri" w:cs="Calibri"/>
        </w:rPr>
      </w:pPr>
    </w:p>
    <w:p w:rsidR="00617989" w:rsidRPr="000A1BE5" w:rsidRDefault="00D83668"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 delivery</w:t>
      </w:r>
      <w:r w:rsidR="00617989" w:rsidRPr="000A1BE5">
        <w:rPr>
          <w:rFonts w:ascii="Calibri" w:hAnsi="Calibri" w:cs="Calibri"/>
        </w:rPr>
        <w:t xml:space="preserve"> of financial services </w:t>
      </w:r>
      <w:r w:rsidRPr="000A1BE5">
        <w:rPr>
          <w:rFonts w:ascii="Calibri" w:hAnsi="Calibri" w:cs="Calibri"/>
        </w:rPr>
        <w:t xml:space="preserve">has been </w:t>
      </w:r>
      <w:r w:rsidR="0064669A" w:rsidRPr="000A1BE5">
        <w:rPr>
          <w:rFonts w:ascii="Calibri" w:hAnsi="Calibri" w:cs="Calibri"/>
        </w:rPr>
        <w:t xml:space="preserve">particularly </w:t>
      </w:r>
      <w:r w:rsidRPr="000A1BE5">
        <w:rPr>
          <w:rFonts w:ascii="Calibri" w:hAnsi="Calibri" w:cs="Calibri"/>
        </w:rPr>
        <w:t xml:space="preserve">unsatisfactory in 2014 and charges were originally increased </w:t>
      </w:r>
      <w:r w:rsidR="0064669A" w:rsidRPr="000A1BE5">
        <w:rPr>
          <w:rFonts w:ascii="Calibri" w:hAnsi="Calibri" w:cs="Calibri"/>
        </w:rPr>
        <w:t>from</w:t>
      </w:r>
      <w:r w:rsidRPr="000A1BE5">
        <w:rPr>
          <w:rFonts w:ascii="Calibri" w:hAnsi="Calibri" w:cs="Calibri"/>
        </w:rPr>
        <w:t xml:space="preserve"> 2013, despite the </w:t>
      </w:r>
      <w:r w:rsidR="0064669A" w:rsidRPr="000A1BE5">
        <w:rPr>
          <w:rFonts w:ascii="Calibri" w:hAnsi="Calibri" w:cs="Calibri"/>
        </w:rPr>
        <w:t xml:space="preserve">levels of </w:t>
      </w:r>
      <w:r w:rsidRPr="000A1BE5">
        <w:rPr>
          <w:rFonts w:ascii="Calibri" w:hAnsi="Calibri" w:cs="Calibri"/>
        </w:rPr>
        <w:t>dissatisfaction</w:t>
      </w:r>
      <w:r w:rsidR="0064669A" w:rsidRPr="000A1BE5">
        <w:rPr>
          <w:rFonts w:ascii="Calibri" w:hAnsi="Calibri" w:cs="Calibri"/>
        </w:rPr>
        <w:t xml:space="preserve"> expressed</w:t>
      </w:r>
      <w:r w:rsidRPr="000A1BE5">
        <w:rPr>
          <w:rFonts w:ascii="Calibri" w:hAnsi="Calibri" w:cs="Calibri"/>
        </w:rPr>
        <w:t>.</w:t>
      </w:r>
      <w:r w:rsidR="0064669A" w:rsidRPr="000A1BE5">
        <w:rPr>
          <w:rFonts w:ascii="Calibri" w:hAnsi="Calibri" w:cs="Calibri"/>
        </w:rPr>
        <w:t xml:space="preserve"> Apparently,</w:t>
      </w:r>
      <w:r w:rsidR="000A1BE5" w:rsidRPr="000A1BE5">
        <w:rPr>
          <w:rFonts w:ascii="Calibri" w:hAnsi="Calibri" w:cs="Calibri"/>
        </w:rPr>
        <w:t xml:space="preserve"> </w:t>
      </w:r>
      <w:r w:rsidR="00CC4D78" w:rsidRPr="000A1BE5">
        <w:rPr>
          <w:rFonts w:ascii="Calibri" w:hAnsi="Calibri" w:cs="Calibri"/>
        </w:rPr>
        <w:t>I</w:t>
      </w:r>
      <w:r w:rsidRPr="000A1BE5">
        <w:rPr>
          <w:rFonts w:ascii="Calibri" w:hAnsi="Calibri" w:cs="Calibri"/>
        </w:rPr>
        <w:t xml:space="preserve">UCN has </w:t>
      </w:r>
      <w:r w:rsidR="00CC4D78" w:rsidRPr="000A1BE5">
        <w:rPr>
          <w:rFonts w:ascii="Calibri" w:hAnsi="Calibri" w:cs="Calibri"/>
        </w:rPr>
        <w:t xml:space="preserve">been </w:t>
      </w:r>
      <w:r w:rsidRPr="000A1BE5">
        <w:rPr>
          <w:rFonts w:ascii="Calibri" w:hAnsi="Calibri" w:cs="Calibri"/>
        </w:rPr>
        <w:t>introduc</w:t>
      </w:r>
      <w:r w:rsidR="00CC4D78" w:rsidRPr="000A1BE5">
        <w:rPr>
          <w:rFonts w:ascii="Calibri" w:hAnsi="Calibri" w:cs="Calibri"/>
        </w:rPr>
        <w:t>ing</w:t>
      </w:r>
      <w:r w:rsidRPr="000A1BE5">
        <w:rPr>
          <w:rFonts w:ascii="Calibri" w:hAnsi="Calibri" w:cs="Calibri"/>
        </w:rPr>
        <w:t xml:space="preserve"> a new financial system across the world and ha</w:t>
      </w:r>
      <w:r w:rsidR="0064669A" w:rsidRPr="000A1BE5">
        <w:rPr>
          <w:rFonts w:ascii="Calibri" w:hAnsi="Calibri" w:cs="Calibri"/>
        </w:rPr>
        <w:t>d</w:t>
      </w:r>
      <w:r w:rsidRPr="000A1BE5">
        <w:rPr>
          <w:rFonts w:ascii="Calibri" w:hAnsi="Calibri" w:cs="Calibri"/>
        </w:rPr>
        <w:t xml:space="preserve"> delayed </w:t>
      </w:r>
      <w:r w:rsidR="00CC4D78" w:rsidRPr="000A1BE5">
        <w:rPr>
          <w:rFonts w:ascii="Calibri" w:hAnsi="Calibri" w:cs="Calibri"/>
        </w:rPr>
        <w:t>introduction</w:t>
      </w:r>
      <w:r w:rsidRPr="000A1BE5">
        <w:rPr>
          <w:rFonts w:ascii="Calibri" w:hAnsi="Calibri" w:cs="Calibri"/>
        </w:rPr>
        <w:t xml:space="preserve"> into Ramsar </w:t>
      </w:r>
      <w:r w:rsidR="00CC4D78" w:rsidRPr="000A1BE5">
        <w:rPr>
          <w:rFonts w:ascii="Calibri" w:hAnsi="Calibri" w:cs="Calibri"/>
        </w:rPr>
        <w:t>until 2014. From the start of the year, until mid</w:t>
      </w:r>
      <w:r w:rsidR="0064669A" w:rsidRPr="000A1BE5">
        <w:rPr>
          <w:rFonts w:ascii="Calibri" w:hAnsi="Calibri" w:cs="Calibri"/>
        </w:rPr>
        <w:t>-</w:t>
      </w:r>
      <w:r w:rsidR="00CC4D78" w:rsidRPr="000A1BE5">
        <w:rPr>
          <w:rFonts w:ascii="Calibri" w:hAnsi="Calibri" w:cs="Calibri"/>
        </w:rPr>
        <w:t xml:space="preserve">September, </w:t>
      </w:r>
      <w:r w:rsidR="0064669A" w:rsidRPr="000A1BE5">
        <w:rPr>
          <w:rFonts w:ascii="Calibri" w:hAnsi="Calibri" w:cs="Calibri"/>
        </w:rPr>
        <w:t xml:space="preserve">no </w:t>
      </w:r>
      <w:r w:rsidR="00CC4D78" w:rsidRPr="000A1BE5">
        <w:rPr>
          <w:rFonts w:ascii="Calibri" w:hAnsi="Calibri" w:cs="Calibri"/>
        </w:rPr>
        <w:t xml:space="preserve">monthly accounts were provided, although this is a </w:t>
      </w:r>
      <w:r w:rsidR="0064669A" w:rsidRPr="000A1BE5">
        <w:rPr>
          <w:rFonts w:ascii="Calibri" w:hAnsi="Calibri" w:cs="Calibri"/>
        </w:rPr>
        <w:t>requirement</w:t>
      </w:r>
      <w:r w:rsidR="00CC4D78" w:rsidRPr="000A1BE5">
        <w:rPr>
          <w:rFonts w:ascii="Calibri" w:hAnsi="Calibri" w:cs="Calibri"/>
        </w:rPr>
        <w:t xml:space="preserve"> under the</w:t>
      </w:r>
      <w:r w:rsidR="0064669A" w:rsidRPr="000A1BE5">
        <w:rPr>
          <w:rFonts w:ascii="Calibri" w:hAnsi="Calibri" w:cs="Calibri"/>
        </w:rPr>
        <w:t xml:space="preserve"> 2009</w:t>
      </w:r>
      <w:r w:rsidR="00CC4D78" w:rsidRPr="000A1BE5">
        <w:rPr>
          <w:rFonts w:ascii="Calibri" w:hAnsi="Calibri" w:cs="Calibri"/>
        </w:rPr>
        <w:t xml:space="preserve"> </w:t>
      </w:r>
      <w:r w:rsidR="0064669A" w:rsidRPr="000A1BE5">
        <w:rPr>
          <w:rFonts w:ascii="Calibri" w:hAnsi="Calibri" w:cs="Calibri"/>
        </w:rPr>
        <w:t>“Services A</w:t>
      </w:r>
      <w:r w:rsidR="00CC4D78" w:rsidRPr="000A1BE5">
        <w:rPr>
          <w:rFonts w:ascii="Calibri" w:hAnsi="Calibri" w:cs="Calibri"/>
        </w:rPr>
        <w:t>greement</w:t>
      </w:r>
      <w:r w:rsidR="0064669A" w:rsidRPr="000A1BE5">
        <w:rPr>
          <w:rFonts w:ascii="Calibri" w:hAnsi="Calibri" w:cs="Calibri"/>
        </w:rPr>
        <w:t>”</w:t>
      </w:r>
      <w:r w:rsidR="00CC4D78" w:rsidRPr="000A1BE5">
        <w:rPr>
          <w:rFonts w:ascii="Calibri" w:hAnsi="Calibri" w:cs="Calibri"/>
        </w:rPr>
        <w:t xml:space="preserve"> between IUCN and Ramsar</w:t>
      </w:r>
      <w:r w:rsidR="0064669A" w:rsidRPr="000A1BE5">
        <w:rPr>
          <w:rFonts w:ascii="Calibri" w:hAnsi="Calibri" w:cs="Calibri"/>
        </w:rPr>
        <w:t>. The situation was brought to the attention of IUCN both in the March and October high</w:t>
      </w:r>
      <w:r w:rsidR="00270332">
        <w:rPr>
          <w:rFonts w:ascii="Calibri" w:hAnsi="Calibri" w:cs="Calibri"/>
        </w:rPr>
        <w:t>-</w:t>
      </w:r>
      <w:r w:rsidR="0064669A" w:rsidRPr="000A1BE5">
        <w:rPr>
          <w:rFonts w:ascii="Calibri" w:hAnsi="Calibri" w:cs="Calibri"/>
        </w:rPr>
        <w:t>level meetings and in other discussions, but insufficient time and resources were committed to resolve the matter quickly. The matter was complicated with the departure of the Finance Officer (FO) in September after moving to 50% work in July, but the situation made budgeting extremely complicated and burdensome.</w:t>
      </w:r>
      <w:r w:rsidR="000A1BE5" w:rsidRPr="000A1BE5">
        <w:rPr>
          <w:rFonts w:ascii="Calibri" w:hAnsi="Calibri" w:cs="Calibri"/>
        </w:rPr>
        <w:t xml:space="preserve"> </w:t>
      </w:r>
      <w:r w:rsidR="0064669A" w:rsidRPr="000A1BE5">
        <w:rPr>
          <w:rFonts w:ascii="Calibri" w:hAnsi="Calibri" w:cs="Calibri"/>
        </w:rPr>
        <w:t>The FO and SG have held meetings to discuss the IUCN service charges, mostly recently on 3 December, and the fees to be charged are still under negotiation.</w:t>
      </w:r>
      <w:r w:rsidR="000A1BE5" w:rsidRPr="000A1BE5">
        <w:rPr>
          <w:rFonts w:ascii="Calibri" w:hAnsi="Calibri" w:cs="Calibri"/>
        </w:rPr>
        <w:t xml:space="preserve"> </w:t>
      </w:r>
    </w:p>
    <w:p w:rsidR="0064669A" w:rsidRPr="000A1BE5" w:rsidRDefault="0064669A" w:rsidP="000A1BE5">
      <w:pPr>
        <w:pStyle w:val="ListParagraph"/>
        <w:spacing w:after="0" w:line="240" w:lineRule="auto"/>
        <w:ind w:left="426"/>
        <w:rPr>
          <w:rFonts w:ascii="Calibri" w:hAnsi="Calibri" w:cs="Calibri"/>
        </w:rPr>
      </w:pPr>
    </w:p>
    <w:p w:rsidR="00062ABD" w:rsidRPr="000A1BE5" w:rsidRDefault="00CC4D78"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Due to the lack of any information fro</w:t>
      </w:r>
      <w:r w:rsidR="0064669A" w:rsidRPr="000A1BE5">
        <w:rPr>
          <w:rFonts w:ascii="Calibri" w:hAnsi="Calibri" w:cs="Calibri"/>
        </w:rPr>
        <w:t xml:space="preserve">m IUCN on the status of budgets, </w:t>
      </w:r>
      <w:r w:rsidRPr="000A1BE5">
        <w:rPr>
          <w:rFonts w:ascii="Calibri" w:hAnsi="Calibri" w:cs="Calibri"/>
        </w:rPr>
        <w:t xml:space="preserve">it has been necessary to pursue a path of budgetary caution. </w:t>
      </w:r>
      <w:r w:rsidR="0064669A" w:rsidRPr="000A1BE5">
        <w:rPr>
          <w:rFonts w:ascii="Calibri" w:hAnsi="Calibri" w:cs="Calibri"/>
        </w:rPr>
        <w:t>When</w:t>
      </w:r>
      <w:r w:rsidRPr="000A1BE5">
        <w:rPr>
          <w:rFonts w:ascii="Calibri" w:hAnsi="Calibri" w:cs="Calibri"/>
        </w:rPr>
        <w:t xml:space="preserve"> budgetary information was eventually made available, it was not feasible to use potentially available funds cost</w:t>
      </w:r>
      <w:r w:rsidR="00270332">
        <w:rPr>
          <w:rFonts w:ascii="Calibri" w:hAnsi="Calibri" w:cs="Calibri"/>
        </w:rPr>
        <w:t>-</w:t>
      </w:r>
      <w:r w:rsidRPr="000A1BE5">
        <w:rPr>
          <w:rFonts w:ascii="Calibri" w:hAnsi="Calibri" w:cs="Calibri"/>
        </w:rPr>
        <w:t xml:space="preserve">effectively in the remaining two months, and so use of </w:t>
      </w:r>
      <w:r w:rsidR="0064669A" w:rsidRPr="000A1BE5">
        <w:rPr>
          <w:rFonts w:ascii="Calibri" w:hAnsi="Calibri" w:cs="Calibri"/>
        </w:rPr>
        <w:t>unspent</w:t>
      </w:r>
      <w:r w:rsidRPr="000A1BE5">
        <w:rPr>
          <w:rFonts w:ascii="Calibri" w:hAnsi="Calibri" w:cs="Calibri"/>
        </w:rPr>
        <w:t xml:space="preserve"> funds </w:t>
      </w:r>
      <w:r w:rsidR="0064669A" w:rsidRPr="000A1BE5">
        <w:rPr>
          <w:rFonts w:ascii="Calibri" w:hAnsi="Calibri" w:cs="Calibri"/>
        </w:rPr>
        <w:t>will</w:t>
      </w:r>
      <w:r w:rsidRPr="000A1BE5">
        <w:rPr>
          <w:rFonts w:ascii="Calibri" w:hAnsi="Calibri" w:cs="Calibri"/>
        </w:rPr>
        <w:t xml:space="preserve"> be decided upon by the Finance Subgroup.</w:t>
      </w:r>
      <w:r w:rsidR="0064669A" w:rsidRPr="000A1BE5">
        <w:rPr>
          <w:rFonts w:ascii="Calibri" w:hAnsi="Calibri" w:cs="Calibri"/>
        </w:rPr>
        <w:t xml:space="preserve"> </w:t>
      </w:r>
    </w:p>
    <w:p w:rsidR="00062ABD" w:rsidRPr="000A1BE5" w:rsidRDefault="00062ABD" w:rsidP="000A1BE5">
      <w:pPr>
        <w:pStyle w:val="ListParagraph"/>
        <w:spacing w:after="0" w:line="240" w:lineRule="auto"/>
        <w:ind w:left="426"/>
        <w:rPr>
          <w:rFonts w:ascii="Calibri" w:hAnsi="Calibri" w:cs="Calibri"/>
        </w:rPr>
      </w:pPr>
    </w:p>
    <w:p w:rsidR="00062ABD" w:rsidRPr="000A1BE5" w:rsidRDefault="0064669A"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With a new FO in place, </w:t>
      </w:r>
      <w:r w:rsidR="00062ABD" w:rsidRPr="000A1BE5">
        <w:rPr>
          <w:rFonts w:ascii="Calibri" w:hAnsi="Calibri" w:cs="Calibri"/>
        </w:rPr>
        <w:t>one</w:t>
      </w:r>
      <w:r w:rsidRPr="000A1BE5">
        <w:rPr>
          <w:rFonts w:ascii="Calibri" w:hAnsi="Calibri" w:cs="Calibri"/>
        </w:rPr>
        <w:t xml:space="preserve"> priority to </w:t>
      </w:r>
      <w:r w:rsidR="00062ABD" w:rsidRPr="000A1BE5">
        <w:rPr>
          <w:rFonts w:ascii="Calibri" w:hAnsi="Calibri" w:cs="Calibri"/>
        </w:rPr>
        <w:t xml:space="preserve">renegotiate the </w:t>
      </w:r>
      <w:r w:rsidRPr="000A1BE5">
        <w:rPr>
          <w:rFonts w:ascii="Calibri" w:hAnsi="Calibri" w:cs="Calibri"/>
        </w:rPr>
        <w:t>2009 “Services Agreement” between IUCN and Ramsar</w:t>
      </w:r>
      <w:r w:rsidR="00062ABD" w:rsidRPr="000A1BE5">
        <w:rPr>
          <w:rFonts w:ascii="Calibri" w:hAnsi="Calibri" w:cs="Calibri"/>
        </w:rPr>
        <w:t>, in cooperation</w:t>
      </w:r>
      <w:r w:rsidR="00CC4D78" w:rsidRPr="000A1BE5">
        <w:rPr>
          <w:rFonts w:ascii="Calibri" w:hAnsi="Calibri" w:cs="Calibri"/>
        </w:rPr>
        <w:t xml:space="preserve"> with the Management Working Group and in line with Resolution IX.24 on improving management of the Ramsar Convention</w:t>
      </w:r>
      <w:r w:rsidR="00062ABD" w:rsidRPr="000A1BE5">
        <w:rPr>
          <w:rFonts w:ascii="Calibri" w:hAnsi="Calibri" w:cs="Calibri"/>
        </w:rPr>
        <w:t>. There is goodwill to improve the situation and a positive result is eventually expected as well as a satisfactory outcome for negotiation on the Services fee in 2014, but the process will be complex.</w:t>
      </w:r>
    </w:p>
    <w:p w:rsidR="00062ABD" w:rsidRDefault="00062ABD" w:rsidP="00734EA7">
      <w:pPr>
        <w:spacing w:after="0" w:line="240" w:lineRule="auto"/>
        <w:rPr>
          <w:rFonts w:ascii="Calibri" w:hAnsi="Calibri" w:cs="Arial"/>
        </w:rPr>
      </w:pPr>
    </w:p>
    <w:p w:rsidR="00EE4068" w:rsidRPr="00D30D6B" w:rsidRDefault="00D30D6B" w:rsidP="00D30D6B">
      <w:pPr>
        <w:pStyle w:val="ListParagraph"/>
        <w:numPr>
          <w:ilvl w:val="0"/>
          <w:numId w:val="18"/>
        </w:numPr>
        <w:spacing w:after="0" w:line="240" w:lineRule="auto"/>
        <w:ind w:left="993" w:hanging="567"/>
        <w:outlineLvl w:val="0"/>
        <w:rPr>
          <w:b/>
        </w:rPr>
      </w:pPr>
      <w:r w:rsidRPr="00D30D6B">
        <w:rPr>
          <w:b/>
        </w:rPr>
        <w:t>Collaboration with UNECE</w:t>
      </w:r>
    </w:p>
    <w:p w:rsidR="000817C5" w:rsidRPr="009A7F01" w:rsidRDefault="000817C5" w:rsidP="00734EA7">
      <w:pPr>
        <w:pStyle w:val="PlainText"/>
        <w:rPr>
          <w:rFonts w:asciiTheme="minorHAnsi" w:hAnsiTheme="minorHAnsi" w:cstheme="minorBidi"/>
          <w:sz w:val="22"/>
          <w:szCs w:val="22"/>
          <w:highlight w:val="yellow"/>
          <w:lang w:val="en-GB"/>
        </w:rPr>
      </w:pPr>
    </w:p>
    <w:p w:rsidR="009F19E9" w:rsidRPr="000A1BE5" w:rsidRDefault="00062ABD"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w:t>
      </w:r>
      <w:r w:rsidR="000817C5" w:rsidRPr="000A1BE5">
        <w:rPr>
          <w:rFonts w:ascii="Calibri" w:hAnsi="Calibri" w:cs="Calibri"/>
        </w:rPr>
        <w:t xml:space="preserve"> </w:t>
      </w:r>
      <w:r w:rsidR="00B14C7E" w:rsidRPr="000A1BE5">
        <w:rPr>
          <w:rFonts w:ascii="Calibri" w:hAnsi="Calibri" w:cs="Calibri"/>
        </w:rPr>
        <w:t>SG</w:t>
      </w:r>
      <w:r w:rsidR="000817C5" w:rsidRPr="000A1BE5">
        <w:rPr>
          <w:rFonts w:ascii="Calibri" w:hAnsi="Calibri" w:cs="Calibri"/>
        </w:rPr>
        <w:t xml:space="preserve"> </w:t>
      </w:r>
      <w:r w:rsidRPr="000A1BE5">
        <w:rPr>
          <w:rFonts w:ascii="Calibri" w:hAnsi="Calibri" w:cs="Calibri"/>
        </w:rPr>
        <w:t xml:space="preserve">and other staff have continued to attend all relevant </w:t>
      </w:r>
      <w:r w:rsidR="000817C5" w:rsidRPr="000A1BE5">
        <w:rPr>
          <w:rFonts w:ascii="Calibri" w:hAnsi="Calibri" w:cs="Calibri"/>
        </w:rPr>
        <w:t>UNECE meeting</w:t>
      </w:r>
      <w:r w:rsidR="00270332">
        <w:rPr>
          <w:rFonts w:ascii="Calibri" w:hAnsi="Calibri" w:cs="Calibri"/>
        </w:rPr>
        <w:t>s</w:t>
      </w:r>
      <w:r w:rsidR="000817C5" w:rsidRPr="000A1BE5">
        <w:rPr>
          <w:rFonts w:ascii="Calibri" w:hAnsi="Calibri" w:cs="Calibri"/>
        </w:rPr>
        <w:t xml:space="preserve"> on transboundary waters</w:t>
      </w:r>
      <w:r w:rsidR="00270332">
        <w:rPr>
          <w:rFonts w:ascii="Calibri" w:hAnsi="Calibri" w:cs="Calibri"/>
        </w:rPr>
        <w:t>,</w:t>
      </w:r>
      <w:r w:rsidR="000817C5" w:rsidRPr="000A1BE5">
        <w:rPr>
          <w:rFonts w:ascii="Calibri" w:hAnsi="Calibri" w:cs="Calibri"/>
        </w:rPr>
        <w:t xml:space="preserve"> as the regional convention </w:t>
      </w:r>
      <w:r w:rsidRPr="000A1BE5">
        <w:rPr>
          <w:rFonts w:ascii="Calibri" w:hAnsi="Calibri" w:cs="Calibri"/>
        </w:rPr>
        <w:t xml:space="preserve">slowly moves towards </w:t>
      </w:r>
      <w:r w:rsidR="000817C5" w:rsidRPr="000A1BE5">
        <w:rPr>
          <w:rFonts w:ascii="Calibri" w:hAnsi="Calibri" w:cs="Calibri"/>
        </w:rPr>
        <w:t xml:space="preserve">a global </w:t>
      </w:r>
      <w:r w:rsidRPr="000A1BE5">
        <w:rPr>
          <w:rFonts w:ascii="Calibri" w:hAnsi="Calibri" w:cs="Calibri"/>
        </w:rPr>
        <w:t>convention</w:t>
      </w:r>
      <w:r w:rsidR="000817C5" w:rsidRPr="000A1BE5">
        <w:rPr>
          <w:rFonts w:ascii="Calibri" w:hAnsi="Calibri" w:cs="Calibri"/>
        </w:rPr>
        <w:t xml:space="preserve">. The expansion of </w:t>
      </w:r>
      <w:r w:rsidRPr="000A1BE5">
        <w:rPr>
          <w:rFonts w:ascii="Calibri" w:hAnsi="Calibri" w:cs="Calibri"/>
        </w:rPr>
        <w:t xml:space="preserve">this </w:t>
      </w:r>
      <w:r w:rsidR="000817C5" w:rsidRPr="000A1BE5">
        <w:rPr>
          <w:rFonts w:ascii="Calibri" w:hAnsi="Calibri" w:cs="Calibri"/>
        </w:rPr>
        <w:t>role</w:t>
      </w:r>
      <w:r w:rsidRPr="000A1BE5">
        <w:rPr>
          <w:rFonts w:ascii="Calibri" w:hAnsi="Calibri" w:cs="Calibri"/>
        </w:rPr>
        <w:t xml:space="preserve"> is appreciated by</w:t>
      </w:r>
      <w:r w:rsidR="000817C5" w:rsidRPr="000A1BE5">
        <w:rPr>
          <w:rFonts w:ascii="Calibri" w:hAnsi="Calibri" w:cs="Calibri"/>
        </w:rPr>
        <w:t xml:space="preserve"> many countries and the collaboration with UNECE</w:t>
      </w:r>
      <w:r w:rsidRPr="000A1BE5">
        <w:rPr>
          <w:rFonts w:ascii="Calibri" w:hAnsi="Calibri" w:cs="Calibri"/>
        </w:rPr>
        <w:t xml:space="preserve"> is now growing with mutual planning of events and discussions </w:t>
      </w:r>
      <w:r w:rsidR="000817C5" w:rsidRPr="000A1BE5">
        <w:rPr>
          <w:rFonts w:ascii="Calibri" w:hAnsi="Calibri" w:cs="Calibri"/>
        </w:rPr>
        <w:t xml:space="preserve">so that the transboundary issues are tackled consistently and well and include all aspects of wetlands appropriately. </w:t>
      </w:r>
      <w:r w:rsidRPr="000A1BE5">
        <w:rPr>
          <w:rFonts w:ascii="Calibri" w:hAnsi="Calibri" w:cs="Calibri"/>
        </w:rPr>
        <w:t>More remains to be done to ensure that the full potential of the relationship is realized</w:t>
      </w:r>
      <w:r w:rsidR="00270332">
        <w:rPr>
          <w:rFonts w:ascii="Calibri" w:hAnsi="Calibri" w:cs="Calibri"/>
        </w:rPr>
        <w:t>,</w:t>
      </w:r>
      <w:r w:rsidRPr="000A1BE5">
        <w:rPr>
          <w:rFonts w:ascii="Calibri" w:hAnsi="Calibri" w:cs="Calibri"/>
        </w:rPr>
        <w:t xml:space="preserve"> but counterpart </w:t>
      </w:r>
      <w:r w:rsidR="000817C5" w:rsidRPr="000A1BE5">
        <w:rPr>
          <w:rFonts w:ascii="Calibri" w:hAnsi="Calibri" w:cs="Calibri"/>
        </w:rPr>
        <w:t xml:space="preserve">UNECE staff and European countries present </w:t>
      </w:r>
      <w:r w:rsidRPr="000A1BE5">
        <w:rPr>
          <w:rFonts w:ascii="Calibri" w:hAnsi="Calibri" w:cs="Calibri"/>
        </w:rPr>
        <w:t>ar</w:t>
      </w:r>
      <w:r w:rsidR="000817C5" w:rsidRPr="000A1BE5">
        <w:rPr>
          <w:rFonts w:ascii="Calibri" w:hAnsi="Calibri" w:cs="Calibri"/>
        </w:rPr>
        <w:t xml:space="preserve">e </w:t>
      </w:r>
      <w:r w:rsidRPr="000A1BE5">
        <w:rPr>
          <w:rFonts w:ascii="Calibri" w:hAnsi="Calibri" w:cs="Calibri"/>
        </w:rPr>
        <w:t xml:space="preserve">all </w:t>
      </w:r>
      <w:r w:rsidR="000817C5" w:rsidRPr="000A1BE5">
        <w:rPr>
          <w:rFonts w:ascii="Calibri" w:hAnsi="Calibri" w:cs="Calibri"/>
        </w:rPr>
        <w:t>supportive of this collaboration and our network of contacts around the world will be of assistance to UNECE as they expand the membership around the world.</w:t>
      </w:r>
      <w:r w:rsidR="009F19E9" w:rsidRPr="000A1BE5">
        <w:rPr>
          <w:rFonts w:ascii="Calibri" w:hAnsi="Calibri" w:cs="Calibri"/>
        </w:rPr>
        <w:t xml:space="preserve"> The formation of a Water Hub in Geneva by the Swiss will help to cement closer relations between all the bodies working in the Water and Wetlands Arena. </w:t>
      </w:r>
    </w:p>
    <w:p w:rsidR="009F19E9" w:rsidRPr="000A1BE5" w:rsidRDefault="009F19E9" w:rsidP="000A1BE5">
      <w:pPr>
        <w:pStyle w:val="ListParagraph"/>
        <w:spacing w:after="0" w:line="240" w:lineRule="auto"/>
        <w:ind w:left="426"/>
        <w:rPr>
          <w:rFonts w:ascii="Calibri" w:hAnsi="Calibri" w:cs="Calibri"/>
        </w:rPr>
      </w:pPr>
    </w:p>
    <w:p w:rsidR="00095692" w:rsidRPr="000A1BE5" w:rsidRDefault="009F19E9"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As one outcome of the series of UNWATERS meetings in Geneva, the closer collaboration with UNECE staff and the need to collaborate ever more closely with all the other International Waters Conventions was noted</w:t>
      </w:r>
      <w:r w:rsidR="00270332">
        <w:rPr>
          <w:rFonts w:ascii="Calibri" w:hAnsi="Calibri" w:cs="Calibri"/>
        </w:rPr>
        <w:t xml:space="preserve">; </w:t>
      </w:r>
      <w:r w:rsidRPr="000A1BE5">
        <w:rPr>
          <w:rFonts w:ascii="Calibri" w:hAnsi="Calibri" w:cs="Calibri"/>
        </w:rPr>
        <w:t>this close work with UNECE continued through the year bilaterally and as part of UNWATERS</w:t>
      </w:r>
      <w:r w:rsidR="00270332">
        <w:rPr>
          <w:rFonts w:ascii="Calibri" w:hAnsi="Calibri" w:cs="Calibri"/>
        </w:rPr>
        <w:t>,</w:t>
      </w:r>
      <w:r w:rsidRPr="000A1BE5">
        <w:rPr>
          <w:rFonts w:ascii="Calibri" w:hAnsi="Calibri" w:cs="Calibri"/>
        </w:rPr>
        <w:t xml:space="preserve"> where discussion of the text of the SDG</w:t>
      </w:r>
      <w:r w:rsidR="00270332">
        <w:rPr>
          <w:rFonts w:ascii="Calibri" w:hAnsi="Calibri" w:cs="Calibri"/>
        </w:rPr>
        <w:t>s</w:t>
      </w:r>
      <w:r w:rsidRPr="000A1BE5">
        <w:rPr>
          <w:rFonts w:ascii="Calibri" w:hAnsi="Calibri" w:cs="Calibri"/>
        </w:rPr>
        <w:t xml:space="preserve"> was collaboratively and supportively handled with all UN bodies present</w:t>
      </w:r>
      <w:r w:rsidR="00270332">
        <w:rPr>
          <w:rFonts w:ascii="Calibri" w:hAnsi="Calibri" w:cs="Calibri"/>
        </w:rPr>
        <w:t>,</w:t>
      </w:r>
      <w:r w:rsidRPr="000A1BE5">
        <w:rPr>
          <w:rFonts w:ascii="Calibri" w:hAnsi="Calibri" w:cs="Calibri"/>
        </w:rPr>
        <w:t xml:space="preserve"> and led to useful text that positions wetlands and water</w:t>
      </w:r>
      <w:r w:rsidR="000A1BE5" w:rsidRPr="000A1BE5">
        <w:rPr>
          <w:rFonts w:ascii="Calibri" w:hAnsi="Calibri" w:cs="Calibri"/>
        </w:rPr>
        <w:t xml:space="preserve"> </w:t>
      </w:r>
      <w:r w:rsidRPr="000A1BE5">
        <w:rPr>
          <w:rFonts w:ascii="Calibri" w:hAnsi="Calibri" w:cs="Calibri"/>
        </w:rPr>
        <w:t>implicitly or explicitly in 7</w:t>
      </w:r>
      <w:r w:rsidR="000A1BE5" w:rsidRPr="000A1BE5">
        <w:rPr>
          <w:rFonts w:ascii="Calibri" w:hAnsi="Calibri" w:cs="Calibri"/>
        </w:rPr>
        <w:t xml:space="preserve"> </w:t>
      </w:r>
      <w:r w:rsidRPr="000A1BE5">
        <w:rPr>
          <w:rFonts w:ascii="Calibri" w:hAnsi="Calibri" w:cs="Calibri"/>
        </w:rPr>
        <w:t xml:space="preserve">Goals and 27 Targets under the current OWG draft. </w:t>
      </w:r>
    </w:p>
    <w:p w:rsidR="00095692" w:rsidRPr="009A7F01" w:rsidRDefault="00095692" w:rsidP="00734EA7">
      <w:pPr>
        <w:spacing w:after="0" w:line="240" w:lineRule="auto"/>
        <w:rPr>
          <w:highlight w:val="yellow"/>
        </w:rPr>
      </w:pPr>
    </w:p>
    <w:p w:rsidR="0020770B" w:rsidRPr="00D30D6B" w:rsidRDefault="0020770B" w:rsidP="00D30D6B">
      <w:pPr>
        <w:pStyle w:val="ListParagraph"/>
        <w:numPr>
          <w:ilvl w:val="0"/>
          <w:numId w:val="18"/>
        </w:numPr>
        <w:spacing w:after="0" w:line="240" w:lineRule="auto"/>
        <w:ind w:left="993" w:hanging="567"/>
        <w:outlineLvl w:val="0"/>
        <w:rPr>
          <w:b/>
        </w:rPr>
      </w:pPr>
      <w:r w:rsidRPr="00D30D6B">
        <w:rPr>
          <w:b/>
        </w:rPr>
        <w:t>Collaboration with UNESCO</w:t>
      </w:r>
    </w:p>
    <w:p w:rsidR="00062ABD" w:rsidRPr="0024469D" w:rsidRDefault="00062ABD" w:rsidP="00734EA7">
      <w:pPr>
        <w:spacing w:after="0" w:line="240" w:lineRule="auto"/>
        <w:outlineLvl w:val="0"/>
        <w:rPr>
          <w:u w:val="single"/>
        </w:rPr>
      </w:pPr>
    </w:p>
    <w:p w:rsidR="00677F75" w:rsidRPr="000A1BE5" w:rsidRDefault="0024469D"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Relations</w:t>
      </w:r>
      <w:r w:rsidR="00B97303" w:rsidRPr="000A1BE5">
        <w:rPr>
          <w:rFonts w:ascii="Calibri" w:hAnsi="Calibri" w:cs="Calibri"/>
        </w:rPr>
        <w:t xml:space="preserve"> with UNESCO have been </w:t>
      </w:r>
      <w:r w:rsidRPr="000A1BE5">
        <w:rPr>
          <w:rFonts w:ascii="Calibri" w:hAnsi="Calibri" w:cs="Calibri"/>
        </w:rPr>
        <w:t xml:space="preserve">steadily </w:t>
      </w:r>
      <w:r w:rsidR="00B97303" w:rsidRPr="000A1BE5">
        <w:rPr>
          <w:rFonts w:ascii="Calibri" w:hAnsi="Calibri" w:cs="Calibri"/>
        </w:rPr>
        <w:t xml:space="preserve">strengthening in </w:t>
      </w:r>
      <w:r w:rsidR="00270332">
        <w:rPr>
          <w:rFonts w:ascii="Calibri" w:hAnsi="Calibri" w:cs="Calibri"/>
        </w:rPr>
        <w:t>w</w:t>
      </w:r>
      <w:r w:rsidR="00B97303" w:rsidRPr="000A1BE5">
        <w:rPr>
          <w:rFonts w:ascii="Calibri" w:hAnsi="Calibri" w:cs="Calibri"/>
        </w:rPr>
        <w:t>ater</w:t>
      </w:r>
      <w:r w:rsidR="00270332">
        <w:rPr>
          <w:rFonts w:ascii="Calibri" w:hAnsi="Calibri" w:cs="Calibri"/>
        </w:rPr>
        <w:t>,</w:t>
      </w:r>
      <w:r w:rsidR="00B97303" w:rsidRPr="000A1BE5">
        <w:rPr>
          <w:rFonts w:ascii="Calibri" w:hAnsi="Calibri" w:cs="Calibri"/>
        </w:rPr>
        <w:t xml:space="preserve"> with </w:t>
      </w:r>
      <w:r w:rsidR="00270332">
        <w:rPr>
          <w:rFonts w:ascii="Calibri" w:hAnsi="Calibri" w:cs="Calibri"/>
        </w:rPr>
        <w:t xml:space="preserve">the </w:t>
      </w:r>
      <w:r w:rsidR="00B97303" w:rsidRPr="000A1BE5">
        <w:rPr>
          <w:rFonts w:ascii="Calibri" w:hAnsi="Calibri" w:cs="Calibri"/>
        </w:rPr>
        <w:t xml:space="preserve">SG’s attendance </w:t>
      </w:r>
      <w:r w:rsidRPr="000A1BE5">
        <w:rPr>
          <w:rFonts w:ascii="Calibri" w:hAnsi="Calibri" w:cs="Calibri"/>
        </w:rPr>
        <w:t xml:space="preserve">at Council </w:t>
      </w:r>
      <w:r w:rsidR="00B97303" w:rsidRPr="000A1BE5">
        <w:rPr>
          <w:rFonts w:ascii="Calibri" w:hAnsi="Calibri" w:cs="Calibri"/>
        </w:rPr>
        <w:t xml:space="preserve">and inputs to the </w:t>
      </w:r>
      <w:r w:rsidRPr="000A1BE5">
        <w:rPr>
          <w:rFonts w:ascii="Calibri" w:hAnsi="Calibri" w:cs="Calibri"/>
        </w:rPr>
        <w:t>preparation of the International Hydrology Programme in June and other meetings to extend our collaboration in groundwater issues in the Mediterranean to different regions with our support and GEF funds.</w:t>
      </w:r>
    </w:p>
    <w:p w:rsidR="00B97303" w:rsidRPr="000A1BE5" w:rsidRDefault="00B97303" w:rsidP="000A1BE5">
      <w:pPr>
        <w:pStyle w:val="ListParagraph"/>
        <w:spacing w:after="0" w:line="240" w:lineRule="auto"/>
        <w:ind w:left="426"/>
        <w:rPr>
          <w:rFonts w:ascii="Calibri" w:hAnsi="Calibri" w:cs="Calibri"/>
        </w:rPr>
      </w:pPr>
    </w:p>
    <w:p w:rsidR="00677F75" w:rsidRPr="000A1BE5" w:rsidRDefault="00677F75"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Follow up on the successful 2013 launch of the</w:t>
      </w:r>
      <w:r w:rsidR="000A1BE5" w:rsidRPr="000A1BE5">
        <w:rPr>
          <w:rFonts w:ascii="Calibri" w:hAnsi="Calibri" w:cs="Calibri"/>
        </w:rPr>
        <w:t xml:space="preserve"> </w:t>
      </w:r>
      <w:r w:rsidRPr="000A1BE5">
        <w:rPr>
          <w:rFonts w:ascii="Calibri" w:hAnsi="Calibri" w:cs="Calibri"/>
        </w:rPr>
        <w:t xml:space="preserve">Ramsar Chair on </w:t>
      </w:r>
      <w:r w:rsidR="00270332" w:rsidRPr="000A1BE5">
        <w:rPr>
          <w:rFonts w:ascii="Calibri" w:hAnsi="Calibri" w:cs="Calibri"/>
        </w:rPr>
        <w:t xml:space="preserve">Wise Use </w:t>
      </w:r>
      <w:r w:rsidRPr="000A1BE5">
        <w:rPr>
          <w:rFonts w:ascii="Calibri" w:hAnsi="Calibri" w:cs="Calibri"/>
        </w:rPr>
        <w:t xml:space="preserve">of </w:t>
      </w:r>
      <w:r w:rsidR="00270332" w:rsidRPr="000A1BE5">
        <w:rPr>
          <w:rFonts w:ascii="Calibri" w:hAnsi="Calibri" w:cs="Calibri"/>
        </w:rPr>
        <w:t xml:space="preserve">Wetlands </w:t>
      </w:r>
      <w:r w:rsidRPr="000A1BE5">
        <w:rPr>
          <w:rFonts w:ascii="Calibri" w:hAnsi="Calibri" w:cs="Calibri"/>
        </w:rPr>
        <w:t>led to</w:t>
      </w:r>
      <w:r w:rsidR="000A1BE5" w:rsidRPr="000A1BE5">
        <w:rPr>
          <w:rFonts w:ascii="Calibri" w:hAnsi="Calibri" w:cs="Calibri"/>
        </w:rPr>
        <w:t xml:space="preserve"> </w:t>
      </w:r>
      <w:r w:rsidRPr="000A1BE5">
        <w:rPr>
          <w:rFonts w:ascii="Calibri" w:hAnsi="Calibri" w:cs="Calibri"/>
        </w:rPr>
        <w:t xml:space="preserve">a visit to </w:t>
      </w:r>
      <w:r w:rsidR="00270332">
        <w:rPr>
          <w:rFonts w:ascii="Calibri" w:hAnsi="Calibri" w:cs="Calibri"/>
        </w:rPr>
        <w:t xml:space="preserve">the </w:t>
      </w:r>
      <w:r w:rsidRPr="000A1BE5">
        <w:rPr>
          <w:rFonts w:ascii="Calibri" w:hAnsi="Calibri" w:cs="Calibri"/>
        </w:rPr>
        <w:t xml:space="preserve">UNESCO Water </w:t>
      </w:r>
      <w:r w:rsidR="00270332" w:rsidRPr="000A1BE5">
        <w:rPr>
          <w:rFonts w:ascii="Calibri" w:hAnsi="Calibri" w:cs="Calibri"/>
        </w:rPr>
        <w:t xml:space="preserve">Training Centre </w:t>
      </w:r>
      <w:r w:rsidRPr="000A1BE5">
        <w:rPr>
          <w:rFonts w:ascii="Calibri" w:hAnsi="Calibri" w:cs="Calibri"/>
        </w:rPr>
        <w:t>in Delft and joint definition of the support that Max Finlayson will fulfil in this role for the first three years of the Chair with</w:t>
      </w:r>
      <w:r w:rsidR="000A1BE5" w:rsidRPr="000A1BE5">
        <w:rPr>
          <w:rFonts w:ascii="Calibri" w:hAnsi="Calibri" w:cs="Calibri"/>
        </w:rPr>
        <w:t xml:space="preserve"> </w:t>
      </w:r>
      <w:r w:rsidRPr="000A1BE5">
        <w:rPr>
          <w:rFonts w:ascii="Calibri" w:hAnsi="Calibri" w:cs="Calibri"/>
        </w:rPr>
        <w:t>costs</w:t>
      </w:r>
      <w:r w:rsidR="000A1BE5" w:rsidRPr="000A1BE5">
        <w:rPr>
          <w:rFonts w:ascii="Calibri" w:hAnsi="Calibri" w:cs="Calibri"/>
        </w:rPr>
        <w:t xml:space="preserve"> </w:t>
      </w:r>
      <w:r w:rsidRPr="000A1BE5">
        <w:rPr>
          <w:rFonts w:ascii="Calibri" w:hAnsi="Calibri" w:cs="Calibri"/>
        </w:rPr>
        <w:t xml:space="preserve">covered by Sturt University and the UNESCO centre. The Ramsar Chair will give us support to prepare technical training material for distance learning for wetland managers and for policy work in close cooperation with the STRP and Secretariat and in response to actual needs. </w:t>
      </w:r>
    </w:p>
    <w:p w:rsidR="00B97303" w:rsidRPr="000A1BE5" w:rsidRDefault="00B97303" w:rsidP="000A1BE5">
      <w:pPr>
        <w:spacing w:after="0" w:line="240" w:lineRule="auto"/>
        <w:rPr>
          <w:rFonts w:ascii="Calibri" w:hAnsi="Calibri" w:cs="Calibri"/>
        </w:rPr>
      </w:pPr>
    </w:p>
    <w:p w:rsidR="00062ABD" w:rsidRPr="000A1BE5" w:rsidRDefault="00677F75"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Our cooperation </w:t>
      </w:r>
      <w:r w:rsidR="00B57A12" w:rsidRPr="000A1BE5">
        <w:rPr>
          <w:rFonts w:ascii="Calibri" w:hAnsi="Calibri" w:cs="Calibri"/>
        </w:rPr>
        <w:t xml:space="preserve">with UNESCO </w:t>
      </w:r>
      <w:r w:rsidRPr="000A1BE5">
        <w:rPr>
          <w:rFonts w:ascii="Calibri" w:hAnsi="Calibri" w:cs="Calibri"/>
        </w:rPr>
        <w:t>on World Heritage Sites, Geoparks</w:t>
      </w:r>
      <w:r w:rsidR="000A1BE5" w:rsidRPr="000A1BE5">
        <w:rPr>
          <w:rFonts w:ascii="Calibri" w:hAnsi="Calibri" w:cs="Calibri"/>
        </w:rPr>
        <w:t xml:space="preserve"> </w:t>
      </w:r>
      <w:r w:rsidRPr="000A1BE5">
        <w:rPr>
          <w:rFonts w:ascii="Calibri" w:hAnsi="Calibri" w:cs="Calibri"/>
        </w:rPr>
        <w:t xml:space="preserve">and Man </w:t>
      </w:r>
      <w:r w:rsidR="00B57A12" w:rsidRPr="000A1BE5">
        <w:rPr>
          <w:rFonts w:ascii="Calibri" w:hAnsi="Calibri" w:cs="Calibri"/>
        </w:rPr>
        <w:t>&amp;</w:t>
      </w:r>
      <w:r w:rsidRPr="000A1BE5">
        <w:rPr>
          <w:rFonts w:ascii="Calibri" w:hAnsi="Calibri" w:cs="Calibri"/>
        </w:rPr>
        <w:t xml:space="preserve"> Biosphere</w:t>
      </w:r>
      <w:r w:rsidR="00B57A12" w:rsidRPr="000A1BE5">
        <w:rPr>
          <w:rFonts w:ascii="Calibri" w:hAnsi="Calibri" w:cs="Calibri"/>
        </w:rPr>
        <w:t xml:space="preserve"> (MAB)</w:t>
      </w:r>
      <w:r w:rsidRPr="000A1BE5">
        <w:rPr>
          <w:rFonts w:ascii="Calibri" w:hAnsi="Calibri" w:cs="Calibri"/>
        </w:rPr>
        <w:t xml:space="preserve"> sites </w:t>
      </w:r>
      <w:r w:rsidR="00270332" w:rsidRPr="000A1BE5">
        <w:rPr>
          <w:rFonts w:ascii="Calibri" w:hAnsi="Calibri" w:cs="Calibri"/>
        </w:rPr>
        <w:t>has grown</w:t>
      </w:r>
      <w:r w:rsidR="00270332">
        <w:rPr>
          <w:rFonts w:ascii="Calibri" w:hAnsi="Calibri" w:cs="Calibri"/>
        </w:rPr>
        <w:t>,</w:t>
      </w:r>
      <w:r w:rsidR="00270332" w:rsidRPr="000A1BE5">
        <w:rPr>
          <w:rFonts w:ascii="Calibri" w:hAnsi="Calibri" w:cs="Calibri"/>
        </w:rPr>
        <w:t xml:space="preserve"> </w:t>
      </w:r>
      <w:r w:rsidR="00B57A12" w:rsidRPr="000A1BE5">
        <w:rPr>
          <w:rFonts w:ascii="Calibri" w:hAnsi="Calibri" w:cs="Calibri"/>
        </w:rPr>
        <w:t>in Paris,</w:t>
      </w:r>
      <w:r w:rsidR="000A1BE5" w:rsidRPr="000A1BE5">
        <w:rPr>
          <w:rFonts w:ascii="Calibri" w:hAnsi="Calibri" w:cs="Calibri"/>
        </w:rPr>
        <w:t xml:space="preserve"> </w:t>
      </w:r>
      <w:r w:rsidR="00B57A12" w:rsidRPr="000A1BE5">
        <w:rPr>
          <w:rFonts w:ascii="Calibri" w:hAnsi="Calibri" w:cs="Calibri"/>
        </w:rPr>
        <w:t>Republic of Korea and Australia and here in Gland</w:t>
      </w:r>
      <w:r w:rsidR="00270332">
        <w:rPr>
          <w:rFonts w:ascii="Calibri" w:hAnsi="Calibri" w:cs="Calibri"/>
        </w:rPr>
        <w:t>,</w:t>
      </w:r>
      <w:r w:rsidR="00B57A12" w:rsidRPr="000A1BE5">
        <w:rPr>
          <w:rFonts w:ascii="Calibri" w:hAnsi="Calibri" w:cs="Calibri"/>
        </w:rPr>
        <w:t xml:space="preserve"> as we work together to set up substantial equivalence in the way we deal with threats and challenges on sites and how we can achieve more by working in synergy at all times on our complementary missions. This was shown up well in the recent cases of Virunga and Cot</w:t>
      </w:r>
      <w:r w:rsidR="003F3B33" w:rsidRPr="000A1BE5">
        <w:rPr>
          <w:rFonts w:ascii="Calibri" w:hAnsi="Calibri" w:cs="Calibri"/>
        </w:rPr>
        <w:t>a</w:t>
      </w:r>
      <w:r w:rsidR="00B57A12" w:rsidRPr="000A1BE5">
        <w:rPr>
          <w:rFonts w:ascii="Calibri" w:hAnsi="Calibri" w:cs="Calibri"/>
        </w:rPr>
        <w:t xml:space="preserve"> Donana and in discussions on the Great Barrier Reef. </w:t>
      </w:r>
      <w:r w:rsidR="00062ABD" w:rsidRPr="000A1BE5">
        <w:rPr>
          <w:rFonts w:ascii="Calibri" w:hAnsi="Calibri" w:cs="Calibri"/>
        </w:rPr>
        <w:t xml:space="preserve">Indeed, we have </w:t>
      </w:r>
      <w:r w:rsidR="00B57A12" w:rsidRPr="000A1BE5">
        <w:rPr>
          <w:rFonts w:ascii="Calibri" w:hAnsi="Calibri" w:cs="Calibri"/>
        </w:rPr>
        <w:t>also</w:t>
      </w:r>
      <w:r w:rsidR="00062ABD" w:rsidRPr="000A1BE5">
        <w:rPr>
          <w:rFonts w:ascii="Calibri" w:hAnsi="Calibri" w:cs="Calibri"/>
        </w:rPr>
        <w:t xml:space="preserve"> started on a joint Korean/IUCN/UNESCO project on how to manage sites that have double or triple designations under Ramsar, WHC</w:t>
      </w:r>
      <w:r w:rsidR="00B57A12" w:rsidRPr="000A1BE5">
        <w:rPr>
          <w:rFonts w:ascii="Calibri" w:hAnsi="Calibri" w:cs="Calibri"/>
        </w:rPr>
        <w:t xml:space="preserve"> or </w:t>
      </w:r>
      <w:r w:rsidR="00062ABD" w:rsidRPr="000A1BE5">
        <w:rPr>
          <w:rFonts w:ascii="Calibri" w:hAnsi="Calibri" w:cs="Calibri"/>
        </w:rPr>
        <w:t>MAB. This is a new project with R</w:t>
      </w:r>
      <w:r w:rsidR="00270332">
        <w:rPr>
          <w:rFonts w:ascii="Calibri" w:hAnsi="Calibri" w:cs="Calibri"/>
        </w:rPr>
        <w:t>.O.</w:t>
      </w:r>
      <w:r w:rsidR="00062ABD" w:rsidRPr="000A1BE5">
        <w:rPr>
          <w:rFonts w:ascii="Calibri" w:hAnsi="Calibri" w:cs="Calibri"/>
        </w:rPr>
        <w:t>K</w:t>
      </w:r>
      <w:r w:rsidR="00270332">
        <w:rPr>
          <w:rFonts w:ascii="Calibri" w:hAnsi="Calibri" w:cs="Calibri"/>
        </w:rPr>
        <w:t>orea</w:t>
      </w:r>
      <w:r w:rsidR="00062ABD" w:rsidRPr="000A1BE5">
        <w:rPr>
          <w:rFonts w:ascii="Calibri" w:hAnsi="Calibri" w:cs="Calibri"/>
        </w:rPr>
        <w:t xml:space="preserve"> funding for better management of internationally important sites and is a positive step.</w:t>
      </w:r>
      <w:r w:rsidR="000A1BE5" w:rsidRPr="000A1BE5">
        <w:rPr>
          <w:rFonts w:ascii="Calibri" w:hAnsi="Calibri" w:cs="Calibri"/>
        </w:rPr>
        <w:t xml:space="preserve"> </w:t>
      </w:r>
    </w:p>
    <w:p w:rsidR="00062ABD" w:rsidRPr="000A1BE5" w:rsidRDefault="00062ABD" w:rsidP="000A1BE5">
      <w:pPr>
        <w:spacing w:after="0" w:line="240" w:lineRule="auto"/>
        <w:rPr>
          <w:rFonts w:ascii="Calibri" w:hAnsi="Calibri" w:cs="Calibri"/>
        </w:rPr>
      </w:pPr>
    </w:p>
    <w:p w:rsidR="00B57A12" w:rsidRPr="000A1BE5" w:rsidRDefault="00B57A12"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In addition, the excellent work done by IUCN on the Conservation Outlook with its independent assessment of 222 World Heritage </w:t>
      </w:r>
      <w:r w:rsidR="00270332">
        <w:rPr>
          <w:rFonts w:ascii="Calibri" w:hAnsi="Calibri" w:cs="Calibri"/>
        </w:rPr>
        <w:t>S</w:t>
      </w:r>
      <w:r w:rsidRPr="000A1BE5">
        <w:rPr>
          <w:rFonts w:ascii="Calibri" w:hAnsi="Calibri" w:cs="Calibri"/>
        </w:rPr>
        <w:t xml:space="preserve">ites </w:t>
      </w:r>
      <w:r w:rsidR="00270332">
        <w:rPr>
          <w:rFonts w:ascii="Calibri" w:hAnsi="Calibri" w:cs="Calibri"/>
        </w:rPr>
        <w:t>(</w:t>
      </w:r>
      <w:r w:rsidRPr="000A1BE5">
        <w:rPr>
          <w:rFonts w:ascii="Calibri" w:hAnsi="Calibri" w:cs="Calibri"/>
        </w:rPr>
        <w:t>including 49 Ramsar Sites</w:t>
      </w:r>
      <w:r w:rsidR="00270332">
        <w:rPr>
          <w:rFonts w:ascii="Calibri" w:hAnsi="Calibri" w:cs="Calibri"/>
        </w:rPr>
        <w:t>)</w:t>
      </w:r>
      <w:r w:rsidRPr="000A1BE5">
        <w:rPr>
          <w:rFonts w:ascii="Calibri" w:hAnsi="Calibri" w:cs="Calibri"/>
        </w:rPr>
        <w:t xml:space="preserve"> has been helpful in demonstrating the challenges faced by all our sites and the risks to the maintenance of their ecological character, and </w:t>
      </w:r>
      <w:r w:rsidR="00270332">
        <w:rPr>
          <w:rFonts w:ascii="Calibri" w:hAnsi="Calibri" w:cs="Calibri"/>
        </w:rPr>
        <w:t xml:space="preserve">the </w:t>
      </w:r>
      <w:r w:rsidRPr="000A1BE5">
        <w:rPr>
          <w:rFonts w:ascii="Calibri" w:hAnsi="Calibri" w:cs="Calibri"/>
        </w:rPr>
        <w:t xml:space="preserve">need to consider more sources of information than national reports to ensure that the full picture of important sites is maintained forever. </w:t>
      </w:r>
    </w:p>
    <w:p w:rsidR="00FE6A75" w:rsidRPr="009A7F01" w:rsidRDefault="00FE6A75" w:rsidP="00734EA7">
      <w:pPr>
        <w:spacing w:after="0" w:line="240" w:lineRule="auto"/>
        <w:rPr>
          <w:highlight w:val="yellow"/>
        </w:rPr>
      </w:pPr>
    </w:p>
    <w:p w:rsidR="000817C5" w:rsidRPr="00D30D6B" w:rsidRDefault="000817C5" w:rsidP="00D30D6B">
      <w:pPr>
        <w:pStyle w:val="ListParagraph"/>
        <w:numPr>
          <w:ilvl w:val="0"/>
          <w:numId w:val="18"/>
        </w:numPr>
        <w:spacing w:after="0" w:line="240" w:lineRule="auto"/>
        <w:ind w:left="993" w:hanging="567"/>
        <w:outlineLvl w:val="0"/>
        <w:rPr>
          <w:b/>
        </w:rPr>
      </w:pPr>
      <w:r w:rsidRPr="00D30D6B">
        <w:rPr>
          <w:b/>
        </w:rPr>
        <w:t>Collaboration with UNEP</w:t>
      </w:r>
    </w:p>
    <w:p w:rsidR="00287AA7" w:rsidRDefault="00287AA7" w:rsidP="00734EA7">
      <w:pPr>
        <w:spacing w:after="0" w:line="240" w:lineRule="auto"/>
        <w:outlineLvl w:val="0"/>
        <w:rPr>
          <w:highlight w:val="yellow"/>
          <w:u w:val="single"/>
        </w:rPr>
      </w:pPr>
    </w:p>
    <w:p w:rsidR="00553794" w:rsidRPr="000A1BE5" w:rsidRDefault="00B57A12" w:rsidP="000A1BE5">
      <w:pPr>
        <w:pStyle w:val="ListParagraph"/>
        <w:numPr>
          <w:ilvl w:val="0"/>
          <w:numId w:val="17"/>
        </w:numPr>
        <w:spacing w:after="0" w:line="240" w:lineRule="auto"/>
        <w:ind w:left="426" w:hanging="426"/>
        <w:rPr>
          <w:rFonts w:ascii="Calibri" w:hAnsi="Calibri" w:cs="Calibri"/>
        </w:rPr>
      </w:pPr>
      <w:r w:rsidRPr="002C08F5">
        <w:t xml:space="preserve">The SG visited UNEP in Nairobi while attending the first </w:t>
      </w:r>
      <w:r w:rsidR="00B97303" w:rsidRPr="002C08F5">
        <w:t>UN Environment Assembly</w:t>
      </w:r>
      <w:r w:rsidRPr="002C08F5">
        <w:t xml:space="preserve"> and we are </w:t>
      </w:r>
      <w:r w:rsidRPr="000A1BE5">
        <w:rPr>
          <w:rFonts w:ascii="Calibri" w:hAnsi="Calibri" w:cs="Calibri"/>
        </w:rPr>
        <w:t xml:space="preserve">following up the joint MOU that has been developed between our organizations. We should, as </w:t>
      </w:r>
      <w:r w:rsidR="00270332">
        <w:rPr>
          <w:rFonts w:ascii="Calibri" w:hAnsi="Calibri" w:cs="Calibri"/>
        </w:rPr>
        <w:t>a C</w:t>
      </w:r>
      <w:r w:rsidRPr="000A1BE5">
        <w:rPr>
          <w:rFonts w:ascii="Calibri" w:hAnsi="Calibri" w:cs="Calibri"/>
        </w:rPr>
        <w:t>onvention, carefully consider the potential for using the U</w:t>
      </w:r>
      <w:r w:rsidR="002C08F5" w:rsidRPr="000A1BE5">
        <w:rPr>
          <w:rFonts w:ascii="Calibri" w:hAnsi="Calibri" w:cs="Calibri"/>
        </w:rPr>
        <w:t xml:space="preserve">nited </w:t>
      </w:r>
      <w:r w:rsidRPr="000A1BE5">
        <w:rPr>
          <w:rFonts w:ascii="Calibri" w:hAnsi="Calibri" w:cs="Calibri"/>
        </w:rPr>
        <w:t>N</w:t>
      </w:r>
      <w:r w:rsidR="002C08F5" w:rsidRPr="000A1BE5">
        <w:rPr>
          <w:rFonts w:ascii="Calibri" w:hAnsi="Calibri" w:cs="Calibri"/>
        </w:rPr>
        <w:t>ations</w:t>
      </w:r>
      <w:r w:rsidRPr="000A1BE5">
        <w:rPr>
          <w:rFonts w:ascii="Calibri" w:hAnsi="Calibri" w:cs="Calibri"/>
        </w:rPr>
        <w:t xml:space="preserve"> Environment Assembly in its </w:t>
      </w:r>
      <w:r w:rsidR="002C08F5" w:rsidRPr="000A1BE5">
        <w:rPr>
          <w:rFonts w:ascii="Calibri" w:hAnsi="Calibri" w:cs="Calibri"/>
        </w:rPr>
        <w:t>second</w:t>
      </w:r>
      <w:r w:rsidRPr="000A1BE5">
        <w:rPr>
          <w:rFonts w:ascii="Calibri" w:hAnsi="Calibri" w:cs="Calibri"/>
        </w:rPr>
        <w:t xml:space="preserve"> meeting as </w:t>
      </w:r>
      <w:r w:rsidR="002C08F5" w:rsidRPr="000A1BE5">
        <w:rPr>
          <w:rFonts w:ascii="Calibri" w:hAnsi="Calibri" w:cs="Calibri"/>
        </w:rPr>
        <w:t xml:space="preserve">an </w:t>
      </w:r>
      <w:r w:rsidR="00E86048" w:rsidRPr="000A1BE5">
        <w:rPr>
          <w:rFonts w:ascii="Calibri" w:hAnsi="Calibri" w:cs="Calibri"/>
        </w:rPr>
        <w:t>appropriate place</w:t>
      </w:r>
      <w:r w:rsidRPr="000A1BE5">
        <w:rPr>
          <w:rFonts w:ascii="Calibri" w:hAnsi="Calibri" w:cs="Calibri"/>
        </w:rPr>
        <w:t xml:space="preserve"> to raise </w:t>
      </w:r>
      <w:r w:rsidR="002C08F5" w:rsidRPr="000A1BE5">
        <w:rPr>
          <w:rFonts w:ascii="Calibri" w:hAnsi="Calibri" w:cs="Calibri"/>
        </w:rPr>
        <w:t xml:space="preserve">new </w:t>
      </w:r>
      <w:r w:rsidRPr="000A1BE5">
        <w:rPr>
          <w:rFonts w:ascii="Calibri" w:hAnsi="Calibri" w:cs="Calibri"/>
        </w:rPr>
        <w:t xml:space="preserve">issues and get an audience for a theme of global importance </w:t>
      </w:r>
      <w:r w:rsidR="002C08F5" w:rsidRPr="000A1BE5">
        <w:rPr>
          <w:rFonts w:ascii="Calibri" w:hAnsi="Calibri" w:cs="Calibri"/>
        </w:rPr>
        <w:t>such as our strategies and goals to tackle loss and degradation of wetlands</w:t>
      </w:r>
      <w:r w:rsidR="00270332">
        <w:rPr>
          <w:rFonts w:ascii="Calibri" w:hAnsi="Calibri" w:cs="Calibri"/>
        </w:rPr>
        <w:t>.</w:t>
      </w:r>
      <w:r w:rsidR="002C08F5" w:rsidRPr="000A1BE5">
        <w:rPr>
          <w:rFonts w:ascii="Calibri" w:hAnsi="Calibri" w:cs="Calibri"/>
        </w:rPr>
        <w:t xml:space="preserve"> </w:t>
      </w:r>
      <w:r w:rsidRPr="000A1BE5">
        <w:rPr>
          <w:rFonts w:ascii="Calibri" w:hAnsi="Calibri" w:cs="Calibri"/>
        </w:rPr>
        <w:t>UNEP welcome</w:t>
      </w:r>
      <w:r w:rsidR="002C08F5" w:rsidRPr="000A1BE5">
        <w:rPr>
          <w:rFonts w:ascii="Calibri" w:hAnsi="Calibri" w:cs="Calibri"/>
        </w:rPr>
        <w:t>s</w:t>
      </w:r>
      <w:r w:rsidRPr="000A1BE5">
        <w:rPr>
          <w:rFonts w:ascii="Calibri" w:hAnsi="Calibri" w:cs="Calibri"/>
        </w:rPr>
        <w:t xml:space="preserve"> inputs from the Convention</w:t>
      </w:r>
      <w:r w:rsidR="00E86048" w:rsidRPr="000A1BE5">
        <w:rPr>
          <w:rFonts w:ascii="Calibri" w:hAnsi="Calibri" w:cs="Calibri"/>
        </w:rPr>
        <w:t xml:space="preserve"> on that idea</w:t>
      </w:r>
      <w:r w:rsidRPr="000A1BE5">
        <w:rPr>
          <w:rFonts w:ascii="Calibri" w:hAnsi="Calibri" w:cs="Calibri"/>
        </w:rPr>
        <w:t xml:space="preserve">. </w:t>
      </w:r>
    </w:p>
    <w:p w:rsidR="00553794" w:rsidRPr="000A1BE5" w:rsidRDefault="00553794" w:rsidP="000A1BE5">
      <w:pPr>
        <w:pStyle w:val="ListParagraph"/>
        <w:spacing w:after="0" w:line="240" w:lineRule="auto"/>
        <w:ind w:left="426"/>
        <w:rPr>
          <w:rFonts w:ascii="Calibri" w:hAnsi="Calibri" w:cs="Calibri"/>
        </w:rPr>
      </w:pPr>
    </w:p>
    <w:p w:rsidR="00553794" w:rsidRPr="000A1BE5" w:rsidRDefault="00553794"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UNEP</w:t>
      </w:r>
      <w:r w:rsidR="00270332">
        <w:rPr>
          <w:rFonts w:ascii="Calibri" w:hAnsi="Calibri" w:cs="Calibri"/>
        </w:rPr>
        <w:t>-</w:t>
      </w:r>
      <w:r w:rsidRPr="000A1BE5">
        <w:rPr>
          <w:rFonts w:ascii="Calibri" w:hAnsi="Calibri" w:cs="Calibri"/>
        </w:rPr>
        <w:t>G</w:t>
      </w:r>
      <w:r w:rsidR="00270332">
        <w:rPr>
          <w:rFonts w:ascii="Calibri" w:hAnsi="Calibri" w:cs="Calibri"/>
        </w:rPr>
        <w:t xml:space="preserve">RID </w:t>
      </w:r>
      <w:r w:rsidRPr="000A1BE5">
        <w:rPr>
          <w:rFonts w:ascii="Calibri" w:hAnsi="Calibri" w:cs="Calibri"/>
        </w:rPr>
        <w:t xml:space="preserve">has successfully developed our new Ramsar </w:t>
      </w:r>
      <w:r w:rsidR="00270332">
        <w:rPr>
          <w:rFonts w:ascii="Calibri" w:hAnsi="Calibri" w:cs="Calibri"/>
        </w:rPr>
        <w:t xml:space="preserve">Sites </w:t>
      </w:r>
      <w:r w:rsidRPr="000A1BE5">
        <w:rPr>
          <w:rFonts w:ascii="Calibri" w:hAnsi="Calibri" w:cs="Calibri"/>
        </w:rPr>
        <w:t xml:space="preserve">Information </w:t>
      </w:r>
      <w:r w:rsidR="00270332">
        <w:rPr>
          <w:rFonts w:ascii="Calibri" w:hAnsi="Calibri" w:cs="Calibri"/>
        </w:rPr>
        <w:t xml:space="preserve">Service (RSIS) </w:t>
      </w:r>
      <w:r w:rsidRPr="000A1BE5">
        <w:rPr>
          <w:rFonts w:ascii="Calibri" w:hAnsi="Calibri" w:cs="Calibri"/>
        </w:rPr>
        <w:t xml:space="preserve">in close </w:t>
      </w:r>
      <w:r w:rsidR="00E86048" w:rsidRPr="000A1BE5">
        <w:rPr>
          <w:rFonts w:ascii="Calibri" w:hAnsi="Calibri" w:cs="Calibri"/>
        </w:rPr>
        <w:t>collaborati</w:t>
      </w:r>
      <w:r w:rsidRPr="000A1BE5">
        <w:rPr>
          <w:rFonts w:ascii="Calibri" w:hAnsi="Calibri" w:cs="Calibri"/>
        </w:rPr>
        <w:t>o</w:t>
      </w:r>
      <w:r w:rsidR="00E86048" w:rsidRPr="000A1BE5">
        <w:rPr>
          <w:rFonts w:ascii="Calibri" w:hAnsi="Calibri" w:cs="Calibri"/>
        </w:rPr>
        <w:t>n</w:t>
      </w:r>
      <w:r w:rsidRPr="000A1BE5">
        <w:rPr>
          <w:rFonts w:ascii="Calibri" w:hAnsi="Calibri" w:cs="Calibri"/>
        </w:rPr>
        <w:t xml:space="preserve"> and we will continue to work with them on its refinement. Closer relations with the other UNEP centres in Cambridge (WCMC) and Nairobi will allow us to explore better the needs we have for big data and satellite analysis of the state of wetlands and state of our Ramsar sites. That deepening collaboration will likely lead to a large scale project with NASA, JAXA and ESA </w:t>
      </w:r>
      <w:r w:rsidRPr="00A3011A">
        <w:rPr>
          <w:rFonts w:ascii="Calibri" w:hAnsi="Calibri" w:cs="Calibri"/>
          <w:i/>
        </w:rPr>
        <w:t>inter alia</w:t>
      </w:r>
      <w:r w:rsidRPr="000A1BE5">
        <w:rPr>
          <w:rFonts w:ascii="Calibri" w:hAnsi="Calibri" w:cs="Calibri"/>
        </w:rPr>
        <w:t xml:space="preserve"> for which we will jointly seek external funding.</w:t>
      </w:r>
    </w:p>
    <w:p w:rsidR="00553794" w:rsidRPr="000A1BE5" w:rsidRDefault="00553794" w:rsidP="000A1BE5">
      <w:pPr>
        <w:pStyle w:val="ListParagraph"/>
        <w:spacing w:after="0" w:line="240" w:lineRule="auto"/>
        <w:ind w:left="426"/>
        <w:rPr>
          <w:rFonts w:ascii="Calibri" w:hAnsi="Calibri" w:cs="Calibri"/>
        </w:rPr>
      </w:pPr>
    </w:p>
    <w:p w:rsidR="00C21BCE" w:rsidRPr="000A1BE5" w:rsidRDefault="00553794"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We aim to </w:t>
      </w:r>
      <w:r w:rsidR="00E86048" w:rsidRPr="000A1BE5">
        <w:rPr>
          <w:rFonts w:ascii="Calibri" w:hAnsi="Calibri" w:cs="Calibri"/>
        </w:rPr>
        <w:t xml:space="preserve">further our </w:t>
      </w:r>
      <w:r w:rsidRPr="000A1BE5">
        <w:rPr>
          <w:rFonts w:ascii="Calibri" w:hAnsi="Calibri" w:cs="Calibri"/>
        </w:rPr>
        <w:t xml:space="preserve">collaboration with UNEP in all the areas of mutual benefit under legal and </w:t>
      </w:r>
      <w:r w:rsidR="00A3011A">
        <w:rPr>
          <w:rFonts w:ascii="Calibri" w:hAnsi="Calibri" w:cs="Calibri"/>
        </w:rPr>
        <w:t>C</w:t>
      </w:r>
      <w:r w:rsidRPr="000A1BE5">
        <w:rPr>
          <w:rFonts w:ascii="Calibri" w:hAnsi="Calibri" w:cs="Calibri"/>
        </w:rPr>
        <w:t xml:space="preserve">onvention matters and in support their normative work on wetlands and in their support for countries to internalize wetland issues into national planning on biodiversity (NBSAP). </w:t>
      </w:r>
      <w:r w:rsidR="00E86048" w:rsidRPr="000A1BE5">
        <w:rPr>
          <w:rFonts w:ascii="Calibri" w:hAnsi="Calibri" w:cs="Calibri"/>
        </w:rPr>
        <w:t xml:space="preserve">We are </w:t>
      </w:r>
      <w:r w:rsidRPr="000A1BE5">
        <w:rPr>
          <w:rFonts w:ascii="Calibri" w:hAnsi="Calibri" w:cs="Calibri"/>
        </w:rPr>
        <w:t>also</w:t>
      </w:r>
      <w:r w:rsidR="00E86048" w:rsidRPr="000A1BE5">
        <w:rPr>
          <w:rFonts w:ascii="Calibri" w:hAnsi="Calibri" w:cs="Calibri"/>
        </w:rPr>
        <w:t xml:space="preserve"> working with the TEEB team </w:t>
      </w:r>
      <w:r w:rsidR="00A3011A">
        <w:rPr>
          <w:rFonts w:ascii="Calibri" w:hAnsi="Calibri" w:cs="Calibri"/>
        </w:rPr>
        <w:t xml:space="preserve">in </w:t>
      </w:r>
      <w:r w:rsidR="00E86048" w:rsidRPr="000A1BE5">
        <w:rPr>
          <w:rFonts w:ascii="Calibri" w:hAnsi="Calibri" w:cs="Calibri"/>
        </w:rPr>
        <w:t xml:space="preserve">Geneva </w:t>
      </w:r>
      <w:r w:rsidR="00A3011A" w:rsidRPr="000A1BE5">
        <w:rPr>
          <w:rFonts w:ascii="Calibri" w:hAnsi="Calibri" w:cs="Calibri"/>
        </w:rPr>
        <w:t xml:space="preserve">on economic valuation </w:t>
      </w:r>
      <w:r w:rsidRPr="000A1BE5">
        <w:rPr>
          <w:rFonts w:ascii="Calibri" w:hAnsi="Calibri" w:cs="Calibri"/>
        </w:rPr>
        <w:t>to follow</w:t>
      </w:r>
      <w:r w:rsidR="00E86048" w:rsidRPr="000A1BE5">
        <w:rPr>
          <w:rFonts w:ascii="Calibri" w:hAnsi="Calibri" w:cs="Calibri"/>
        </w:rPr>
        <w:t xml:space="preserve"> up </w:t>
      </w:r>
      <w:r w:rsidRPr="000A1BE5">
        <w:rPr>
          <w:rFonts w:ascii="Calibri" w:hAnsi="Calibri" w:cs="Calibri"/>
        </w:rPr>
        <w:t>on receiving data</w:t>
      </w:r>
      <w:r w:rsidR="00E86048" w:rsidRPr="000A1BE5">
        <w:rPr>
          <w:rFonts w:ascii="Calibri" w:hAnsi="Calibri" w:cs="Calibri"/>
        </w:rPr>
        <w:t xml:space="preserve"> from their five national level valuations that include impacts on wetlands</w:t>
      </w:r>
      <w:r w:rsidRPr="000A1BE5">
        <w:rPr>
          <w:rFonts w:ascii="Calibri" w:hAnsi="Calibri" w:cs="Calibri"/>
        </w:rPr>
        <w:t>, and the new developing study on the TEEB and Agriculture</w:t>
      </w:r>
      <w:r w:rsidR="00E86048" w:rsidRPr="000A1BE5">
        <w:rPr>
          <w:rFonts w:ascii="Calibri" w:hAnsi="Calibri" w:cs="Calibri"/>
        </w:rPr>
        <w:t xml:space="preserve">. </w:t>
      </w:r>
    </w:p>
    <w:p w:rsidR="00F74E91" w:rsidRPr="009A7F01" w:rsidRDefault="00F74E91" w:rsidP="00734EA7">
      <w:pPr>
        <w:spacing w:after="0" w:line="240" w:lineRule="auto"/>
        <w:rPr>
          <w:highlight w:val="yellow"/>
        </w:rPr>
      </w:pPr>
    </w:p>
    <w:p w:rsidR="008B4AC6" w:rsidRPr="00D30D6B" w:rsidRDefault="008B4AC6" w:rsidP="00D30D6B">
      <w:pPr>
        <w:pStyle w:val="ListParagraph"/>
        <w:numPr>
          <w:ilvl w:val="0"/>
          <w:numId w:val="18"/>
        </w:numPr>
        <w:spacing w:after="0" w:line="240" w:lineRule="auto"/>
        <w:ind w:left="993" w:hanging="567"/>
        <w:outlineLvl w:val="0"/>
        <w:rPr>
          <w:b/>
        </w:rPr>
      </w:pPr>
      <w:r w:rsidRPr="00D30D6B">
        <w:rPr>
          <w:b/>
        </w:rPr>
        <w:t>Collaboration with UNDP</w:t>
      </w:r>
    </w:p>
    <w:p w:rsidR="008B4AC6" w:rsidRPr="00D30D6B" w:rsidRDefault="008B4AC6" w:rsidP="00D30D6B">
      <w:pPr>
        <w:spacing w:after="0" w:line="240" w:lineRule="auto"/>
        <w:ind w:left="426"/>
        <w:outlineLvl w:val="0"/>
        <w:rPr>
          <w:b/>
        </w:rPr>
      </w:pPr>
    </w:p>
    <w:p w:rsidR="00CB5B6F" w:rsidRPr="000A1BE5" w:rsidRDefault="001D60E7"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 SG has</w:t>
      </w:r>
      <w:r w:rsidR="008B4AC6" w:rsidRPr="000A1BE5">
        <w:rPr>
          <w:rFonts w:ascii="Calibri" w:hAnsi="Calibri" w:cs="Calibri"/>
        </w:rPr>
        <w:t xml:space="preserve"> </w:t>
      </w:r>
      <w:r w:rsidR="00C376C3" w:rsidRPr="000A1BE5">
        <w:rPr>
          <w:rFonts w:ascii="Calibri" w:hAnsi="Calibri" w:cs="Calibri"/>
        </w:rPr>
        <w:t xml:space="preserve">helped </w:t>
      </w:r>
      <w:r w:rsidR="00553794" w:rsidRPr="000A1BE5">
        <w:rPr>
          <w:rFonts w:ascii="Calibri" w:hAnsi="Calibri" w:cs="Calibri"/>
        </w:rPr>
        <w:t>build up relations</w:t>
      </w:r>
      <w:r w:rsidR="008B4AC6" w:rsidRPr="000A1BE5">
        <w:rPr>
          <w:rFonts w:ascii="Calibri" w:hAnsi="Calibri" w:cs="Calibri"/>
        </w:rPr>
        <w:t xml:space="preserve"> with UNDP </w:t>
      </w:r>
      <w:r w:rsidR="00553794" w:rsidRPr="000A1BE5">
        <w:rPr>
          <w:rFonts w:ascii="Calibri" w:hAnsi="Calibri" w:cs="Calibri"/>
        </w:rPr>
        <w:t xml:space="preserve">for Ramsar and secured help for Ramsar colleagues and a promise to work together in the planning strategy for GEF 6 and include colleagues </w:t>
      </w:r>
      <w:r w:rsidR="00C376C3" w:rsidRPr="000A1BE5">
        <w:rPr>
          <w:rFonts w:ascii="Calibri" w:hAnsi="Calibri" w:cs="Calibri"/>
        </w:rPr>
        <w:t xml:space="preserve">in meetings such as the GEF extended constituency workshops in 2015. We have access to </w:t>
      </w:r>
      <w:r w:rsidR="008B4AC6" w:rsidRPr="000A1BE5">
        <w:rPr>
          <w:rFonts w:ascii="Calibri" w:hAnsi="Calibri" w:cs="Calibri"/>
        </w:rPr>
        <w:t xml:space="preserve">information on their total portfolio of projects with relevance for wetlands and </w:t>
      </w:r>
      <w:r w:rsidR="00C376C3" w:rsidRPr="000A1BE5">
        <w:rPr>
          <w:rFonts w:ascii="Calibri" w:hAnsi="Calibri" w:cs="Calibri"/>
        </w:rPr>
        <w:t>we are in a</w:t>
      </w:r>
      <w:r w:rsidR="008B4AC6" w:rsidRPr="000A1BE5">
        <w:rPr>
          <w:rFonts w:ascii="Calibri" w:hAnsi="Calibri" w:cs="Calibri"/>
        </w:rPr>
        <w:t xml:space="preserve"> better </w:t>
      </w:r>
      <w:r w:rsidR="00C376C3" w:rsidRPr="000A1BE5">
        <w:rPr>
          <w:rFonts w:ascii="Calibri" w:hAnsi="Calibri" w:cs="Calibri"/>
        </w:rPr>
        <w:t xml:space="preserve">position to </w:t>
      </w:r>
      <w:r w:rsidR="008B4AC6" w:rsidRPr="000A1BE5">
        <w:rPr>
          <w:rFonts w:ascii="Calibri" w:hAnsi="Calibri" w:cs="Calibri"/>
        </w:rPr>
        <w:t xml:space="preserve">inform countries </w:t>
      </w:r>
      <w:r w:rsidR="00A3011A">
        <w:rPr>
          <w:rFonts w:ascii="Calibri" w:hAnsi="Calibri" w:cs="Calibri"/>
        </w:rPr>
        <w:t>of</w:t>
      </w:r>
      <w:r w:rsidR="008B4AC6" w:rsidRPr="000A1BE5">
        <w:rPr>
          <w:rFonts w:ascii="Calibri" w:hAnsi="Calibri" w:cs="Calibri"/>
        </w:rPr>
        <w:t xml:space="preserve"> funds </w:t>
      </w:r>
      <w:r w:rsidR="00A3011A">
        <w:rPr>
          <w:rFonts w:ascii="Calibri" w:hAnsi="Calibri" w:cs="Calibri"/>
        </w:rPr>
        <w:t xml:space="preserve">that </w:t>
      </w:r>
      <w:r w:rsidR="008B4AC6" w:rsidRPr="000A1BE5">
        <w:rPr>
          <w:rFonts w:ascii="Calibri" w:hAnsi="Calibri" w:cs="Calibri"/>
        </w:rPr>
        <w:t xml:space="preserve">are being deployed </w:t>
      </w:r>
      <w:r w:rsidR="00A3011A">
        <w:rPr>
          <w:rFonts w:ascii="Calibri" w:hAnsi="Calibri" w:cs="Calibri"/>
        </w:rPr>
        <w:t>on the</w:t>
      </w:r>
      <w:r w:rsidR="008B4AC6" w:rsidRPr="000A1BE5">
        <w:rPr>
          <w:rFonts w:ascii="Calibri" w:hAnsi="Calibri" w:cs="Calibri"/>
        </w:rPr>
        <w:t xml:space="preserve"> wise use of wetlands and help them in the rules and people to help in increasing that usage. We will use the information of funding as a basis to help get more wetlands-related people in more countries informed and involved in </w:t>
      </w:r>
      <w:r w:rsidRPr="000A1BE5">
        <w:rPr>
          <w:rFonts w:ascii="Calibri" w:hAnsi="Calibri" w:cs="Calibri"/>
        </w:rPr>
        <w:t xml:space="preserve">successful project preparation </w:t>
      </w:r>
      <w:r w:rsidR="00C376C3" w:rsidRPr="000A1BE5">
        <w:rPr>
          <w:rFonts w:ascii="Calibri" w:hAnsi="Calibri" w:cs="Calibri"/>
        </w:rPr>
        <w:t>for different bodies. We have already started the process of securing</w:t>
      </w:r>
      <w:r w:rsidR="000A1BE5" w:rsidRPr="000A1BE5">
        <w:rPr>
          <w:rFonts w:ascii="Calibri" w:hAnsi="Calibri" w:cs="Calibri"/>
        </w:rPr>
        <w:t xml:space="preserve"> </w:t>
      </w:r>
      <w:r w:rsidR="00A04E1E" w:rsidRPr="000A1BE5">
        <w:rPr>
          <w:rFonts w:ascii="Calibri" w:hAnsi="Calibri" w:cs="Calibri"/>
        </w:rPr>
        <w:t>meetings for all relevant regions so that each of the regional team members in Ramsar and UNDP know their opposite number and can work with them on policy and practice issues.</w:t>
      </w:r>
    </w:p>
    <w:p w:rsidR="00C376C3" w:rsidRPr="00C376C3" w:rsidRDefault="00C376C3" w:rsidP="00734EA7">
      <w:pPr>
        <w:spacing w:after="0" w:line="240" w:lineRule="auto"/>
      </w:pPr>
    </w:p>
    <w:p w:rsidR="008B4AC6" w:rsidRPr="00D30D6B" w:rsidRDefault="00C376C3" w:rsidP="00D30D6B">
      <w:pPr>
        <w:pStyle w:val="ListParagraph"/>
        <w:numPr>
          <w:ilvl w:val="0"/>
          <w:numId w:val="18"/>
        </w:numPr>
        <w:spacing w:after="0" w:line="240" w:lineRule="auto"/>
        <w:ind w:left="993" w:hanging="567"/>
        <w:outlineLvl w:val="0"/>
        <w:rPr>
          <w:b/>
        </w:rPr>
      </w:pPr>
      <w:r w:rsidRPr="00D30D6B">
        <w:rPr>
          <w:b/>
        </w:rPr>
        <w:t>C</w:t>
      </w:r>
      <w:r w:rsidR="008B4AC6" w:rsidRPr="00D30D6B">
        <w:rPr>
          <w:b/>
        </w:rPr>
        <w:t xml:space="preserve">ollaboration with </w:t>
      </w:r>
      <w:r w:rsidRPr="00D30D6B">
        <w:rPr>
          <w:b/>
        </w:rPr>
        <w:t xml:space="preserve">MEAs and </w:t>
      </w:r>
      <w:r w:rsidR="008B4AC6" w:rsidRPr="00D30D6B">
        <w:rPr>
          <w:b/>
        </w:rPr>
        <w:t xml:space="preserve">other bodies </w:t>
      </w:r>
    </w:p>
    <w:p w:rsidR="007D5A64" w:rsidRPr="000A1BE5" w:rsidRDefault="007D5A64" w:rsidP="00734EA7">
      <w:pPr>
        <w:spacing w:after="0" w:line="240" w:lineRule="auto"/>
        <w:rPr>
          <w:b/>
          <w:u w:val="single"/>
        </w:rPr>
      </w:pPr>
    </w:p>
    <w:p w:rsidR="00C376C3" w:rsidRPr="000A1BE5" w:rsidRDefault="00C376C3"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It is helpful to see that the Parties are strongly supporting our approximation with other MEAs, and</w:t>
      </w:r>
      <w:r w:rsidR="000A1BE5" w:rsidRPr="000A1BE5">
        <w:rPr>
          <w:rFonts w:ascii="Calibri" w:hAnsi="Calibri" w:cs="Calibri"/>
        </w:rPr>
        <w:t xml:space="preserve"> </w:t>
      </w:r>
      <w:r w:rsidRPr="000A1BE5">
        <w:rPr>
          <w:rFonts w:ascii="Calibri" w:hAnsi="Calibri" w:cs="Calibri"/>
        </w:rPr>
        <w:t>have already adopted Resolutions X.11 and XI.6 for enhanced synergies with other Conventions and the Secretariat is working closely with the Biodiversity Liaison Group (BLG) and ensuring that the</w:t>
      </w:r>
      <w:r w:rsidR="000A1BE5" w:rsidRPr="000A1BE5">
        <w:rPr>
          <w:rFonts w:ascii="Calibri" w:hAnsi="Calibri" w:cs="Calibri"/>
        </w:rPr>
        <w:t xml:space="preserve"> </w:t>
      </w:r>
      <w:r w:rsidRPr="000A1BE5">
        <w:rPr>
          <w:rFonts w:ascii="Calibri" w:hAnsi="Calibri" w:cs="Calibri"/>
        </w:rPr>
        <w:t>Scientific and Technical Review Panel (STRP) is embedded in the work of the scientific bodies of the biodiversity-related conventions (CSAB) and especially in the IPBES, as it develops its system</w:t>
      </w:r>
      <w:r w:rsidR="00A3011A">
        <w:rPr>
          <w:rFonts w:ascii="Calibri" w:hAnsi="Calibri" w:cs="Calibri"/>
        </w:rPr>
        <w:t>;</w:t>
      </w:r>
      <w:r w:rsidRPr="000A1BE5">
        <w:rPr>
          <w:rFonts w:ascii="Calibri" w:hAnsi="Calibri" w:cs="Calibri"/>
        </w:rPr>
        <w:t xml:space="preserve"> the SG has been supporting these </w:t>
      </w:r>
      <w:r w:rsidR="00305BE0" w:rsidRPr="000A1BE5">
        <w:rPr>
          <w:rFonts w:ascii="Calibri" w:hAnsi="Calibri" w:cs="Calibri"/>
        </w:rPr>
        <w:t>needs</w:t>
      </w:r>
      <w:r w:rsidRPr="000A1BE5">
        <w:rPr>
          <w:rFonts w:ascii="Calibri" w:hAnsi="Calibri" w:cs="Calibri"/>
        </w:rPr>
        <w:t xml:space="preserve"> in different meetings.</w:t>
      </w:r>
    </w:p>
    <w:p w:rsidR="00305BE0" w:rsidRPr="000A1BE5" w:rsidRDefault="00305BE0" w:rsidP="000A1BE5">
      <w:pPr>
        <w:pStyle w:val="ListParagraph"/>
        <w:spacing w:after="0" w:line="240" w:lineRule="auto"/>
        <w:ind w:left="426"/>
        <w:rPr>
          <w:rFonts w:ascii="Calibri" w:hAnsi="Calibri" w:cs="Calibri"/>
        </w:rPr>
      </w:pPr>
    </w:p>
    <w:p w:rsidR="00305BE0" w:rsidRPr="000A1BE5" w:rsidRDefault="00305BE0"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Attendance at the COPs for the Convention </w:t>
      </w:r>
      <w:r w:rsidR="00A3011A">
        <w:rPr>
          <w:rFonts w:ascii="Calibri" w:hAnsi="Calibri" w:cs="Calibri"/>
        </w:rPr>
        <w:t>on</w:t>
      </w:r>
      <w:r w:rsidRPr="000A1BE5">
        <w:rPr>
          <w:rFonts w:ascii="Calibri" w:hAnsi="Calibri" w:cs="Calibri"/>
        </w:rPr>
        <w:t xml:space="preserve"> Biological Diversity (CBD) and the Convention on the Conservation of Migratory Species of Wild Animals (CMS) in 2014 are signs of our closeness and also address the need for enhancing synergies between MEAs. In developing our own Strategic Plan for 2016 to 2021, we have been able to take advantage of their experiences and achieve an exciting plan that addresses many of the Aichi targets together and </w:t>
      </w:r>
      <w:r w:rsidR="0020491E" w:rsidRPr="000A1BE5">
        <w:rPr>
          <w:rFonts w:ascii="Calibri" w:hAnsi="Calibri" w:cs="Calibri"/>
        </w:rPr>
        <w:t>allow</w:t>
      </w:r>
      <w:r w:rsidR="00A3011A">
        <w:rPr>
          <w:rFonts w:ascii="Calibri" w:hAnsi="Calibri" w:cs="Calibri"/>
        </w:rPr>
        <w:t>s</w:t>
      </w:r>
      <w:r w:rsidR="0020491E" w:rsidRPr="000A1BE5">
        <w:rPr>
          <w:rFonts w:ascii="Calibri" w:hAnsi="Calibri" w:cs="Calibri"/>
        </w:rPr>
        <w:t xml:space="preserve"> us to work together on achievement of the eventual Sustainable Development Goals.</w:t>
      </w:r>
      <w:r w:rsidR="000A1BE5" w:rsidRPr="000A1BE5">
        <w:rPr>
          <w:rFonts w:ascii="Calibri" w:hAnsi="Calibri" w:cs="Calibri"/>
        </w:rPr>
        <w:t xml:space="preserve"> </w:t>
      </w:r>
    </w:p>
    <w:p w:rsidR="00305BE0" w:rsidRPr="000A1BE5" w:rsidRDefault="00305BE0" w:rsidP="000A1BE5">
      <w:pPr>
        <w:pStyle w:val="ListParagraph"/>
        <w:spacing w:after="0" w:line="240" w:lineRule="auto"/>
        <w:ind w:left="426"/>
        <w:rPr>
          <w:rFonts w:ascii="Calibri" w:hAnsi="Calibri" w:cs="Calibri"/>
        </w:rPr>
      </w:pPr>
    </w:p>
    <w:p w:rsidR="0020491E" w:rsidRPr="000A1BE5" w:rsidRDefault="0020491E"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The Secretariat has also been involved in collaboration</w:t>
      </w:r>
      <w:r w:rsidR="00A3011A">
        <w:rPr>
          <w:rFonts w:ascii="Calibri" w:hAnsi="Calibri" w:cs="Calibri"/>
        </w:rPr>
        <w:t>s</w:t>
      </w:r>
      <w:r w:rsidRPr="000A1BE5">
        <w:rPr>
          <w:rFonts w:ascii="Calibri" w:hAnsi="Calibri" w:cs="Calibri"/>
        </w:rPr>
        <w:t xml:space="preserve"> with the biodiversity-related conventions such as the MEA Information and Knowledge Management Initiative, and </w:t>
      </w:r>
      <w:r w:rsidR="00A3011A">
        <w:rPr>
          <w:rFonts w:ascii="Calibri" w:hAnsi="Calibri" w:cs="Calibri"/>
        </w:rPr>
        <w:t xml:space="preserve">has </w:t>
      </w:r>
      <w:r w:rsidRPr="000A1BE5">
        <w:rPr>
          <w:rFonts w:ascii="Calibri" w:hAnsi="Calibri" w:cs="Calibri"/>
        </w:rPr>
        <w:t xml:space="preserve">been part of the project “Improving the effectiveness of and cooperation among biodiversity-related conventions and exploring opportunities for further synergies” with UNEP. </w:t>
      </w:r>
    </w:p>
    <w:p w:rsidR="0020491E" w:rsidRPr="000A1BE5" w:rsidRDefault="0020491E" w:rsidP="000A1BE5">
      <w:pPr>
        <w:pStyle w:val="ListParagraph"/>
        <w:spacing w:after="0" w:line="240" w:lineRule="auto"/>
        <w:ind w:left="426"/>
        <w:rPr>
          <w:rFonts w:ascii="Calibri" w:hAnsi="Calibri" w:cs="Calibri"/>
        </w:rPr>
      </w:pPr>
    </w:p>
    <w:p w:rsidR="00305BE0" w:rsidRPr="000A1BE5" w:rsidRDefault="00305BE0" w:rsidP="000A1BE5">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The importance of the other key Convention on land use – UNCCD – has been fully accepted and we have made an alliance to work together on the Bonn Challenge to help restore 150 </w:t>
      </w:r>
      <w:r w:rsidR="00A3011A">
        <w:rPr>
          <w:rFonts w:ascii="Calibri" w:hAnsi="Calibri" w:cs="Calibri"/>
        </w:rPr>
        <w:t>million hectares</w:t>
      </w:r>
      <w:r w:rsidRPr="000A1BE5">
        <w:rPr>
          <w:rFonts w:ascii="Calibri" w:hAnsi="Calibri" w:cs="Calibri"/>
        </w:rPr>
        <w:t xml:space="preserve"> by collaboration to achieve wetland and dryland restoration.</w:t>
      </w:r>
      <w:r w:rsidR="000A1BE5" w:rsidRPr="000A1BE5">
        <w:rPr>
          <w:rFonts w:ascii="Calibri" w:hAnsi="Calibri" w:cs="Calibri"/>
        </w:rPr>
        <w:t xml:space="preserve"> </w:t>
      </w:r>
    </w:p>
    <w:p w:rsidR="00C376C3" w:rsidRPr="000A1BE5" w:rsidRDefault="00C376C3" w:rsidP="000A1BE5">
      <w:pPr>
        <w:pStyle w:val="ListParagraph"/>
        <w:spacing w:after="0" w:line="240" w:lineRule="auto"/>
        <w:ind w:left="426"/>
        <w:rPr>
          <w:rFonts w:ascii="Calibri" w:hAnsi="Calibri" w:cs="Calibri"/>
        </w:rPr>
      </w:pPr>
    </w:p>
    <w:p w:rsidR="00C376C3" w:rsidRDefault="00C376C3" w:rsidP="00D30D6B">
      <w:pPr>
        <w:pStyle w:val="ListParagraph"/>
        <w:numPr>
          <w:ilvl w:val="0"/>
          <w:numId w:val="17"/>
        </w:numPr>
        <w:spacing w:after="0" w:line="240" w:lineRule="auto"/>
        <w:ind w:left="426" w:hanging="426"/>
        <w:rPr>
          <w:rFonts w:ascii="Calibri" w:hAnsi="Calibri" w:cs="Calibri"/>
        </w:rPr>
      </w:pPr>
      <w:r w:rsidRPr="000A1BE5">
        <w:rPr>
          <w:rFonts w:ascii="Calibri" w:hAnsi="Calibri" w:cs="Calibri"/>
        </w:rPr>
        <w:t xml:space="preserve">The </w:t>
      </w:r>
      <w:r w:rsidR="00305BE0" w:rsidRPr="000A1BE5">
        <w:rPr>
          <w:rFonts w:ascii="Calibri" w:hAnsi="Calibri" w:cs="Calibri"/>
        </w:rPr>
        <w:t xml:space="preserve">SG and </w:t>
      </w:r>
      <w:r w:rsidRPr="000A1BE5">
        <w:rPr>
          <w:rFonts w:ascii="Calibri" w:hAnsi="Calibri" w:cs="Calibri"/>
        </w:rPr>
        <w:t xml:space="preserve">Secretariat </w:t>
      </w:r>
      <w:r w:rsidR="00305BE0" w:rsidRPr="000A1BE5">
        <w:rPr>
          <w:rFonts w:ascii="Calibri" w:hAnsi="Calibri" w:cs="Calibri"/>
        </w:rPr>
        <w:t>are always</w:t>
      </w:r>
      <w:r w:rsidRPr="000A1BE5">
        <w:rPr>
          <w:rFonts w:ascii="Calibri" w:hAnsi="Calibri" w:cs="Calibri"/>
        </w:rPr>
        <w:t xml:space="preserve"> work</w:t>
      </w:r>
      <w:r w:rsidR="00305BE0" w:rsidRPr="000A1BE5">
        <w:rPr>
          <w:rFonts w:ascii="Calibri" w:hAnsi="Calibri" w:cs="Calibri"/>
        </w:rPr>
        <w:t xml:space="preserve">ing </w:t>
      </w:r>
      <w:r w:rsidRPr="000A1BE5">
        <w:rPr>
          <w:rFonts w:ascii="Calibri" w:hAnsi="Calibri" w:cs="Calibri"/>
        </w:rPr>
        <w:t xml:space="preserve">to strengthen collaboration with the </w:t>
      </w:r>
      <w:r w:rsidR="00305BE0" w:rsidRPr="000A1BE5">
        <w:rPr>
          <w:rFonts w:ascii="Calibri" w:hAnsi="Calibri" w:cs="Calibri"/>
        </w:rPr>
        <w:t>key actors in funding land use change and in sustainable development</w:t>
      </w:r>
      <w:r w:rsidR="00A3011A">
        <w:rPr>
          <w:rFonts w:ascii="Calibri" w:hAnsi="Calibri" w:cs="Calibri"/>
        </w:rPr>
        <w:t>,</w:t>
      </w:r>
      <w:r w:rsidR="00305BE0" w:rsidRPr="000A1BE5">
        <w:rPr>
          <w:rFonts w:ascii="Calibri" w:hAnsi="Calibri" w:cs="Calibri"/>
        </w:rPr>
        <w:t xml:space="preserve"> and have held </w:t>
      </w:r>
      <w:r w:rsidR="0020491E" w:rsidRPr="000A1BE5">
        <w:rPr>
          <w:rFonts w:ascii="Calibri" w:hAnsi="Calibri" w:cs="Calibri"/>
        </w:rPr>
        <w:t xml:space="preserve">informal and set </w:t>
      </w:r>
      <w:r w:rsidR="00305BE0" w:rsidRPr="000A1BE5">
        <w:rPr>
          <w:rFonts w:ascii="Calibri" w:hAnsi="Calibri" w:cs="Calibri"/>
        </w:rPr>
        <w:t xml:space="preserve">meetings to plan concrete actions to benefit wetlands </w:t>
      </w:r>
      <w:r w:rsidR="0020491E" w:rsidRPr="000A1BE5">
        <w:rPr>
          <w:rFonts w:ascii="Calibri" w:hAnsi="Calibri" w:cs="Calibri"/>
        </w:rPr>
        <w:t xml:space="preserve">with </w:t>
      </w:r>
      <w:r w:rsidR="00A3011A">
        <w:rPr>
          <w:rFonts w:ascii="Calibri" w:hAnsi="Calibri" w:cs="Calibri"/>
        </w:rPr>
        <w:t xml:space="preserve">the </w:t>
      </w:r>
      <w:r w:rsidRPr="000A1BE5">
        <w:rPr>
          <w:rFonts w:ascii="Calibri" w:hAnsi="Calibri" w:cs="Calibri"/>
        </w:rPr>
        <w:t xml:space="preserve">World Bank, </w:t>
      </w:r>
      <w:r w:rsidR="0020491E" w:rsidRPr="000A1BE5">
        <w:rPr>
          <w:rFonts w:ascii="Calibri" w:hAnsi="Calibri" w:cs="Calibri"/>
        </w:rPr>
        <w:t xml:space="preserve">Conservation International, The Nature Conservancy, </w:t>
      </w:r>
      <w:r w:rsidRPr="000A1BE5">
        <w:rPr>
          <w:rFonts w:ascii="Calibri" w:hAnsi="Calibri" w:cs="Calibri"/>
        </w:rPr>
        <w:t>WHO, WMO</w:t>
      </w:r>
      <w:r w:rsidR="0020491E" w:rsidRPr="000A1BE5">
        <w:rPr>
          <w:rFonts w:ascii="Calibri" w:hAnsi="Calibri" w:cs="Calibri"/>
        </w:rPr>
        <w:t>,</w:t>
      </w:r>
      <w:r w:rsidR="000A1BE5" w:rsidRPr="000A1BE5">
        <w:rPr>
          <w:rFonts w:ascii="Calibri" w:hAnsi="Calibri" w:cs="Calibri"/>
        </w:rPr>
        <w:t xml:space="preserve"> </w:t>
      </w:r>
      <w:r w:rsidR="0020491E" w:rsidRPr="000A1BE5">
        <w:rPr>
          <w:rFonts w:ascii="Calibri" w:hAnsi="Calibri" w:cs="Calibri"/>
        </w:rPr>
        <w:t xml:space="preserve">GEF, IFC, WRI, WWT, RARE, Wildlife Conservation Society </w:t>
      </w:r>
      <w:r w:rsidRPr="000A1BE5">
        <w:rPr>
          <w:rFonts w:ascii="Calibri" w:hAnsi="Calibri" w:cs="Calibri"/>
        </w:rPr>
        <w:t xml:space="preserve">and others. </w:t>
      </w:r>
      <w:r w:rsidR="0020491E" w:rsidRPr="000A1BE5">
        <w:rPr>
          <w:rFonts w:ascii="Calibri" w:hAnsi="Calibri" w:cs="Calibri"/>
        </w:rPr>
        <w:t xml:space="preserve">In addition, we held a key meeting in London to bring together our IOPs and a range of other organizations such as Global Water Partnership, </w:t>
      </w:r>
      <w:r w:rsidR="003F3B33" w:rsidRPr="000A1BE5">
        <w:rPr>
          <w:rFonts w:ascii="Calibri" w:hAnsi="Calibri" w:cs="Calibri"/>
        </w:rPr>
        <w:t xml:space="preserve">Wetlands International, </w:t>
      </w:r>
      <w:r w:rsidR="0020491E" w:rsidRPr="000A1BE5">
        <w:rPr>
          <w:rFonts w:ascii="Calibri" w:hAnsi="Calibri" w:cs="Calibri"/>
        </w:rPr>
        <w:t xml:space="preserve">WBCSD, </w:t>
      </w:r>
      <w:r w:rsidR="003F3B33" w:rsidRPr="000A1BE5">
        <w:rPr>
          <w:rFonts w:ascii="Calibri" w:hAnsi="Calibri" w:cs="Calibri"/>
        </w:rPr>
        <w:t xml:space="preserve">IUCN, </w:t>
      </w:r>
      <w:r w:rsidR="0020491E" w:rsidRPr="000A1BE5">
        <w:rPr>
          <w:rFonts w:ascii="Calibri" w:hAnsi="Calibri" w:cs="Calibri"/>
        </w:rPr>
        <w:t>UNEP, UNESCO</w:t>
      </w:r>
      <w:r w:rsidR="003F3B33" w:rsidRPr="000A1BE5">
        <w:rPr>
          <w:rFonts w:ascii="Calibri" w:hAnsi="Calibri" w:cs="Calibri"/>
        </w:rPr>
        <w:t>, UNECE</w:t>
      </w:r>
      <w:r w:rsidR="0020491E" w:rsidRPr="000A1BE5">
        <w:rPr>
          <w:rFonts w:ascii="Calibri" w:hAnsi="Calibri" w:cs="Calibri"/>
        </w:rPr>
        <w:t xml:space="preserve"> to form new partnerships in communications </w:t>
      </w:r>
      <w:r w:rsidR="003F3B33" w:rsidRPr="000A1BE5">
        <w:rPr>
          <w:rFonts w:ascii="Calibri" w:hAnsi="Calibri" w:cs="Calibri"/>
        </w:rPr>
        <w:t>and joint actions for wetlands.</w:t>
      </w:r>
    </w:p>
    <w:p w:rsidR="004C3AD5" w:rsidRPr="004C3AD5" w:rsidRDefault="004C3AD5" w:rsidP="004C3AD5">
      <w:pPr>
        <w:pStyle w:val="ListParagraph"/>
        <w:rPr>
          <w:rFonts w:ascii="Calibri" w:hAnsi="Calibri" w:cs="Calibri"/>
        </w:rPr>
      </w:pPr>
    </w:p>
    <w:p w:rsidR="004C3AD5" w:rsidRDefault="004C3AD5" w:rsidP="00D30D6B">
      <w:pPr>
        <w:pStyle w:val="ListParagraph"/>
        <w:numPr>
          <w:ilvl w:val="0"/>
          <w:numId w:val="17"/>
        </w:numPr>
        <w:spacing w:after="0" w:line="240" w:lineRule="auto"/>
        <w:ind w:left="426" w:hanging="426"/>
        <w:rPr>
          <w:rFonts w:ascii="Calibri" w:hAnsi="Calibri" w:cs="Calibri"/>
        </w:rPr>
        <w:sectPr w:rsidR="004C3AD5" w:rsidSect="000A1BE5">
          <w:footerReference w:type="default" r:id="rId8"/>
          <w:pgSz w:w="11906" w:h="16838"/>
          <w:pgMar w:top="1440" w:right="1440" w:bottom="1440" w:left="1440" w:header="708" w:footer="708" w:gutter="0"/>
          <w:cols w:space="708"/>
          <w:titlePg/>
          <w:docGrid w:linePitch="360"/>
        </w:sectPr>
      </w:pPr>
    </w:p>
    <w:p w:rsidR="004C3AD5" w:rsidRPr="004C3AD5" w:rsidRDefault="004C3AD5" w:rsidP="004C3AD5">
      <w:pPr>
        <w:spacing w:after="0" w:line="240" w:lineRule="auto"/>
        <w:rPr>
          <w:rFonts w:cstheme="minorHAnsi"/>
          <w:b/>
          <w:sz w:val="24"/>
          <w:szCs w:val="24"/>
        </w:rPr>
      </w:pPr>
      <w:r w:rsidRPr="004C3AD5">
        <w:rPr>
          <w:rFonts w:cstheme="minorHAnsi"/>
          <w:b/>
          <w:sz w:val="24"/>
          <w:szCs w:val="24"/>
        </w:rPr>
        <w:t>Annex I</w:t>
      </w:r>
    </w:p>
    <w:p w:rsidR="004C3AD5" w:rsidRDefault="004C3AD5" w:rsidP="004C3AD5">
      <w:pPr>
        <w:spacing w:after="0" w:line="240" w:lineRule="auto"/>
        <w:rPr>
          <w:rFonts w:cstheme="minorHAnsi"/>
          <w:b/>
          <w:sz w:val="24"/>
          <w:szCs w:val="24"/>
        </w:rPr>
      </w:pPr>
    </w:p>
    <w:p w:rsidR="004C3AD5" w:rsidRPr="004C3AD5" w:rsidRDefault="004C3AD5" w:rsidP="004C3AD5">
      <w:pPr>
        <w:spacing w:after="0" w:line="240" w:lineRule="auto"/>
        <w:rPr>
          <w:rFonts w:cstheme="minorHAnsi"/>
          <w:b/>
          <w:sz w:val="24"/>
          <w:szCs w:val="24"/>
        </w:rPr>
      </w:pPr>
      <w:r w:rsidRPr="004C3AD5">
        <w:rPr>
          <w:rFonts w:cstheme="minorHAnsi"/>
          <w:b/>
          <w:sz w:val="24"/>
          <w:szCs w:val="24"/>
        </w:rPr>
        <w:t>Ramsar Secretariat Workplan 2015</w:t>
      </w:r>
    </w:p>
    <w:p w:rsidR="004C3AD5" w:rsidRPr="004C3AD5" w:rsidRDefault="004C3AD5" w:rsidP="004C3AD5">
      <w:pPr>
        <w:spacing w:after="0" w:line="240" w:lineRule="auto"/>
        <w:rPr>
          <w:rFonts w:cstheme="minorHAnsi"/>
          <w:sz w:val="24"/>
          <w:szCs w:val="24"/>
        </w:rPr>
      </w:pP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80"/>
      </w:tblPr>
      <w:tblGrid>
        <w:gridCol w:w="3559"/>
        <w:gridCol w:w="2693"/>
        <w:gridCol w:w="2835"/>
        <w:gridCol w:w="2694"/>
        <w:gridCol w:w="1701"/>
      </w:tblGrid>
      <w:tr w:rsidR="004C3AD5" w:rsidRPr="00363AAB" w:rsidTr="004C3AD5">
        <w:trPr>
          <w:cantSplit/>
          <w:tblHeader/>
        </w:trPr>
        <w:tc>
          <w:tcPr>
            <w:tcW w:w="3559" w:type="dxa"/>
            <w:shd w:val="clear" w:color="auto" w:fill="auto"/>
            <w:hideMark/>
          </w:tcPr>
          <w:p w:rsidR="004C3AD5" w:rsidRPr="00363AAB" w:rsidRDefault="004C3AD5" w:rsidP="004C3AD5">
            <w:pPr>
              <w:spacing w:after="0" w:line="240" w:lineRule="auto"/>
              <w:jc w:val="center"/>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Strategy/Activities</w:t>
            </w:r>
          </w:p>
        </w:tc>
        <w:tc>
          <w:tcPr>
            <w:tcW w:w="2693" w:type="dxa"/>
            <w:shd w:val="clear" w:color="auto" w:fill="auto"/>
            <w:hideMark/>
          </w:tcPr>
          <w:p w:rsidR="004C3AD5" w:rsidRPr="00363AAB" w:rsidRDefault="004C3AD5" w:rsidP="004C3AD5">
            <w:pPr>
              <w:spacing w:after="0" w:line="240" w:lineRule="auto"/>
              <w:jc w:val="center"/>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KRAs</w:t>
            </w:r>
          </w:p>
        </w:tc>
        <w:tc>
          <w:tcPr>
            <w:tcW w:w="2835" w:type="dxa"/>
            <w:shd w:val="clear" w:color="auto" w:fill="auto"/>
            <w:hideMark/>
          </w:tcPr>
          <w:p w:rsidR="004C3AD5" w:rsidRPr="00363AAB" w:rsidRDefault="004C3AD5" w:rsidP="004C3AD5">
            <w:pPr>
              <w:spacing w:after="0" w:line="240" w:lineRule="auto"/>
              <w:jc w:val="center"/>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Activity(ies)</w:t>
            </w:r>
          </w:p>
        </w:tc>
        <w:tc>
          <w:tcPr>
            <w:tcW w:w="2694" w:type="dxa"/>
          </w:tcPr>
          <w:p w:rsidR="004C3AD5" w:rsidRPr="00363AAB" w:rsidRDefault="004C3AD5" w:rsidP="004C3AD5">
            <w:pPr>
              <w:spacing w:after="0" w:line="240" w:lineRule="auto"/>
              <w:jc w:val="center"/>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Success indicator and/or benefit to Convention</w:t>
            </w:r>
          </w:p>
        </w:tc>
        <w:tc>
          <w:tcPr>
            <w:tcW w:w="1701" w:type="dxa"/>
            <w:shd w:val="clear" w:color="auto" w:fill="auto"/>
            <w:hideMark/>
          </w:tcPr>
          <w:p w:rsidR="004C3AD5" w:rsidRPr="00363AAB" w:rsidRDefault="004C3AD5" w:rsidP="004C3AD5">
            <w:pPr>
              <w:spacing w:after="0" w:line="240" w:lineRule="auto"/>
              <w:jc w:val="center"/>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Team Leader</w:t>
            </w:r>
            <w:r w:rsidRPr="00D1698D">
              <w:rPr>
                <w:rFonts w:ascii="Garamond" w:eastAsia="Times New Roman" w:hAnsi="Garamond" w:cs="Times New Roman"/>
                <w:b/>
                <w:bCs/>
                <w:sz w:val="18"/>
                <w:szCs w:val="18"/>
                <w:lang w:val="en-US"/>
              </w:rPr>
              <w:t>(s)</w:t>
            </w:r>
          </w:p>
        </w:tc>
      </w:tr>
      <w:tr w:rsidR="004C3AD5" w:rsidRPr="00363AAB" w:rsidTr="004C3AD5">
        <w:trPr>
          <w:cantSplit/>
        </w:trPr>
        <w:tc>
          <w:tcPr>
            <w:tcW w:w="13482" w:type="dxa"/>
            <w:gridSpan w:val="5"/>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4C4004">
              <w:rPr>
                <w:rFonts w:ascii="Garamond" w:eastAsia="Times New Roman" w:hAnsi="Garamond" w:cs="Times New Roman"/>
                <w:b/>
                <w:bCs/>
                <w:sz w:val="18"/>
                <w:szCs w:val="18"/>
                <w:shd w:val="clear" w:color="auto" w:fill="D9D9D9" w:themeFill="background1" w:themeFillShade="D9"/>
                <w:lang w:val="en-US"/>
              </w:rPr>
              <w:t xml:space="preserve">STRATEGY 1.10 Private sector </w:t>
            </w:r>
            <w:r w:rsidRPr="004C4004">
              <w:rPr>
                <w:rFonts w:ascii="Garamond" w:eastAsia="Times New Roman" w:hAnsi="Garamond" w:cs="Times New Roman"/>
                <w:i/>
                <w:iCs/>
                <w:sz w:val="18"/>
                <w:szCs w:val="18"/>
                <w:shd w:val="clear" w:color="auto" w:fill="D9D9D9" w:themeFill="background1" w:themeFillShade="D9"/>
                <w:lang w:val="en-US"/>
              </w:rPr>
              <w:t>Promote the involvement of the private sector in the conservation and wise use of wetlands. (CPs, Secretariat</w:t>
            </w:r>
            <w:r w:rsidRPr="00363AAB">
              <w:rPr>
                <w:rFonts w:ascii="Garamond" w:eastAsia="Times New Roman" w:hAnsi="Garamond" w:cs="Times New Roman"/>
                <w:i/>
                <w:iCs/>
                <w:sz w:val="18"/>
                <w:szCs w:val="18"/>
                <w:lang w:val="en-US"/>
              </w:rPr>
              <w:t>)</w:t>
            </w:r>
          </w:p>
        </w:tc>
      </w:tr>
      <w:tr w:rsidR="004C3AD5" w:rsidRPr="00363AAB" w:rsidTr="004C3AD5">
        <w:trPr>
          <w:cantSplit/>
        </w:trPr>
        <w:tc>
          <w:tcPr>
            <w:tcW w:w="3559" w:type="dxa"/>
            <w:vMerge w:val="restart"/>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1.10.1 Continue existing Partnership between Ramsar and Danone;                                                                       Review the collaboration between Danone/Ramsar/IUCN ; Continue “Biosphere Connections” partnership with Star Alliance</w:t>
            </w:r>
          </w:p>
        </w:tc>
        <w:tc>
          <w:tcPr>
            <w:tcW w:w="2693" w:type="dxa"/>
            <w:vMerge w:val="restart"/>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KRAs: Prepare and implement activities with Danone and enhance the involvement of private partners in wetland conservation &amp; wise use, including with Star Alliance and other partners</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In consultation with Danone, adopt and implement an annual work plan and a budget for 2014</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Annual work plan and budget approved by Steering Committee; work plan and budget fully implemented </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r>
              <w:rPr>
                <w:rFonts w:ascii="Garamond" w:eastAsia="Times New Roman" w:hAnsi="Garamond" w:cs="Times New Roman"/>
                <w:sz w:val="18"/>
                <w:szCs w:val="18"/>
                <w:lang w:val="en-US"/>
              </w:rPr>
              <w:t xml:space="preserve">, </w:t>
            </w:r>
            <w:r w:rsidRPr="00D1698D">
              <w:rPr>
                <w:rFonts w:ascii="Garamond" w:eastAsia="Times New Roman" w:hAnsi="Garamond" w:cs="Times New Roman"/>
                <w:sz w:val="18"/>
                <w:szCs w:val="18"/>
                <w:lang w:val="en-US"/>
              </w:rPr>
              <w:t>Head of Communications</w:t>
            </w:r>
          </w:p>
        </w:tc>
      </w:tr>
      <w:tr w:rsidR="004C3AD5" w:rsidRPr="00363AAB" w:rsidTr="004C3AD5">
        <w:trPr>
          <w:cantSplit/>
        </w:trPr>
        <w:tc>
          <w:tcPr>
            <w:tcW w:w="3559" w:type="dxa"/>
            <w:vMerge/>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vMerge/>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Discuss with Danone and IUCN possible new steps  and take appropriate actions.</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Number of successful projects on carbon offsetting through wetland management, wetland restoration and wetland conservation and wise use.</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r>
              <w:rPr>
                <w:rFonts w:ascii="Garamond" w:eastAsia="Times New Roman" w:hAnsi="Garamond" w:cs="Times New Roman"/>
                <w:sz w:val="18"/>
                <w:szCs w:val="18"/>
                <w:lang w:val="en-US"/>
              </w:rPr>
              <w:t xml:space="preserve">, </w:t>
            </w:r>
            <w:r w:rsidRPr="00D1698D">
              <w:rPr>
                <w:rFonts w:ascii="Garamond" w:eastAsia="Times New Roman" w:hAnsi="Garamond" w:cs="Times New Roman"/>
                <w:sz w:val="18"/>
                <w:szCs w:val="18"/>
                <w:lang w:val="en-US"/>
              </w:rPr>
              <w:t>Head of Communications</w:t>
            </w:r>
          </w:p>
        </w:tc>
      </w:tr>
      <w:tr w:rsidR="004C3AD5" w:rsidRPr="00363AAB" w:rsidTr="004C3AD5">
        <w:trPr>
          <w:cantSplit/>
        </w:trPr>
        <w:tc>
          <w:tcPr>
            <w:tcW w:w="3559" w:type="dxa"/>
            <w:vMerge/>
            <w:tcBorders>
              <w:bottom w:val="single" w:sz="4" w:space="0" w:color="auto"/>
            </w:tcBorders>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vMerge/>
            <w:tcBorders>
              <w:bottom w:val="single" w:sz="4" w:space="0" w:color="auto"/>
            </w:tcBorders>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835"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Implement the agreement with Biosphere Connections; enhance communication through Biosphere Connections.</w:t>
            </w:r>
          </w:p>
        </w:tc>
        <w:tc>
          <w:tcPr>
            <w:tcW w:w="2694" w:type="dxa"/>
            <w:tcBorders>
              <w:bottom w:val="single" w:sz="4" w:space="0" w:color="auto"/>
            </w:tcBorders>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Ramsar experts supported to attend diverse meetings on wetlands. Contributions to the Biosphere Connections e-newsletter ensured, including their travel reports and general Ramsar news.</w:t>
            </w:r>
          </w:p>
        </w:tc>
        <w:tc>
          <w:tcPr>
            <w:tcW w:w="1701"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 xml:space="preserve">Head of Communications; </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1.10.2 In line with Resolution X.12, work with Contracting Parties and Ramsar partners to make good use of the </w:t>
            </w:r>
            <w:r w:rsidRPr="00363AAB">
              <w:rPr>
                <w:rFonts w:ascii="Garamond" w:eastAsia="Times New Roman" w:hAnsi="Garamond" w:cs="Times New Roman"/>
                <w:i/>
                <w:iCs/>
                <w:sz w:val="18"/>
                <w:szCs w:val="18"/>
                <w:lang w:val="en-US"/>
              </w:rPr>
              <w:t>Principles for partnerships between the Ramsar Convention and the business sector</w:t>
            </w:r>
            <w:r w:rsidRPr="00363AAB">
              <w:rPr>
                <w:rFonts w:ascii="Garamond" w:eastAsia="Times New Roman" w:hAnsi="Garamond" w:cs="Times New Roman"/>
                <w:sz w:val="18"/>
                <w:szCs w:val="18"/>
                <w:lang w:val="en-US"/>
              </w:rPr>
              <w:t>, including within the frameworks of existing national, regional, and global initiatives and commitments.</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KRAs: Resolution X.12 principles applied in any developments of business sector relationships</w:t>
            </w:r>
          </w:p>
        </w:tc>
        <w:tc>
          <w:tcPr>
            <w:tcW w:w="2835"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Prepare and apply a strategy for approaching business sector; identify potential partners in the business sector; prepare a due diligence study and make proposal to Standing Committee.</w:t>
            </w:r>
          </w:p>
        </w:tc>
        <w:tc>
          <w:tcPr>
            <w:tcW w:w="2694" w:type="dxa"/>
            <w:tcBorders>
              <w:bottom w:val="single" w:sz="4" w:space="0" w:color="auto"/>
            </w:tcBorders>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Standing Committee (SC) considers and approves new partnerships with business sector</w:t>
            </w:r>
          </w:p>
        </w:tc>
        <w:tc>
          <w:tcPr>
            <w:tcW w:w="1701"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Head, Strategy &amp; Partnerships</w:t>
            </w:r>
          </w:p>
        </w:tc>
      </w:tr>
      <w:tr w:rsidR="004C3AD5" w:rsidRPr="00363AAB" w:rsidTr="004C3AD5">
        <w:trPr>
          <w:cantSplit/>
        </w:trPr>
        <w:tc>
          <w:tcPr>
            <w:tcW w:w="3559" w:type="dxa"/>
            <w:tcBorders>
              <w:top w:val="single" w:sz="4" w:space="0" w:color="auto"/>
              <w:left w:val="nil"/>
              <w:bottom w:val="nil"/>
              <w:right w:val="nil"/>
            </w:tcBorders>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835"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Borders>
              <w:top w:val="single" w:sz="4" w:space="0" w:color="auto"/>
              <w:left w:val="nil"/>
              <w:bottom w:val="nil"/>
              <w:right w:val="nil"/>
            </w:tcBorders>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1701" w:type="dxa"/>
            <w:tcBorders>
              <w:top w:val="single" w:sz="4" w:space="0" w:color="auto"/>
              <w:left w:val="nil"/>
              <w:bottom w:val="nil"/>
              <w:right w:val="nil"/>
            </w:tcBorders>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p>
        </w:tc>
      </w:tr>
      <w:tr w:rsidR="004C3AD5" w:rsidRPr="00363AAB" w:rsidTr="004C3AD5">
        <w:trPr>
          <w:cantSplit/>
        </w:trPr>
        <w:tc>
          <w:tcPr>
            <w:tcW w:w="13482" w:type="dxa"/>
            <w:gridSpan w:val="5"/>
            <w:tcBorders>
              <w:top w:val="nil"/>
            </w:tcBorders>
            <w:shd w:val="clear" w:color="auto" w:fill="D9D9D9" w:themeFill="background1" w:themeFillShade="D9"/>
          </w:tcPr>
          <w:p w:rsidR="004C3AD5"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2.2 Ramsar site information </w:t>
            </w:r>
            <w:r w:rsidRPr="00363AAB">
              <w:rPr>
                <w:rFonts w:ascii="Garamond" w:eastAsia="Times New Roman" w:hAnsi="Garamond" w:cs="Times New Roman"/>
                <w:i/>
                <w:iCs/>
                <w:sz w:val="18"/>
                <w:szCs w:val="18"/>
                <w:lang w:val="en-US"/>
              </w:rPr>
              <w:t>Ensure that the Ramsar Sites Information Service, including the Ramsar Sites Database, is available and enhanced as a tool for guiding the further designation of wetlands for the List of Wetlands of International Importance and for research and assessment, and is effectively managed by the Secretariat. (STRP, Secretariat, IOPs)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2.2.1 Manage and process Ramsar Site designations and updates</w:t>
            </w:r>
          </w:p>
        </w:tc>
        <w:tc>
          <w:tcPr>
            <w:tcW w:w="2693" w:type="dxa"/>
            <w:shd w:val="clear" w:color="000000" w:fill="FFFFFF"/>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All RISs, including RIS updates, received from Contracting Parties fully processed in a timely manner, within four weeks of receipt of each finalized RIS</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Process all RISs re</w:t>
            </w:r>
            <w:r w:rsidRPr="00363AAB">
              <w:rPr>
                <w:rFonts w:ascii="Garamond" w:eastAsia="Times New Roman" w:hAnsi="Garamond" w:cs="Times New Roman"/>
                <w:color w:val="000000"/>
                <w:sz w:val="18"/>
                <w:szCs w:val="18"/>
                <w:lang w:val="en-US"/>
              </w:rPr>
              <w:t>ceived from Parties; deliver certificates, summarize and update Site national and global information</w:t>
            </w:r>
            <w:r w:rsidRPr="00363AAB">
              <w:rPr>
                <w:rFonts w:ascii="Garamond" w:eastAsia="Times New Roman" w:hAnsi="Garamond" w:cs="Times New Roman"/>
                <w:color w:val="DD0806"/>
                <w:sz w:val="18"/>
                <w:szCs w:val="18"/>
                <w:lang w:val="en-US"/>
              </w:rPr>
              <w:t xml:space="preserve">. </w:t>
            </w:r>
            <w:r w:rsidRPr="00363AAB">
              <w:rPr>
                <w:rFonts w:ascii="Garamond" w:eastAsia="Times New Roman" w:hAnsi="Garamond" w:cs="Times New Roman"/>
                <w:sz w:val="18"/>
                <w:szCs w:val="18"/>
                <w:lang w:val="en-US"/>
              </w:rPr>
              <w:t xml:space="preserve">Publicise new </w:t>
            </w:r>
            <w:r>
              <w:rPr>
                <w:rFonts w:ascii="Garamond" w:eastAsia="Times New Roman" w:hAnsi="Garamond" w:cs="Times New Roman"/>
                <w:sz w:val="18"/>
                <w:szCs w:val="18"/>
                <w:lang w:val="en-US"/>
              </w:rPr>
              <w:t xml:space="preserve">site </w:t>
            </w:r>
            <w:r w:rsidRPr="00363AAB">
              <w:rPr>
                <w:rFonts w:ascii="Garamond" w:eastAsia="Times New Roman" w:hAnsi="Garamond" w:cs="Times New Roman"/>
                <w:sz w:val="18"/>
                <w:szCs w:val="18"/>
                <w:lang w:val="en-US"/>
              </w:rPr>
              <w:t>designations</w:t>
            </w:r>
            <w:r>
              <w:rPr>
                <w:rFonts w:ascii="Garamond" w:eastAsia="Times New Roman" w:hAnsi="Garamond" w:cs="Times New Roman"/>
                <w:sz w:val="18"/>
                <w:szCs w:val="18"/>
                <w:lang w:val="en-US"/>
              </w:rPr>
              <w:t xml:space="preserve"> and raise awareness about the location and importance of</w:t>
            </w:r>
            <w:r w:rsidRPr="00363AAB">
              <w:rPr>
                <w:rFonts w:ascii="Garamond" w:eastAsia="Times New Roman" w:hAnsi="Garamond" w:cs="Times New Roman"/>
                <w:sz w:val="18"/>
                <w:szCs w:val="18"/>
                <w:lang w:val="en-US"/>
              </w:rPr>
              <w:t xml:space="preserve"> Ramsar Sites</w:t>
            </w:r>
            <w:r>
              <w:rPr>
                <w:rFonts w:ascii="Garamond" w:eastAsia="Times New Roman" w:hAnsi="Garamond" w:cs="Times New Roman"/>
                <w:sz w:val="18"/>
                <w:szCs w:val="18"/>
                <w:lang w:val="en-US"/>
              </w:rPr>
              <w:t xml:space="preserve"> through fact sheets, video, etc.</w:t>
            </w:r>
            <w:r w:rsidRPr="00363AAB">
              <w:rPr>
                <w:rFonts w:ascii="Garamond" w:eastAsia="Times New Roman" w:hAnsi="Garamond" w:cs="Times New Roman"/>
                <w:sz w:val="18"/>
                <w:szCs w:val="18"/>
                <w:lang w:val="en-US"/>
              </w:rPr>
              <w:t xml:space="preserve"> Encourage wetland inventories and new Ramsar Site designation; assist Parties in completing Ramsar Information Sheets (RIS).</w:t>
            </w:r>
            <w:r w:rsidRPr="00363AAB">
              <w:rPr>
                <w:rFonts w:ascii="Garamond" w:eastAsia="Times New Roman" w:hAnsi="Garamond" w:cs="Times New Roman"/>
                <w:b/>
                <w:bCs/>
                <w:color w:val="800080"/>
                <w:sz w:val="18"/>
                <w:szCs w:val="18"/>
                <w:lang w:val="en-US"/>
              </w:rPr>
              <w:t xml:space="preserve"> </w:t>
            </w:r>
            <w:r w:rsidRPr="00363AAB">
              <w:rPr>
                <w:rFonts w:ascii="Garamond" w:eastAsia="Times New Roman" w:hAnsi="Garamond" w:cs="Times New Roman"/>
                <w:sz w:val="18"/>
                <w:szCs w:val="18"/>
                <w:lang w:val="en-US"/>
              </w:rPr>
              <w:t>Encourage CPs to update their Sites accordingly.</w:t>
            </w:r>
          </w:p>
        </w:tc>
        <w:tc>
          <w:tcPr>
            <w:tcW w:w="2694" w:type="dxa"/>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All RIS duly completed and updated; information on Ramsar Sites summarized and made available; letters and certificates delivered. </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Senior Regional Advisors (SRAs)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2.2.2 Ensure the maintenance and further development of the Ramsar Sites Information Service (RSIS)</w:t>
            </w:r>
          </w:p>
        </w:tc>
        <w:tc>
          <w:tcPr>
            <w:tcW w:w="2693" w:type="dxa"/>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Redevelopment of the RSIS by UNEP/DEWA/GRID under contract to the Secretariat.</w:t>
            </w:r>
          </w:p>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sz w:val="18"/>
                <w:szCs w:val="18"/>
                <w:lang w:val="en-US"/>
              </w:rPr>
              <w:t>Timely maintenance of the</w:t>
            </w:r>
            <w:r>
              <w:rPr>
                <w:rFonts w:ascii="Garamond" w:eastAsia="Times New Roman" w:hAnsi="Garamond" w:cs="Times New Roman"/>
                <w:sz w:val="18"/>
                <w:szCs w:val="18"/>
                <w:lang w:val="en-US"/>
              </w:rPr>
              <w:t xml:space="preserve"> new</w:t>
            </w:r>
            <w:r w:rsidRPr="00363AAB">
              <w:rPr>
                <w:rFonts w:ascii="Garamond" w:eastAsia="Times New Roman" w:hAnsi="Garamond" w:cs="Times New Roman"/>
                <w:sz w:val="18"/>
                <w:szCs w:val="18"/>
                <w:lang w:val="en-US"/>
              </w:rPr>
              <w:t xml:space="preserve"> RSIS to provide support tools for Parties in Ramsar Site designation</w:t>
            </w:r>
            <w:r>
              <w:rPr>
                <w:rFonts w:ascii="Garamond" w:eastAsia="Times New Roman" w:hAnsi="Garamond" w:cs="Times New Roman"/>
                <w:sz w:val="18"/>
                <w:szCs w:val="18"/>
                <w:lang w:val="en-US"/>
              </w:rPr>
              <w:t xml:space="preserve"> and update</w:t>
            </w:r>
            <w:r w:rsidRPr="00363AAB">
              <w:rPr>
                <w:rFonts w:ascii="Garamond" w:eastAsia="Times New Roman" w:hAnsi="Garamond" w:cs="Times New Roman"/>
                <w:sz w:val="18"/>
                <w:szCs w:val="18"/>
                <w:lang w:val="en-US"/>
              </w:rPr>
              <w:t xml:space="preserve">,. </w:t>
            </w:r>
          </w:p>
        </w:tc>
        <w:tc>
          <w:tcPr>
            <w:tcW w:w="2835" w:type="dxa"/>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a</w:t>
            </w:r>
            <w:r w:rsidRPr="00363AAB">
              <w:rPr>
                <w:rFonts w:ascii="Garamond" w:eastAsia="Times New Roman" w:hAnsi="Garamond" w:cs="Times New Roman"/>
                <w:sz w:val="18"/>
                <w:szCs w:val="18"/>
                <w:lang w:val="en-US"/>
              </w:rPr>
              <w:t xml:space="preserve">) </w:t>
            </w:r>
            <w:r>
              <w:rPr>
                <w:rFonts w:ascii="Garamond" w:eastAsia="Times New Roman" w:hAnsi="Garamond" w:cs="Times New Roman"/>
                <w:sz w:val="18"/>
                <w:szCs w:val="18"/>
                <w:lang w:val="en-US"/>
              </w:rPr>
              <w:t>Complete the first phase of the r</w:t>
            </w:r>
            <w:r w:rsidRPr="00363AAB">
              <w:rPr>
                <w:rFonts w:ascii="Garamond" w:eastAsia="Times New Roman" w:hAnsi="Garamond" w:cs="Times New Roman"/>
                <w:sz w:val="18"/>
                <w:szCs w:val="18"/>
                <w:lang w:val="en-US"/>
              </w:rPr>
              <w:t>edevelopment of the RSIS</w:t>
            </w:r>
            <w:r>
              <w:rPr>
                <w:rFonts w:ascii="Garamond" w:eastAsia="Times New Roman" w:hAnsi="Garamond" w:cs="Times New Roman"/>
                <w:sz w:val="18"/>
                <w:szCs w:val="18"/>
                <w:lang w:val="en-US"/>
              </w:rPr>
              <w:t xml:space="preserve"> by UNEP/DEWA/GRID</w:t>
            </w:r>
          </w:p>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b) Negotiate and sign the contract for the maintenance of the RSIS by UNEP/DEWA GRID</w:t>
            </w:r>
          </w:p>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c) Ensure and monitor the implementation of the maintenance contract</w:t>
            </w:r>
          </w:p>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d) Administration of the RSIS at Secretariat level, including user management</w:t>
            </w:r>
          </w:p>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                                              </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New, </w:t>
            </w:r>
            <w:r w:rsidRPr="00224DE2">
              <w:rPr>
                <w:rFonts w:ascii="Garamond" w:eastAsia="Times New Roman" w:hAnsi="Garamond" w:cs="Times New Roman"/>
                <w:sz w:val="18"/>
                <w:szCs w:val="18"/>
                <w:lang w:val="en-US"/>
              </w:rPr>
              <w:t>eff</w:t>
            </w:r>
            <w:r w:rsidRPr="00363AAB">
              <w:rPr>
                <w:rFonts w:ascii="Garamond" w:eastAsia="Times New Roman" w:hAnsi="Garamond" w:cs="Times New Roman"/>
                <w:color w:val="000000"/>
                <w:sz w:val="18"/>
                <w:szCs w:val="18"/>
                <w:lang w:val="en-US"/>
              </w:rPr>
              <w:t>ective and accessible R</w:t>
            </w:r>
            <w:r w:rsidRPr="00363AAB">
              <w:rPr>
                <w:rFonts w:ascii="Garamond" w:eastAsia="Times New Roman" w:hAnsi="Garamond" w:cs="Times New Roman"/>
                <w:sz w:val="18"/>
                <w:szCs w:val="18"/>
                <w:lang w:val="en-US"/>
              </w:rPr>
              <w:t xml:space="preserve">SIS </w:t>
            </w:r>
            <w:r>
              <w:rPr>
                <w:rFonts w:ascii="Garamond" w:eastAsia="Times New Roman" w:hAnsi="Garamond" w:cs="Times New Roman"/>
                <w:sz w:val="18"/>
                <w:szCs w:val="18"/>
                <w:lang w:val="en-US"/>
              </w:rPr>
              <w:t xml:space="preserve">with full functionalities </w:t>
            </w:r>
            <w:r w:rsidRPr="00363AAB">
              <w:rPr>
                <w:rFonts w:ascii="Garamond" w:eastAsia="Times New Roman" w:hAnsi="Garamond" w:cs="Times New Roman"/>
                <w:sz w:val="18"/>
                <w:szCs w:val="18"/>
                <w:lang w:val="en-US"/>
              </w:rPr>
              <w:t xml:space="preserve">in place </w:t>
            </w:r>
            <w:r>
              <w:rPr>
                <w:rFonts w:ascii="Garamond" w:eastAsia="Times New Roman" w:hAnsi="Garamond" w:cs="Times New Roman"/>
                <w:sz w:val="18"/>
                <w:szCs w:val="18"/>
                <w:lang w:val="en-US"/>
              </w:rPr>
              <w:t>and maintained.</w:t>
            </w:r>
            <w:r w:rsidRPr="00363AAB">
              <w:rPr>
                <w:rFonts w:ascii="Garamond" w:eastAsia="Times New Roman" w:hAnsi="Garamond" w:cs="Times New Roman"/>
                <w:sz w:val="18"/>
                <w:szCs w:val="18"/>
                <w:lang w:val="en-US"/>
              </w:rPr>
              <w:t>. Effective and efficient services to Parties dealing with Ramsar Sites; improved worldwide communication on Ramsar Sites. Better understanding of the conservation status of Ramsar Sites and integration of Ramsar Sites into worldwide networks of Protected Areas</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Regional Affairs Officer</w:t>
            </w:r>
            <w:r>
              <w:rPr>
                <w:rFonts w:ascii="Garamond" w:eastAsia="Times New Roman" w:hAnsi="Garamond" w:cs="Times New Roman"/>
                <w:sz w:val="18"/>
                <w:szCs w:val="18"/>
                <w:lang w:val="en-US"/>
              </w:rPr>
              <w:t>,</w:t>
            </w:r>
            <w:r w:rsidRPr="00363AAB">
              <w:rPr>
                <w:rFonts w:ascii="Garamond" w:eastAsia="Times New Roman" w:hAnsi="Garamond" w:cs="Times New Roman"/>
                <w:sz w:val="18"/>
                <w:szCs w:val="18"/>
                <w:lang w:val="en-US"/>
              </w:rPr>
              <w:t xml:space="preserve"> </w:t>
            </w:r>
          </w:p>
        </w:tc>
      </w:tr>
      <w:tr w:rsidR="004C3AD5" w:rsidRPr="00363AAB" w:rsidTr="004C3AD5">
        <w:trPr>
          <w:cantSplit/>
        </w:trPr>
        <w:tc>
          <w:tcPr>
            <w:tcW w:w="13482" w:type="dxa"/>
            <w:gridSpan w:val="5"/>
            <w:tcBorders>
              <w:bottom w:val="single" w:sz="4" w:space="0" w:color="auto"/>
            </w:tcBorders>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STRATEGY 2.6</w:t>
            </w:r>
            <w:r w:rsidRPr="00363AAB">
              <w:rPr>
                <w:rFonts w:ascii="Garamond" w:eastAsia="Times New Roman" w:hAnsi="Garamond" w:cs="Times New Roman"/>
                <w:sz w:val="18"/>
                <w:szCs w:val="18"/>
                <w:lang w:val="en-US"/>
              </w:rPr>
              <w:t xml:space="preserve"> </w:t>
            </w:r>
            <w:r w:rsidRPr="00363AAB">
              <w:rPr>
                <w:rFonts w:ascii="Garamond" w:eastAsia="Times New Roman" w:hAnsi="Garamond" w:cs="Times New Roman"/>
                <w:b/>
                <w:bCs/>
                <w:sz w:val="18"/>
                <w:szCs w:val="18"/>
                <w:lang w:val="en-US"/>
              </w:rPr>
              <w:t xml:space="preserve">Ramsar site status </w:t>
            </w:r>
            <w:r w:rsidRPr="00363AAB">
              <w:rPr>
                <w:rFonts w:ascii="Garamond" w:eastAsia="Times New Roman" w:hAnsi="Garamond" w:cs="Times New Roman"/>
                <w:i/>
                <w:iCs/>
                <w:sz w:val="18"/>
                <w:szCs w:val="18"/>
                <w:lang w:val="en-US"/>
              </w:rPr>
              <w:t>Monitor the condition of Ramsar Sites and address negative changes in their ecological character, notify the Ramsar Secretariat of changes affecting Ramsar Sites, and apply the Montreux Record, if appropriate, and Ramsar Advisory Mission as tools to address problems. (CPs, Secretariat, IOPs)</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2.6.1 Advise Parties on Article 3.2, </w:t>
            </w:r>
            <w:r>
              <w:rPr>
                <w:rFonts w:ascii="Garamond" w:eastAsia="Times New Roman" w:hAnsi="Garamond" w:cs="Times New Roman"/>
                <w:sz w:val="18"/>
                <w:szCs w:val="18"/>
                <w:lang w:val="en-US"/>
              </w:rPr>
              <w:t xml:space="preserve">Article 2.5, </w:t>
            </w:r>
            <w:r w:rsidRPr="00363AAB">
              <w:rPr>
                <w:rFonts w:ascii="Garamond" w:eastAsia="Times New Roman" w:hAnsi="Garamond" w:cs="Times New Roman"/>
                <w:sz w:val="18"/>
                <w:szCs w:val="18"/>
                <w:lang w:val="en-US"/>
              </w:rPr>
              <w:t>Montreux Record and Ramsar Advisory Mission (RAM) issues</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KRAs: </w:t>
            </w:r>
            <w:r w:rsidRPr="00363AAB">
              <w:rPr>
                <w:rFonts w:ascii="Garamond" w:eastAsia="Times New Roman" w:hAnsi="Garamond" w:cs="Times New Roman"/>
                <w:sz w:val="18"/>
                <w:szCs w:val="18"/>
                <w:lang w:val="en-US"/>
              </w:rPr>
              <w:t xml:space="preserve">All Article 3.2 issues raised with the relevant Parties; RAMs </w:t>
            </w:r>
            <w:r>
              <w:rPr>
                <w:rFonts w:ascii="Garamond" w:eastAsia="Times New Roman" w:hAnsi="Garamond" w:cs="Times New Roman"/>
                <w:sz w:val="18"/>
                <w:szCs w:val="18"/>
                <w:lang w:val="en-US"/>
              </w:rPr>
              <w:t xml:space="preserve">funded, </w:t>
            </w:r>
            <w:r w:rsidRPr="00363AAB">
              <w:rPr>
                <w:rFonts w:ascii="Garamond" w:eastAsia="Times New Roman" w:hAnsi="Garamond" w:cs="Times New Roman"/>
                <w:sz w:val="18"/>
                <w:szCs w:val="18"/>
                <w:lang w:val="en-US"/>
              </w:rPr>
              <w:t>prepared and undertaken when requested by Parties</w:t>
            </w:r>
          </w:p>
        </w:tc>
        <w:tc>
          <w:tcPr>
            <w:tcW w:w="2835"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Implement Secretariat's approach  relating to Article 3.2</w:t>
            </w:r>
            <w:r>
              <w:rPr>
                <w:rFonts w:ascii="Garamond" w:eastAsia="Times New Roman" w:hAnsi="Garamond" w:cs="Times New Roman"/>
                <w:sz w:val="18"/>
                <w:szCs w:val="18"/>
                <w:lang w:val="en-US"/>
              </w:rPr>
              <w:t xml:space="preserve">, Article 2.5 </w:t>
            </w:r>
            <w:r w:rsidRPr="00363AAB">
              <w:rPr>
                <w:rFonts w:ascii="Garamond" w:eastAsia="Times New Roman" w:hAnsi="Garamond" w:cs="Times New Roman"/>
                <w:sz w:val="18"/>
                <w:szCs w:val="18"/>
                <w:lang w:val="en-US"/>
              </w:rPr>
              <w:t xml:space="preserve"> and Montreux Record</w:t>
            </w:r>
          </w:p>
        </w:tc>
        <w:tc>
          <w:tcPr>
            <w:tcW w:w="2694" w:type="dxa"/>
            <w:tcBorders>
              <w:bottom w:val="single" w:sz="4" w:space="0" w:color="auto"/>
            </w:tcBorders>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Reports to SC made by Secretariat; Parties are addressing challenges and reporting to Secretariat; threats to wetlands are addressed.</w:t>
            </w:r>
          </w:p>
        </w:tc>
        <w:tc>
          <w:tcPr>
            <w:tcW w:w="1701"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SRAs </w:t>
            </w:r>
          </w:p>
        </w:tc>
      </w:tr>
      <w:tr w:rsidR="004C3AD5" w:rsidRPr="00363AAB" w:rsidTr="004C3AD5">
        <w:trPr>
          <w:cantSplit/>
        </w:trPr>
        <w:tc>
          <w:tcPr>
            <w:tcW w:w="3559" w:type="dxa"/>
            <w:tcBorders>
              <w:top w:val="single" w:sz="4" w:space="0" w:color="auto"/>
              <w:left w:val="nil"/>
              <w:bottom w:val="nil"/>
              <w:right w:val="nil"/>
            </w:tcBorders>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p>
        </w:tc>
        <w:tc>
          <w:tcPr>
            <w:tcW w:w="2835"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Borders>
              <w:top w:val="single" w:sz="4" w:space="0" w:color="auto"/>
              <w:left w:val="nil"/>
              <w:bottom w:val="nil"/>
              <w:right w:val="nil"/>
            </w:tcBorders>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1701"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p>
        </w:tc>
      </w:tr>
      <w:tr w:rsidR="004C3AD5" w:rsidRPr="00363AAB" w:rsidTr="004C3AD5">
        <w:trPr>
          <w:cantSplit/>
        </w:trPr>
        <w:tc>
          <w:tcPr>
            <w:tcW w:w="13482" w:type="dxa"/>
            <w:gridSpan w:val="5"/>
            <w:tcBorders>
              <w:top w:val="nil"/>
            </w:tcBorders>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STRATEGY 3.1 Synergies and partnerships with MEAs and IGOs Work</w:t>
            </w:r>
            <w:r w:rsidRPr="00363AAB">
              <w:rPr>
                <w:rFonts w:ascii="Garamond" w:eastAsia="Times New Roman" w:hAnsi="Garamond" w:cs="Times New Roman"/>
                <w:i/>
                <w:iCs/>
                <w:sz w:val="18"/>
                <w:szCs w:val="18"/>
                <w:lang w:val="en-US"/>
              </w:rPr>
              <w:t xml:space="preserve"> as partners with international and regional multilateral environmental agreements (MEAs) and other intergovernmental agencies (IGOs). (CPs, Secretariat, IOPs, STRP)</w:t>
            </w:r>
          </w:p>
        </w:tc>
      </w:tr>
      <w:tr w:rsidR="004C3AD5" w:rsidRPr="00363AAB" w:rsidTr="004C3AD5">
        <w:trPr>
          <w:cantSplit/>
        </w:trPr>
        <w:tc>
          <w:tcPr>
            <w:tcW w:w="3559" w:type="dxa"/>
            <w:shd w:val="clear" w:color="000000" w:fill="FFFFFF"/>
            <w:hideMark/>
          </w:tcPr>
          <w:p w:rsidR="004C3AD5" w:rsidRPr="000D756B" w:rsidRDefault="004C3AD5" w:rsidP="009E2C8B">
            <w:pPr>
              <w:spacing w:after="0" w:line="240" w:lineRule="auto"/>
              <w:rPr>
                <w:rFonts w:ascii="Garamond" w:eastAsia="Times New Roman" w:hAnsi="Garamond" w:cs="Times New Roman"/>
                <w:bCs/>
                <w:sz w:val="18"/>
                <w:szCs w:val="18"/>
                <w:lang w:val="en-US"/>
              </w:rPr>
            </w:pPr>
            <w:r w:rsidRPr="000D756B">
              <w:rPr>
                <w:rFonts w:ascii="Garamond" w:eastAsia="Times New Roman" w:hAnsi="Garamond" w:cs="Times New Roman"/>
                <w:bCs/>
                <w:sz w:val="18"/>
                <w:szCs w:val="18"/>
                <w:lang w:val="en-US"/>
              </w:rPr>
              <w:t>3.1.1.1mplement Resolutions  XI.1 on Secretariat hosting</w:t>
            </w:r>
          </w:p>
        </w:tc>
        <w:tc>
          <w:tcPr>
            <w:tcW w:w="2693"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Establish an appropriate Working Group representative of Parties to develop strategies that respond to Resolution XI.1</w:t>
            </w:r>
          </w:p>
        </w:tc>
        <w:tc>
          <w:tcPr>
            <w:tcW w:w="2835" w:type="dxa"/>
            <w:shd w:val="clear" w:color="auto" w:fill="auto"/>
            <w:hideMark/>
          </w:tcPr>
          <w:p w:rsidR="004C3AD5" w:rsidRPr="00D1698D" w:rsidRDefault="004C3AD5" w:rsidP="009E2C8B">
            <w:pPr>
              <w:spacing w:after="0" w:line="240" w:lineRule="auto"/>
              <w:rPr>
                <w:rFonts w:ascii="Garamond" w:eastAsia="Times New Roman" w:hAnsi="Garamond" w:cs="Times New Roman"/>
                <w:sz w:val="18"/>
                <w:szCs w:val="18"/>
                <w:lang w:val="en-US"/>
              </w:rPr>
            </w:pPr>
            <w:r w:rsidRPr="00D1698D">
              <w:rPr>
                <w:rFonts w:ascii="Garamond" w:eastAsia="Times New Roman" w:hAnsi="Garamond" w:cs="Times New Roman"/>
                <w:sz w:val="18"/>
                <w:szCs w:val="18"/>
                <w:lang w:val="en-US"/>
              </w:rPr>
              <w:t>Strategies included in Draft Resolution for COP12, for consideration at SC48</w:t>
            </w:r>
          </w:p>
        </w:tc>
        <w:tc>
          <w:tcPr>
            <w:tcW w:w="2694" w:type="dxa"/>
            <w:shd w:val="clear" w:color="auto" w:fill="auto"/>
          </w:tcPr>
          <w:p w:rsidR="004C3AD5" w:rsidRPr="00D1698D"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Resolution adopted at COP12,</w:t>
            </w:r>
            <w:bookmarkStart w:id="0" w:name="_GoBack"/>
            <w:bookmarkEnd w:id="0"/>
            <w:r>
              <w:rPr>
                <w:rFonts w:ascii="Garamond" w:eastAsia="Times New Roman" w:hAnsi="Garamond" w:cs="Times New Roman"/>
                <w:sz w:val="18"/>
                <w:szCs w:val="18"/>
                <w:lang w:val="en-US"/>
              </w:rPr>
              <w:t xml:space="preserve"> and implemented.</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shd w:val="clear" w:color="000000" w:fill="FFFFFF"/>
            <w:hideMark/>
          </w:tcPr>
          <w:p w:rsidR="004C3AD5" w:rsidRPr="000D756B" w:rsidRDefault="004C3AD5" w:rsidP="009E2C8B">
            <w:pPr>
              <w:spacing w:after="0" w:line="240" w:lineRule="auto"/>
              <w:rPr>
                <w:rFonts w:ascii="Garamond" w:eastAsia="Times New Roman" w:hAnsi="Garamond" w:cs="Times New Roman"/>
                <w:bCs/>
                <w:sz w:val="18"/>
                <w:szCs w:val="18"/>
                <w:lang w:val="en-US"/>
              </w:rPr>
            </w:pPr>
            <w:r w:rsidRPr="000D756B">
              <w:rPr>
                <w:rFonts w:ascii="Garamond" w:eastAsia="Times New Roman" w:hAnsi="Garamond" w:cs="Times New Roman"/>
                <w:bCs/>
                <w:sz w:val="18"/>
                <w:szCs w:val="18"/>
                <w:lang w:val="en-US"/>
              </w:rPr>
              <w:t>3.1..2 Implement Resolution XI.6 on Partnerships and synergies with Multilateral Environmental Agreements and other institutions</w:t>
            </w:r>
          </w:p>
        </w:tc>
        <w:tc>
          <w:tcPr>
            <w:tcW w:w="2693"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KRA</w:t>
            </w:r>
            <w:r w:rsidRPr="00363AAB">
              <w:rPr>
                <w:rFonts w:ascii="Garamond" w:eastAsia="Times New Roman" w:hAnsi="Garamond" w:cs="Times New Roman"/>
                <w:sz w:val="18"/>
                <w:szCs w:val="18"/>
                <w:lang w:val="en-US"/>
              </w:rPr>
              <w:t xml:space="preserve">: Implement 5th Joint Work Plan with CBD  and report to SC. </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a) Agree on activities for the implementation  5th JWP and take action jointly with CBD and other MEAs focal points and Ramsar AA                                                                                           b) Assist Contracting Parties in implementing joint actions between CBD and Ramsar Convention</w:t>
            </w:r>
            <w:r>
              <w:rPr>
                <w:rFonts w:ascii="Garamond" w:eastAsia="Times New Roman" w:hAnsi="Garamond" w:cs="Times New Roman"/>
                <w:sz w:val="18"/>
                <w:szCs w:val="18"/>
                <w:lang w:val="en-US"/>
              </w:rPr>
              <w:t xml:space="preserve">; between UNCCD and Ramsar Convention; </w:t>
            </w:r>
            <w:r w:rsidRPr="00363AAB">
              <w:rPr>
                <w:rFonts w:ascii="Garamond" w:eastAsia="Times New Roman" w:hAnsi="Garamond" w:cs="Times New Roman"/>
                <w:sz w:val="18"/>
                <w:szCs w:val="18"/>
                <w:lang w:val="en-US"/>
              </w:rPr>
              <w:t xml:space="preserve">  </w:t>
            </w:r>
            <w:r>
              <w:rPr>
                <w:rFonts w:ascii="Garamond" w:eastAsia="Times New Roman" w:hAnsi="Garamond" w:cs="Times New Roman"/>
                <w:sz w:val="18"/>
                <w:szCs w:val="18"/>
                <w:lang w:val="en-US"/>
              </w:rPr>
              <w:t xml:space="preserve">and between AEWA and Ramsar Convention. </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5th Joint Work Plan fully implemented; Lessons learned from implementation of 5th JWP;</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a) DSG;                              b) SRAs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KRAs</w:t>
            </w:r>
            <w:r w:rsidRPr="00363AAB">
              <w:rPr>
                <w:rFonts w:ascii="Garamond" w:eastAsia="Times New Roman" w:hAnsi="Garamond" w:cs="Times New Roman"/>
                <w:sz w:val="18"/>
                <w:szCs w:val="18"/>
                <w:lang w:val="en-US"/>
              </w:rPr>
              <w:t>: the Secretariat and the Chair of the STRP to continue to engage in the future IPBES process and explore further ways of collaboration as appropriate.</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Participate in IPBES process and provide Ramsar's input</w:t>
            </w:r>
            <w:r>
              <w:rPr>
                <w:rFonts w:ascii="Garamond" w:eastAsia="Times New Roman" w:hAnsi="Garamond" w:cs="Times New Roman"/>
                <w:sz w:val="18"/>
                <w:szCs w:val="18"/>
                <w:lang w:val="en-US"/>
              </w:rPr>
              <w:t xml:space="preserve"> </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D1698D">
              <w:rPr>
                <w:rFonts w:ascii="Garamond" w:eastAsia="Times New Roman" w:hAnsi="Garamond" w:cs="Times New Roman"/>
                <w:sz w:val="18"/>
                <w:szCs w:val="18"/>
                <w:lang w:val="en-US"/>
              </w:rPr>
              <w:t>STRP Chair participates at IPBEs and MEP meetings;</w:t>
            </w:r>
            <w:r>
              <w:rPr>
                <w:rFonts w:ascii="Garamond" w:eastAsia="Times New Roman" w:hAnsi="Garamond" w:cs="Times New Roman"/>
                <w:sz w:val="18"/>
                <w:szCs w:val="18"/>
                <w:lang w:val="en-US"/>
              </w:rPr>
              <w:t xml:space="preserve"> </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 and  STRP Chair</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CMS/AEWA and UNESCO-World Heritage joint work plans reviewed and updated</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Prepare and adopt new activities with CMS Secretariat; AEWA and MAB /UNESCO; </w:t>
            </w:r>
            <w:r>
              <w:rPr>
                <w:rFonts w:ascii="Garamond" w:eastAsia="Times New Roman" w:hAnsi="Garamond" w:cs="Times New Roman"/>
                <w:sz w:val="18"/>
                <w:szCs w:val="18"/>
                <w:lang w:val="en-US"/>
              </w:rPr>
              <w:t xml:space="preserve">and UNCCD; </w:t>
            </w:r>
            <w:r w:rsidRPr="00363AAB">
              <w:rPr>
                <w:rFonts w:ascii="Garamond" w:eastAsia="Times New Roman" w:hAnsi="Garamond" w:cs="Times New Roman"/>
                <w:sz w:val="18"/>
                <w:szCs w:val="18"/>
                <w:lang w:val="en-US"/>
              </w:rPr>
              <w:t>implement agreed activities.</w:t>
            </w:r>
            <w:r>
              <w:rPr>
                <w:rFonts w:ascii="Garamond" w:eastAsia="Times New Roman" w:hAnsi="Garamond" w:cs="Times New Roman"/>
                <w:sz w:val="18"/>
                <w:szCs w:val="18"/>
                <w:lang w:val="en-US"/>
              </w:rPr>
              <w:t xml:space="preserve"> </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 xml:space="preserve"> Joint work plans updated</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a) DSG;                              b) </w:t>
            </w:r>
            <w:r>
              <w:rPr>
                <w:rFonts w:ascii="Garamond" w:eastAsia="Times New Roman" w:hAnsi="Garamond" w:cs="Times New Roman"/>
                <w:sz w:val="18"/>
                <w:szCs w:val="18"/>
                <w:lang w:val="en-US"/>
              </w:rPr>
              <w:t xml:space="preserve"> Head of Strategy and Partnerships?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BLG meetings attended at SG/DSG level; JLG meetings attended as observer (SG/DSG level)</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Share the key decisions of Ramsar COP11 with   BLG members and explore options for collaboration in the implementation of relevant Ramsar Resolutions</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Effective communication of Ramsar’s views on key issues; Ramsar's achievements and future actions are recognized and supported by all Biodiversity-related Conventions.</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SRA level or above represented Convention at key global and regional meetings and identify areas for partnerships</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Discuss and reach an agreement about travel plans; undertake approved missions; provide mission reports and publicize key results.</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Enhanced partnership with other organizations; Conclusions of meetings are available and shared with all staff. Lessons for Ramsar are drawn and used.</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All Memoranda and annexed plans either updated, replaced or annulled</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Implement agreement with IOPs and other partners; discuss and sign new agreements with relevant organizations, including private companies. </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Existing agreements are updated and better functioning; new agreements bring about joint and productive actions. Partners substantially contribute to wetland conservation and wise use.</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Partnership Coordinator</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Meetings prepared in timely manner</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Prepare and approve quarterly work plans, including all meetings organized by Secretariat; handle logistics and make available meeting materials; hold meetings and prepare reports; disseminate reports. </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Lessons drawn from meetings and taken into account in planning and implementing future activities. Ramsar Convention better known and wetland issues better integrated into global debates, and considered as part of national and regional priorities.</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13482" w:type="dxa"/>
            <w:gridSpan w:val="5"/>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3.2 Regional initiatives  </w:t>
            </w:r>
            <w:r w:rsidRPr="00363AAB">
              <w:rPr>
                <w:rFonts w:ascii="Garamond" w:eastAsia="Times New Roman" w:hAnsi="Garamond" w:cs="Times New Roman"/>
                <w:i/>
                <w:iCs/>
                <w:sz w:val="18"/>
                <w:szCs w:val="18"/>
                <w:lang w:val="en-US"/>
              </w:rPr>
              <w:t>Support existing regional arrangements under the Convention and promote additional arrangements. (CPs, Secretariat, IOPs)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3.2 Implement Resolution XI.5 on Regional Initiatives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Manage the core funding support for Regional Initiatives; monitor their implementation in line with Resolution;  Approved funds transferred to regional initiatives; advice on implementation progress and issues provided to Standing Committee</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Provide report on 201</w:t>
            </w:r>
            <w:r>
              <w:rPr>
                <w:rFonts w:ascii="Garamond" w:eastAsia="Times New Roman" w:hAnsi="Garamond" w:cs="Times New Roman"/>
                <w:sz w:val="18"/>
                <w:szCs w:val="18"/>
                <w:lang w:val="en-US"/>
              </w:rPr>
              <w:t>4</w:t>
            </w:r>
            <w:r w:rsidRPr="00363AAB">
              <w:rPr>
                <w:rFonts w:ascii="Garamond" w:eastAsia="Times New Roman" w:hAnsi="Garamond" w:cs="Times New Roman"/>
                <w:sz w:val="18"/>
                <w:szCs w:val="18"/>
                <w:lang w:val="en-US"/>
              </w:rPr>
              <w:t xml:space="preserve"> activities on Regional Initiatives to SC4</w:t>
            </w:r>
            <w:r>
              <w:rPr>
                <w:rFonts w:ascii="Garamond" w:eastAsia="Times New Roman" w:hAnsi="Garamond" w:cs="Times New Roman"/>
                <w:sz w:val="18"/>
                <w:szCs w:val="18"/>
                <w:lang w:val="en-US"/>
              </w:rPr>
              <w:t>8</w:t>
            </w:r>
            <w:r w:rsidRPr="00363AAB">
              <w:rPr>
                <w:rFonts w:ascii="Garamond" w:eastAsia="Times New Roman" w:hAnsi="Garamond" w:cs="Times New Roman"/>
                <w:sz w:val="18"/>
                <w:szCs w:val="18"/>
                <w:lang w:val="en-US"/>
              </w:rPr>
              <w:t>; transfer 201</w:t>
            </w:r>
            <w:r>
              <w:rPr>
                <w:rFonts w:ascii="Garamond" w:eastAsia="Times New Roman" w:hAnsi="Garamond" w:cs="Times New Roman"/>
                <w:sz w:val="18"/>
                <w:szCs w:val="18"/>
                <w:lang w:val="en-US"/>
              </w:rPr>
              <w:t>5</w:t>
            </w:r>
            <w:r w:rsidRPr="00363AAB">
              <w:rPr>
                <w:rFonts w:ascii="Garamond" w:eastAsia="Times New Roman" w:hAnsi="Garamond" w:cs="Times New Roman"/>
                <w:sz w:val="18"/>
                <w:szCs w:val="18"/>
                <w:lang w:val="en-US"/>
              </w:rPr>
              <w:t xml:space="preserve"> fund to Region</w:t>
            </w:r>
            <w:r>
              <w:rPr>
                <w:rFonts w:ascii="Garamond" w:eastAsia="Times New Roman" w:hAnsi="Garamond" w:cs="Times New Roman"/>
                <w:sz w:val="18"/>
                <w:szCs w:val="18"/>
                <w:lang w:val="en-US"/>
              </w:rPr>
              <w:t>al Initiatives in line with SC48</w:t>
            </w:r>
            <w:r w:rsidRPr="00363AAB">
              <w:rPr>
                <w:rFonts w:ascii="Garamond" w:eastAsia="Times New Roman" w:hAnsi="Garamond" w:cs="Times New Roman"/>
                <w:sz w:val="18"/>
                <w:szCs w:val="18"/>
                <w:lang w:val="en-US"/>
              </w:rPr>
              <w:t xml:space="preserve"> decision. Follow up progress.</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SC approves documents submitted by Secretariat; Regional Initiatives substantially contribute to implementation of Convention.</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SA Europe</w:t>
            </w:r>
          </w:p>
        </w:tc>
      </w:tr>
      <w:tr w:rsidR="004C3AD5" w:rsidRPr="00363AAB" w:rsidTr="004C3AD5">
        <w:trPr>
          <w:cantSplit/>
        </w:trPr>
        <w:tc>
          <w:tcPr>
            <w:tcW w:w="13482" w:type="dxa"/>
            <w:gridSpan w:val="5"/>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3.3 International assistance  </w:t>
            </w:r>
            <w:r w:rsidRPr="00363AAB">
              <w:rPr>
                <w:rFonts w:ascii="Garamond" w:eastAsia="Times New Roman" w:hAnsi="Garamond" w:cs="Times New Roman"/>
                <w:i/>
                <w:iCs/>
                <w:sz w:val="18"/>
                <w:szCs w:val="18"/>
                <w:lang w:val="en-US"/>
              </w:rPr>
              <w:t>Promote international assistance to support the conservation and wise use of wetlands, while ensuring that environmental safeguards and assessments are an integral component of all development projects that affect wetlands, including foreign and domestic investments. (CPs, Secretariat, IOPs)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3.3.1 Implement Resolution XI.2, especially through seeking voluntary financial assistance</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Mechanism established for fundraising</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Partnership Coordinator working effectively and voluntary funding becomes substantial.</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 Partnership Coordinator</w:t>
            </w:r>
          </w:p>
        </w:tc>
      </w:tr>
      <w:tr w:rsidR="004C3AD5" w:rsidRPr="00363AAB" w:rsidTr="004C3AD5">
        <w:trPr>
          <w:cantSplit/>
        </w:trPr>
        <w:tc>
          <w:tcPr>
            <w:tcW w:w="13482" w:type="dxa"/>
            <w:gridSpan w:val="5"/>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3.4 Sharing information and expertise  </w:t>
            </w:r>
            <w:r w:rsidRPr="00363AAB">
              <w:rPr>
                <w:rFonts w:ascii="Garamond" w:eastAsia="Times New Roman" w:hAnsi="Garamond" w:cs="Times New Roman"/>
                <w:i/>
                <w:iCs/>
                <w:sz w:val="18"/>
                <w:szCs w:val="18"/>
                <w:lang w:val="en-US"/>
              </w:rPr>
              <w:t>Promote the sharing of expertise and information concerning the conservation and wise use of wetlands. (CPs, Secretariat)</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3.4.1 </w:t>
            </w:r>
            <w:r>
              <w:rPr>
                <w:rFonts w:ascii="Garamond" w:eastAsia="Times New Roman" w:hAnsi="Garamond" w:cs="Times New Roman"/>
                <w:sz w:val="18"/>
                <w:szCs w:val="18"/>
                <w:lang w:val="en-US"/>
              </w:rPr>
              <w:t>Design the new national report format for</w:t>
            </w:r>
            <w:r w:rsidRPr="00363AAB">
              <w:rPr>
                <w:rFonts w:ascii="Garamond" w:eastAsia="Times New Roman" w:hAnsi="Garamond" w:cs="Times New Roman"/>
                <w:sz w:val="18"/>
                <w:szCs w:val="18"/>
                <w:lang w:val="en-US"/>
              </w:rPr>
              <w:t xml:space="preserve"> COP1</w:t>
            </w:r>
            <w:r>
              <w:rPr>
                <w:rFonts w:ascii="Garamond" w:eastAsia="Times New Roman" w:hAnsi="Garamond" w:cs="Times New Roman"/>
                <w:sz w:val="18"/>
                <w:szCs w:val="18"/>
                <w:lang w:val="en-US"/>
              </w:rPr>
              <w:t>3</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KRA:</w:t>
            </w:r>
            <w:r w:rsidRPr="00363AAB">
              <w:rPr>
                <w:rFonts w:ascii="Garamond" w:eastAsia="Times New Roman" w:hAnsi="Garamond" w:cs="Times New Roman"/>
                <w:sz w:val="18"/>
                <w:szCs w:val="18"/>
                <w:lang w:val="en-US"/>
              </w:rPr>
              <w:t xml:space="preserve"> Report on the implementation of the Convention submitted to COP1</w:t>
            </w:r>
            <w:r>
              <w:rPr>
                <w:rFonts w:ascii="Garamond" w:eastAsia="Times New Roman" w:hAnsi="Garamond" w:cs="Times New Roman"/>
                <w:sz w:val="18"/>
                <w:szCs w:val="18"/>
                <w:lang w:val="en-US"/>
              </w:rPr>
              <w:t xml:space="preserve">3. </w:t>
            </w:r>
          </w:p>
        </w:tc>
        <w:tc>
          <w:tcPr>
            <w:tcW w:w="2835" w:type="dxa"/>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Draft COP13 national report format. Explore possibilities for online reporting and identify best approach(s)</w:t>
            </w:r>
          </w:p>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Maintain COP12 National Report database and answer to requests. Analyse data as required</w:t>
            </w:r>
          </w:p>
        </w:tc>
        <w:tc>
          <w:tcPr>
            <w:tcW w:w="2694" w:type="dxa"/>
          </w:tcPr>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1</w:t>
            </w:r>
            <w:r w:rsidRPr="00781917">
              <w:rPr>
                <w:rFonts w:ascii="Garamond" w:eastAsia="Times New Roman" w:hAnsi="Garamond" w:cs="Times New Roman"/>
                <w:sz w:val="18"/>
                <w:szCs w:val="18"/>
                <w:vertAlign w:val="superscript"/>
                <w:lang w:val="en-US"/>
              </w:rPr>
              <w:t>st</w:t>
            </w:r>
            <w:r>
              <w:rPr>
                <w:rFonts w:ascii="Garamond" w:eastAsia="Times New Roman" w:hAnsi="Garamond" w:cs="Times New Roman"/>
                <w:sz w:val="18"/>
                <w:szCs w:val="18"/>
                <w:lang w:val="en-US"/>
              </w:rPr>
              <w:t xml:space="preserve"> draft of COP13 </w:t>
            </w:r>
            <w:r w:rsidRPr="00363AAB">
              <w:rPr>
                <w:rFonts w:ascii="Garamond" w:eastAsia="Times New Roman" w:hAnsi="Garamond" w:cs="Times New Roman"/>
                <w:sz w:val="18"/>
                <w:szCs w:val="18"/>
                <w:lang w:val="en-US"/>
              </w:rPr>
              <w:t>National Report</w:t>
            </w:r>
            <w:r>
              <w:rPr>
                <w:rFonts w:ascii="Garamond" w:eastAsia="Times New Roman" w:hAnsi="Garamond" w:cs="Times New Roman"/>
                <w:sz w:val="18"/>
                <w:szCs w:val="18"/>
                <w:lang w:val="en-US"/>
              </w:rPr>
              <w:t xml:space="preserve"> format available. </w:t>
            </w:r>
          </w:p>
          <w:p w:rsidR="004C3AD5"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Approaches identified for online reporting.</w:t>
            </w:r>
          </w:p>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All requests addressed on COP12 National Report Database and timely analyses</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DSG</w:t>
            </w:r>
            <w:r>
              <w:rPr>
                <w:rFonts w:ascii="Garamond" w:eastAsia="Times New Roman" w:hAnsi="Garamond" w:cs="Times New Roman"/>
                <w:sz w:val="18"/>
                <w:szCs w:val="18"/>
                <w:lang w:val="en-US"/>
              </w:rPr>
              <w:t>,</w:t>
            </w:r>
            <w:r w:rsidRPr="00363AAB">
              <w:rPr>
                <w:rFonts w:ascii="Garamond" w:eastAsia="Times New Roman" w:hAnsi="Garamond" w:cs="Times New Roman"/>
                <w:color w:val="000000"/>
                <w:sz w:val="18"/>
                <w:szCs w:val="18"/>
                <w:lang w:val="en-US"/>
              </w:rPr>
              <w:t xml:space="preserve"> Regional Affairs Officer</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3.4.2 Assist Parties with Convention implementation</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Advice and support on national implementation issues provided, in regional and global contexts, to Parties as requested, including through missions to Parties</w:t>
            </w:r>
          </w:p>
        </w:tc>
        <w:tc>
          <w:tcPr>
            <w:tcW w:w="2835" w:type="dxa"/>
            <w:shd w:val="clear" w:color="000000" w:fill="FFFFFF"/>
            <w:hideMark/>
          </w:tcPr>
          <w:p w:rsidR="004C3AD5"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Provide prompt and supportive responses to Parties' inquiries; take part in national and regional debates; assist Parties in preparing position papers when requested.</w:t>
            </w:r>
          </w:p>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Disseminate training material and info for high level partners (Government and Parliament) and assist CPs to mainstream wetlands issues within national and regional planning processes.</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Number of Contracting Parties express satisfaction regarding the assistance from the Secretariat</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SRAs</w:t>
            </w:r>
          </w:p>
        </w:tc>
      </w:tr>
      <w:tr w:rsidR="004C3AD5" w:rsidRPr="00363AAB" w:rsidTr="004C3AD5">
        <w:trPr>
          <w:cantSplit/>
        </w:trPr>
        <w:tc>
          <w:tcPr>
            <w:tcW w:w="13482" w:type="dxa"/>
            <w:gridSpan w:val="5"/>
            <w:shd w:val="clear" w:color="auto" w:fill="D9D9D9" w:themeFill="background1" w:themeFillShade="D9"/>
          </w:tcPr>
          <w:p w:rsidR="004C3AD5"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4.1 CEPA  </w:t>
            </w:r>
            <w:r w:rsidRPr="00363AAB">
              <w:rPr>
                <w:rFonts w:ascii="Garamond" w:eastAsia="Times New Roman" w:hAnsi="Garamond" w:cs="Times New Roman"/>
                <w:i/>
                <w:iCs/>
                <w:sz w:val="18"/>
                <w:szCs w:val="18"/>
                <w:lang w:val="en-US"/>
              </w:rPr>
              <w:t>Support, and assist in implementing at all levels, where appropriate, the Convention’s Communication, Education, Participation and Awareness Programme (Resolution X.8) for promoting the conservation and wise use of wetlands through communication, education, participation, and awareness (CEPA) and work towards wider awareness of the Convention’s goals, mechanisms, and key findings. (CPs, Secretariat, training centres, IOPs, Advisory Board on Capacity Building)</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4.1.1 Implement the CEPA Programme and further develop a comprehensive plan for CEPA internally, including the activities undertaken with Danone Group and other private sector actors, through the CEPA Oversight Panel</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363AAB">
              <w:rPr>
                <w:rFonts w:ascii="Garamond" w:eastAsia="Times New Roman" w:hAnsi="Garamond" w:cs="Times New Roman"/>
                <w:color w:val="000000"/>
                <w:sz w:val="18"/>
                <w:szCs w:val="18"/>
                <w:lang w:val="en-US"/>
              </w:rPr>
              <w:t>CEPA Programme implemented, with input of the CEPA Oversight Panel, and Secretariat CEPA implementation plan prepared and disseminated</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In consultation with the CEPA Oversight Panel, prepare specific tools and assist Parties in implementation of the CEPA Programme; develop capacity of CEPA focal points.</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Increased capacity of CEPA focal points; increased awareness about wetlands at local, national, regional and global levels. Better integration of wetland issues into national planning and priorities. Better perception of wetland values at global level.</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 xml:space="preserve">Head of Communications </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Support the CEPA Oversight Panel in the drafting of CEPA Programme for 2016 to 2021</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KRA:</w:t>
            </w:r>
            <w:r w:rsidRPr="00363AAB">
              <w:rPr>
                <w:rFonts w:ascii="Garamond" w:eastAsia="Times New Roman" w:hAnsi="Garamond" w:cs="Times New Roman"/>
                <w:color w:val="000000"/>
                <w:sz w:val="18"/>
                <w:szCs w:val="18"/>
                <w:lang w:val="en-US"/>
              </w:rPr>
              <w:t xml:space="preserve"> Finalize draft of CEPA Programme for submission to SC48</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Facilitate panel input and debate and consultation processes for development of the draft CEPA Programme</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Programme agreed by Standing Committee and prepared for adoption at COP12</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DSG; </w:t>
            </w:r>
            <w:r>
              <w:rPr>
                <w:rFonts w:ascii="Garamond" w:eastAsia="Times New Roman" w:hAnsi="Garamond" w:cs="Times New Roman"/>
                <w:color w:val="000000"/>
                <w:sz w:val="18"/>
                <w:szCs w:val="18"/>
                <w:lang w:val="en-US"/>
              </w:rPr>
              <w:t>Head of Communications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Develop Secretariat Communications Strategy</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In consultation with the CEPA Oversight Panel, prepare a Communication Plan for the Secretariat. Commission reviews of Ramsar messaging and visual identity. </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Improved  dissemination of the Convention's mission and messages</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Head of Communications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4.1.2 Draft proposal of structure, format and contents of 5</w:t>
            </w:r>
            <w:r w:rsidRPr="00363AAB">
              <w:rPr>
                <w:rFonts w:ascii="Garamond" w:eastAsia="Times New Roman" w:hAnsi="Garamond" w:cs="Times New Roman"/>
                <w:color w:val="000000"/>
                <w:sz w:val="18"/>
                <w:szCs w:val="18"/>
                <w:vertAlign w:val="superscript"/>
                <w:lang w:val="en-US"/>
              </w:rPr>
              <w:t>th</w:t>
            </w:r>
            <w:r w:rsidRPr="00363AAB">
              <w:rPr>
                <w:rFonts w:ascii="Garamond" w:eastAsia="Times New Roman" w:hAnsi="Garamond" w:cs="Times New Roman"/>
                <w:color w:val="000000"/>
                <w:sz w:val="18"/>
                <w:szCs w:val="18"/>
                <w:lang w:val="en-US"/>
              </w:rPr>
              <w:t xml:space="preserve"> edition of the Ramsar Wise Use Handbooks. Prepare and publish Ramsar Technical Reports (RTRs) and Briefing Notes and other guidance materials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KRA:</w:t>
            </w:r>
            <w:r w:rsidRPr="00363AAB">
              <w:rPr>
                <w:rFonts w:ascii="Garamond" w:eastAsia="Times New Roman" w:hAnsi="Garamond" w:cs="Times New Roman"/>
                <w:color w:val="000000"/>
                <w:sz w:val="18"/>
                <w:szCs w:val="18"/>
                <w:lang w:val="en-US"/>
              </w:rPr>
              <w:t>Plan for 5</w:t>
            </w:r>
            <w:r w:rsidRPr="00363AAB">
              <w:rPr>
                <w:rFonts w:ascii="Garamond" w:eastAsia="Times New Roman" w:hAnsi="Garamond" w:cs="Times New Roman"/>
                <w:color w:val="000000"/>
                <w:sz w:val="18"/>
                <w:szCs w:val="18"/>
                <w:vertAlign w:val="superscript"/>
                <w:lang w:val="en-US"/>
              </w:rPr>
              <w:t>th</w:t>
            </w:r>
            <w:r w:rsidRPr="00363AAB">
              <w:rPr>
                <w:rFonts w:ascii="Garamond" w:eastAsia="Times New Roman" w:hAnsi="Garamond" w:cs="Times New Roman"/>
                <w:color w:val="000000"/>
                <w:sz w:val="18"/>
                <w:szCs w:val="18"/>
                <w:lang w:val="en-US"/>
              </w:rPr>
              <w:t xml:space="preserve"> edition Handbooks completed and approved; RTRs and BNs published in a timely manner</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Finalize Handbooks and approve final documents; produce, publicize and disseminate documents.</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5th edition of Handbooks planned and agreed</w:t>
            </w:r>
            <w:r>
              <w:rPr>
                <w:rFonts w:ascii="Garamond" w:eastAsia="Times New Roman" w:hAnsi="Garamond" w:cs="Times New Roman"/>
                <w:color w:val="000000"/>
                <w:sz w:val="18"/>
                <w:szCs w:val="18"/>
                <w:lang w:val="en-US"/>
              </w:rPr>
              <w:t xml:space="preserve"> (decided that production will take place after COP12)</w:t>
            </w:r>
            <w:r w:rsidRPr="00363AAB">
              <w:rPr>
                <w:rFonts w:ascii="Garamond" w:eastAsia="Times New Roman" w:hAnsi="Garamond" w:cs="Times New Roman"/>
                <w:color w:val="000000"/>
                <w:sz w:val="18"/>
                <w:szCs w:val="18"/>
                <w:lang w:val="en-US"/>
              </w:rPr>
              <w:t xml:space="preserve">; Ramsar Technical Reports and Briefing Notes widely disseminated </w:t>
            </w:r>
            <w:r>
              <w:rPr>
                <w:rFonts w:ascii="Garamond" w:eastAsia="Times New Roman" w:hAnsi="Garamond" w:cs="Times New Roman"/>
                <w:color w:val="000000"/>
                <w:sz w:val="18"/>
                <w:szCs w:val="18"/>
                <w:lang w:val="en-US"/>
              </w:rPr>
              <w:t xml:space="preserve">and preparations for additional Briefing Notes and RTRs planned before the end of the triennium (as part of the implementation of the STRP work plan). </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 xml:space="preserve">DSG, </w:t>
            </w:r>
            <w:r w:rsidRPr="00363AAB">
              <w:rPr>
                <w:rFonts w:ascii="Garamond" w:eastAsia="Times New Roman" w:hAnsi="Garamond" w:cs="Times New Roman"/>
                <w:color w:val="000000"/>
                <w:sz w:val="18"/>
                <w:szCs w:val="18"/>
                <w:lang w:val="en-US"/>
              </w:rPr>
              <w:t>Documentation Officer</w:t>
            </w:r>
          </w:p>
        </w:tc>
      </w:tr>
      <w:tr w:rsidR="004C3AD5" w:rsidRPr="00363AAB" w:rsidTr="004C3AD5">
        <w:trPr>
          <w:cantSplit/>
        </w:trPr>
        <w:tc>
          <w:tcPr>
            <w:tcW w:w="3559"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4.1.3 Fully redevelop the appearance and structure of the Ramsar website</w:t>
            </w:r>
          </w:p>
        </w:tc>
        <w:tc>
          <w:tcPr>
            <w:tcW w:w="2693" w:type="dxa"/>
            <w:shd w:val="clear" w:color="000000" w:fill="FFFFFF"/>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363AAB">
              <w:rPr>
                <w:rFonts w:ascii="Garamond" w:eastAsia="Times New Roman" w:hAnsi="Garamond" w:cs="Times New Roman"/>
                <w:color w:val="000000"/>
                <w:sz w:val="18"/>
                <w:szCs w:val="18"/>
                <w:lang w:val="en-US"/>
              </w:rPr>
              <w:t>New-look Ramsar website launched and fully functional</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Continue cleaning up the new website; use the new site to increase awareness about wetlands through publication of new materials.</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New website fully operational; better public access to wetland-related information</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 xml:space="preserve">Communications </w:t>
            </w:r>
            <w:r w:rsidRPr="00363AAB">
              <w:rPr>
                <w:rFonts w:ascii="Garamond" w:eastAsia="Times New Roman" w:hAnsi="Garamond" w:cs="Times New Roman"/>
                <w:color w:val="000000"/>
                <w:sz w:val="18"/>
                <w:szCs w:val="18"/>
                <w:lang w:val="en-US"/>
              </w:rPr>
              <w:t>Officer</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4.1.4 Communicate ongoing Ramsar information to reach stakeholders.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363AAB">
              <w:rPr>
                <w:rFonts w:ascii="Garamond" w:eastAsia="Times New Roman" w:hAnsi="Garamond" w:cs="Times New Roman"/>
                <w:color w:val="000000"/>
                <w:sz w:val="18"/>
                <w:szCs w:val="18"/>
                <w:lang w:val="en-US"/>
              </w:rPr>
              <w:t>Topical Ramsar-related information provided to all stakeholders</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Provide information, agreed messages and responses to inquiries from various stakeholders through printed materials such as </w:t>
            </w:r>
            <w:r>
              <w:rPr>
                <w:rFonts w:ascii="Garamond" w:eastAsia="Times New Roman" w:hAnsi="Garamond" w:cs="Times New Roman"/>
                <w:color w:val="000000"/>
                <w:sz w:val="18"/>
                <w:szCs w:val="18"/>
                <w:lang w:val="en-US"/>
              </w:rPr>
              <w:t xml:space="preserve">publications, </w:t>
            </w:r>
            <w:r w:rsidRPr="00363AAB">
              <w:rPr>
                <w:rFonts w:ascii="Garamond" w:eastAsia="Times New Roman" w:hAnsi="Garamond" w:cs="Times New Roman"/>
                <w:color w:val="000000"/>
                <w:sz w:val="18"/>
                <w:szCs w:val="18"/>
                <w:lang w:val="en-US"/>
              </w:rPr>
              <w:t xml:space="preserve">leaflets, </w:t>
            </w:r>
            <w:r>
              <w:rPr>
                <w:rFonts w:ascii="Garamond" w:eastAsia="Times New Roman" w:hAnsi="Garamond" w:cs="Times New Roman"/>
                <w:color w:val="000000"/>
                <w:sz w:val="18"/>
                <w:szCs w:val="18"/>
                <w:lang w:val="en-US"/>
              </w:rPr>
              <w:t xml:space="preserve">factsheets, video, photographs, </w:t>
            </w:r>
            <w:r w:rsidRPr="00363AAB">
              <w:rPr>
                <w:rFonts w:ascii="Garamond" w:eastAsia="Times New Roman" w:hAnsi="Garamond" w:cs="Times New Roman"/>
                <w:color w:val="000000"/>
                <w:sz w:val="18"/>
                <w:szCs w:val="18"/>
                <w:lang w:val="en-US"/>
              </w:rPr>
              <w:t>and electronic channels such as website, Forum, Exchange, CEPA lists and social media.</w:t>
            </w:r>
          </w:p>
        </w:tc>
        <w:tc>
          <w:tcPr>
            <w:tcW w:w="2694" w:type="dxa"/>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Increased engagement and capacity of stakeholders</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Head of Communications</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4.1.6 Deliver materials, advice and follow up for WWD 201</w:t>
            </w:r>
            <w:r>
              <w:rPr>
                <w:rFonts w:ascii="Garamond" w:eastAsia="Times New Roman" w:hAnsi="Garamond" w:cs="Times New Roman"/>
                <w:color w:val="000000"/>
                <w:sz w:val="18"/>
                <w:szCs w:val="18"/>
                <w:lang w:val="en-US"/>
              </w:rPr>
              <w:t>5</w:t>
            </w:r>
            <w:r w:rsidRPr="00363AAB">
              <w:rPr>
                <w:rFonts w:ascii="Garamond" w:eastAsia="Times New Roman" w:hAnsi="Garamond" w:cs="Times New Roman"/>
                <w:color w:val="000000"/>
                <w:sz w:val="18"/>
                <w:szCs w:val="18"/>
                <w:lang w:val="en-US"/>
              </w:rPr>
              <w:t xml:space="preserve"> and plan and prepare materials for</w:t>
            </w:r>
            <w:r w:rsidRPr="00363AAB">
              <w:rPr>
                <w:rFonts w:ascii="Garamond" w:eastAsia="Times New Roman" w:hAnsi="Garamond" w:cs="Times New Roman"/>
                <w:b/>
                <w:bCs/>
                <w:color w:val="000000"/>
                <w:sz w:val="18"/>
                <w:szCs w:val="18"/>
                <w:lang w:val="en-US"/>
              </w:rPr>
              <w:t xml:space="preserve"> </w:t>
            </w:r>
            <w:r w:rsidRPr="00363AAB">
              <w:rPr>
                <w:rFonts w:ascii="Garamond" w:eastAsia="Times New Roman" w:hAnsi="Garamond" w:cs="Times New Roman"/>
                <w:color w:val="000000"/>
                <w:sz w:val="18"/>
                <w:szCs w:val="18"/>
                <w:lang w:val="en-US"/>
              </w:rPr>
              <w:t>WWD 201</w:t>
            </w:r>
            <w:r>
              <w:rPr>
                <w:rFonts w:ascii="Garamond" w:eastAsia="Times New Roman" w:hAnsi="Garamond" w:cs="Times New Roman"/>
                <w:color w:val="000000"/>
                <w:sz w:val="18"/>
                <w:szCs w:val="18"/>
                <w:lang w:val="en-US"/>
              </w:rPr>
              <w:t>6</w:t>
            </w:r>
            <w:r w:rsidRPr="00363AAB">
              <w:rPr>
                <w:rFonts w:ascii="Garamond" w:eastAsia="Times New Roman" w:hAnsi="Garamond" w:cs="Times New Roman"/>
                <w:color w:val="000000"/>
                <w:sz w:val="18"/>
                <w:szCs w:val="18"/>
                <w:lang w:val="en-US"/>
              </w:rPr>
              <w:t xml:space="preserve"> </w:t>
            </w:r>
          </w:p>
        </w:tc>
        <w:tc>
          <w:tcPr>
            <w:tcW w:w="2693"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363AAB">
              <w:rPr>
                <w:rFonts w:ascii="Garamond" w:eastAsia="Times New Roman" w:hAnsi="Garamond" w:cs="Times New Roman"/>
                <w:color w:val="000000"/>
                <w:sz w:val="18"/>
                <w:szCs w:val="18"/>
                <w:lang w:val="en-US"/>
              </w:rPr>
              <w:t>WWD2014 remaining materials prepared and dispatched and reporting system put in place.</w:t>
            </w:r>
          </w:p>
        </w:tc>
        <w:tc>
          <w:tcPr>
            <w:tcW w:w="2835"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Final WWD materials produced. All WWD materials made available to all Parties and partners; WWD events take place globally and supported as necessary by Secretariat staff. </w:t>
            </w:r>
          </w:p>
        </w:tc>
        <w:tc>
          <w:tcPr>
            <w:tcW w:w="2694" w:type="dxa"/>
            <w:tcBorders>
              <w:bottom w:val="single" w:sz="4" w:space="0" w:color="auto"/>
            </w:tcBorders>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Increased awareness about wetlands and better access to materials; better implementation of the Convention through integration of wetland issues into national and regional priorities.</w:t>
            </w:r>
          </w:p>
        </w:tc>
        <w:tc>
          <w:tcPr>
            <w:tcW w:w="1701"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Head of Communications</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4.1.7 Monitor implementation of COP decisions on communication </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Facilitate communication between CPs, Ramsar partners and other stakeholders</w:t>
            </w:r>
          </w:p>
        </w:tc>
        <w:tc>
          <w:tcPr>
            <w:tcW w:w="2835"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Effective and continued communication with all Parties, Convention bodies, and partners</w:t>
            </w:r>
          </w:p>
        </w:tc>
        <w:tc>
          <w:tcPr>
            <w:tcW w:w="2694" w:type="dxa"/>
            <w:tcBorders>
              <w:bottom w:val="single" w:sz="4" w:space="0" w:color="auto"/>
            </w:tcBorders>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Better implementation of the Convention; better recognition of wetland values at local, national, regional and global levels. </w:t>
            </w:r>
          </w:p>
        </w:tc>
        <w:tc>
          <w:tcPr>
            <w:tcW w:w="1701"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p>
        </w:tc>
        <w:tc>
          <w:tcPr>
            <w:tcW w:w="2835" w:type="dxa"/>
            <w:tcBorders>
              <w:top w:val="single" w:sz="4" w:space="0" w:color="auto"/>
              <w:left w:val="nil"/>
              <w:bottom w:val="nil"/>
              <w:right w:val="nil"/>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Borders>
              <w:top w:val="single" w:sz="4" w:space="0" w:color="auto"/>
              <w:left w:val="nil"/>
              <w:bottom w:val="nil"/>
              <w:right w:val="nil"/>
            </w:tcBorders>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1701" w:type="dxa"/>
            <w:tcBorders>
              <w:top w:val="single" w:sz="4" w:space="0" w:color="auto"/>
              <w:left w:val="nil"/>
              <w:bottom w:val="nil"/>
              <w:right w:val="nil"/>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r>
      <w:tr w:rsidR="004C3AD5" w:rsidRPr="00363AAB" w:rsidTr="004C3AD5">
        <w:trPr>
          <w:cantSplit/>
        </w:trPr>
        <w:tc>
          <w:tcPr>
            <w:tcW w:w="13482" w:type="dxa"/>
            <w:gridSpan w:val="5"/>
            <w:tcBorders>
              <w:top w:val="nil"/>
            </w:tcBorders>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4.2 Convention financial capacity  </w:t>
            </w:r>
            <w:r w:rsidRPr="00363AAB">
              <w:rPr>
                <w:rFonts w:ascii="Garamond" w:eastAsia="Times New Roman" w:hAnsi="Garamond" w:cs="Times New Roman"/>
                <w:i/>
                <w:iCs/>
                <w:sz w:val="18"/>
                <w:szCs w:val="18"/>
                <w:lang w:val="en-US"/>
              </w:rPr>
              <w:t>Provide the financial resources necessary for the Convention’s governance, mechanisms and programmes to achieve the expectations of the Conference of the Contracting Parties, within the availability of existing resources and by the effective use of such resources; explore and enable options and mechanisms for mobilization of new and additional resources for implementation of the Convention. (CPs, Secretariat)</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4.2.1 Implement Resolution XI..2 on Financial and Budgetary Matters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All requests by COP11 on financial matters addressed</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Prepare technical and financial reports, including major achievements and lessons learned from the execution of financial matters. Implement 201</w:t>
            </w:r>
            <w:r>
              <w:rPr>
                <w:rFonts w:ascii="Garamond" w:eastAsia="Times New Roman" w:hAnsi="Garamond" w:cs="Times New Roman"/>
                <w:sz w:val="18"/>
                <w:szCs w:val="18"/>
                <w:lang w:val="en-US"/>
              </w:rPr>
              <w:t>5</w:t>
            </w:r>
            <w:r w:rsidRPr="00363AAB">
              <w:rPr>
                <w:rFonts w:ascii="Garamond" w:eastAsia="Times New Roman" w:hAnsi="Garamond" w:cs="Times New Roman"/>
                <w:sz w:val="18"/>
                <w:szCs w:val="18"/>
                <w:lang w:val="en-US"/>
              </w:rPr>
              <w:t xml:space="preserve"> programmes and budgets; monitor and administer funded projects. </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Satisfactory reports made to SC on effective financial management, including core budget and  voluntary funding</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Finance Officer; </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Expand partnership and fundraising capacity</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Stronger and effective partnership; increased voluntary funding</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Review partnership arrangements; prepare and implement a fundraising strategy</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Number of effective partnership arrangements; higher level of voluntary funding</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Partnership Coordinator</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Improve the current Small Grants  processes (SGF, WFF, SGA) ; explore alternatives; seek funding for existing SGF portfolio</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New approaches to SGF, WFF and SGA. Clearer understanding on other existing funding mechanisms for wetlands projects</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Draft proposal on a new approach submitted to COP12</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Facilitate countries' access to funding. More efficient Small Grants Fund.</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Partnership Coordinator</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Evaluation and follow up process of WFF projects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363AAB">
              <w:rPr>
                <w:rFonts w:ascii="Garamond" w:eastAsia="Times New Roman" w:hAnsi="Garamond" w:cs="Times New Roman"/>
                <w:color w:val="000000"/>
                <w:sz w:val="18"/>
                <w:szCs w:val="18"/>
                <w:lang w:val="en-US"/>
              </w:rPr>
              <w:t>On time technical and administrative follow up of funded projects</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Preparation of contracts, evaluation of mid-term and final reports. Preparation of closing letters. </w:t>
            </w:r>
          </w:p>
        </w:tc>
        <w:tc>
          <w:tcPr>
            <w:tcW w:w="2694" w:type="dxa"/>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Successful on the ground implementation of the funded project contribution to the implementation of the Convention in Latin America and the Caribbean. </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SRA - Americas</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4.2.2 Make representations to Parties in arrears with annual contributions </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Meetings with missions made</w:t>
            </w:r>
          </w:p>
        </w:tc>
        <w:tc>
          <w:tcPr>
            <w:tcW w:w="2835"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Organize and hold meetings with missions</w:t>
            </w:r>
          </w:p>
        </w:tc>
        <w:tc>
          <w:tcPr>
            <w:tcW w:w="2694" w:type="dxa"/>
            <w:tcBorders>
              <w:bottom w:val="single" w:sz="4" w:space="0" w:color="auto"/>
            </w:tcBorders>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Better understanding of the Convention and better recognition of wetland importance for sustainable development by Ministries of Foreign Affairs</w:t>
            </w:r>
          </w:p>
        </w:tc>
        <w:tc>
          <w:tcPr>
            <w:tcW w:w="1701"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4.2.3 Manage the Convention budget in a timely and efficient manner</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Maintain financial records and make all payments in a timely manner, reporting to Standing Committee Subgroup on Finance</w:t>
            </w:r>
          </w:p>
        </w:tc>
        <w:tc>
          <w:tcPr>
            <w:tcW w:w="2835"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Undertake efficient financial management </w:t>
            </w:r>
          </w:p>
        </w:tc>
        <w:tc>
          <w:tcPr>
            <w:tcW w:w="2694" w:type="dxa"/>
            <w:tcBorders>
              <w:bottom w:val="single" w:sz="4" w:space="0" w:color="auto"/>
            </w:tcBorders>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All financial reports satisfactory and approved by SC4</w:t>
            </w:r>
            <w:r>
              <w:rPr>
                <w:rFonts w:ascii="Garamond" w:eastAsia="Times New Roman" w:hAnsi="Garamond" w:cs="Times New Roman"/>
                <w:sz w:val="18"/>
                <w:szCs w:val="18"/>
                <w:lang w:val="en-US"/>
              </w:rPr>
              <w:t>8</w:t>
            </w:r>
            <w:r w:rsidRPr="00363AAB">
              <w:rPr>
                <w:rFonts w:ascii="Garamond" w:eastAsia="Times New Roman" w:hAnsi="Garamond" w:cs="Times New Roman"/>
                <w:sz w:val="18"/>
                <w:szCs w:val="18"/>
                <w:lang w:val="en-US"/>
              </w:rPr>
              <w:t xml:space="preserve"> </w:t>
            </w:r>
          </w:p>
        </w:tc>
        <w:tc>
          <w:tcPr>
            <w:tcW w:w="1701"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Finance Officer; </w:t>
            </w:r>
          </w:p>
        </w:tc>
      </w:tr>
      <w:tr w:rsidR="004C3AD5" w:rsidRPr="00363AAB" w:rsidTr="004C3AD5">
        <w:trPr>
          <w:cantSplit/>
        </w:trPr>
        <w:tc>
          <w:tcPr>
            <w:tcW w:w="3559" w:type="dxa"/>
            <w:tcBorders>
              <w:top w:val="single" w:sz="4" w:space="0" w:color="auto"/>
              <w:left w:val="nil"/>
              <w:bottom w:val="nil"/>
              <w:right w:val="nil"/>
            </w:tcBorders>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p>
          <w:p w:rsidR="004C3AD5" w:rsidRDefault="004C3AD5" w:rsidP="009E2C8B">
            <w:pPr>
              <w:spacing w:after="0" w:line="240" w:lineRule="auto"/>
              <w:rPr>
                <w:rFonts w:ascii="Garamond" w:eastAsia="Times New Roman" w:hAnsi="Garamond" w:cs="Times New Roman"/>
                <w:sz w:val="18"/>
                <w:szCs w:val="18"/>
                <w:lang w:val="en-US"/>
              </w:rPr>
            </w:pPr>
          </w:p>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p>
        </w:tc>
        <w:tc>
          <w:tcPr>
            <w:tcW w:w="2835" w:type="dxa"/>
            <w:tcBorders>
              <w:top w:val="single" w:sz="4" w:space="0" w:color="auto"/>
              <w:left w:val="nil"/>
              <w:bottom w:val="nil"/>
              <w:right w:val="nil"/>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Borders>
              <w:top w:val="single" w:sz="4" w:space="0" w:color="auto"/>
              <w:left w:val="nil"/>
              <w:bottom w:val="nil"/>
              <w:right w:val="nil"/>
            </w:tcBorders>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1701" w:type="dxa"/>
            <w:tcBorders>
              <w:top w:val="single" w:sz="4" w:space="0" w:color="auto"/>
              <w:left w:val="nil"/>
              <w:bottom w:val="nil"/>
              <w:right w:val="nil"/>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r>
      <w:tr w:rsidR="004C3AD5" w:rsidRPr="00363AAB" w:rsidTr="004C3AD5">
        <w:trPr>
          <w:cantSplit/>
        </w:trPr>
        <w:tc>
          <w:tcPr>
            <w:tcW w:w="13482" w:type="dxa"/>
            <w:gridSpan w:val="5"/>
            <w:tcBorders>
              <w:top w:val="nil"/>
            </w:tcBorders>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b/>
                <w:bCs/>
                <w:sz w:val="18"/>
                <w:szCs w:val="18"/>
                <w:lang w:val="en-US"/>
              </w:rPr>
              <w:t xml:space="preserve">STRATEGY 4.3 Convention bodies’ effectiveness  </w:t>
            </w:r>
            <w:r w:rsidRPr="00363AAB">
              <w:rPr>
                <w:rFonts w:ascii="Garamond" w:eastAsia="Times New Roman" w:hAnsi="Garamond" w:cs="Times New Roman"/>
                <w:i/>
                <w:iCs/>
                <w:sz w:val="18"/>
                <w:szCs w:val="18"/>
                <w:lang w:val="en-US"/>
              </w:rPr>
              <w:t>Ensure that the Conference of the Contracting Parties, Standing Committee, Scientific and Technical Review Panel, and Secretariat are operating at a high level of effectiveness to support the implementation of the Convention. (CPs, Secretariat)</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4.3.1 Organise and hold Standing Committee </w:t>
            </w:r>
            <w:r w:rsidRPr="00363AAB">
              <w:rPr>
                <w:rFonts w:ascii="Garamond" w:eastAsia="Times New Roman" w:hAnsi="Garamond" w:cs="Times New Roman"/>
                <w:b/>
                <w:bCs/>
                <w:color w:val="000000"/>
                <w:sz w:val="18"/>
                <w:szCs w:val="18"/>
                <w:lang w:val="en-US"/>
              </w:rPr>
              <w:t>4</w:t>
            </w:r>
            <w:r>
              <w:rPr>
                <w:rFonts w:ascii="Garamond" w:eastAsia="Times New Roman" w:hAnsi="Garamond" w:cs="Times New Roman"/>
                <w:b/>
                <w:bCs/>
                <w:color w:val="000000"/>
                <w:sz w:val="18"/>
                <w:szCs w:val="18"/>
                <w:lang w:val="en-US"/>
              </w:rPr>
              <w:t>8</w:t>
            </w:r>
            <w:r w:rsidRPr="00363AAB">
              <w:rPr>
                <w:rFonts w:ascii="Garamond" w:eastAsia="Times New Roman" w:hAnsi="Garamond" w:cs="Times New Roman"/>
                <w:b/>
                <w:bCs/>
                <w:color w:val="000000"/>
                <w:sz w:val="18"/>
                <w:szCs w:val="18"/>
                <w:lang w:val="en-US"/>
              </w:rPr>
              <w:t xml:space="preserve">, </w:t>
            </w:r>
            <w:r>
              <w:rPr>
                <w:rFonts w:ascii="Garamond" w:eastAsia="Times New Roman" w:hAnsi="Garamond" w:cs="Times New Roman"/>
                <w:b/>
                <w:bCs/>
                <w:color w:val="000000"/>
                <w:sz w:val="18"/>
                <w:szCs w:val="18"/>
                <w:lang w:val="en-US"/>
              </w:rPr>
              <w:t xml:space="preserve">January </w:t>
            </w:r>
            <w:r w:rsidRPr="00363AAB">
              <w:rPr>
                <w:rFonts w:ascii="Garamond" w:eastAsia="Times New Roman" w:hAnsi="Garamond" w:cs="Times New Roman"/>
                <w:b/>
                <w:bCs/>
                <w:color w:val="000000"/>
                <w:sz w:val="18"/>
                <w:szCs w:val="18"/>
                <w:lang w:val="en-US"/>
              </w:rPr>
              <w:t>201</w:t>
            </w:r>
            <w:r>
              <w:rPr>
                <w:rFonts w:ascii="Garamond" w:eastAsia="Times New Roman" w:hAnsi="Garamond" w:cs="Times New Roman"/>
                <w:b/>
                <w:bCs/>
                <w:color w:val="000000"/>
                <w:sz w:val="18"/>
                <w:szCs w:val="18"/>
                <w:lang w:val="en-US"/>
              </w:rPr>
              <w:t>5</w:t>
            </w:r>
            <w:r w:rsidRPr="00363AAB">
              <w:rPr>
                <w:rFonts w:ascii="Garamond" w:eastAsia="Times New Roman" w:hAnsi="Garamond" w:cs="Times New Roman"/>
                <w:b/>
                <w:bCs/>
                <w:color w:val="000000"/>
                <w:sz w:val="18"/>
                <w:szCs w:val="18"/>
                <w:lang w:val="en-US"/>
              </w:rPr>
              <w:t xml:space="preserve">;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KRA: SC4</w:t>
            </w:r>
            <w:r>
              <w:rPr>
                <w:rFonts w:ascii="Garamond" w:eastAsia="Times New Roman" w:hAnsi="Garamond" w:cs="Times New Roman"/>
                <w:b/>
                <w:bCs/>
                <w:color w:val="000000"/>
                <w:sz w:val="18"/>
                <w:szCs w:val="18"/>
                <w:lang w:val="en-US"/>
              </w:rPr>
              <w:t>8</w:t>
            </w:r>
            <w:r w:rsidRPr="00363AAB">
              <w:rPr>
                <w:rFonts w:ascii="Garamond" w:eastAsia="Times New Roman" w:hAnsi="Garamond" w:cs="Times New Roman"/>
                <w:b/>
                <w:bCs/>
                <w:color w:val="000000"/>
                <w:sz w:val="18"/>
                <w:szCs w:val="18"/>
                <w:lang w:val="en-US"/>
              </w:rPr>
              <w:t xml:space="preserve"> </w:t>
            </w:r>
            <w:r w:rsidRPr="00363AAB">
              <w:rPr>
                <w:rFonts w:ascii="Garamond" w:eastAsia="Times New Roman" w:hAnsi="Garamond" w:cs="Times New Roman"/>
                <w:color w:val="000000"/>
                <w:sz w:val="18"/>
                <w:szCs w:val="18"/>
                <w:lang w:val="en-US"/>
              </w:rPr>
              <w:t xml:space="preserve"> held and outcomes disseminated</w:t>
            </w:r>
            <w:r w:rsidRPr="00363AAB">
              <w:rPr>
                <w:rFonts w:ascii="Garamond" w:eastAsia="Times New Roman" w:hAnsi="Garamond" w:cs="Times New Roman"/>
                <w:b/>
                <w:bCs/>
                <w:color w:val="000000"/>
                <w:sz w:val="18"/>
                <w:szCs w:val="18"/>
                <w:lang w:val="en-US"/>
              </w:rPr>
              <w:t xml:space="preserve">; </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Preparation of logistics; preparation and dissemination of documents;                         </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All logistics well organized; all documents sent to SC by </w:t>
            </w:r>
            <w:r>
              <w:rPr>
                <w:rFonts w:ascii="Garamond" w:eastAsia="Times New Roman" w:hAnsi="Garamond" w:cs="Times New Roman"/>
                <w:b/>
                <w:bCs/>
                <w:color w:val="000000"/>
                <w:sz w:val="18"/>
                <w:szCs w:val="18"/>
                <w:lang w:val="en-US"/>
              </w:rPr>
              <w:t>19 December 2014</w:t>
            </w:r>
            <w:r w:rsidRPr="00363AAB">
              <w:rPr>
                <w:rFonts w:ascii="Garamond" w:eastAsia="Times New Roman" w:hAnsi="Garamond" w:cs="Times New Roman"/>
                <w:b/>
                <w:bCs/>
                <w:color w:val="000000"/>
                <w:sz w:val="18"/>
                <w:szCs w:val="18"/>
                <w:lang w:val="en-US"/>
              </w:rPr>
              <w:t>; SC4</w:t>
            </w:r>
            <w:r>
              <w:rPr>
                <w:rFonts w:ascii="Garamond" w:eastAsia="Times New Roman" w:hAnsi="Garamond" w:cs="Times New Roman"/>
                <w:b/>
                <w:bCs/>
                <w:color w:val="000000"/>
                <w:sz w:val="18"/>
                <w:szCs w:val="18"/>
                <w:lang w:val="en-US"/>
              </w:rPr>
              <w:t>8</w:t>
            </w:r>
            <w:r w:rsidRPr="00363AAB">
              <w:rPr>
                <w:rFonts w:ascii="Garamond" w:eastAsia="Times New Roman" w:hAnsi="Garamond" w:cs="Times New Roman"/>
                <w:color w:val="000000"/>
                <w:sz w:val="18"/>
                <w:szCs w:val="18"/>
                <w:lang w:val="en-US"/>
              </w:rPr>
              <w:t xml:space="preserve"> successfully held; outputs of SC4</w:t>
            </w:r>
            <w:r>
              <w:rPr>
                <w:rFonts w:ascii="Garamond" w:eastAsia="Times New Roman" w:hAnsi="Garamond" w:cs="Times New Roman"/>
                <w:color w:val="000000"/>
                <w:sz w:val="18"/>
                <w:szCs w:val="18"/>
                <w:lang w:val="en-US"/>
              </w:rPr>
              <w:t>8</w:t>
            </w:r>
            <w:r w:rsidRPr="00363AAB">
              <w:rPr>
                <w:rFonts w:ascii="Garamond" w:eastAsia="Times New Roman" w:hAnsi="Garamond" w:cs="Times New Roman"/>
                <w:color w:val="000000"/>
                <w:sz w:val="18"/>
                <w:szCs w:val="18"/>
                <w:lang w:val="en-US"/>
              </w:rPr>
              <w:t xml:space="preserve"> disseminated and follow up actions taken.</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SG                                          </w:t>
            </w:r>
          </w:p>
        </w:tc>
      </w:tr>
      <w:tr w:rsidR="004C3AD5" w:rsidRPr="00363AAB" w:rsidTr="004C3AD5">
        <w:trPr>
          <w:cantSplit/>
        </w:trPr>
        <w:tc>
          <w:tcPr>
            <w:tcW w:w="3559" w:type="dxa"/>
            <w:shd w:val="clear" w:color="auto" w:fill="auto"/>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color w:val="000000"/>
                <w:sz w:val="18"/>
                <w:szCs w:val="18"/>
                <w:lang w:val="en-US"/>
              </w:rPr>
              <w:t>Organise and hold SC49 and 50 around COP12</w:t>
            </w:r>
          </w:p>
        </w:tc>
        <w:tc>
          <w:tcPr>
            <w:tcW w:w="2693" w:type="dxa"/>
            <w:shd w:val="clear" w:color="auto" w:fill="auto"/>
          </w:tcPr>
          <w:p w:rsidR="004C3AD5" w:rsidRPr="00363AAB" w:rsidRDefault="004C3AD5" w:rsidP="009E2C8B">
            <w:pPr>
              <w:spacing w:after="0" w:line="240" w:lineRule="auto"/>
              <w:rPr>
                <w:rFonts w:ascii="Calibri" w:eastAsia="Times New Roman" w:hAnsi="Calibri" w:cs="Times New Roman"/>
                <w:color w:val="000000"/>
                <w:lang w:val="en-US"/>
              </w:rPr>
            </w:pPr>
          </w:p>
        </w:tc>
        <w:tc>
          <w:tcPr>
            <w:tcW w:w="2835" w:type="dxa"/>
            <w:shd w:val="clear" w:color="auto" w:fill="auto"/>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color w:val="000000"/>
                <w:sz w:val="18"/>
                <w:szCs w:val="18"/>
                <w:lang w:val="en-US"/>
              </w:rPr>
              <w:t>Invitations, agenda, preparation of documents, logistics</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color w:val="000000"/>
                <w:sz w:val="18"/>
                <w:szCs w:val="18"/>
                <w:lang w:val="en-US"/>
              </w:rPr>
              <w:t>SC meetings take place with relevant documentation provided</w:t>
            </w:r>
          </w:p>
        </w:tc>
        <w:tc>
          <w:tcPr>
            <w:tcW w:w="1701" w:type="dxa"/>
            <w:shd w:val="clear" w:color="auto" w:fill="auto"/>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color w:val="000000"/>
                <w:sz w:val="18"/>
                <w:szCs w:val="18"/>
                <w:lang w:val="en-US"/>
              </w:rPr>
              <w:t>SG</w:t>
            </w:r>
          </w:p>
        </w:tc>
      </w:tr>
      <w:tr w:rsidR="004C3AD5" w:rsidRPr="009C1988" w:rsidTr="004C3AD5">
        <w:trPr>
          <w:cantSplit/>
        </w:trPr>
        <w:tc>
          <w:tcPr>
            <w:tcW w:w="3559" w:type="dxa"/>
            <w:shd w:val="clear" w:color="auto" w:fill="auto"/>
          </w:tcPr>
          <w:p w:rsidR="004C3AD5"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 xml:space="preserve">Finalize all aspects of COP12 preparations; including documentation and </w:t>
            </w:r>
          </w:p>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color w:val="000000"/>
                <w:sz w:val="18"/>
                <w:szCs w:val="18"/>
                <w:lang w:val="en-US"/>
              </w:rPr>
              <w:t>logistics for COP12 (incl. registration, participation by sponsored participants, Ramsar Awards, communications, …)</w:t>
            </w:r>
          </w:p>
        </w:tc>
        <w:tc>
          <w:tcPr>
            <w:tcW w:w="2693" w:type="dxa"/>
            <w:shd w:val="clear" w:color="auto" w:fill="auto"/>
          </w:tcPr>
          <w:p w:rsidR="004C3AD5" w:rsidRPr="00363AAB" w:rsidRDefault="004C3AD5" w:rsidP="009E2C8B">
            <w:pPr>
              <w:spacing w:after="0" w:line="240" w:lineRule="auto"/>
              <w:rPr>
                <w:rFonts w:ascii="Calibri" w:eastAsia="Times New Roman" w:hAnsi="Calibri" w:cs="Times New Roman"/>
                <w:color w:val="000000"/>
                <w:lang w:val="en-US"/>
              </w:rPr>
            </w:pPr>
          </w:p>
        </w:tc>
        <w:tc>
          <w:tcPr>
            <w:tcW w:w="2835" w:type="dxa"/>
            <w:shd w:val="clear" w:color="auto" w:fill="auto"/>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color w:val="000000"/>
                <w:sz w:val="18"/>
                <w:szCs w:val="18"/>
                <w:lang w:val="en-US"/>
              </w:rPr>
              <w:t>Documents are provided in time; COP12 takes place.</w:t>
            </w:r>
          </w:p>
        </w:tc>
        <w:tc>
          <w:tcPr>
            <w:tcW w:w="1701" w:type="dxa"/>
            <w:shd w:val="clear" w:color="auto" w:fill="auto"/>
          </w:tcPr>
          <w:p w:rsidR="004C3AD5" w:rsidRPr="006C66DE" w:rsidRDefault="004C3AD5" w:rsidP="009E2C8B">
            <w:pPr>
              <w:spacing w:after="0" w:line="240" w:lineRule="auto"/>
              <w:rPr>
                <w:rFonts w:ascii="Garamond" w:eastAsia="Times New Roman" w:hAnsi="Garamond" w:cs="Times New Roman"/>
                <w:sz w:val="18"/>
                <w:szCs w:val="18"/>
                <w:lang w:val="es-MX"/>
              </w:rPr>
            </w:pPr>
            <w:r w:rsidRPr="006C66DE">
              <w:rPr>
                <w:rFonts w:ascii="Garamond" w:eastAsia="Times New Roman" w:hAnsi="Garamond" w:cs="Times New Roman"/>
                <w:color w:val="000000"/>
                <w:sz w:val="18"/>
                <w:szCs w:val="18"/>
                <w:lang w:val="es-MX"/>
              </w:rPr>
              <w:t xml:space="preserve">SG, </w:t>
            </w:r>
            <w:r w:rsidRPr="00D1698D">
              <w:rPr>
                <w:rFonts w:ascii="Garamond" w:eastAsia="Times New Roman" w:hAnsi="Garamond" w:cs="Times New Roman"/>
                <w:color w:val="000000"/>
                <w:sz w:val="18"/>
                <w:szCs w:val="18"/>
                <w:lang w:val="es-MX"/>
              </w:rPr>
              <w:t>COP12 Coordinator</w:t>
            </w:r>
          </w:p>
        </w:tc>
      </w:tr>
      <w:tr w:rsidR="004C3AD5" w:rsidRPr="00363AAB" w:rsidTr="004C3AD5">
        <w:trPr>
          <w:cantSplit/>
        </w:trPr>
        <w:tc>
          <w:tcPr>
            <w:tcW w:w="3559" w:type="dxa"/>
            <w:shd w:val="clear" w:color="auto" w:fill="auto"/>
          </w:tcPr>
          <w:p w:rsidR="004C3AD5"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After COP12, plan for and organize SC51</w:t>
            </w:r>
          </w:p>
        </w:tc>
        <w:tc>
          <w:tcPr>
            <w:tcW w:w="2693" w:type="dxa"/>
            <w:shd w:val="clear" w:color="auto" w:fill="auto"/>
          </w:tcPr>
          <w:p w:rsidR="004C3AD5" w:rsidRPr="00363AAB" w:rsidRDefault="004C3AD5" w:rsidP="009E2C8B">
            <w:pPr>
              <w:spacing w:after="0" w:line="240" w:lineRule="auto"/>
              <w:rPr>
                <w:rFonts w:ascii="Calibri" w:eastAsia="Times New Roman" w:hAnsi="Calibri" w:cs="Times New Roman"/>
                <w:color w:val="000000"/>
                <w:lang w:val="en-US"/>
              </w:rPr>
            </w:pPr>
          </w:p>
        </w:tc>
        <w:tc>
          <w:tcPr>
            <w:tcW w:w="2835" w:type="dxa"/>
            <w:shd w:val="clear" w:color="auto" w:fill="auto"/>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Pr>
          <w:p w:rsidR="004C3AD5"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SC meeting takes place with relevant documentation provided in time</w:t>
            </w:r>
          </w:p>
        </w:tc>
        <w:tc>
          <w:tcPr>
            <w:tcW w:w="1701" w:type="dxa"/>
            <w:shd w:val="clear" w:color="auto" w:fill="auto"/>
          </w:tcPr>
          <w:p w:rsidR="004C3AD5"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SG</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4.3.2 Provide periodic inter</w:t>
            </w:r>
            <w:r>
              <w:rPr>
                <w:rFonts w:ascii="Garamond" w:eastAsia="Times New Roman" w:hAnsi="Garamond" w:cs="Times New Roman"/>
                <w:sz w:val="18"/>
                <w:szCs w:val="18"/>
                <w:lang w:val="en-US"/>
              </w:rPr>
              <w:t>s</w:t>
            </w:r>
            <w:r w:rsidRPr="00363AAB">
              <w:rPr>
                <w:rFonts w:ascii="Garamond" w:eastAsia="Times New Roman" w:hAnsi="Garamond" w:cs="Times New Roman"/>
                <w:sz w:val="18"/>
                <w:szCs w:val="18"/>
                <w:lang w:val="en-US"/>
              </w:rPr>
              <w:t xml:space="preserve">essional briefings to Standing Committee members, as required during the year </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At least two briefings sent to SC</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Send 2 Draft Progress reports to all SC members</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Satisfactory progress made </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shd w:val="clear" w:color="auto" w:fill="auto"/>
            <w:hideMark/>
          </w:tcPr>
          <w:p w:rsidR="004C3AD5" w:rsidRPr="00CC20ED" w:rsidRDefault="004C3AD5" w:rsidP="009E2C8B">
            <w:pPr>
              <w:spacing w:after="0" w:line="240" w:lineRule="auto"/>
              <w:rPr>
                <w:rFonts w:ascii="Garamond" w:eastAsia="Times New Roman" w:hAnsi="Garamond" w:cs="Times New Roman"/>
                <w:color w:val="000000"/>
                <w:sz w:val="18"/>
                <w:szCs w:val="18"/>
                <w:highlight w:val="yellow"/>
                <w:lang w:val="en-US"/>
              </w:rPr>
            </w:pPr>
            <w:r w:rsidRPr="009C1988">
              <w:rPr>
                <w:rFonts w:ascii="Garamond" w:eastAsia="Times New Roman" w:hAnsi="Garamond" w:cs="Times New Roman"/>
                <w:color w:val="000000"/>
                <w:sz w:val="18"/>
                <w:szCs w:val="18"/>
                <w:lang w:val="en-US"/>
              </w:rPr>
              <w:t>4.3.3 Finalize STRP outputs for its highest priorities (as endorsed by SC), prepare STRP participation at COP12 (input to DRs) and follow-up on the post Res. 11.16 DR process, concerning changes to the STRP composition and modus operandi</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9C1988">
              <w:rPr>
                <w:rFonts w:ascii="Garamond" w:eastAsia="Times New Roman" w:hAnsi="Garamond" w:cs="Times New Roman"/>
                <w:color w:val="000000"/>
                <w:sz w:val="18"/>
                <w:szCs w:val="18"/>
                <w:lang w:val="en-US"/>
              </w:rPr>
              <w:t>Outputs for the highest priorities identified by SC46 finalized; STRP input at COP12 provided; follow up to the DR in place</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Publication and dissemination of outputs through the STRP platform and Ramsar website; feedback from STRP regarding participation at COP12 and recommendations; preparation of call for nominations for upcoming STRP</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STRP outputs timely completed and disseminated to Parties</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DSG, Scientific &amp; Technical Support Officer</w:t>
            </w:r>
          </w:p>
        </w:tc>
      </w:tr>
      <w:tr w:rsidR="004C3AD5" w:rsidRPr="00363AAB" w:rsidTr="004C3AD5">
        <w:trPr>
          <w:cantSplit/>
        </w:trPr>
        <w:tc>
          <w:tcPr>
            <w:tcW w:w="3559" w:type="dxa"/>
            <w:shd w:val="clear" w:color="auto" w:fill="auto"/>
            <w:hideMark/>
          </w:tcPr>
          <w:p w:rsidR="004C3AD5" w:rsidRDefault="004C3AD5" w:rsidP="009E2C8B">
            <w:pPr>
              <w:spacing w:after="0" w:line="240" w:lineRule="auto"/>
              <w:rPr>
                <w:rFonts w:ascii="Garamond" w:eastAsia="Times New Roman" w:hAnsi="Garamond" w:cs="Times New Roman"/>
                <w:color w:val="000000"/>
                <w:sz w:val="18"/>
                <w:szCs w:val="18"/>
                <w:lang w:val="en-US"/>
              </w:rPr>
            </w:pPr>
            <w:r w:rsidRPr="009C1988">
              <w:rPr>
                <w:rFonts w:ascii="Garamond" w:eastAsia="Times New Roman" w:hAnsi="Garamond" w:cs="Times New Roman"/>
                <w:color w:val="000000"/>
                <w:sz w:val="18"/>
                <w:szCs w:val="18"/>
                <w:lang w:val="en-US"/>
              </w:rPr>
              <w:t>4.3.4 Maintain an electronic system for communication amongst STRP members &amp; with its National Focal Points</w:t>
            </w:r>
            <w:r>
              <w:rPr>
                <w:rFonts w:ascii="Garamond" w:eastAsia="Times New Roman" w:hAnsi="Garamond" w:cs="Times New Roman"/>
                <w:color w:val="000000"/>
                <w:sz w:val="18"/>
                <w:szCs w:val="18"/>
                <w:lang w:val="en-US"/>
              </w:rPr>
              <w:t xml:space="preserve">. </w:t>
            </w:r>
          </w:p>
          <w:p w:rsidR="004C3AD5" w:rsidRPr="009C1988"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Please note that this system may be incorporated into the Ramsar Website for communications and branding consistency</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color w:val="000000"/>
                <w:sz w:val="18"/>
                <w:szCs w:val="18"/>
                <w:lang w:val="en-US"/>
              </w:rPr>
            </w:pPr>
            <w:r w:rsidRPr="00363AAB">
              <w:rPr>
                <w:rFonts w:ascii="Garamond" w:eastAsia="Times New Roman" w:hAnsi="Garamond" w:cs="Times New Roman"/>
                <w:b/>
                <w:bCs/>
                <w:color w:val="000000"/>
                <w:sz w:val="18"/>
                <w:szCs w:val="18"/>
                <w:lang w:val="en-US"/>
              </w:rPr>
              <w:t xml:space="preserve">KRA: </w:t>
            </w:r>
            <w:r w:rsidRPr="00363AAB">
              <w:rPr>
                <w:rFonts w:ascii="Garamond" w:eastAsia="Times New Roman" w:hAnsi="Garamond" w:cs="Times New Roman"/>
                <w:color w:val="000000"/>
                <w:sz w:val="18"/>
                <w:szCs w:val="18"/>
                <w:lang w:val="en-US"/>
              </w:rPr>
              <w:t>STRP Platform</w:t>
            </w:r>
            <w:r>
              <w:rPr>
                <w:rFonts w:ascii="Garamond" w:eastAsia="Times New Roman" w:hAnsi="Garamond" w:cs="Times New Roman"/>
                <w:color w:val="000000"/>
                <w:sz w:val="18"/>
                <w:szCs w:val="18"/>
                <w:lang w:val="en-US"/>
              </w:rPr>
              <w:t xml:space="preserve"> (or workspace within the main Ramsar Site)</w:t>
            </w:r>
            <w:r w:rsidRPr="00363AAB">
              <w:rPr>
                <w:rFonts w:ascii="Garamond" w:eastAsia="Times New Roman" w:hAnsi="Garamond" w:cs="Times New Roman"/>
                <w:color w:val="000000"/>
                <w:sz w:val="18"/>
                <w:szCs w:val="18"/>
                <w:lang w:val="en-US"/>
              </w:rPr>
              <w:t xml:space="preserve"> administered and maintained; STRP NFPs assisted to have improved involvement in STRP’s work</w:t>
            </w:r>
          </w:p>
        </w:tc>
        <w:tc>
          <w:tcPr>
            <w:tcW w:w="2835" w:type="dxa"/>
            <w:shd w:val="clear" w:color="auto" w:fill="auto"/>
            <w:hideMark/>
          </w:tcPr>
          <w:p w:rsidR="004C3AD5"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 xml:space="preserve">i) </w:t>
            </w:r>
            <w:r>
              <w:rPr>
                <w:rFonts w:ascii="Garamond" w:eastAsia="Times New Roman" w:hAnsi="Garamond" w:cs="Times New Roman"/>
                <w:color w:val="000000"/>
                <w:sz w:val="18"/>
                <w:szCs w:val="18"/>
                <w:lang w:val="en-US"/>
              </w:rPr>
              <w:t>Maintain and administer the STRP workspace</w:t>
            </w:r>
          </w:p>
          <w:p w:rsidR="004C3AD5"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ii) Assist the Communications Team with any merging.</w:t>
            </w:r>
          </w:p>
          <w:p w:rsidR="004C3AD5"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 xml:space="preserve">iii) Conduct a survey amongst workspace users on efficiency and satisfaction with the system and collect feedback for future improvements.  </w:t>
            </w:r>
          </w:p>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 xml:space="preserve">iv) </w:t>
            </w:r>
            <w:r w:rsidRPr="00363AAB">
              <w:rPr>
                <w:rFonts w:ascii="Garamond" w:eastAsia="Times New Roman" w:hAnsi="Garamond" w:cs="Times New Roman"/>
                <w:color w:val="000000"/>
                <w:sz w:val="18"/>
                <w:szCs w:val="18"/>
                <w:lang w:val="en-US"/>
              </w:rPr>
              <w:t xml:space="preserve">Assist and </w:t>
            </w:r>
            <w:r>
              <w:rPr>
                <w:rFonts w:ascii="Garamond" w:eastAsia="Times New Roman" w:hAnsi="Garamond" w:cs="Times New Roman"/>
                <w:color w:val="000000"/>
                <w:sz w:val="18"/>
                <w:szCs w:val="18"/>
                <w:lang w:val="en-US"/>
              </w:rPr>
              <w:t>promote involvement of STRP NFPs.</w:t>
            </w:r>
          </w:p>
        </w:tc>
        <w:tc>
          <w:tcPr>
            <w:tcW w:w="2694" w:type="dxa"/>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Pr>
                <w:rFonts w:ascii="Garamond" w:eastAsia="Times New Roman" w:hAnsi="Garamond" w:cs="Times New Roman"/>
                <w:color w:val="000000"/>
                <w:sz w:val="18"/>
                <w:szCs w:val="18"/>
                <w:lang w:val="en-US"/>
              </w:rPr>
              <w:t>Workspace adequately maintained</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i)</w:t>
            </w:r>
            <w:r>
              <w:rPr>
                <w:rFonts w:ascii="Garamond" w:eastAsia="Times New Roman" w:hAnsi="Garamond" w:cs="Times New Roman"/>
                <w:color w:val="000000"/>
                <w:sz w:val="18"/>
                <w:szCs w:val="18"/>
                <w:lang w:val="en-US"/>
              </w:rPr>
              <w:t xml:space="preserve"> </w:t>
            </w:r>
            <w:r w:rsidRPr="00363AAB">
              <w:rPr>
                <w:rFonts w:ascii="Garamond" w:eastAsia="Times New Roman" w:hAnsi="Garamond" w:cs="Times New Roman"/>
                <w:color w:val="000000"/>
                <w:sz w:val="18"/>
                <w:szCs w:val="18"/>
                <w:lang w:val="en-US"/>
              </w:rPr>
              <w:t xml:space="preserve"> </w:t>
            </w:r>
            <w:r>
              <w:rPr>
                <w:rFonts w:ascii="Garamond" w:eastAsia="Times New Roman" w:hAnsi="Garamond" w:cs="Times New Roman"/>
                <w:color w:val="000000"/>
                <w:sz w:val="18"/>
                <w:szCs w:val="18"/>
                <w:lang w:val="en-US"/>
              </w:rPr>
              <w:t>DSG</w:t>
            </w:r>
            <w:r w:rsidRPr="00363AAB">
              <w:rPr>
                <w:rFonts w:ascii="Garamond" w:eastAsia="Times New Roman" w:hAnsi="Garamond" w:cs="Times New Roman"/>
                <w:color w:val="000000"/>
                <w:sz w:val="18"/>
                <w:szCs w:val="18"/>
                <w:lang w:val="en-US"/>
              </w:rPr>
              <w:t xml:space="preserve">             </w:t>
            </w:r>
            <w:r>
              <w:rPr>
                <w:rFonts w:ascii="Garamond" w:eastAsia="Times New Roman" w:hAnsi="Garamond" w:cs="Times New Roman"/>
                <w:color w:val="000000"/>
                <w:sz w:val="18"/>
                <w:szCs w:val="18"/>
                <w:lang w:val="en-US"/>
              </w:rPr>
              <w:t xml:space="preserve">                            ii, iii, and iv) </w:t>
            </w:r>
            <w:r w:rsidRPr="00363AAB">
              <w:rPr>
                <w:rFonts w:ascii="Garamond" w:eastAsia="Times New Roman" w:hAnsi="Garamond" w:cs="Times New Roman"/>
                <w:color w:val="000000"/>
                <w:sz w:val="18"/>
                <w:szCs w:val="18"/>
                <w:lang w:val="en-US"/>
              </w:rPr>
              <w:t xml:space="preserve">Scientific &amp; Technical Support Officer                                                 </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B24E03">
              <w:rPr>
                <w:rFonts w:ascii="Garamond" w:eastAsia="Times New Roman" w:hAnsi="Garamond" w:cs="Times New Roman"/>
                <w:sz w:val="18"/>
                <w:szCs w:val="18"/>
                <w:lang w:val="en-US"/>
              </w:rPr>
              <w:t xml:space="preserve">4.3.5 Support STRP in its </w:t>
            </w:r>
            <w:r>
              <w:rPr>
                <w:rFonts w:ascii="Garamond" w:eastAsia="Times New Roman" w:hAnsi="Garamond" w:cs="Times New Roman"/>
                <w:sz w:val="18"/>
                <w:szCs w:val="18"/>
                <w:lang w:val="en-US"/>
              </w:rPr>
              <w:t>completion and delivery of its highest priority tasks (as indicated in its work plan)</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 xml:space="preserve">STRP supported </w:t>
            </w:r>
            <w:r>
              <w:rPr>
                <w:rFonts w:ascii="Garamond" w:eastAsia="Times New Roman" w:hAnsi="Garamond" w:cs="Times New Roman"/>
                <w:sz w:val="18"/>
                <w:szCs w:val="18"/>
                <w:lang w:val="en-US"/>
              </w:rPr>
              <w:t xml:space="preserve">finalizing implementation of  </w:t>
            </w:r>
            <w:r w:rsidRPr="00363AAB">
              <w:rPr>
                <w:rFonts w:ascii="Garamond" w:eastAsia="Times New Roman" w:hAnsi="Garamond" w:cs="Times New Roman"/>
                <w:sz w:val="18"/>
                <w:szCs w:val="18"/>
                <w:lang w:val="en-US"/>
              </w:rPr>
              <w:t xml:space="preserve">its work plan High Priority tasks </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Support STRP members in the </w:t>
            </w:r>
            <w:r>
              <w:rPr>
                <w:rFonts w:ascii="Garamond" w:eastAsia="Times New Roman" w:hAnsi="Garamond" w:cs="Times New Roman"/>
                <w:sz w:val="18"/>
                <w:szCs w:val="18"/>
                <w:lang w:val="en-US"/>
              </w:rPr>
              <w:t>completion</w:t>
            </w:r>
            <w:r w:rsidRPr="00363AAB">
              <w:rPr>
                <w:rFonts w:ascii="Garamond" w:eastAsia="Times New Roman" w:hAnsi="Garamond" w:cs="Times New Roman"/>
                <w:sz w:val="18"/>
                <w:szCs w:val="18"/>
                <w:lang w:val="en-US"/>
              </w:rPr>
              <w:t xml:space="preserve"> of High Priority tasks                                                                     </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 xml:space="preserve">Highest priority tasks within </w:t>
            </w:r>
            <w:r w:rsidRPr="00363AAB">
              <w:rPr>
                <w:rFonts w:ascii="Garamond" w:eastAsia="Times New Roman" w:hAnsi="Garamond" w:cs="Times New Roman"/>
                <w:sz w:val="18"/>
                <w:szCs w:val="18"/>
                <w:lang w:val="en-US"/>
              </w:rPr>
              <w:t>STRP work plan implemented</w:t>
            </w: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 xml:space="preserve">DSG, STRP Chair, and Scientific &amp; Technical Support Officer </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4.3.6 Arrange periodic briefings of missions in Geneva on activities taking place between Standing Committee meetings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KRA:</w:t>
            </w:r>
            <w:r w:rsidRPr="00363AAB">
              <w:rPr>
                <w:rFonts w:ascii="Garamond" w:eastAsia="Times New Roman" w:hAnsi="Garamond" w:cs="Times New Roman"/>
                <w:sz w:val="18"/>
                <w:szCs w:val="18"/>
                <w:lang w:val="en-US"/>
              </w:rPr>
              <w:t xml:space="preserve"> At least one missions briefing held</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Organize missions briefing</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Missions in Geneva fully aware of the Convention's work and importance of wetlands in their countries</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4.3.7 With the Management Working Group (MWG), keep under review the existing management structures of the Secretariat and Convention</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Any changes to management structures recommended by MWG implemented by Secretariat, as appropriate</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Implement Decision SC41-37 on performance evaluation of the SG and maximizing synergy within the Secretariat. Implement relevant decisions recommended by MWG and adopted by SC42</w:t>
            </w:r>
          </w:p>
        </w:tc>
        <w:tc>
          <w:tcPr>
            <w:tcW w:w="2694" w:type="dxa"/>
            <w:shd w:val="clear" w:color="auto" w:fill="auto"/>
          </w:tcPr>
          <w:p w:rsidR="004C3AD5" w:rsidRPr="00D1698D" w:rsidRDefault="004C3AD5" w:rsidP="009E2C8B">
            <w:pPr>
              <w:spacing w:after="0" w:line="240" w:lineRule="auto"/>
              <w:rPr>
                <w:rFonts w:ascii="Garamond" w:eastAsia="Times New Roman" w:hAnsi="Garamond" w:cs="Times New Roman"/>
                <w:sz w:val="18"/>
                <w:szCs w:val="18"/>
                <w:lang w:val="en-US"/>
              </w:rPr>
            </w:pPr>
            <w:r w:rsidRPr="00D1698D">
              <w:rPr>
                <w:rFonts w:ascii="Garamond" w:eastAsia="Times New Roman" w:hAnsi="Garamond" w:cs="Times New Roman"/>
                <w:sz w:val="18"/>
                <w:szCs w:val="18"/>
                <w:lang w:val="en-US"/>
              </w:rPr>
              <w:t xml:space="preserve">SG 2014 Performance Evaluation finalized and sent to IUCN DG </w:t>
            </w:r>
            <w:r>
              <w:rPr>
                <w:rFonts w:ascii="Garamond" w:eastAsia="Times New Roman" w:hAnsi="Garamond" w:cs="Times New Roman"/>
                <w:sz w:val="18"/>
                <w:szCs w:val="18"/>
                <w:lang w:val="en-US"/>
              </w:rPr>
              <w:t>during first quarter of 2015</w:t>
            </w:r>
          </w:p>
          <w:p w:rsidR="004C3AD5" w:rsidRPr="00D1698D" w:rsidRDefault="004C3AD5" w:rsidP="009E2C8B">
            <w:pPr>
              <w:spacing w:after="0" w:line="240" w:lineRule="auto"/>
              <w:rPr>
                <w:rFonts w:ascii="Garamond" w:eastAsia="Times New Roman" w:hAnsi="Garamond" w:cs="Times New Roman"/>
                <w:sz w:val="18"/>
                <w:szCs w:val="18"/>
                <w:lang w:val="en-US"/>
              </w:rPr>
            </w:pPr>
          </w:p>
          <w:p w:rsidR="004C3AD5" w:rsidRPr="00D1698D" w:rsidRDefault="004C3AD5" w:rsidP="009E2C8B">
            <w:pPr>
              <w:spacing w:after="0" w:line="240" w:lineRule="auto"/>
              <w:rPr>
                <w:rFonts w:ascii="Garamond" w:eastAsia="Times New Roman" w:hAnsi="Garamond" w:cs="Times New Roman"/>
                <w:sz w:val="18"/>
                <w:szCs w:val="18"/>
              </w:rPr>
            </w:pPr>
          </w:p>
        </w:tc>
        <w:tc>
          <w:tcPr>
            <w:tcW w:w="1701"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4.3.9 With Uruguay, implement the MOU for COP12</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COP12 MOU under implementation</w:t>
            </w:r>
          </w:p>
        </w:tc>
        <w:tc>
          <w:tcPr>
            <w:tcW w:w="2835"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Uruguay to provide progress report to SC4</w:t>
            </w:r>
            <w:r>
              <w:rPr>
                <w:rFonts w:ascii="Garamond" w:eastAsia="Times New Roman" w:hAnsi="Garamond" w:cs="Times New Roman"/>
                <w:color w:val="000000"/>
                <w:sz w:val="18"/>
                <w:szCs w:val="18"/>
                <w:lang w:val="en-US"/>
              </w:rPr>
              <w:t>8</w:t>
            </w:r>
            <w:r w:rsidRPr="00363AAB">
              <w:rPr>
                <w:rFonts w:ascii="Garamond" w:eastAsia="Times New Roman" w:hAnsi="Garamond" w:cs="Times New Roman"/>
                <w:color w:val="000000"/>
                <w:sz w:val="18"/>
                <w:szCs w:val="18"/>
                <w:lang w:val="en-US"/>
              </w:rPr>
              <w:br/>
              <w:t>Support the SG on the issues related with COP12 logistic and organization.</w:t>
            </w:r>
            <w:r w:rsidRPr="00363AAB">
              <w:rPr>
                <w:rFonts w:ascii="Garamond" w:eastAsia="Times New Roman" w:hAnsi="Garamond" w:cs="Times New Roman"/>
                <w:color w:val="000000"/>
                <w:sz w:val="18"/>
                <w:szCs w:val="18"/>
                <w:lang w:val="en-US"/>
              </w:rPr>
              <w:br/>
              <w:t>Support Uruguay and Secretariat during Subgroup on COP12 discussions.</w:t>
            </w:r>
          </w:p>
        </w:tc>
        <w:tc>
          <w:tcPr>
            <w:tcW w:w="2694" w:type="dxa"/>
            <w:tcBorders>
              <w:bottom w:val="single" w:sz="4" w:space="0" w:color="auto"/>
            </w:tcBorders>
          </w:tcPr>
          <w:p w:rsidR="004C3AD5" w:rsidRPr="00363AAB" w:rsidRDefault="004C3AD5" w:rsidP="009E2C8B">
            <w:pPr>
              <w:spacing w:after="0" w:line="240" w:lineRule="auto"/>
              <w:rPr>
                <w:rFonts w:ascii="Garamond" w:eastAsia="Times New Roman" w:hAnsi="Garamond" w:cs="Times New Roman"/>
                <w:color w:val="000000"/>
                <w:sz w:val="18"/>
                <w:szCs w:val="18"/>
                <w:lang w:val="en-US"/>
              </w:rPr>
            </w:pPr>
            <w:r w:rsidRPr="00363AAB">
              <w:rPr>
                <w:rFonts w:ascii="Garamond" w:eastAsia="Times New Roman" w:hAnsi="Garamond" w:cs="Times New Roman"/>
                <w:color w:val="000000"/>
                <w:sz w:val="18"/>
                <w:szCs w:val="18"/>
                <w:lang w:val="en-US"/>
              </w:rPr>
              <w:t>Progress report from Uruguay and from the Secretariat submitted to SC4</w:t>
            </w:r>
            <w:r>
              <w:rPr>
                <w:rFonts w:ascii="Garamond" w:eastAsia="Times New Roman" w:hAnsi="Garamond" w:cs="Times New Roman"/>
                <w:color w:val="000000"/>
                <w:sz w:val="18"/>
                <w:szCs w:val="18"/>
                <w:lang w:val="en-US"/>
              </w:rPr>
              <w:t>8</w:t>
            </w:r>
            <w:r w:rsidRPr="00363AAB">
              <w:rPr>
                <w:rFonts w:ascii="Garamond" w:eastAsia="Times New Roman" w:hAnsi="Garamond" w:cs="Times New Roman"/>
                <w:color w:val="000000"/>
                <w:sz w:val="18"/>
                <w:szCs w:val="18"/>
                <w:lang w:val="en-US"/>
              </w:rPr>
              <w:br/>
            </w:r>
          </w:p>
        </w:tc>
        <w:tc>
          <w:tcPr>
            <w:tcW w:w="1701"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4.3.11 Undertake general administration of the Secretariat and Convention </w:t>
            </w:r>
          </w:p>
        </w:tc>
        <w:tc>
          <w:tcPr>
            <w:tcW w:w="2693" w:type="dxa"/>
            <w:tcBorders>
              <w:bottom w:val="single" w:sz="4" w:space="0" w:color="auto"/>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Parties, and other stakeholders, provided with timely and efficient service</w:t>
            </w:r>
          </w:p>
        </w:tc>
        <w:tc>
          <w:tcPr>
            <w:tcW w:w="2835"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Secretariat to provide timely and effective services to Parties and other stakeholders</w:t>
            </w:r>
          </w:p>
        </w:tc>
        <w:tc>
          <w:tcPr>
            <w:tcW w:w="2694" w:type="dxa"/>
            <w:tcBorders>
              <w:bottom w:val="single" w:sz="4" w:space="0" w:color="auto"/>
            </w:tcBorders>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Satisfactory and timely services provided</w:t>
            </w:r>
          </w:p>
        </w:tc>
        <w:tc>
          <w:tcPr>
            <w:tcW w:w="1701" w:type="dxa"/>
            <w:tcBorders>
              <w:bottom w:val="single" w:sz="4" w:space="0" w:color="auto"/>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SG</w:t>
            </w:r>
          </w:p>
        </w:tc>
      </w:tr>
      <w:tr w:rsidR="004C3AD5" w:rsidRPr="00363AAB" w:rsidTr="004C3AD5">
        <w:trPr>
          <w:cantSplit/>
        </w:trPr>
        <w:tc>
          <w:tcPr>
            <w:tcW w:w="3559"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3" w:type="dxa"/>
            <w:tcBorders>
              <w:top w:val="single" w:sz="4" w:space="0" w:color="auto"/>
              <w:left w:val="nil"/>
              <w:bottom w:val="nil"/>
              <w:right w:val="nil"/>
            </w:tcBorders>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p>
        </w:tc>
        <w:tc>
          <w:tcPr>
            <w:tcW w:w="2835" w:type="dxa"/>
            <w:tcBorders>
              <w:top w:val="single" w:sz="4" w:space="0" w:color="auto"/>
              <w:left w:val="nil"/>
              <w:bottom w:val="nil"/>
              <w:right w:val="nil"/>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2694" w:type="dxa"/>
            <w:tcBorders>
              <w:top w:val="single" w:sz="4" w:space="0" w:color="auto"/>
              <w:left w:val="nil"/>
              <w:bottom w:val="nil"/>
              <w:right w:val="nil"/>
            </w:tcBorders>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p>
        </w:tc>
        <w:tc>
          <w:tcPr>
            <w:tcW w:w="1701" w:type="dxa"/>
            <w:tcBorders>
              <w:top w:val="single" w:sz="4" w:space="0" w:color="auto"/>
              <w:left w:val="nil"/>
              <w:bottom w:val="nil"/>
              <w:right w:val="nil"/>
            </w:tcBorders>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p>
        </w:tc>
      </w:tr>
      <w:tr w:rsidR="004C3AD5" w:rsidRPr="00363AAB" w:rsidTr="004C3AD5">
        <w:trPr>
          <w:cantSplit/>
        </w:trPr>
        <w:tc>
          <w:tcPr>
            <w:tcW w:w="13482" w:type="dxa"/>
            <w:gridSpan w:val="5"/>
            <w:tcBorders>
              <w:top w:val="nil"/>
            </w:tcBorders>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4.4 Working with IOPs and others  </w:t>
            </w:r>
            <w:r w:rsidRPr="00363AAB">
              <w:rPr>
                <w:rFonts w:ascii="Garamond" w:eastAsia="Times New Roman" w:hAnsi="Garamond" w:cs="Times New Roman"/>
                <w:i/>
                <w:iCs/>
                <w:sz w:val="18"/>
                <w:szCs w:val="18"/>
                <w:lang w:val="en-US"/>
              </w:rPr>
              <w:t>Maximize the benefits of working with the Convention’s International Organization Partners (IOPs) and others. (Secretariat, IOPs)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4.4.1 Work with IOPs to develop a common understanding and framework for assistance in delivering the Convention’s implementation</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Collaborative activities identified and agreed, information on them provided to Contracting Parties</w:t>
            </w:r>
          </w:p>
        </w:tc>
        <w:tc>
          <w:tcPr>
            <w:tcW w:w="2835" w:type="dxa"/>
            <w:shd w:val="clear" w:color="000000" w:fill="FFFFFF"/>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Increased collaboration with partners, including private sector</w:t>
            </w:r>
          </w:p>
        </w:tc>
        <w:tc>
          <w:tcPr>
            <w:tcW w:w="2694" w:type="dxa"/>
            <w:shd w:val="clear" w:color="000000" w:fill="FFFFFF"/>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Enhanced implementation of the Convention; better perception of wetlands as assets for sustainable development</w:t>
            </w:r>
          </w:p>
        </w:tc>
        <w:tc>
          <w:tcPr>
            <w:tcW w:w="1701" w:type="dxa"/>
            <w:shd w:val="clear" w:color="auto" w:fill="auto"/>
            <w:hideMark/>
          </w:tcPr>
          <w:p w:rsidR="004C3AD5" w:rsidRPr="007D3FB4" w:rsidRDefault="004C3AD5" w:rsidP="009E2C8B">
            <w:pPr>
              <w:spacing w:after="0" w:line="240" w:lineRule="auto"/>
              <w:rPr>
                <w:rFonts w:ascii="Garamond" w:eastAsia="Times New Roman" w:hAnsi="Garamond" w:cs="Times New Roman"/>
                <w:sz w:val="18"/>
                <w:szCs w:val="18"/>
                <w:shd w:val="clear" w:color="auto" w:fill="FFFF00"/>
                <w:lang w:val="en-US"/>
              </w:rPr>
            </w:pPr>
            <w:r w:rsidRPr="00363AAB">
              <w:rPr>
                <w:rFonts w:ascii="Garamond" w:eastAsia="Times New Roman" w:hAnsi="Garamond" w:cs="Times New Roman"/>
                <w:sz w:val="18"/>
                <w:szCs w:val="18"/>
                <w:lang w:val="en-US"/>
              </w:rPr>
              <w:t>SG</w:t>
            </w:r>
            <w:r>
              <w:rPr>
                <w:rFonts w:ascii="Garamond" w:eastAsia="Times New Roman" w:hAnsi="Garamond" w:cs="Times New Roman"/>
                <w:sz w:val="18"/>
                <w:szCs w:val="18"/>
                <w:lang w:val="en-US"/>
              </w:rPr>
              <w:t xml:space="preserve">, </w:t>
            </w:r>
            <w:r w:rsidRPr="00D1698D">
              <w:rPr>
                <w:rFonts w:ascii="Garamond" w:eastAsia="Times New Roman" w:hAnsi="Garamond" w:cs="Times New Roman"/>
                <w:sz w:val="18"/>
                <w:szCs w:val="18"/>
                <w:lang w:val="en-US"/>
              </w:rPr>
              <w:t>Head of Strategy &amp; Partnerships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4.4.2 Facilitate and enhance joint activities on the ground between IOPs and Ramsar Administrative Authorities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KRA:</w:t>
            </w:r>
            <w:r w:rsidRPr="00363AAB">
              <w:rPr>
                <w:rFonts w:ascii="Garamond" w:eastAsia="Times New Roman" w:hAnsi="Garamond" w:cs="Times New Roman"/>
                <w:sz w:val="18"/>
                <w:szCs w:val="18"/>
                <w:lang w:val="en-US"/>
              </w:rPr>
              <w:t xml:space="preserve"> Joint IOP/AA activities facilitated and reported</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Increased cooperation between IOPS and Ramsar AAs through Regional Initiatives and joint projects</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Results of joint activities recognized and publicized</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SRAs</w:t>
            </w:r>
          </w:p>
        </w:tc>
      </w:tr>
      <w:tr w:rsidR="004C3AD5" w:rsidRPr="00363AAB" w:rsidTr="004C3AD5">
        <w:trPr>
          <w:cantSplit/>
        </w:trPr>
        <w:tc>
          <w:tcPr>
            <w:tcW w:w="13482" w:type="dxa"/>
            <w:gridSpan w:val="5"/>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 xml:space="preserve">STRATEGY 5.1 Membership </w:t>
            </w:r>
            <w:r w:rsidRPr="00363AAB">
              <w:rPr>
                <w:rFonts w:ascii="Garamond" w:eastAsia="Times New Roman" w:hAnsi="Garamond" w:cs="Times New Roman"/>
                <w:i/>
                <w:iCs/>
                <w:sz w:val="18"/>
                <w:szCs w:val="18"/>
                <w:lang w:val="en-US"/>
              </w:rPr>
              <w:t xml:space="preserve"> Secure universal membership of the Convention and provide an appropriate level of service. (CPs, Secretariat)</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5.1.1 Advise countries in the process of accession on any issues of clarification, and on preparing their first Ramsar Information Sheet, as necessary</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b/>
                <w:bCs/>
                <w:sz w:val="18"/>
                <w:szCs w:val="18"/>
                <w:lang w:val="en-US"/>
              </w:rPr>
            </w:pPr>
            <w:r w:rsidRPr="00363AAB">
              <w:rPr>
                <w:rFonts w:ascii="Garamond" w:eastAsia="Times New Roman" w:hAnsi="Garamond" w:cs="Times New Roman"/>
                <w:b/>
                <w:bCs/>
                <w:sz w:val="18"/>
                <w:szCs w:val="18"/>
                <w:lang w:val="en-US"/>
              </w:rPr>
              <w:t xml:space="preserve">KRA: </w:t>
            </w:r>
            <w:r w:rsidRPr="00363AAB">
              <w:rPr>
                <w:rFonts w:ascii="Garamond" w:eastAsia="Times New Roman" w:hAnsi="Garamond" w:cs="Times New Roman"/>
                <w:sz w:val="18"/>
                <w:szCs w:val="18"/>
                <w:lang w:val="en-US"/>
              </w:rPr>
              <w:t>Countries in the process of accession further assisted</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Assist at least three countries in accession process in Africa, Asia &amp; Oceania, and the Caribbean </w:t>
            </w:r>
          </w:p>
        </w:tc>
        <w:tc>
          <w:tcPr>
            <w:tcW w:w="2694" w:type="dxa"/>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Five additional Parties by the end of 201</w:t>
            </w:r>
            <w:r>
              <w:rPr>
                <w:rFonts w:ascii="Garamond" w:eastAsia="Times New Roman" w:hAnsi="Garamond" w:cs="Times New Roman"/>
                <w:sz w:val="18"/>
                <w:szCs w:val="18"/>
                <w:lang w:val="en-US"/>
              </w:rPr>
              <w:t>5</w:t>
            </w:r>
          </w:p>
        </w:tc>
        <w:tc>
          <w:tcPr>
            <w:tcW w:w="1701"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SRAs</w:t>
            </w:r>
          </w:p>
        </w:tc>
      </w:tr>
      <w:tr w:rsidR="004C3AD5" w:rsidRPr="00363AAB" w:rsidTr="004C3AD5">
        <w:trPr>
          <w:cantSplit/>
        </w:trPr>
        <w:tc>
          <w:tcPr>
            <w:tcW w:w="13482" w:type="dxa"/>
            <w:gridSpan w:val="5"/>
            <w:shd w:val="clear" w:color="auto" w:fill="D9D9D9" w:themeFill="background1" w:themeFillShade="D9"/>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b/>
                <w:bCs/>
                <w:sz w:val="18"/>
                <w:szCs w:val="18"/>
                <w:lang w:val="en-US"/>
              </w:rPr>
              <w:t>Other Secretariat activities</w:t>
            </w:r>
          </w:p>
        </w:tc>
      </w:tr>
      <w:tr w:rsidR="004C3AD5" w:rsidRPr="00363AAB" w:rsidTr="004C3AD5">
        <w:trPr>
          <w:cantSplit/>
        </w:trPr>
        <w:tc>
          <w:tcPr>
            <w:tcW w:w="3559"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Other activities not covered under any of the above Strategies/KRAs</w:t>
            </w:r>
          </w:p>
        </w:tc>
        <w:tc>
          <w:tcPr>
            <w:tcW w:w="2693"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 xml:space="preserve">Assistance to Interns </w:t>
            </w:r>
            <w:r>
              <w:rPr>
                <w:rFonts w:ascii="Garamond" w:eastAsia="Times New Roman" w:hAnsi="Garamond" w:cs="Times New Roman"/>
                <w:sz w:val="18"/>
                <w:szCs w:val="18"/>
                <w:lang w:val="en-US"/>
              </w:rPr>
              <w:t xml:space="preserve">and administration of their studios; </w:t>
            </w:r>
            <w:r w:rsidRPr="00363AAB">
              <w:rPr>
                <w:rFonts w:ascii="Garamond" w:eastAsia="Times New Roman" w:hAnsi="Garamond" w:cs="Times New Roman"/>
                <w:sz w:val="18"/>
                <w:szCs w:val="18"/>
                <w:lang w:val="en-US"/>
              </w:rPr>
              <w:t>and new Ramsar staff</w:t>
            </w:r>
          </w:p>
        </w:tc>
        <w:tc>
          <w:tcPr>
            <w:tcW w:w="2835" w:type="dxa"/>
            <w:shd w:val="clear" w:color="auto" w:fill="auto"/>
            <w:hideMark/>
          </w:tcPr>
          <w:p w:rsidR="004C3AD5" w:rsidRPr="00363AAB"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Respond to ad hoc requests from Parties</w:t>
            </w:r>
          </w:p>
        </w:tc>
        <w:tc>
          <w:tcPr>
            <w:tcW w:w="2694" w:type="dxa"/>
          </w:tcPr>
          <w:p w:rsidR="004C3AD5" w:rsidRPr="00363AAB" w:rsidRDefault="004C3AD5" w:rsidP="009E2C8B">
            <w:pPr>
              <w:spacing w:after="0" w:line="240" w:lineRule="auto"/>
              <w:rPr>
                <w:rFonts w:ascii="Arial" w:eastAsia="Times New Roman" w:hAnsi="Arial" w:cs="Arial"/>
                <w:sz w:val="20"/>
                <w:szCs w:val="20"/>
                <w:lang w:val="en-US"/>
              </w:rPr>
            </w:pPr>
            <w:r w:rsidRPr="004F65FE">
              <w:rPr>
                <w:rFonts w:ascii="Garamond" w:eastAsia="Times New Roman" w:hAnsi="Garamond" w:cs="Times New Roman"/>
                <w:sz w:val="18"/>
                <w:szCs w:val="18"/>
                <w:lang w:val="en-US"/>
              </w:rPr>
              <w:t>All requests addressed</w:t>
            </w:r>
          </w:p>
        </w:tc>
        <w:tc>
          <w:tcPr>
            <w:tcW w:w="1701" w:type="dxa"/>
            <w:shd w:val="clear" w:color="auto" w:fill="auto"/>
            <w:hideMark/>
          </w:tcPr>
          <w:p w:rsidR="004C3AD5" w:rsidRDefault="004C3AD5" w:rsidP="009E2C8B">
            <w:pPr>
              <w:spacing w:after="0" w:line="240" w:lineRule="auto"/>
              <w:rPr>
                <w:rFonts w:ascii="Garamond" w:eastAsia="Times New Roman" w:hAnsi="Garamond" w:cs="Times New Roman"/>
                <w:sz w:val="18"/>
                <w:szCs w:val="18"/>
                <w:lang w:val="en-US"/>
              </w:rPr>
            </w:pPr>
            <w:r w:rsidRPr="00363AAB">
              <w:rPr>
                <w:rFonts w:ascii="Garamond" w:eastAsia="Times New Roman" w:hAnsi="Garamond" w:cs="Times New Roman"/>
                <w:sz w:val="18"/>
                <w:szCs w:val="18"/>
                <w:lang w:val="en-US"/>
              </w:rPr>
              <w:t>Administrative Assistant</w:t>
            </w:r>
            <w:r>
              <w:rPr>
                <w:rFonts w:ascii="Garamond" w:eastAsia="Times New Roman" w:hAnsi="Garamond" w:cs="Times New Roman"/>
                <w:sz w:val="18"/>
                <w:szCs w:val="18"/>
                <w:lang w:val="en-US"/>
              </w:rPr>
              <w:t>;</w:t>
            </w:r>
          </w:p>
          <w:p w:rsidR="004C3AD5" w:rsidRPr="00363AAB" w:rsidRDefault="004C3AD5" w:rsidP="009E2C8B">
            <w:pPr>
              <w:spacing w:after="0" w:line="240" w:lineRule="auto"/>
              <w:rPr>
                <w:rFonts w:ascii="Garamond" w:eastAsia="Times New Roman" w:hAnsi="Garamond" w:cs="Times New Roman"/>
                <w:sz w:val="18"/>
                <w:szCs w:val="18"/>
                <w:lang w:val="en-US"/>
              </w:rPr>
            </w:pPr>
            <w:r>
              <w:rPr>
                <w:rFonts w:ascii="Garamond" w:eastAsia="Times New Roman" w:hAnsi="Garamond" w:cs="Times New Roman"/>
                <w:sz w:val="18"/>
                <w:szCs w:val="18"/>
                <w:lang w:val="en-US"/>
              </w:rPr>
              <w:t>Regional Affairs Officer (for professional technical  Assistance to Interns)</w:t>
            </w:r>
          </w:p>
        </w:tc>
      </w:tr>
    </w:tbl>
    <w:p w:rsidR="004C3AD5" w:rsidRPr="004C3AD5" w:rsidRDefault="004C3AD5" w:rsidP="004C3AD5">
      <w:pPr>
        <w:pStyle w:val="ListParagraph"/>
        <w:spacing w:after="0" w:line="240" w:lineRule="auto"/>
        <w:rPr>
          <w:rFonts w:ascii="Arial" w:hAnsi="Arial" w:cs="Arial"/>
        </w:rPr>
      </w:pPr>
    </w:p>
    <w:sectPr w:rsidR="004C3AD5" w:rsidRPr="004C3AD5" w:rsidSect="00165A6B">
      <w:headerReference w:type="even" r:id="rId9"/>
      <w:headerReference w:type="default" r:id="rId10"/>
      <w:footerReference w:type="even" r:id="rId11"/>
      <w:headerReference w:type="first" r:id="rId12"/>
      <w:footerReference w:type="first" r:id="rId13"/>
      <w:pgSz w:w="16839" w:h="11907"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32" w:rsidRDefault="00270332" w:rsidP="00D73336">
      <w:pPr>
        <w:spacing w:after="0" w:line="240" w:lineRule="auto"/>
      </w:pPr>
      <w:r>
        <w:separator/>
      </w:r>
    </w:p>
  </w:endnote>
  <w:endnote w:type="continuationSeparator" w:id="0">
    <w:p w:rsidR="00270332" w:rsidRDefault="00270332" w:rsidP="00D73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32" w:rsidRPr="004C3AD5" w:rsidRDefault="00270332">
    <w:pPr>
      <w:pStyle w:val="Footer"/>
      <w:rPr>
        <w:sz w:val="20"/>
        <w:szCs w:val="20"/>
      </w:rPr>
    </w:pPr>
    <w:r w:rsidRPr="004C3AD5">
      <w:rPr>
        <w:sz w:val="20"/>
        <w:szCs w:val="20"/>
      </w:rPr>
      <w:t>SC48-11</w:t>
    </w:r>
    <w:r w:rsidRPr="004C3AD5">
      <w:rPr>
        <w:sz w:val="20"/>
        <w:szCs w:val="20"/>
      </w:rPr>
      <w:tab/>
    </w:r>
    <w:r w:rsidRPr="004C3AD5">
      <w:rPr>
        <w:sz w:val="20"/>
        <w:szCs w:val="20"/>
      </w:rPr>
      <w:tab/>
    </w:r>
    <w:r w:rsidR="002D4DA6" w:rsidRPr="004C3AD5">
      <w:rPr>
        <w:sz w:val="20"/>
        <w:szCs w:val="20"/>
      </w:rPr>
      <w:fldChar w:fldCharType="begin"/>
    </w:r>
    <w:r w:rsidRPr="004C3AD5">
      <w:rPr>
        <w:sz w:val="20"/>
        <w:szCs w:val="20"/>
      </w:rPr>
      <w:instrText xml:space="preserve"> PAGE   \* MERGEFORMAT </w:instrText>
    </w:r>
    <w:r w:rsidR="002D4DA6" w:rsidRPr="004C3AD5">
      <w:rPr>
        <w:sz w:val="20"/>
        <w:szCs w:val="20"/>
      </w:rPr>
      <w:fldChar w:fldCharType="separate"/>
    </w:r>
    <w:r w:rsidR="00EB44F0">
      <w:rPr>
        <w:noProof/>
        <w:sz w:val="20"/>
        <w:szCs w:val="20"/>
      </w:rPr>
      <w:t>2</w:t>
    </w:r>
    <w:r w:rsidR="002D4DA6" w:rsidRPr="004C3AD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D4" w:rsidRDefault="00EB4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D4" w:rsidRDefault="00EB4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32" w:rsidRDefault="00270332" w:rsidP="00D73336">
      <w:pPr>
        <w:spacing w:after="0" w:line="240" w:lineRule="auto"/>
      </w:pPr>
      <w:r>
        <w:separator/>
      </w:r>
    </w:p>
  </w:footnote>
  <w:footnote w:type="continuationSeparator" w:id="0">
    <w:p w:rsidR="00270332" w:rsidRDefault="00270332" w:rsidP="00D73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D4" w:rsidRDefault="00EB4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89" w:rsidRDefault="00EB44F0" w:rsidP="000D756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D4" w:rsidRDefault="00EB4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3ED"/>
    <w:multiLevelType w:val="hybridMultilevel"/>
    <w:tmpl w:val="44F85A0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AF4143"/>
    <w:multiLevelType w:val="hybridMultilevel"/>
    <w:tmpl w:val="F88A765A"/>
    <w:lvl w:ilvl="0" w:tplc="E40A026C">
      <w:start w:val="1"/>
      <w:numFmt w:val="lowerRoman"/>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73D9D"/>
    <w:multiLevelType w:val="hybridMultilevel"/>
    <w:tmpl w:val="E4DC7C7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203D4"/>
    <w:multiLevelType w:val="hybridMultilevel"/>
    <w:tmpl w:val="F8A6BC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82480"/>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EF577C3"/>
    <w:multiLevelType w:val="hybridMultilevel"/>
    <w:tmpl w:val="9B5228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45C6271"/>
    <w:multiLevelType w:val="hybridMultilevel"/>
    <w:tmpl w:val="C8A888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E30E6"/>
    <w:multiLevelType w:val="hybridMultilevel"/>
    <w:tmpl w:val="5C72FF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40A026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3253F"/>
    <w:multiLevelType w:val="hybridMultilevel"/>
    <w:tmpl w:val="1C3807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8B0089"/>
    <w:multiLevelType w:val="hybridMultilevel"/>
    <w:tmpl w:val="5AE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2"/>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 w:numId="11">
    <w:abstractNumId w:val="8"/>
  </w:num>
  <w:num w:numId="12">
    <w:abstractNumId w:val="3"/>
  </w:num>
  <w:num w:numId="13">
    <w:abstractNumId w:val="2"/>
  </w:num>
  <w:num w:numId="14">
    <w:abstractNumId w:val="13"/>
  </w:num>
  <w:num w:numId="15">
    <w:abstractNumId w:val="7"/>
  </w:num>
  <w:num w:numId="16">
    <w:abstractNumId w:val="4"/>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1992"/>
    <w:rsid w:val="000002AA"/>
    <w:rsid w:val="00011C64"/>
    <w:rsid w:val="0002307D"/>
    <w:rsid w:val="00024F16"/>
    <w:rsid w:val="00042499"/>
    <w:rsid w:val="000462BC"/>
    <w:rsid w:val="00062ABD"/>
    <w:rsid w:val="00076BB6"/>
    <w:rsid w:val="000817C5"/>
    <w:rsid w:val="00084E8A"/>
    <w:rsid w:val="00094456"/>
    <w:rsid w:val="00095692"/>
    <w:rsid w:val="000A1BE5"/>
    <w:rsid w:val="000A4B70"/>
    <w:rsid w:val="000C6237"/>
    <w:rsid w:val="00153237"/>
    <w:rsid w:val="001560BE"/>
    <w:rsid w:val="00162490"/>
    <w:rsid w:val="001652A0"/>
    <w:rsid w:val="00182705"/>
    <w:rsid w:val="00182F21"/>
    <w:rsid w:val="00183010"/>
    <w:rsid w:val="00184C8B"/>
    <w:rsid w:val="00192E02"/>
    <w:rsid w:val="001A1A62"/>
    <w:rsid w:val="001A486B"/>
    <w:rsid w:val="001C22CF"/>
    <w:rsid w:val="001D60E7"/>
    <w:rsid w:val="0020491E"/>
    <w:rsid w:val="0020770B"/>
    <w:rsid w:val="0024469D"/>
    <w:rsid w:val="00251992"/>
    <w:rsid w:val="00270332"/>
    <w:rsid w:val="00287AA7"/>
    <w:rsid w:val="002A26CE"/>
    <w:rsid w:val="002C08F5"/>
    <w:rsid w:val="002D4DA6"/>
    <w:rsid w:val="00305BE0"/>
    <w:rsid w:val="00334D44"/>
    <w:rsid w:val="0034415A"/>
    <w:rsid w:val="00357373"/>
    <w:rsid w:val="00361CED"/>
    <w:rsid w:val="00385840"/>
    <w:rsid w:val="003B29B4"/>
    <w:rsid w:val="003D1C19"/>
    <w:rsid w:val="003F3038"/>
    <w:rsid w:val="003F3B33"/>
    <w:rsid w:val="00405A7C"/>
    <w:rsid w:val="00416B88"/>
    <w:rsid w:val="004204FF"/>
    <w:rsid w:val="00437EF6"/>
    <w:rsid w:val="0044272F"/>
    <w:rsid w:val="00444C77"/>
    <w:rsid w:val="00462AAD"/>
    <w:rsid w:val="00470642"/>
    <w:rsid w:val="0048426A"/>
    <w:rsid w:val="00490EE2"/>
    <w:rsid w:val="004B0C1A"/>
    <w:rsid w:val="004C3AD5"/>
    <w:rsid w:val="005148F6"/>
    <w:rsid w:val="005203DC"/>
    <w:rsid w:val="00526D65"/>
    <w:rsid w:val="00553794"/>
    <w:rsid w:val="00556430"/>
    <w:rsid w:val="005714C5"/>
    <w:rsid w:val="00577E03"/>
    <w:rsid w:val="005A31B0"/>
    <w:rsid w:val="005B7EC2"/>
    <w:rsid w:val="00617989"/>
    <w:rsid w:val="0064669A"/>
    <w:rsid w:val="00654F74"/>
    <w:rsid w:val="0066341C"/>
    <w:rsid w:val="00666522"/>
    <w:rsid w:val="00677F75"/>
    <w:rsid w:val="00692B2D"/>
    <w:rsid w:val="006B50DD"/>
    <w:rsid w:val="006E70A7"/>
    <w:rsid w:val="006F60A6"/>
    <w:rsid w:val="00712613"/>
    <w:rsid w:val="0072341C"/>
    <w:rsid w:val="00734EA7"/>
    <w:rsid w:val="00747339"/>
    <w:rsid w:val="007611E1"/>
    <w:rsid w:val="007817A5"/>
    <w:rsid w:val="0079398C"/>
    <w:rsid w:val="0079453B"/>
    <w:rsid w:val="007957DC"/>
    <w:rsid w:val="007A26BC"/>
    <w:rsid w:val="007C0E87"/>
    <w:rsid w:val="007C3308"/>
    <w:rsid w:val="007D5A64"/>
    <w:rsid w:val="007E1B4E"/>
    <w:rsid w:val="007E7448"/>
    <w:rsid w:val="007F58F1"/>
    <w:rsid w:val="00824557"/>
    <w:rsid w:val="00832DA5"/>
    <w:rsid w:val="00846FE3"/>
    <w:rsid w:val="008B4AC6"/>
    <w:rsid w:val="008E376E"/>
    <w:rsid w:val="008E694C"/>
    <w:rsid w:val="008F51FA"/>
    <w:rsid w:val="00941910"/>
    <w:rsid w:val="0095118B"/>
    <w:rsid w:val="00970318"/>
    <w:rsid w:val="00976B5B"/>
    <w:rsid w:val="00983980"/>
    <w:rsid w:val="00990956"/>
    <w:rsid w:val="009A236F"/>
    <w:rsid w:val="009A5B4D"/>
    <w:rsid w:val="009A7F01"/>
    <w:rsid w:val="009B65E1"/>
    <w:rsid w:val="009F0A0C"/>
    <w:rsid w:val="009F19E9"/>
    <w:rsid w:val="00A02BC6"/>
    <w:rsid w:val="00A04E1E"/>
    <w:rsid w:val="00A051DA"/>
    <w:rsid w:val="00A14585"/>
    <w:rsid w:val="00A20E2A"/>
    <w:rsid w:val="00A228FC"/>
    <w:rsid w:val="00A3011A"/>
    <w:rsid w:val="00A31AFD"/>
    <w:rsid w:val="00A35F26"/>
    <w:rsid w:val="00A619E4"/>
    <w:rsid w:val="00AA73EC"/>
    <w:rsid w:val="00AB1B9E"/>
    <w:rsid w:val="00AB45F7"/>
    <w:rsid w:val="00AE6397"/>
    <w:rsid w:val="00AF2F46"/>
    <w:rsid w:val="00B03F77"/>
    <w:rsid w:val="00B14C7E"/>
    <w:rsid w:val="00B15074"/>
    <w:rsid w:val="00B1796C"/>
    <w:rsid w:val="00B24E70"/>
    <w:rsid w:val="00B265D6"/>
    <w:rsid w:val="00B417BA"/>
    <w:rsid w:val="00B52AE3"/>
    <w:rsid w:val="00B57A12"/>
    <w:rsid w:val="00B67A36"/>
    <w:rsid w:val="00B90D20"/>
    <w:rsid w:val="00B95F1A"/>
    <w:rsid w:val="00B97303"/>
    <w:rsid w:val="00BC2E46"/>
    <w:rsid w:val="00BE01BA"/>
    <w:rsid w:val="00BF6CB8"/>
    <w:rsid w:val="00C21BCE"/>
    <w:rsid w:val="00C32556"/>
    <w:rsid w:val="00C33DFA"/>
    <w:rsid w:val="00C376C3"/>
    <w:rsid w:val="00C70747"/>
    <w:rsid w:val="00C904EF"/>
    <w:rsid w:val="00CA5045"/>
    <w:rsid w:val="00CB5B6F"/>
    <w:rsid w:val="00CC4D78"/>
    <w:rsid w:val="00CE03B9"/>
    <w:rsid w:val="00D14928"/>
    <w:rsid w:val="00D30D6B"/>
    <w:rsid w:val="00D650DA"/>
    <w:rsid w:val="00D73336"/>
    <w:rsid w:val="00D80ADF"/>
    <w:rsid w:val="00D80CBA"/>
    <w:rsid w:val="00D83668"/>
    <w:rsid w:val="00DC231A"/>
    <w:rsid w:val="00E0749C"/>
    <w:rsid w:val="00E354A5"/>
    <w:rsid w:val="00E63292"/>
    <w:rsid w:val="00E66E02"/>
    <w:rsid w:val="00E70944"/>
    <w:rsid w:val="00E86048"/>
    <w:rsid w:val="00EA0F5F"/>
    <w:rsid w:val="00EB14A4"/>
    <w:rsid w:val="00EB44F0"/>
    <w:rsid w:val="00EC723D"/>
    <w:rsid w:val="00ED5D7D"/>
    <w:rsid w:val="00EE1066"/>
    <w:rsid w:val="00EE4068"/>
    <w:rsid w:val="00F006AC"/>
    <w:rsid w:val="00F424F0"/>
    <w:rsid w:val="00F52BEB"/>
    <w:rsid w:val="00F668D3"/>
    <w:rsid w:val="00F71ECE"/>
    <w:rsid w:val="00F74E91"/>
    <w:rsid w:val="00F8097B"/>
    <w:rsid w:val="00F822A1"/>
    <w:rsid w:val="00FA5750"/>
    <w:rsid w:val="00FB068B"/>
    <w:rsid w:val="00FC7D4F"/>
    <w:rsid w:val="00FC7E74"/>
    <w:rsid w:val="00FD3E95"/>
    <w:rsid w:val="00FE180B"/>
    <w:rsid w:val="00FE6A75"/>
    <w:rsid w:val="00FF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92"/>
    <w:pPr>
      <w:ind w:left="720"/>
      <w:contextualSpacing/>
    </w:pPr>
  </w:style>
  <w:style w:type="table" w:styleId="TableGrid">
    <w:name w:val="Table Grid"/>
    <w:basedOn w:val="TableNormal"/>
    <w:uiPriority w:val="59"/>
    <w:rsid w:val="0025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7D4F"/>
    <w:rPr>
      <w:sz w:val="16"/>
      <w:szCs w:val="16"/>
    </w:rPr>
  </w:style>
  <w:style w:type="paragraph" w:styleId="CommentText">
    <w:name w:val="annotation text"/>
    <w:basedOn w:val="Normal"/>
    <w:link w:val="CommentTextChar"/>
    <w:uiPriority w:val="99"/>
    <w:semiHidden/>
    <w:unhideWhenUsed/>
    <w:rsid w:val="00FC7D4F"/>
    <w:pPr>
      <w:spacing w:line="240" w:lineRule="auto"/>
    </w:pPr>
    <w:rPr>
      <w:sz w:val="20"/>
      <w:szCs w:val="20"/>
    </w:rPr>
  </w:style>
  <w:style w:type="character" w:customStyle="1" w:styleId="CommentTextChar">
    <w:name w:val="Comment Text Char"/>
    <w:basedOn w:val="DefaultParagraphFont"/>
    <w:link w:val="CommentText"/>
    <w:uiPriority w:val="99"/>
    <w:semiHidden/>
    <w:rsid w:val="00FC7D4F"/>
    <w:rPr>
      <w:sz w:val="20"/>
      <w:szCs w:val="20"/>
    </w:rPr>
  </w:style>
  <w:style w:type="paragraph" w:styleId="CommentSubject">
    <w:name w:val="annotation subject"/>
    <w:basedOn w:val="CommentText"/>
    <w:next w:val="CommentText"/>
    <w:link w:val="CommentSubjectChar"/>
    <w:uiPriority w:val="99"/>
    <w:semiHidden/>
    <w:unhideWhenUsed/>
    <w:rsid w:val="00FC7D4F"/>
    <w:rPr>
      <w:b/>
      <w:bCs/>
    </w:rPr>
  </w:style>
  <w:style w:type="character" w:customStyle="1" w:styleId="CommentSubjectChar">
    <w:name w:val="Comment Subject Char"/>
    <w:basedOn w:val="CommentTextChar"/>
    <w:link w:val="CommentSubject"/>
    <w:uiPriority w:val="99"/>
    <w:semiHidden/>
    <w:rsid w:val="00FC7D4F"/>
    <w:rPr>
      <w:b/>
      <w:bCs/>
    </w:rPr>
  </w:style>
  <w:style w:type="paragraph" w:styleId="BalloonText">
    <w:name w:val="Balloon Text"/>
    <w:basedOn w:val="Normal"/>
    <w:link w:val="BalloonTextChar"/>
    <w:uiPriority w:val="99"/>
    <w:semiHidden/>
    <w:unhideWhenUsed/>
    <w:rsid w:val="00FC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4F"/>
    <w:rPr>
      <w:rFonts w:ascii="Tahoma" w:hAnsi="Tahoma" w:cs="Tahoma"/>
      <w:sz w:val="16"/>
      <w:szCs w:val="16"/>
    </w:rPr>
  </w:style>
  <w:style w:type="paragraph" w:styleId="PlainText">
    <w:name w:val="Plain Text"/>
    <w:basedOn w:val="Normal"/>
    <w:link w:val="PlainTextChar"/>
    <w:uiPriority w:val="99"/>
    <w:unhideWhenUsed/>
    <w:rsid w:val="00EE4068"/>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EE4068"/>
    <w:rPr>
      <w:rFonts w:ascii="Consolas" w:hAnsi="Consolas" w:cs="Consolas"/>
      <w:sz w:val="21"/>
      <w:szCs w:val="21"/>
      <w:lang w:val="en-US"/>
    </w:rPr>
  </w:style>
  <w:style w:type="paragraph" w:styleId="FootnoteText">
    <w:name w:val="footnote text"/>
    <w:basedOn w:val="Normal"/>
    <w:link w:val="FootnoteTextChar"/>
    <w:uiPriority w:val="99"/>
    <w:semiHidden/>
    <w:unhideWhenUsed/>
    <w:rsid w:val="00D7333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3336"/>
    <w:rPr>
      <w:rFonts w:ascii="Calibri" w:eastAsia="Calibri" w:hAnsi="Calibri" w:cs="Times New Roman"/>
      <w:sz w:val="20"/>
      <w:szCs w:val="20"/>
    </w:rPr>
  </w:style>
  <w:style w:type="character" w:styleId="FootnoteReference">
    <w:name w:val="footnote reference"/>
    <w:uiPriority w:val="99"/>
    <w:semiHidden/>
    <w:unhideWhenUsed/>
    <w:rsid w:val="00D73336"/>
    <w:rPr>
      <w:vertAlign w:val="superscript"/>
    </w:rPr>
  </w:style>
  <w:style w:type="paragraph" w:customStyle="1" w:styleId="Default">
    <w:name w:val="Default"/>
    <w:rsid w:val="001560BE"/>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0A1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BE5"/>
  </w:style>
  <w:style w:type="paragraph" w:styleId="Footer">
    <w:name w:val="footer"/>
    <w:basedOn w:val="Normal"/>
    <w:link w:val="FooterChar"/>
    <w:uiPriority w:val="99"/>
    <w:unhideWhenUsed/>
    <w:rsid w:val="000A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BE5"/>
  </w:style>
</w:styles>
</file>

<file path=word/webSettings.xml><?xml version="1.0" encoding="utf-8"?>
<w:webSettings xmlns:r="http://schemas.openxmlformats.org/officeDocument/2006/relationships" xmlns:w="http://schemas.openxmlformats.org/wordprocessingml/2006/main">
  <w:divs>
    <w:div w:id="43456420">
      <w:bodyDiv w:val="1"/>
      <w:marLeft w:val="0"/>
      <w:marRight w:val="0"/>
      <w:marTop w:val="0"/>
      <w:marBottom w:val="0"/>
      <w:divBdr>
        <w:top w:val="none" w:sz="0" w:space="0" w:color="auto"/>
        <w:left w:val="none" w:sz="0" w:space="0" w:color="auto"/>
        <w:bottom w:val="none" w:sz="0" w:space="0" w:color="auto"/>
        <w:right w:val="none" w:sz="0" w:space="0" w:color="auto"/>
      </w:divBdr>
    </w:div>
    <w:div w:id="146946328">
      <w:bodyDiv w:val="1"/>
      <w:marLeft w:val="0"/>
      <w:marRight w:val="0"/>
      <w:marTop w:val="0"/>
      <w:marBottom w:val="0"/>
      <w:divBdr>
        <w:top w:val="none" w:sz="0" w:space="0" w:color="auto"/>
        <w:left w:val="none" w:sz="0" w:space="0" w:color="auto"/>
        <w:bottom w:val="none" w:sz="0" w:space="0" w:color="auto"/>
        <w:right w:val="none" w:sz="0" w:space="0" w:color="auto"/>
      </w:divBdr>
    </w:div>
    <w:div w:id="256714027">
      <w:bodyDiv w:val="1"/>
      <w:marLeft w:val="0"/>
      <w:marRight w:val="0"/>
      <w:marTop w:val="0"/>
      <w:marBottom w:val="0"/>
      <w:divBdr>
        <w:top w:val="none" w:sz="0" w:space="0" w:color="auto"/>
        <w:left w:val="none" w:sz="0" w:space="0" w:color="auto"/>
        <w:bottom w:val="none" w:sz="0" w:space="0" w:color="auto"/>
        <w:right w:val="none" w:sz="0" w:space="0" w:color="auto"/>
      </w:divBdr>
    </w:div>
    <w:div w:id="431442560">
      <w:bodyDiv w:val="1"/>
      <w:marLeft w:val="0"/>
      <w:marRight w:val="0"/>
      <w:marTop w:val="0"/>
      <w:marBottom w:val="0"/>
      <w:divBdr>
        <w:top w:val="none" w:sz="0" w:space="0" w:color="auto"/>
        <w:left w:val="none" w:sz="0" w:space="0" w:color="auto"/>
        <w:bottom w:val="none" w:sz="0" w:space="0" w:color="auto"/>
        <w:right w:val="none" w:sz="0" w:space="0" w:color="auto"/>
      </w:divBdr>
    </w:div>
    <w:div w:id="536047393">
      <w:bodyDiv w:val="1"/>
      <w:marLeft w:val="0"/>
      <w:marRight w:val="0"/>
      <w:marTop w:val="0"/>
      <w:marBottom w:val="0"/>
      <w:divBdr>
        <w:top w:val="none" w:sz="0" w:space="0" w:color="auto"/>
        <w:left w:val="none" w:sz="0" w:space="0" w:color="auto"/>
        <w:bottom w:val="none" w:sz="0" w:space="0" w:color="auto"/>
        <w:right w:val="none" w:sz="0" w:space="0" w:color="auto"/>
      </w:divBdr>
    </w:div>
    <w:div w:id="948439997">
      <w:bodyDiv w:val="1"/>
      <w:marLeft w:val="0"/>
      <w:marRight w:val="0"/>
      <w:marTop w:val="0"/>
      <w:marBottom w:val="0"/>
      <w:divBdr>
        <w:top w:val="none" w:sz="0" w:space="0" w:color="auto"/>
        <w:left w:val="none" w:sz="0" w:space="0" w:color="auto"/>
        <w:bottom w:val="none" w:sz="0" w:space="0" w:color="auto"/>
        <w:right w:val="none" w:sz="0" w:space="0" w:color="auto"/>
      </w:divBdr>
    </w:div>
    <w:div w:id="1274939792">
      <w:bodyDiv w:val="1"/>
      <w:marLeft w:val="0"/>
      <w:marRight w:val="0"/>
      <w:marTop w:val="0"/>
      <w:marBottom w:val="0"/>
      <w:divBdr>
        <w:top w:val="none" w:sz="0" w:space="0" w:color="auto"/>
        <w:left w:val="none" w:sz="0" w:space="0" w:color="auto"/>
        <w:bottom w:val="none" w:sz="0" w:space="0" w:color="auto"/>
        <w:right w:val="none" w:sz="0" w:space="0" w:color="auto"/>
      </w:divBdr>
    </w:div>
    <w:div w:id="1706639210">
      <w:bodyDiv w:val="1"/>
      <w:marLeft w:val="0"/>
      <w:marRight w:val="0"/>
      <w:marTop w:val="0"/>
      <w:marBottom w:val="0"/>
      <w:divBdr>
        <w:top w:val="none" w:sz="0" w:space="0" w:color="auto"/>
        <w:left w:val="none" w:sz="0" w:space="0" w:color="auto"/>
        <w:bottom w:val="none" w:sz="0" w:space="0" w:color="auto"/>
        <w:right w:val="none" w:sz="0" w:space="0" w:color="auto"/>
      </w:divBdr>
    </w:div>
    <w:div w:id="21439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281CE-2145-4D38-AB1C-3C36FB30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8934</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2014-01-06T09:02:00Z</cp:lastPrinted>
  <dcterms:created xsi:type="dcterms:W3CDTF">2015-01-05T13:42:00Z</dcterms:created>
  <dcterms:modified xsi:type="dcterms:W3CDTF">2015-01-05T13:42:00Z</dcterms:modified>
</cp:coreProperties>
</file>