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B1" w:rsidRPr="00281633" w:rsidRDefault="002660B1" w:rsidP="002660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281633">
        <w:rPr>
          <w:rFonts w:asciiTheme="minorHAnsi" w:hAnsiTheme="minorHAnsi" w:cstheme="minorHAnsi"/>
          <w:bCs/>
          <w:szCs w:val="20"/>
          <w:lang w:val="es-ES_tradnl"/>
        </w:rPr>
        <w:t>CONV</w:t>
      </w:r>
      <w:r w:rsidR="0088714C" w:rsidRPr="00281633">
        <w:rPr>
          <w:rFonts w:asciiTheme="minorHAnsi" w:hAnsiTheme="minorHAnsi" w:cstheme="minorHAnsi"/>
          <w:bCs/>
          <w:szCs w:val="20"/>
          <w:lang w:val="es-ES_tradnl"/>
        </w:rPr>
        <w:t>ENCIÓN SOBRE LOS HUMEDALES</w:t>
      </w:r>
      <w:r w:rsidRPr="00281633">
        <w:rPr>
          <w:rFonts w:asciiTheme="minorHAnsi" w:hAnsiTheme="minorHAnsi" w:cstheme="minorHAnsi"/>
          <w:bCs/>
          <w:szCs w:val="20"/>
          <w:lang w:val="es-ES_tradnl"/>
        </w:rPr>
        <w:t xml:space="preserve"> (Ramsar, </w:t>
      </w:r>
      <w:r w:rsidR="00281633" w:rsidRPr="00281633">
        <w:rPr>
          <w:rFonts w:asciiTheme="minorHAnsi" w:hAnsiTheme="minorHAnsi" w:cstheme="minorHAnsi"/>
          <w:bCs/>
          <w:szCs w:val="20"/>
          <w:lang w:val="es-ES_tradnl"/>
        </w:rPr>
        <w:t>Irán</w:t>
      </w:r>
      <w:r w:rsidRPr="00281633">
        <w:rPr>
          <w:rFonts w:asciiTheme="minorHAnsi" w:hAnsiTheme="minorHAnsi" w:cstheme="minorHAnsi"/>
          <w:bCs/>
          <w:szCs w:val="20"/>
          <w:lang w:val="es-ES_tradnl"/>
        </w:rPr>
        <w:t>, 1971)</w:t>
      </w:r>
    </w:p>
    <w:p w:rsidR="002660B1" w:rsidRPr="00281633" w:rsidRDefault="002660B1" w:rsidP="002660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281633">
        <w:rPr>
          <w:rFonts w:asciiTheme="minorHAnsi" w:hAnsiTheme="minorHAnsi" w:cstheme="minorHAnsi"/>
          <w:bCs/>
          <w:szCs w:val="20"/>
          <w:lang w:val="es-ES_tradnl"/>
        </w:rPr>
        <w:t>48</w:t>
      </w:r>
      <w:r w:rsidR="0088714C" w:rsidRPr="00281633">
        <w:rPr>
          <w:rFonts w:asciiTheme="minorHAnsi" w:hAnsiTheme="minorHAnsi" w:cstheme="minorHAnsi"/>
          <w:bCs/>
          <w:szCs w:val="20"/>
          <w:lang w:val="es-ES_tradnl"/>
        </w:rPr>
        <w:t>ª Reunión del Comité Permanente</w:t>
      </w:r>
    </w:p>
    <w:p w:rsidR="002660B1" w:rsidRPr="00281633" w:rsidRDefault="002660B1" w:rsidP="002660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281633">
        <w:rPr>
          <w:rFonts w:asciiTheme="minorHAnsi" w:hAnsiTheme="minorHAnsi" w:cstheme="minorHAnsi"/>
          <w:bCs/>
          <w:szCs w:val="20"/>
          <w:lang w:val="es-ES_tradnl"/>
        </w:rPr>
        <w:t>Gland, S</w:t>
      </w:r>
      <w:r w:rsidR="0088714C" w:rsidRPr="00281633">
        <w:rPr>
          <w:rFonts w:asciiTheme="minorHAnsi" w:hAnsiTheme="minorHAnsi" w:cstheme="minorHAnsi"/>
          <w:bCs/>
          <w:szCs w:val="20"/>
          <w:lang w:val="es-ES_tradnl"/>
        </w:rPr>
        <w:t>uiza</w:t>
      </w:r>
      <w:r w:rsidRPr="00281633">
        <w:rPr>
          <w:rFonts w:asciiTheme="minorHAnsi" w:hAnsiTheme="minorHAnsi" w:cstheme="minorHAnsi"/>
          <w:bCs/>
          <w:szCs w:val="20"/>
          <w:lang w:val="es-ES_tradnl"/>
        </w:rPr>
        <w:t xml:space="preserve">, </w:t>
      </w:r>
      <w:r w:rsidR="00AD39A4" w:rsidRPr="00281633">
        <w:rPr>
          <w:rFonts w:asciiTheme="minorHAnsi" w:hAnsiTheme="minorHAnsi" w:cstheme="minorHAnsi"/>
          <w:bCs/>
          <w:szCs w:val="20"/>
          <w:lang w:val="es-ES_tradnl"/>
        </w:rPr>
        <w:t xml:space="preserve">26-30 </w:t>
      </w:r>
      <w:r w:rsidR="0088714C" w:rsidRPr="00281633">
        <w:rPr>
          <w:rFonts w:asciiTheme="minorHAnsi" w:hAnsiTheme="minorHAnsi" w:cstheme="minorHAnsi"/>
          <w:bCs/>
          <w:szCs w:val="20"/>
          <w:lang w:val="es-ES_tradnl"/>
        </w:rPr>
        <w:t xml:space="preserve">de enero de </w:t>
      </w:r>
      <w:r w:rsidRPr="00281633">
        <w:rPr>
          <w:rFonts w:asciiTheme="minorHAnsi" w:hAnsiTheme="minorHAnsi" w:cstheme="minorHAnsi"/>
          <w:bCs/>
          <w:szCs w:val="20"/>
          <w:lang w:val="es-ES_tradnl"/>
        </w:rPr>
        <w:t>2015</w:t>
      </w:r>
    </w:p>
    <w:p w:rsidR="00434554" w:rsidRPr="00281633" w:rsidRDefault="00434554">
      <w:pPr>
        <w:rPr>
          <w:lang w:val="es-ES_tradnl"/>
        </w:rPr>
      </w:pPr>
    </w:p>
    <w:p w:rsidR="002660B1" w:rsidRPr="00281633" w:rsidRDefault="002660B1">
      <w:pPr>
        <w:rPr>
          <w:lang w:val="es-ES_tradnl"/>
        </w:rPr>
      </w:pPr>
    </w:p>
    <w:p w:rsidR="002660B1" w:rsidRPr="00281633" w:rsidRDefault="002660B1" w:rsidP="002660B1">
      <w:pPr>
        <w:jc w:val="right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281633">
        <w:rPr>
          <w:rFonts w:asciiTheme="minorHAnsi" w:hAnsiTheme="minorHAnsi" w:cstheme="minorHAnsi"/>
          <w:b/>
          <w:sz w:val="28"/>
          <w:szCs w:val="28"/>
          <w:lang w:val="es-ES_tradnl"/>
        </w:rPr>
        <w:t>SC48-</w:t>
      </w:r>
      <w:r w:rsidR="0011563D" w:rsidRPr="00281633">
        <w:rPr>
          <w:rFonts w:asciiTheme="minorHAnsi" w:hAnsiTheme="minorHAnsi" w:cstheme="minorHAnsi"/>
          <w:b/>
          <w:sz w:val="28"/>
          <w:szCs w:val="28"/>
          <w:lang w:val="es-ES_tradnl"/>
        </w:rPr>
        <w:t>07</w:t>
      </w:r>
    </w:p>
    <w:p w:rsidR="001233DE" w:rsidRPr="00281633" w:rsidRDefault="001233DE" w:rsidP="001233DE">
      <w:pPr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:rsidR="00D94C75" w:rsidRPr="00281633" w:rsidRDefault="0027544C" w:rsidP="00D94C7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-Bold"/>
          <w:b/>
          <w:bCs/>
          <w:sz w:val="28"/>
          <w:szCs w:val="28"/>
          <w:lang w:val="es-ES_tradnl" w:eastAsia="en-US"/>
        </w:rPr>
      </w:pPr>
      <w:r w:rsidRPr="00281633">
        <w:rPr>
          <w:rFonts w:asciiTheme="minorHAnsi" w:eastAsiaTheme="minorHAnsi" w:hAnsiTheme="minorHAnsi" w:cs="Garamond-Bold"/>
          <w:b/>
          <w:bCs/>
          <w:sz w:val="28"/>
          <w:szCs w:val="28"/>
          <w:lang w:val="es-ES_tradnl" w:eastAsia="en-US"/>
        </w:rPr>
        <w:t>Orientaciones para las Partes Contratantes acerca del funcionamiento de la</w:t>
      </w:r>
      <w:r w:rsidR="004C7A23" w:rsidRPr="00281633">
        <w:rPr>
          <w:rFonts w:asciiTheme="minorHAnsi" w:eastAsiaTheme="minorHAnsi" w:hAnsiTheme="minorHAnsi" w:cs="Garamond-Bold"/>
          <w:b/>
          <w:bCs/>
          <w:sz w:val="28"/>
          <w:szCs w:val="28"/>
          <w:lang w:val="es-ES_tradnl" w:eastAsia="en-US"/>
        </w:rPr>
        <w:t xml:space="preserve"> COP12 </w:t>
      </w:r>
    </w:p>
    <w:p w:rsidR="00D94C75" w:rsidRPr="00281633" w:rsidRDefault="00D94C75" w:rsidP="00D94C7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E7270C" w:rsidRPr="00281633" w:rsidRDefault="00DC41AC" w:rsidP="00D94C7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  <w:r w:rsidRPr="00DC41AC">
        <w:rPr>
          <w:noProof/>
          <w:szCs w:val="20"/>
          <w:lang w:val="es-ES_tradnl"/>
        </w:rPr>
      </w:r>
      <w:r w:rsidRPr="00DC41AC">
        <w:rPr>
          <w:noProof/>
          <w:szCs w:val="20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width:460.05pt;height:54.0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">
            <v:textbox>
              <w:txbxContent>
                <w:p w:rsidR="00187410" w:rsidRPr="00AD63F8" w:rsidRDefault="00187410" w:rsidP="00E7270C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AD63F8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ES_tradnl"/>
                    </w:rPr>
                    <w:t xml:space="preserve">Acciones solicitadas: </w:t>
                  </w:r>
                </w:p>
                <w:p w:rsidR="00187410" w:rsidRPr="00FC4460" w:rsidRDefault="00187410" w:rsidP="00E7270C">
                  <w:pPr>
                    <w:pStyle w:val="ColorfulList-Accent11"/>
                    <w:numPr>
                      <w:ilvl w:val="0"/>
                      <w:numId w:val="12"/>
                    </w:numPr>
                    <w:spacing w:after="0" w:line="240" w:lineRule="auto"/>
                    <w:ind w:left="426" w:hanging="426"/>
                  </w:pPr>
                  <w:r w:rsidRPr="00AD63F8">
                    <w:rPr>
                      <w:lang w:val="es-ES_tradnl"/>
                    </w:rPr>
                    <w:t>Se invita al Comité Permanente a aprobar las siguientes orientaciones para comunicarlas a las Partes Contratantes</w:t>
                  </w:r>
                  <w:r>
                    <w:t>.</w:t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D94C75" w:rsidRPr="00281633" w:rsidRDefault="00D94C75" w:rsidP="00BA6D1A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</w:p>
    <w:p w:rsidR="00D94C75" w:rsidRPr="00281633" w:rsidRDefault="0088714C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281633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Antecedentes</w:t>
      </w:r>
    </w:p>
    <w:p w:rsidR="002447E7" w:rsidRPr="00281633" w:rsidRDefault="002447E7" w:rsidP="00146F43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</w:p>
    <w:p w:rsidR="005630B6" w:rsidRPr="00281633" w:rsidRDefault="0027544C" w:rsidP="006B633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El </w:t>
      </w:r>
      <w:r w:rsidR="0088714C" w:rsidRPr="00281633">
        <w:rPr>
          <w:rFonts w:asciiTheme="minorHAnsi" w:eastAsiaTheme="minorHAnsi" w:hAnsiTheme="minorHAnsi" w:cs="Garamond"/>
          <w:lang w:val="es-ES_tradnl"/>
        </w:rPr>
        <w:t>presente documento pr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oporciona información dirigida a </w:t>
      </w:r>
      <w:r w:rsidR="0088714C" w:rsidRPr="00281633">
        <w:rPr>
          <w:rFonts w:asciiTheme="minorHAnsi" w:eastAsiaTheme="minorHAnsi" w:hAnsiTheme="minorHAnsi" w:cs="Garamond"/>
          <w:lang w:val="es-ES_tradnl"/>
        </w:rPr>
        <w:t xml:space="preserve">todos los que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participan </w:t>
      </w:r>
      <w:r w:rsidR="00F17F73" w:rsidRPr="00281633">
        <w:rPr>
          <w:rFonts w:asciiTheme="minorHAnsi" w:eastAsiaTheme="minorHAnsi" w:hAnsiTheme="minorHAnsi" w:cs="Garamond"/>
          <w:lang w:val="es-ES_tradnl"/>
        </w:rPr>
        <w:t>en los procesos</w:t>
      </w:r>
      <w:r w:rsidR="0088714C" w:rsidRPr="00281633">
        <w:rPr>
          <w:rFonts w:asciiTheme="minorHAnsi" w:eastAsiaTheme="minorHAnsi" w:hAnsiTheme="minorHAnsi" w:cs="Garamond"/>
          <w:lang w:val="es-ES_tradnl"/>
        </w:rPr>
        <w:t xml:space="preserve"> de la Conferencia de las Partes Contratantes (COP) de la Convención de Ramsar y particularmente </w:t>
      </w:r>
      <w:r w:rsidR="0023287A" w:rsidRPr="00281633">
        <w:rPr>
          <w:rFonts w:asciiTheme="minorHAnsi" w:eastAsiaTheme="minorHAnsi" w:hAnsiTheme="minorHAnsi" w:cs="Garamond"/>
          <w:lang w:val="es-ES_tradnl"/>
        </w:rPr>
        <w:t>a</w:t>
      </w:r>
      <w:r w:rsidR="0088714C" w:rsidRPr="00281633">
        <w:rPr>
          <w:rFonts w:asciiTheme="minorHAnsi" w:eastAsiaTheme="minorHAnsi" w:hAnsiTheme="minorHAnsi" w:cs="Garamond"/>
          <w:lang w:val="es-ES_tradnl"/>
        </w:rPr>
        <w:t xml:space="preserve"> los delegados de las Partes Contratantes</w:t>
      </w:r>
      <w:r w:rsidR="004C7A23"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F35761" w:rsidRPr="00281633" w:rsidRDefault="00F35761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F35761" w:rsidRPr="00281633" w:rsidRDefault="0088714C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281633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Funcionamiento de la COP</w:t>
      </w:r>
    </w:p>
    <w:p w:rsidR="00F35761" w:rsidRPr="00281633" w:rsidRDefault="00F35761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F35761" w:rsidRPr="00281633" w:rsidRDefault="0023287A" w:rsidP="004B4F4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Por </w:t>
      </w:r>
      <w:r w:rsidR="0088714C" w:rsidRPr="00281633">
        <w:rPr>
          <w:rFonts w:asciiTheme="minorHAnsi" w:eastAsiaTheme="minorHAnsi" w:hAnsiTheme="minorHAnsi" w:cs="Garamond"/>
          <w:lang w:val="es-ES_tradnl"/>
        </w:rPr>
        <w:t>“</w:t>
      </w:r>
      <w:r w:rsidR="00F35761" w:rsidRPr="00281633">
        <w:rPr>
          <w:rFonts w:asciiTheme="minorHAnsi" w:eastAsiaTheme="minorHAnsi" w:hAnsiTheme="minorHAnsi" w:cs="Garamond"/>
          <w:lang w:val="es-ES_tradnl"/>
        </w:rPr>
        <w:t>COP</w:t>
      </w:r>
      <w:r w:rsidR="0088714C" w:rsidRPr="00281633">
        <w:rPr>
          <w:rFonts w:asciiTheme="minorHAnsi" w:eastAsiaTheme="minorHAnsi" w:hAnsiTheme="minorHAnsi" w:cs="Garamond"/>
          <w:lang w:val="es-ES_tradnl"/>
        </w:rPr>
        <w:t xml:space="preserve">” se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designa oficialmente a la </w:t>
      </w:r>
      <w:r w:rsidR="00F35761" w:rsidRPr="00281633">
        <w:rPr>
          <w:rFonts w:asciiTheme="minorHAnsi" w:eastAsiaTheme="minorHAnsi" w:hAnsiTheme="minorHAnsi" w:cs="Garamond"/>
          <w:lang w:val="es-ES_tradnl"/>
        </w:rPr>
        <w:t>“</w:t>
      </w:r>
      <w:r w:rsidR="0088714C" w:rsidRPr="00281633">
        <w:rPr>
          <w:rFonts w:asciiTheme="minorHAnsi" w:eastAsiaTheme="minorHAnsi" w:hAnsiTheme="minorHAnsi" w:cs="Garamond"/>
          <w:lang w:val="es-ES_tradnl"/>
        </w:rPr>
        <w:t>reunión ordinaria de la Conferencia de las Partes Contratantes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 en la Convención Relativa a los Humedales de Importancia Internacional Especialmente como Hábitat de Aves Acuáticas</w:t>
      </w:r>
      <w:r w:rsidR="00F35761" w:rsidRPr="00281633">
        <w:rPr>
          <w:rFonts w:asciiTheme="minorHAnsi" w:eastAsiaTheme="minorHAnsi" w:hAnsiTheme="minorHAnsi" w:cs="Garamond"/>
          <w:lang w:val="es-ES_tradnl"/>
        </w:rPr>
        <w:t xml:space="preserve"> (Ramsar, Ir</w:t>
      </w:r>
      <w:r w:rsidR="0088714C" w:rsidRPr="00281633">
        <w:rPr>
          <w:rFonts w:asciiTheme="minorHAnsi" w:eastAsiaTheme="minorHAnsi" w:hAnsiTheme="minorHAnsi" w:cs="Garamond"/>
          <w:lang w:val="es-ES_tradnl"/>
        </w:rPr>
        <w:t>á</w:t>
      </w:r>
      <w:r w:rsidR="00F35761" w:rsidRPr="00281633">
        <w:rPr>
          <w:rFonts w:asciiTheme="minorHAnsi" w:eastAsiaTheme="minorHAnsi" w:hAnsiTheme="minorHAnsi" w:cs="Garamond"/>
          <w:lang w:val="es-ES_tradnl"/>
        </w:rPr>
        <w:t>n, 1971)”, o</w:t>
      </w:r>
      <w:r w:rsidR="0088714C" w:rsidRPr="00281633">
        <w:rPr>
          <w:rFonts w:asciiTheme="minorHAnsi" w:eastAsiaTheme="minorHAnsi" w:hAnsiTheme="minorHAnsi" w:cs="Garamond"/>
          <w:lang w:val="es-ES_tradnl"/>
        </w:rPr>
        <w:t xml:space="preserve">, </w:t>
      </w:r>
      <w:r w:rsidR="0060476E" w:rsidRPr="00281633">
        <w:rPr>
          <w:rFonts w:asciiTheme="minorHAnsi" w:eastAsiaTheme="minorHAnsi" w:hAnsiTheme="minorHAnsi" w:cs="Garamond"/>
          <w:lang w:val="es-ES_tradnl"/>
        </w:rPr>
        <w:t xml:space="preserve">en su uso común, a la </w:t>
      </w:r>
      <w:r w:rsidR="00F35761" w:rsidRPr="00281633">
        <w:rPr>
          <w:rFonts w:asciiTheme="minorHAnsi" w:eastAsiaTheme="minorHAnsi" w:hAnsiTheme="minorHAnsi" w:cs="Garamond"/>
          <w:lang w:val="es-ES_tradnl"/>
        </w:rPr>
        <w:t>“</w:t>
      </w:r>
      <w:r w:rsidR="0088714C" w:rsidRPr="00281633">
        <w:rPr>
          <w:rFonts w:asciiTheme="minorHAnsi" w:eastAsiaTheme="minorHAnsi" w:hAnsiTheme="minorHAnsi" w:cs="Garamond"/>
          <w:lang w:val="es-ES_tradnl"/>
        </w:rPr>
        <w:t>reunión de la Conferencia de las Partes</w:t>
      </w:r>
      <w:r w:rsidR="00F35761" w:rsidRPr="00281633">
        <w:rPr>
          <w:rFonts w:asciiTheme="minorHAnsi" w:eastAsiaTheme="minorHAnsi" w:hAnsiTheme="minorHAnsi" w:cs="Garamond"/>
          <w:lang w:val="es-ES_tradnl"/>
        </w:rPr>
        <w:t>”.</w:t>
      </w:r>
    </w:p>
    <w:p w:rsidR="00F35761" w:rsidRPr="00281633" w:rsidRDefault="00F35761" w:rsidP="004B4F43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F35761" w:rsidRPr="00281633" w:rsidRDefault="00165B79" w:rsidP="004B4F4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>La Convención de Ra</w:t>
      </w:r>
      <w:r w:rsidR="00F17F73" w:rsidRPr="00281633">
        <w:rPr>
          <w:rFonts w:asciiTheme="minorHAnsi" w:eastAsiaTheme="minorHAnsi" w:hAnsiTheme="minorHAnsi" w:cs="Garamond"/>
          <w:lang w:val="es-ES_tradnl"/>
        </w:rPr>
        <w:t>msar aplica un ciclo trienal</w:t>
      </w:r>
      <w:r w:rsidRPr="00281633">
        <w:rPr>
          <w:rFonts w:asciiTheme="minorHAnsi" w:eastAsiaTheme="minorHAnsi" w:hAnsiTheme="minorHAnsi" w:cs="Garamond"/>
          <w:lang w:val="es-ES_tradnl"/>
        </w:rPr>
        <w:t>, y la COP se reúne una vez cada tres años. La Conferencia de las Partes Contratantes es el órgano encargado de la adopc</w:t>
      </w:r>
      <w:r w:rsidR="00F17F73" w:rsidRPr="00281633">
        <w:rPr>
          <w:rFonts w:asciiTheme="minorHAnsi" w:eastAsiaTheme="minorHAnsi" w:hAnsiTheme="minorHAnsi" w:cs="Garamond"/>
          <w:lang w:val="es-ES_tradnl"/>
        </w:rPr>
        <w:t>ión de decisiones de la Conv</w:t>
      </w:r>
      <w:r w:rsidRPr="00281633">
        <w:rPr>
          <w:rFonts w:asciiTheme="minorHAnsi" w:eastAsiaTheme="minorHAnsi" w:hAnsiTheme="minorHAnsi" w:cs="Garamond"/>
          <w:lang w:val="es-ES_tradnl"/>
        </w:rPr>
        <w:t>ención, y la C</w:t>
      </w:r>
      <w:r w:rsidR="00F35761" w:rsidRPr="00281633">
        <w:rPr>
          <w:rFonts w:asciiTheme="minorHAnsi" w:eastAsiaTheme="minorHAnsi" w:hAnsiTheme="minorHAnsi" w:cs="Garamond"/>
          <w:lang w:val="es-ES_tradnl"/>
        </w:rPr>
        <w:t xml:space="preserve">OP </w:t>
      </w:r>
      <w:r w:rsidRPr="00281633">
        <w:rPr>
          <w:rFonts w:asciiTheme="minorHAnsi" w:eastAsiaTheme="minorHAnsi" w:hAnsiTheme="minorHAnsi" w:cs="Garamond"/>
          <w:lang w:val="es-ES_tradnl"/>
        </w:rPr>
        <w:t>constituye el proceso fundamental del que disponen las Partes para evaluar los progresos realizados hasta ese momento, así como para debatir y acordar decisiones y acciones con miras a la futura</w:t>
      </w:r>
      <w:r w:rsidR="00F17F73" w:rsidRPr="00281633">
        <w:rPr>
          <w:rFonts w:asciiTheme="minorHAnsi" w:eastAsiaTheme="minorHAnsi" w:hAnsiTheme="minorHAnsi" w:cs="Garamond"/>
          <w:lang w:val="es-ES_tradnl"/>
        </w:rPr>
        <w:t xml:space="preserve"> aplicación de la Convención, como por ejemplo </w:t>
      </w:r>
      <w:r w:rsidRPr="00281633">
        <w:rPr>
          <w:rFonts w:asciiTheme="minorHAnsi" w:eastAsiaTheme="minorHAnsi" w:hAnsiTheme="minorHAnsi" w:cs="Garamond"/>
          <w:lang w:val="es-ES_tradnl"/>
        </w:rPr>
        <w:t>acordar las orientaciones estratégicas y adoptar el presupuesto básico de la Convención para los siguientes tres años.</w:t>
      </w:r>
    </w:p>
    <w:p w:rsidR="000E19EC" w:rsidRPr="00281633" w:rsidRDefault="000E19EC" w:rsidP="00146F43">
      <w:pPr>
        <w:autoSpaceDE w:val="0"/>
        <w:autoSpaceDN w:val="0"/>
        <w:adjustRightInd w:val="0"/>
        <w:ind w:left="360"/>
        <w:rPr>
          <w:rFonts w:asciiTheme="minorHAnsi" w:eastAsiaTheme="minorHAnsi" w:hAnsiTheme="minorHAnsi" w:cs="Garamond-Bold"/>
          <w:b/>
          <w:bCs/>
          <w:sz w:val="22"/>
          <w:szCs w:val="22"/>
          <w:lang w:val="es-ES_tradnl"/>
        </w:rPr>
      </w:pPr>
    </w:p>
    <w:p w:rsidR="00F35761" w:rsidRPr="00281633" w:rsidRDefault="00165B79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281633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Reglamento de la COP</w:t>
      </w:r>
    </w:p>
    <w:p w:rsidR="00F35761" w:rsidRPr="00281633" w:rsidRDefault="00F35761" w:rsidP="00BD0330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F1FBB" w:rsidRPr="00281633" w:rsidRDefault="00165B79" w:rsidP="00BD033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El “Reglamento” para el funcionamiento de la COP se examina y adopta al comienzo de cada COP y, a partir de ese momento, rige todos los procesos de la COP y permanece en vigor hasta el comienzo de la siguiente </w:t>
      </w:r>
      <w:r w:rsidR="00F35761" w:rsidRPr="00281633">
        <w:rPr>
          <w:rFonts w:asciiTheme="minorHAnsi" w:eastAsiaTheme="minorHAnsi" w:hAnsiTheme="minorHAnsi" w:cs="Garamond"/>
          <w:lang w:val="es-ES_tradnl"/>
        </w:rPr>
        <w:t xml:space="preserve">COP. </w:t>
      </w:r>
      <w:r w:rsidRPr="00281633">
        <w:rPr>
          <w:rFonts w:asciiTheme="minorHAnsi" w:eastAsiaTheme="minorHAnsi" w:hAnsiTheme="minorHAnsi" w:cs="Garamond"/>
          <w:lang w:val="es-ES_tradnl"/>
        </w:rPr>
        <w:t>El actual Reglamento, adoptado por la COP</w:t>
      </w:r>
      <w:r w:rsidR="00E656E6" w:rsidRPr="00281633">
        <w:rPr>
          <w:rFonts w:asciiTheme="minorHAnsi" w:eastAsiaTheme="minorHAnsi" w:hAnsiTheme="minorHAnsi" w:cs="Garamond"/>
          <w:lang w:val="es-ES_tradnl"/>
        </w:rPr>
        <w:t>11</w:t>
      </w:r>
      <w:r w:rsidRPr="00281633">
        <w:rPr>
          <w:rFonts w:asciiTheme="minorHAnsi" w:eastAsiaTheme="minorHAnsi" w:hAnsiTheme="minorHAnsi" w:cs="Garamond"/>
          <w:lang w:val="es-ES_tradnl"/>
        </w:rPr>
        <w:t>, se puede consultar en la dirección</w:t>
      </w:r>
      <w:r w:rsidR="00F35761" w:rsidRPr="00281633">
        <w:rPr>
          <w:rFonts w:asciiTheme="minorHAnsi" w:eastAsiaTheme="minorHAnsi" w:hAnsiTheme="minorHAnsi" w:cs="Garamond"/>
          <w:lang w:val="es-ES_tradnl"/>
        </w:rPr>
        <w:t>:</w:t>
      </w:r>
      <w:r w:rsidR="006B6339" w:rsidRPr="00281633">
        <w:rPr>
          <w:rFonts w:asciiTheme="minorHAnsi" w:eastAsiaTheme="minorHAnsi" w:hAnsiTheme="minorHAnsi" w:cs="Garamond"/>
          <w:lang w:val="es-ES_tradnl"/>
        </w:rPr>
        <w:t xml:space="preserve"> </w:t>
      </w:r>
      <w:hyperlink r:id="rId8" w:history="1">
        <w:r w:rsidR="00EA34C9" w:rsidRPr="00FE7574">
          <w:rPr>
            <w:rStyle w:val="Hyperlink"/>
            <w:rFonts w:asciiTheme="minorHAnsi" w:eastAsiaTheme="minorHAnsi" w:hAnsiTheme="minorHAnsi" w:cs="Garamond"/>
            <w:lang w:val="es-ES_tradnl"/>
          </w:rPr>
          <w:t>http://ramsar.rgis.ch/pd</w:t>
        </w:r>
        <w:r w:rsidR="00EA34C9" w:rsidRPr="00FE7574">
          <w:rPr>
            <w:rStyle w:val="Hyperlink"/>
            <w:rFonts w:asciiTheme="minorHAnsi" w:eastAsiaTheme="minorHAnsi" w:hAnsiTheme="minorHAnsi" w:cs="Garamond"/>
            <w:lang w:val="es-ES_tradnl"/>
          </w:rPr>
          <w:t>f</w:t>
        </w:r>
        <w:r w:rsidR="00EA34C9" w:rsidRPr="00FE7574">
          <w:rPr>
            <w:rStyle w:val="Hyperlink"/>
            <w:rFonts w:asciiTheme="minorHAnsi" w:eastAsiaTheme="minorHAnsi" w:hAnsiTheme="minorHAnsi" w:cs="Garamond"/>
            <w:lang w:val="es-ES_tradnl"/>
          </w:rPr>
          <w:t>/cop11/doc/cop11-doc02-s-rules-final.pdf</w:t>
        </w:r>
      </w:hyperlink>
      <w:r w:rsidR="00997FD4" w:rsidRPr="00281633">
        <w:rPr>
          <w:rFonts w:asciiTheme="minorHAnsi" w:eastAsiaTheme="minorHAnsi" w:hAnsiTheme="minorHAnsi" w:cs="Garamond"/>
          <w:lang w:val="es-ES_tradnl"/>
        </w:rPr>
        <w:t xml:space="preserve">.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Se insta encarecidamente a los delegados de la </w:t>
      </w:r>
      <w:r w:rsidR="00F35761" w:rsidRPr="00281633">
        <w:rPr>
          <w:rFonts w:asciiTheme="minorHAnsi" w:eastAsiaTheme="minorHAnsi" w:hAnsiTheme="minorHAnsi" w:cs="Garamond"/>
          <w:lang w:val="es-ES_tradnl"/>
        </w:rPr>
        <w:t xml:space="preserve">COP </w:t>
      </w:r>
      <w:r w:rsidRPr="00281633">
        <w:rPr>
          <w:rFonts w:asciiTheme="minorHAnsi" w:eastAsiaTheme="minorHAnsi" w:hAnsiTheme="minorHAnsi" w:cs="Garamond"/>
          <w:lang w:val="es-ES_tradnl"/>
        </w:rPr>
        <w:t>a que se familiaricen con el Reglamento de la COP</w:t>
      </w:r>
      <w:r w:rsidR="00F35761" w:rsidRPr="00281633">
        <w:rPr>
          <w:rFonts w:asciiTheme="minorHAnsi" w:eastAsiaTheme="minorHAnsi" w:hAnsiTheme="minorHAnsi" w:cs="Garamond"/>
          <w:lang w:val="es-ES_tradnl"/>
        </w:rPr>
        <w:t>.</w:t>
      </w:r>
      <w:r w:rsidR="00E656E6" w:rsidRPr="00281633">
        <w:rPr>
          <w:rFonts w:asciiTheme="minorHAnsi" w:eastAsiaTheme="minorHAnsi" w:hAnsiTheme="minorHAnsi" w:cs="Garamond"/>
          <w:lang w:val="es-ES_tradnl"/>
        </w:rPr>
        <w:t xml:space="preserve"> </w:t>
      </w:r>
    </w:p>
    <w:p w:rsidR="001F1FBB" w:rsidRPr="00281633" w:rsidRDefault="001F1FBB" w:rsidP="00BD0330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F1FBB" w:rsidRPr="00281633" w:rsidRDefault="00165B79" w:rsidP="00BD033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Los delegados también deberían tomar nota de que se ha realizado una revisión exhaustiva del Reglamento actual y </w:t>
      </w:r>
      <w:r w:rsidR="00997FD4" w:rsidRPr="00281633">
        <w:rPr>
          <w:rFonts w:asciiTheme="minorHAnsi" w:eastAsiaTheme="minorHAnsi" w:hAnsiTheme="minorHAnsi" w:cs="Garamond"/>
          <w:lang w:val="es-ES_tradnl"/>
        </w:rPr>
        <w:t xml:space="preserve">de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que las enmiendas propuestas se encuentran en el documento </w:t>
      </w:r>
      <w:r w:rsidR="001F1FBB" w:rsidRPr="00281633">
        <w:rPr>
          <w:rFonts w:asciiTheme="minorHAnsi" w:eastAsiaTheme="minorHAnsi" w:hAnsiTheme="minorHAnsi" w:cs="Garamond"/>
          <w:lang w:val="es-ES_tradnl"/>
        </w:rPr>
        <w:t>SC48-</w:t>
      </w:r>
      <w:r w:rsidR="0017359A" w:rsidRPr="00281633">
        <w:rPr>
          <w:rFonts w:asciiTheme="minorHAnsi" w:eastAsiaTheme="minorHAnsi" w:hAnsiTheme="minorHAnsi" w:cs="Garamond"/>
          <w:lang w:val="es-ES_tradnl"/>
        </w:rPr>
        <w:t>03</w:t>
      </w:r>
      <w:r w:rsidR="00997FD4" w:rsidRPr="00281633">
        <w:rPr>
          <w:rFonts w:asciiTheme="minorHAnsi" w:eastAsiaTheme="minorHAnsi" w:hAnsiTheme="minorHAnsi" w:cs="Garamond"/>
          <w:lang w:val="es-ES_tradnl"/>
        </w:rPr>
        <w:t xml:space="preserve">, que se presenta </w:t>
      </w:r>
      <w:r w:rsidRPr="00281633">
        <w:rPr>
          <w:rFonts w:asciiTheme="minorHAnsi" w:eastAsiaTheme="minorHAnsi" w:hAnsiTheme="minorHAnsi" w:cs="Garamond"/>
          <w:lang w:val="es-ES_tradnl"/>
        </w:rPr>
        <w:t>para la consideración del Comité Pe</w:t>
      </w:r>
      <w:r w:rsidR="00997FD4" w:rsidRPr="00281633">
        <w:rPr>
          <w:rFonts w:asciiTheme="minorHAnsi" w:eastAsiaTheme="minorHAnsi" w:hAnsiTheme="minorHAnsi" w:cs="Garamond"/>
          <w:lang w:val="es-ES_tradnl"/>
        </w:rPr>
        <w:t>rmanente</w:t>
      </w:r>
      <w:r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E656E6" w:rsidRPr="00281633" w:rsidRDefault="00E656E6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E656E6" w:rsidRPr="00281633" w:rsidRDefault="00E656E6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281633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lastRenderedPageBreak/>
        <w:t>Nego</w:t>
      </w:r>
      <w:r w:rsidR="00165B79" w:rsidRPr="00281633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ciación y adopción de Resoluciones</w:t>
      </w:r>
    </w:p>
    <w:p w:rsidR="00E656E6" w:rsidRPr="00281633" w:rsidRDefault="00E656E6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F1FBB" w:rsidRPr="00281633" w:rsidRDefault="00165B79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La </w:t>
      </w:r>
      <w:r w:rsidRPr="00281633">
        <w:rPr>
          <w:rFonts w:asciiTheme="minorHAnsi" w:eastAsiaTheme="minorHAnsi" w:hAnsiTheme="minorHAnsi" w:cs="Garamond-Bold"/>
          <w:b/>
          <w:bCs/>
          <w:lang w:val="es-ES_tradnl"/>
        </w:rPr>
        <w:t>labor fundamental</w:t>
      </w:r>
      <w:r w:rsidR="001F1FBB" w:rsidRPr="00281633">
        <w:rPr>
          <w:rFonts w:asciiTheme="minorHAnsi" w:eastAsiaTheme="minorHAnsi" w:hAnsiTheme="minorHAnsi" w:cs="Garamond-Bold"/>
          <w:b/>
          <w:bCs/>
          <w:lang w:val="es-ES_tradnl"/>
        </w:rPr>
        <w:t xml:space="preserve"> </w:t>
      </w:r>
      <w:r w:rsidRPr="00281633">
        <w:rPr>
          <w:rFonts w:asciiTheme="minorHAnsi" w:eastAsiaTheme="minorHAnsi" w:hAnsiTheme="minorHAnsi" w:cs="Garamond"/>
          <w:lang w:val="es-ES_tradnl"/>
        </w:rPr>
        <w:t>de la COP consiste en negociar y adoptar Resoluciones</w:t>
      </w:r>
      <w:r w:rsidR="0055242F" w:rsidRPr="00281633">
        <w:rPr>
          <w:rFonts w:asciiTheme="minorHAnsi" w:eastAsiaTheme="minorHAnsi" w:hAnsiTheme="minorHAnsi" w:cs="Garamond"/>
          <w:lang w:val="es-ES_tradnl"/>
        </w:rPr>
        <w:t xml:space="preserve">, lo cual se realiza en el transcurso de dos sesiones plenarias diarias de tres horas, desde las 10:00 hasta las 13:00 horas y desde las 15:00 hasta las 18:00 </w:t>
      </w:r>
      <w:r w:rsidR="00997FD4" w:rsidRPr="00281633">
        <w:rPr>
          <w:rFonts w:asciiTheme="minorHAnsi" w:eastAsiaTheme="minorHAnsi" w:hAnsiTheme="minorHAnsi" w:cs="Garamond"/>
          <w:lang w:val="es-ES_tradnl"/>
        </w:rPr>
        <w:t xml:space="preserve">horas </w:t>
      </w:r>
      <w:r w:rsidR="0055242F" w:rsidRPr="00281633">
        <w:rPr>
          <w:rFonts w:asciiTheme="minorHAnsi" w:eastAsiaTheme="minorHAnsi" w:hAnsiTheme="minorHAnsi" w:cs="Garamond"/>
          <w:lang w:val="es-ES_tradnl"/>
        </w:rPr>
        <w:t>con interpretación simultánea</w:t>
      </w:r>
      <w:r w:rsidR="001F1FBB"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F35761" w:rsidRPr="00281633" w:rsidRDefault="00F35761" w:rsidP="005518CD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F1FBB" w:rsidRPr="00281633" w:rsidRDefault="0055242F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Las intervenciones y negociaciones </w:t>
      </w:r>
      <w:r w:rsidR="00997FD4" w:rsidRPr="00281633">
        <w:rPr>
          <w:rFonts w:asciiTheme="minorHAnsi" w:eastAsiaTheme="minorHAnsi" w:hAnsiTheme="minorHAnsi" w:cs="Garamond"/>
          <w:lang w:val="es-ES_tradnl"/>
        </w:rPr>
        <w:t xml:space="preserve">que tienen lugar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durante la COP </w:t>
      </w:r>
      <w:r w:rsidR="00997FD4" w:rsidRPr="00281633">
        <w:rPr>
          <w:rFonts w:asciiTheme="minorHAnsi" w:eastAsiaTheme="minorHAnsi" w:hAnsiTheme="minorHAnsi" w:cs="Garamond"/>
          <w:lang w:val="es-ES_tradnl"/>
        </w:rPr>
        <w:t xml:space="preserve">están regidas </w:t>
      </w:r>
      <w:r w:rsidRPr="00281633">
        <w:rPr>
          <w:rFonts w:asciiTheme="minorHAnsi" w:eastAsiaTheme="minorHAnsi" w:hAnsiTheme="minorHAnsi" w:cs="Garamond"/>
          <w:lang w:val="es-ES_tradnl"/>
        </w:rPr>
        <w:t>por el Reglamento. Al comienzo de l</w:t>
      </w:r>
      <w:r w:rsidR="00281633" w:rsidRPr="00281633">
        <w:rPr>
          <w:rFonts w:asciiTheme="minorHAnsi" w:eastAsiaTheme="minorHAnsi" w:hAnsiTheme="minorHAnsi" w:cs="Garamond"/>
          <w:lang w:val="es-ES_tradnl"/>
        </w:rPr>
        <w:t>a COP, todas las propuestas de R</w:t>
      </w:r>
      <w:r w:rsidRPr="00281633">
        <w:rPr>
          <w:rFonts w:asciiTheme="minorHAnsi" w:eastAsiaTheme="minorHAnsi" w:hAnsiTheme="minorHAnsi" w:cs="Garamond"/>
          <w:lang w:val="es-ES_tradnl"/>
        </w:rPr>
        <w:t>esolución se presentan en sesión plenaria. Si no hay objeciones a las mismas, o ninguna Parte Contratante propone cambios al texto,</w:t>
      </w:r>
      <w:r w:rsidR="00997FD4" w:rsidRPr="00281633">
        <w:rPr>
          <w:rFonts w:asciiTheme="minorHAnsi" w:eastAsiaTheme="minorHAnsi" w:hAnsiTheme="minorHAnsi" w:cs="Garamond"/>
          <w:lang w:val="es-ES_tradnl"/>
        </w:rPr>
        <w:t xml:space="preserve"> la COP adopta en ese instante</w:t>
      </w:r>
      <w:r w:rsidR="00187410" w:rsidRPr="00281633">
        <w:rPr>
          <w:rFonts w:asciiTheme="minorHAnsi" w:eastAsiaTheme="minorHAnsi" w:hAnsiTheme="minorHAnsi" w:cs="Garamond"/>
          <w:lang w:val="es-ES_tradnl"/>
        </w:rPr>
        <w:t xml:space="preserve"> la Resolución</w:t>
      </w:r>
      <w:r w:rsidRPr="00281633">
        <w:rPr>
          <w:rFonts w:asciiTheme="minorHAnsi" w:eastAsiaTheme="minorHAnsi" w:hAnsiTheme="minorHAnsi" w:cs="Garamond"/>
          <w:lang w:val="es-ES_tradnl"/>
        </w:rPr>
        <w:t>, sin cambios, y no hay ningún debate posterior sobre la misma</w:t>
      </w:r>
      <w:r w:rsidR="006B6339"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1F1FBB" w:rsidRPr="00281633" w:rsidRDefault="001F1FBB" w:rsidP="005518CD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7F38E9" w:rsidRPr="00281633" w:rsidRDefault="0055242F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>Si, por el contrario, una Parte Contratante presenta</w:t>
      </w:r>
      <w:r w:rsidR="00281633" w:rsidRPr="00281633">
        <w:rPr>
          <w:rFonts w:asciiTheme="minorHAnsi" w:eastAsiaTheme="minorHAnsi" w:hAnsiTheme="minorHAnsi" w:cs="Garamond"/>
          <w:lang w:val="es-ES_tradnl"/>
        </w:rPr>
        <w:t xml:space="preserve"> objeciones a una propuesta de R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esolución o propone suprimirla, añadirle texto o modificarlo, se intenta en primer lugar obtener el consenso </w:t>
      </w:r>
      <w:r w:rsidR="00187410" w:rsidRPr="00281633">
        <w:rPr>
          <w:rFonts w:asciiTheme="minorHAnsi" w:eastAsiaTheme="minorHAnsi" w:hAnsiTheme="minorHAnsi" w:cs="Garamond"/>
          <w:lang w:val="es-ES_tradnl"/>
        </w:rPr>
        <w:t>respecto de esos cambios en la sesión plenaria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. De lograrse el consenso, la Secretaría prepara y pone </w:t>
      </w:r>
      <w:r w:rsidR="00281633" w:rsidRPr="00281633">
        <w:rPr>
          <w:rFonts w:asciiTheme="minorHAnsi" w:eastAsiaTheme="minorHAnsi" w:hAnsiTheme="minorHAnsi" w:cs="Garamond"/>
          <w:lang w:val="es-ES_tradnl"/>
        </w:rPr>
        <w:t>a disposición una propuesta de R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esolución revisada (por ejemplo, </w:t>
      </w:r>
      <w:r w:rsidR="007F38E9" w:rsidRPr="00281633">
        <w:rPr>
          <w:rFonts w:asciiTheme="minorHAnsi" w:eastAsiaTheme="minorHAnsi" w:hAnsiTheme="minorHAnsi" w:cs="Garamond"/>
          <w:lang w:val="es-ES_tradnl"/>
        </w:rPr>
        <w:t>DR6, rev. 1)</w:t>
      </w:r>
      <w:r w:rsidR="004C7A23" w:rsidRPr="00281633">
        <w:rPr>
          <w:rFonts w:asciiTheme="minorHAnsi" w:eastAsiaTheme="minorHAnsi" w:hAnsiTheme="minorHAnsi" w:cs="Garamond"/>
          <w:lang w:val="es-ES_tradnl"/>
        </w:rPr>
        <w:t xml:space="preserve">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para su adopción </w:t>
      </w:r>
      <w:r w:rsidR="00187410" w:rsidRPr="00281633">
        <w:rPr>
          <w:rFonts w:asciiTheme="minorHAnsi" w:eastAsiaTheme="minorHAnsi" w:hAnsiTheme="minorHAnsi" w:cs="Garamond"/>
          <w:lang w:val="es-ES_tradnl"/>
        </w:rPr>
        <w:t>formal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 </w:t>
      </w:r>
      <w:r w:rsidR="00187410" w:rsidRPr="00281633">
        <w:rPr>
          <w:rFonts w:asciiTheme="minorHAnsi" w:eastAsiaTheme="minorHAnsi" w:hAnsiTheme="minorHAnsi" w:cs="Garamond"/>
          <w:lang w:val="es-ES_tradnl"/>
        </w:rPr>
        <w:t>posterior en la COP</w:t>
      </w:r>
      <w:r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1A0160" w:rsidRPr="00281633" w:rsidRDefault="001A0160" w:rsidP="005518CD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A0160" w:rsidRPr="00281633" w:rsidRDefault="0055242F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En caso de desacuerdo acerca de </w:t>
      </w:r>
      <w:r w:rsidR="00187410" w:rsidRPr="00281633">
        <w:rPr>
          <w:rFonts w:asciiTheme="minorHAnsi" w:eastAsiaTheme="minorHAnsi" w:hAnsiTheme="minorHAnsi" w:cs="Garamond"/>
          <w:lang w:val="es-ES_tradnl"/>
        </w:rPr>
        <w:t>algún aspecto</w:t>
      </w:r>
      <w:r w:rsidR="00281633" w:rsidRPr="00281633">
        <w:rPr>
          <w:rFonts w:asciiTheme="minorHAnsi" w:eastAsiaTheme="minorHAnsi" w:hAnsiTheme="minorHAnsi" w:cs="Garamond"/>
          <w:lang w:val="es-ES_tradnl"/>
        </w:rPr>
        <w:t xml:space="preserve"> del texto de una propuesta de R</w:t>
      </w:r>
      <w:r w:rsidRPr="00281633">
        <w:rPr>
          <w:rFonts w:asciiTheme="minorHAnsi" w:eastAsiaTheme="minorHAnsi" w:hAnsiTheme="minorHAnsi" w:cs="Garamond"/>
          <w:lang w:val="es-ES_tradnl"/>
        </w:rPr>
        <w:t>esolución, existen distintas opciones</w:t>
      </w:r>
      <w:r w:rsidR="001A0160" w:rsidRPr="00281633">
        <w:rPr>
          <w:rFonts w:asciiTheme="minorHAnsi" w:eastAsiaTheme="minorHAnsi" w:hAnsiTheme="minorHAnsi" w:cs="Garamond"/>
          <w:lang w:val="es-ES_tradnl"/>
        </w:rPr>
        <w:t>:</w:t>
      </w:r>
    </w:p>
    <w:p w:rsidR="001A0160" w:rsidRPr="00281633" w:rsidRDefault="001A0160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A0160" w:rsidRPr="00281633" w:rsidRDefault="0055242F" w:rsidP="00BA4D6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Si solo están en desacuerdo unas pocas Partes, el Presidente de la COP puede solicitar a esas </w:t>
      </w:r>
      <w:r w:rsidR="001A0160" w:rsidRPr="00281633">
        <w:rPr>
          <w:rFonts w:asciiTheme="minorHAnsi" w:eastAsiaTheme="minorHAnsi" w:hAnsiTheme="minorHAnsi" w:cs="Garamond"/>
          <w:b/>
          <w:lang w:val="es-ES_tradnl"/>
        </w:rPr>
        <w:t>Pa</w:t>
      </w:r>
      <w:r w:rsidRPr="00281633">
        <w:rPr>
          <w:rFonts w:asciiTheme="minorHAnsi" w:eastAsiaTheme="minorHAnsi" w:hAnsiTheme="minorHAnsi" w:cs="Garamond"/>
          <w:b/>
          <w:lang w:val="es-ES_tradnl"/>
        </w:rPr>
        <w:t xml:space="preserve">rtes que entablen debates </w:t>
      </w:r>
      <w:r w:rsidR="00187410" w:rsidRPr="00281633">
        <w:rPr>
          <w:rFonts w:asciiTheme="minorHAnsi" w:eastAsiaTheme="minorHAnsi" w:hAnsiTheme="minorHAnsi" w:cs="Garamond"/>
          <w:b/>
          <w:lang w:val="es-ES_tradnl"/>
        </w:rPr>
        <w:t>informales</w:t>
      </w:r>
      <w:r w:rsidRPr="00281633">
        <w:rPr>
          <w:rFonts w:asciiTheme="minorHAnsi" w:eastAsiaTheme="minorHAnsi" w:hAnsiTheme="minorHAnsi" w:cs="Garamond"/>
          <w:b/>
          <w:lang w:val="es-ES_tradnl"/>
        </w:rPr>
        <w:t xml:space="preserve"> </w:t>
      </w:r>
      <w:r w:rsidRPr="00281633">
        <w:rPr>
          <w:rFonts w:asciiTheme="minorHAnsi" w:eastAsiaTheme="minorHAnsi" w:hAnsiTheme="minorHAnsi" w:cs="Garamond"/>
          <w:lang w:val="es-ES_tradnl"/>
        </w:rPr>
        <w:t>para tratar de lograr un acuerdo e informen de sus resultados a la sesión plenaria.</w:t>
      </w:r>
    </w:p>
    <w:p w:rsidR="001A0160" w:rsidRPr="00281633" w:rsidRDefault="001A0160" w:rsidP="00BA4D61">
      <w:pPr>
        <w:autoSpaceDE w:val="0"/>
        <w:autoSpaceDN w:val="0"/>
        <w:adjustRightInd w:val="0"/>
        <w:ind w:left="851" w:hanging="425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A0160" w:rsidRPr="00281633" w:rsidRDefault="0055242F" w:rsidP="00BA4D6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Si queda claro que es necesario </w:t>
      </w:r>
      <w:r w:rsidR="00FC0080" w:rsidRPr="00281633">
        <w:rPr>
          <w:rFonts w:asciiTheme="minorHAnsi" w:eastAsiaTheme="minorHAnsi" w:hAnsiTheme="minorHAnsi" w:cs="Garamond"/>
          <w:lang w:val="es-ES_tradnl"/>
        </w:rPr>
        <w:t xml:space="preserve">invertir más trabajo </w:t>
      </w:r>
      <w:r w:rsidR="00281633" w:rsidRPr="00281633">
        <w:rPr>
          <w:rFonts w:asciiTheme="minorHAnsi" w:eastAsiaTheme="minorHAnsi" w:hAnsiTheme="minorHAnsi" w:cs="Garamond"/>
          <w:lang w:val="es-ES_tradnl"/>
        </w:rPr>
        <w:t>en el texto de la propuesta de R</w:t>
      </w:r>
      <w:r w:rsidR="00FC0080" w:rsidRPr="00281633">
        <w:rPr>
          <w:rFonts w:asciiTheme="minorHAnsi" w:eastAsiaTheme="minorHAnsi" w:hAnsiTheme="minorHAnsi" w:cs="Garamond"/>
          <w:lang w:val="es-ES_tradnl"/>
        </w:rPr>
        <w:t xml:space="preserve">esolución, el Presidente de la COP puede pedir que </w:t>
      </w:r>
      <w:r w:rsidR="00FC0080" w:rsidRPr="00281633">
        <w:rPr>
          <w:rFonts w:asciiTheme="minorHAnsi" w:eastAsiaTheme="minorHAnsi" w:hAnsiTheme="minorHAnsi" w:cs="Garamond"/>
          <w:b/>
          <w:lang w:val="es-ES_tradnl"/>
        </w:rPr>
        <w:t xml:space="preserve">todas las Partes y los observadores interesados formen un “grupo de trabajo informal” </w:t>
      </w:r>
      <w:r w:rsidR="00FC0080" w:rsidRPr="00281633">
        <w:rPr>
          <w:rFonts w:asciiTheme="minorHAnsi" w:eastAsiaTheme="minorHAnsi" w:hAnsiTheme="minorHAnsi" w:cs="Garamond"/>
          <w:lang w:val="es-ES_tradnl"/>
        </w:rPr>
        <w:t>con objeto de que se consulten entre sí y finalicen un nuevo proyecto de texto</w:t>
      </w:r>
      <w:r w:rsidR="001A0160"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1A0160" w:rsidRPr="00281633" w:rsidRDefault="001A0160" w:rsidP="00BA4D61">
      <w:pPr>
        <w:autoSpaceDE w:val="0"/>
        <w:autoSpaceDN w:val="0"/>
        <w:adjustRightInd w:val="0"/>
        <w:ind w:left="851" w:hanging="425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A0160" w:rsidRPr="00281633" w:rsidRDefault="00FC0080" w:rsidP="00BA4D6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Si existe un desacuerdo importante </w:t>
      </w:r>
      <w:r w:rsidR="00187410" w:rsidRPr="00281633">
        <w:rPr>
          <w:rFonts w:asciiTheme="minorHAnsi" w:eastAsiaTheme="minorHAnsi" w:hAnsiTheme="minorHAnsi" w:cs="Garamond"/>
          <w:lang w:val="es-ES_tradnl"/>
        </w:rPr>
        <w:t>en el texto entre varias Partes</w:t>
      </w:r>
      <w:r w:rsidR="000B1785" w:rsidRPr="00281633">
        <w:rPr>
          <w:rFonts w:asciiTheme="minorHAnsi" w:eastAsiaTheme="minorHAnsi" w:hAnsiTheme="minorHAnsi" w:cs="Garamond"/>
          <w:lang w:val="es-ES_tradnl"/>
        </w:rPr>
        <w:t xml:space="preserve"> o grupos de Partes, el Presidente de la COP puede solicitar la creación de un </w:t>
      </w:r>
      <w:r w:rsidR="001A0160" w:rsidRPr="00281633">
        <w:rPr>
          <w:rFonts w:asciiTheme="minorHAnsi" w:eastAsiaTheme="minorHAnsi" w:hAnsiTheme="minorHAnsi" w:cs="Garamond-Bold"/>
          <w:b/>
          <w:bCs/>
          <w:lang w:val="es-ES_tradnl"/>
        </w:rPr>
        <w:t>“</w:t>
      </w:r>
      <w:r w:rsidR="000B1785" w:rsidRPr="00281633">
        <w:rPr>
          <w:rFonts w:asciiTheme="minorHAnsi" w:eastAsiaTheme="minorHAnsi" w:hAnsiTheme="minorHAnsi" w:cs="Garamond-Bold"/>
          <w:b/>
          <w:bCs/>
          <w:lang w:val="es-ES_tradnl"/>
        </w:rPr>
        <w:t xml:space="preserve">grupo de </w:t>
      </w:r>
      <w:r w:rsidR="001A0160" w:rsidRPr="00281633">
        <w:rPr>
          <w:rFonts w:asciiTheme="minorHAnsi" w:eastAsiaTheme="minorHAnsi" w:hAnsiTheme="minorHAnsi" w:cs="Garamond-Bold"/>
          <w:b/>
          <w:bCs/>
          <w:lang w:val="es-ES_tradnl"/>
        </w:rPr>
        <w:t>contact</w:t>
      </w:r>
      <w:r w:rsidR="000B1785" w:rsidRPr="00281633">
        <w:rPr>
          <w:rFonts w:asciiTheme="minorHAnsi" w:eastAsiaTheme="minorHAnsi" w:hAnsiTheme="minorHAnsi" w:cs="Garamond-Bold"/>
          <w:b/>
          <w:bCs/>
          <w:lang w:val="es-ES_tradnl"/>
        </w:rPr>
        <w:t>o</w:t>
      </w:r>
      <w:r w:rsidR="001A0160" w:rsidRPr="00281633">
        <w:rPr>
          <w:rFonts w:asciiTheme="minorHAnsi" w:eastAsiaTheme="minorHAnsi" w:hAnsiTheme="minorHAnsi" w:cs="Garamond-Bold"/>
          <w:b/>
          <w:bCs/>
          <w:lang w:val="es-ES_tradnl"/>
        </w:rPr>
        <w:t>”</w:t>
      </w:r>
      <w:r w:rsidR="000B1785" w:rsidRPr="00281633">
        <w:rPr>
          <w:rFonts w:asciiTheme="minorHAnsi" w:eastAsiaTheme="minorHAnsi" w:hAnsiTheme="minorHAnsi" w:cs="Garamond"/>
          <w:lang w:val="es-ES_tradnl"/>
        </w:rPr>
        <w:t xml:space="preserve"> formal y pedir a una o varias Partes que lo presidan. Normalmente no es posible dotar a dichos grupos con servicios de interpretación</w:t>
      </w:r>
      <w:r w:rsidR="001A0160"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7F38E9" w:rsidRPr="00281633" w:rsidRDefault="007F38E9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7F38E9" w:rsidRPr="00281633" w:rsidRDefault="000B1785" w:rsidP="00DC775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Los Comités y los grupos de contacto </w:t>
      </w:r>
      <w:r w:rsidR="00187410" w:rsidRPr="00281633">
        <w:rPr>
          <w:rFonts w:asciiTheme="minorHAnsi" w:eastAsiaTheme="minorHAnsi" w:hAnsiTheme="minorHAnsi" w:cs="Garamond"/>
          <w:lang w:val="es-ES_tradnl"/>
        </w:rPr>
        <w:t xml:space="preserve">de la COP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se reúnen entre sesiones durante la COP, es decir, por la mañana antes de que comience la sesión plenaria, durante las dos horas de pausa para el almuerzo y por la tarde </w:t>
      </w:r>
      <w:r w:rsidR="00187410" w:rsidRPr="00281633">
        <w:rPr>
          <w:rFonts w:asciiTheme="minorHAnsi" w:eastAsiaTheme="minorHAnsi" w:hAnsiTheme="minorHAnsi" w:cs="Garamond"/>
          <w:lang w:val="es-ES_tradnl"/>
        </w:rPr>
        <w:t xml:space="preserve">después de la sesión plenaria (y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a veces </w:t>
      </w:r>
      <w:r w:rsidR="00187410" w:rsidRPr="00281633">
        <w:rPr>
          <w:rFonts w:asciiTheme="minorHAnsi" w:eastAsiaTheme="minorHAnsi" w:hAnsiTheme="minorHAnsi" w:cs="Garamond"/>
          <w:lang w:val="es-ES_tradnl"/>
        </w:rPr>
        <w:t>durante la noche, si es preciso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). Los Comités y los grupos de contacto </w:t>
      </w:r>
      <w:r w:rsidR="00187410" w:rsidRPr="00281633">
        <w:rPr>
          <w:rFonts w:asciiTheme="minorHAnsi" w:eastAsiaTheme="minorHAnsi" w:hAnsiTheme="minorHAnsi" w:cs="Garamond"/>
          <w:lang w:val="es-ES_tradnl"/>
        </w:rPr>
        <w:t>de la COP continúan trabajando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 (a menudo celebran varias sesiones) hasta que alcanzan un acuerdo e informan de ello a la sesión plenaria. </w:t>
      </w:r>
      <w:r w:rsidR="00853A47" w:rsidRPr="00281633">
        <w:rPr>
          <w:rFonts w:asciiTheme="minorHAnsi" w:eastAsiaTheme="minorHAnsi" w:hAnsiTheme="minorHAnsi" w:cs="Garamond"/>
          <w:lang w:val="es-ES_tradnl"/>
        </w:rPr>
        <w:t>Normalmente no es posible dotar a dichos grupos con servicios de interpretación</w:t>
      </w:r>
      <w:r w:rsidR="00391C56" w:rsidRPr="00281633">
        <w:rPr>
          <w:rFonts w:asciiTheme="minorHAnsi" w:eastAsiaTheme="minorHAnsi" w:hAnsiTheme="minorHAnsi" w:cs="Garamond"/>
          <w:lang w:val="es-ES_tradnl"/>
        </w:rPr>
        <w:t xml:space="preserve">. </w:t>
      </w:r>
      <w:r w:rsidR="00187410" w:rsidRPr="00281633">
        <w:rPr>
          <w:rFonts w:asciiTheme="minorHAnsi" w:eastAsiaTheme="minorHAnsi" w:hAnsiTheme="minorHAnsi" w:cs="Garamond"/>
          <w:lang w:val="es-ES_tradnl"/>
        </w:rPr>
        <w:t>A continuación,</w:t>
      </w:r>
      <w:r w:rsidR="00853A47" w:rsidRPr="00281633">
        <w:rPr>
          <w:rFonts w:asciiTheme="minorHAnsi" w:eastAsiaTheme="minorHAnsi" w:hAnsiTheme="minorHAnsi" w:cs="Garamond"/>
          <w:lang w:val="es-ES_tradnl"/>
        </w:rPr>
        <w:t xml:space="preserve"> la Secretaría prepara un tex</w:t>
      </w:r>
      <w:r w:rsidR="00281633" w:rsidRPr="00281633">
        <w:rPr>
          <w:rFonts w:asciiTheme="minorHAnsi" w:eastAsiaTheme="minorHAnsi" w:hAnsiTheme="minorHAnsi" w:cs="Garamond"/>
          <w:lang w:val="es-ES_tradnl"/>
        </w:rPr>
        <w:t>to revisado de la propuesta de R</w:t>
      </w:r>
      <w:r w:rsidR="00853A47" w:rsidRPr="00281633">
        <w:rPr>
          <w:rFonts w:asciiTheme="minorHAnsi" w:eastAsiaTheme="minorHAnsi" w:hAnsiTheme="minorHAnsi" w:cs="Garamond"/>
          <w:lang w:val="es-ES_tradnl"/>
        </w:rPr>
        <w:t>esolución en cuestión para su posterior adopción en sesión plenaria</w:t>
      </w:r>
      <w:r w:rsidR="001A0160"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7F38E9" w:rsidRPr="00281633" w:rsidRDefault="007F38E9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7F38E9" w:rsidRPr="00281633" w:rsidRDefault="0025110E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281633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Una COP sin papel</w:t>
      </w:r>
    </w:p>
    <w:p w:rsidR="001A0160" w:rsidRPr="00281633" w:rsidRDefault="001A0160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b/>
          <w:sz w:val="22"/>
          <w:szCs w:val="22"/>
          <w:lang w:val="es-ES_tradnl" w:eastAsia="en-US"/>
        </w:rPr>
      </w:pPr>
    </w:p>
    <w:p w:rsidR="00AF63F3" w:rsidRPr="00281633" w:rsidRDefault="0025110E" w:rsidP="00DC775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Calibri-Bold"/>
          <w:bCs/>
          <w:lang w:val="es-ES_tradnl"/>
        </w:rPr>
      </w:pPr>
      <w:r w:rsidRPr="00281633">
        <w:rPr>
          <w:rFonts w:asciiTheme="minorHAnsi" w:eastAsiaTheme="minorHAnsi" w:hAnsiTheme="minorHAnsi" w:cs="Calibri-Bold"/>
          <w:bCs/>
          <w:lang w:val="es-ES_tradnl"/>
        </w:rPr>
        <w:t xml:space="preserve">A través de la Decisión </w:t>
      </w:r>
      <w:r w:rsidR="001A0160" w:rsidRPr="00281633">
        <w:rPr>
          <w:rFonts w:asciiTheme="minorHAnsi" w:eastAsiaTheme="minorHAnsi" w:hAnsiTheme="minorHAnsi" w:cs="Calibri-Bold"/>
          <w:bCs/>
          <w:lang w:val="es-ES_tradnl"/>
        </w:rPr>
        <w:t>SC47</w:t>
      </w:r>
      <w:r w:rsidR="001A0160" w:rsidRPr="00281633">
        <w:rPr>
          <w:rFonts w:asciiTheme="minorHAnsi" w:eastAsiaTheme="minorHAnsi" w:hAnsiTheme="minorHAnsi" w:cs="Cambria Math"/>
          <w:bCs/>
          <w:lang w:val="es-ES_tradnl"/>
        </w:rPr>
        <w:t>‐</w:t>
      </w:r>
      <w:r w:rsidR="001A0160" w:rsidRPr="00281633">
        <w:rPr>
          <w:rFonts w:asciiTheme="minorHAnsi" w:eastAsiaTheme="minorHAnsi" w:hAnsiTheme="minorHAnsi" w:cs="Calibri-Bold"/>
          <w:bCs/>
          <w:lang w:val="es-ES_tradnl"/>
        </w:rPr>
        <w:t>03</w:t>
      </w:r>
      <w:r w:rsidR="00057770" w:rsidRPr="00281633">
        <w:rPr>
          <w:rFonts w:asciiTheme="minorHAnsi" w:eastAsiaTheme="minorHAnsi" w:hAnsiTheme="minorHAnsi" w:cs="Calibri-Bold"/>
          <w:bCs/>
          <w:lang w:val="es-ES_tradnl"/>
        </w:rPr>
        <w:t xml:space="preserve">, </w:t>
      </w:r>
      <w:r w:rsidRPr="00281633">
        <w:rPr>
          <w:rFonts w:asciiTheme="minorHAnsi" w:eastAsiaTheme="minorHAnsi" w:hAnsiTheme="minorHAnsi" w:cs="Calibri-Bold"/>
          <w:bCs/>
          <w:lang w:val="es-ES_tradnl"/>
        </w:rPr>
        <w:t xml:space="preserve">el Comité Permanente aprobó que la COP12 </w:t>
      </w:r>
      <w:r w:rsidR="00187410" w:rsidRPr="00281633">
        <w:rPr>
          <w:rFonts w:asciiTheme="minorHAnsi" w:eastAsiaTheme="minorHAnsi" w:hAnsiTheme="minorHAnsi" w:cs="Calibri-Bold"/>
          <w:bCs/>
          <w:lang w:val="es-ES_tradnl"/>
        </w:rPr>
        <w:t>fuese</w:t>
      </w:r>
      <w:r w:rsidRPr="00281633">
        <w:rPr>
          <w:rFonts w:asciiTheme="minorHAnsi" w:eastAsiaTheme="minorHAnsi" w:hAnsiTheme="minorHAnsi" w:cs="Calibri-Bold"/>
          <w:bCs/>
          <w:lang w:val="es-ES_tradnl"/>
        </w:rPr>
        <w:t xml:space="preserve"> una reunión “sin papel”. En este sentido, la Secretaría y el Gobierno de Uruguay están trabajando para conseguir un sistema que permita </w:t>
      </w:r>
      <w:r w:rsidR="006C6567" w:rsidRPr="00281633">
        <w:rPr>
          <w:rFonts w:asciiTheme="minorHAnsi" w:eastAsiaTheme="minorHAnsi" w:hAnsiTheme="minorHAnsi" w:cs="Calibri-Bold"/>
          <w:bCs/>
          <w:lang w:val="es-ES_tradnl"/>
        </w:rPr>
        <w:t>el buen funcionamiento</w:t>
      </w:r>
      <w:r w:rsidRPr="00281633">
        <w:rPr>
          <w:rFonts w:asciiTheme="minorHAnsi" w:eastAsiaTheme="minorHAnsi" w:hAnsiTheme="minorHAnsi" w:cs="Calibri-Bold"/>
          <w:bCs/>
          <w:lang w:val="es-ES_tradnl"/>
        </w:rPr>
        <w:t xml:space="preserve"> de la COP. Se proporcionará más información a los participantes antes de la </w:t>
      </w:r>
      <w:r w:rsidR="00AF63F3" w:rsidRPr="00281633">
        <w:rPr>
          <w:rFonts w:asciiTheme="minorHAnsi" w:eastAsiaTheme="minorHAnsi" w:hAnsiTheme="minorHAnsi" w:cs="Calibri-Bold"/>
          <w:bCs/>
          <w:lang w:val="es-ES_tradnl"/>
        </w:rPr>
        <w:t xml:space="preserve">COP. </w:t>
      </w:r>
    </w:p>
    <w:p w:rsidR="00AF63F3" w:rsidRPr="00281633" w:rsidRDefault="00AF63F3" w:rsidP="00DC7754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Calibri-Bold"/>
          <w:bCs/>
          <w:sz w:val="22"/>
          <w:szCs w:val="22"/>
          <w:lang w:val="es-ES_tradnl" w:eastAsia="en-US"/>
        </w:rPr>
      </w:pPr>
    </w:p>
    <w:p w:rsidR="001A0160" w:rsidRPr="00281633" w:rsidRDefault="006C6567" w:rsidP="00DC775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Calibri-Bold"/>
          <w:bCs/>
          <w:lang w:val="es-ES_tradnl"/>
        </w:rPr>
        <w:t>Aunque se proporcionará un</w:t>
      </w:r>
      <w:r w:rsidR="0025110E" w:rsidRPr="00281633">
        <w:rPr>
          <w:rFonts w:asciiTheme="minorHAnsi" w:eastAsiaTheme="minorHAnsi" w:hAnsiTheme="minorHAnsi" w:cs="Calibri-Bold"/>
          <w:bCs/>
          <w:lang w:val="es-ES_tradnl"/>
        </w:rPr>
        <w:t xml:space="preserve"> servicio de fotocopias</w:t>
      </w:r>
      <w:r w:rsidRPr="00281633">
        <w:rPr>
          <w:rFonts w:asciiTheme="minorHAnsi" w:eastAsiaTheme="minorHAnsi" w:hAnsiTheme="minorHAnsi" w:cs="Calibri-Bold"/>
          <w:bCs/>
          <w:lang w:val="es-ES_tradnl"/>
        </w:rPr>
        <w:t>,</w:t>
      </w:r>
      <w:r w:rsidR="0025110E" w:rsidRPr="00281633">
        <w:rPr>
          <w:rFonts w:asciiTheme="minorHAnsi" w:eastAsiaTheme="minorHAnsi" w:hAnsiTheme="minorHAnsi" w:cs="Calibri-Bold"/>
          <w:bCs/>
          <w:lang w:val="es-ES_tradnl"/>
        </w:rPr>
        <w:t xml:space="preserve"> se alienta a los participantes a traer copias impresas de los documentos.</w:t>
      </w:r>
    </w:p>
    <w:sectPr w:rsidR="001A0160" w:rsidRPr="00281633" w:rsidSect="006B6339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10" w:rsidRDefault="00187410" w:rsidP="00FF697B">
      <w:r>
        <w:separator/>
      </w:r>
    </w:p>
  </w:endnote>
  <w:endnote w:type="continuationSeparator" w:id="0">
    <w:p w:rsidR="00187410" w:rsidRDefault="00187410" w:rsidP="00FF697B">
      <w:r>
        <w:continuationSeparator/>
      </w:r>
    </w:p>
  </w:endnote>
  <w:endnote w:type="continuationNotice" w:id="1">
    <w:p w:rsidR="00187410" w:rsidRDefault="001874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11946664"/>
      <w:docPartObj>
        <w:docPartGallery w:val="Page Numbers (Bottom of Page)"/>
        <w:docPartUnique/>
      </w:docPartObj>
    </w:sdtPr>
    <w:sdtContent>
      <w:p w:rsidR="00187410" w:rsidRPr="002714E9" w:rsidRDefault="00187410" w:rsidP="006B6339">
        <w:pPr>
          <w:pStyle w:val="Footer"/>
          <w:tabs>
            <w:tab w:val="clear" w:pos="9360"/>
            <w:tab w:val="left" w:pos="8222"/>
            <w:tab w:val="right" w:pos="8931"/>
          </w:tabs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SC48-07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="00DC41AC" w:rsidRPr="006B6339">
          <w:rPr>
            <w:rFonts w:asciiTheme="minorHAnsi" w:hAnsiTheme="minorHAnsi"/>
            <w:sz w:val="20"/>
            <w:szCs w:val="20"/>
          </w:rPr>
          <w:fldChar w:fldCharType="begin"/>
        </w:r>
        <w:r w:rsidRPr="006B6339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DC41AC" w:rsidRPr="006B6339">
          <w:rPr>
            <w:rFonts w:asciiTheme="minorHAnsi" w:hAnsiTheme="minorHAnsi"/>
            <w:sz w:val="20"/>
            <w:szCs w:val="20"/>
          </w:rPr>
          <w:fldChar w:fldCharType="separate"/>
        </w:r>
        <w:r w:rsidR="00EA34C9">
          <w:rPr>
            <w:rFonts w:asciiTheme="minorHAnsi" w:hAnsiTheme="minorHAnsi"/>
            <w:noProof/>
            <w:sz w:val="20"/>
            <w:szCs w:val="20"/>
          </w:rPr>
          <w:t>2</w:t>
        </w:r>
        <w:r w:rsidR="00DC41AC" w:rsidRPr="006B633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10" w:rsidRDefault="00187410" w:rsidP="00FF697B">
      <w:r>
        <w:separator/>
      </w:r>
    </w:p>
  </w:footnote>
  <w:footnote w:type="continuationSeparator" w:id="0">
    <w:p w:rsidR="00187410" w:rsidRDefault="00187410" w:rsidP="00FF697B">
      <w:r>
        <w:continuationSeparator/>
      </w:r>
    </w:p>
  </w:footnote>
  <w:footnote w:type="continuationNotice" w:id="1">
    <w:p w:rsidR="00187410" w:rsidRDefault="001874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E43"/>
    <w:multiLevelType w:val="hybridMultilevel"/>
    <w:tmpl w:val="256AD27C"/>
    <w:lvl w:ilvl="0" w:tplc="0C9C0494">
      <w:numFmt w:val="bullet"/>
      <w:lvlText w:val="•"/>
      <w:lvlJc w:val="left"/>
      <w:pPr>
        <w:ind w:left="1080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D3F26"/>
    <w:multiLevelType w:val="hybridMultilevel"/>
    <w:tmpl w:val="9E18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E071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4B3"/>
    <w:multiLevelType w:val="hybridMultilevel"/>
    <w:tmpl w:val="C9A2D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129E"/>
    <w:multiLevelType w:val="hybridMultilevel"/>
    <w:tmpl w:val="C2723764"/>
    <w:lvl w:ilvl="0" w:tplc="0C9C0494">
      <w:numFmt w:val="bullet"/>
      <w:lvlText w:val="•"/>
      <w:lvlJc w:val="left"/>
      <w:pPr>
        <w:ind w:left="1506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654747"/>
    <w:multiLevelType w:val="hybridMultilevel"/>
    <w:tmpl w:val="A11634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B4E8C"/>
    <w:multiLevelType w:val="hybridMultilevel"/>
    <w:tmpl w:val="BFBE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E4FF5"/>
    <w:multiLevelType w:val="hybridMultilevel"/>
    <w:tmpl w:val="7212B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16F21"/>
    <w:multiLevelType w:val="hybridMultilevel"/>
    <w:tmpl w:val="40DC8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C2886"/>
    <w:multiLevelType w:val="hybridMultilevel"/>
    <w:tmpl w:val="AAC4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43990"/>
    <w:multiLevelType w:val="hybridMultilevel"/>
    <w:tmpl w:val="F2D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5791B"/>
    <w:multiLevelType w:val="hybridMultilevel"/>
    <w:tmpl w:val="C4FA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GB" w:vendorID="64" w:dllVersion="131078" w:nlCheck="1" w:checkStyle="1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660B1"/>
    <w:rsid w:val="00032C51"/>
    <w:rsid w:val="00033522"/>
    <w:rsid w:val="00051CDC"/>
    <w:rsid w:val="00057770"/>
    <w:rsid w:val="000728A7"/>
    <w:rsid w:val="0007671F"/>
    <w:rsid w:val="00080B42"/>
    <w:rsid w:val="00081961"/>
    <w:rsid w:val="000A6728"/>
    <w:rsid w:val="000B1785"/>
    <w:rsid w:val="000E0DD8"/>
    <w:rsid w:val="000E19EC"/>
    <w:rsid w:val="001006BE"/>
    <w:rsid w:val="00100888"/>
    <w:rsid w:val="00104BBE"/>
    <w:rsid w:val="0010584A"/>
    <w:rsid w:val="0011563D"/>
    <w:rsid w:val="00117941"/>
    <w:rsid w:val="001233DE"/>
    <w:rsid w:val="0013737A"/>
    <w:rsid w:val="00146F43"/>
    <w:rsid w:val="00162387"/>
    <w:rsid w:val="00165B79"/>
    <w:rsid w:val="00172DDC"/>
    <w:rsid w:val="0017359A"/>
    <w:rsid w:val="00174630"/>
    <w:rsid w:val="00183A30"/>
    <w:rsid w:val="00187410"/>
    <w:rsid w:val="001A0160"/>
    <w:rsid w:val="001C64CD"/>
    <w:rsid w:val="001D265C"/>
    <w:rsid w:val="001F1FBB"/>
    <w:rsid w:val="0023287A"/>
    <w:rsid w:val="002447E7"/>
    <w:rsid w:val="0025110E"/>
    <w:rsid w:val="002660B1"/>
    <w:rsid w:val="002714E9"/>
    <w:rsid w:val="0027544C"/>
    <w:rsid w:val="00281633"/>
    <w:rsid w:val="002934B0"/>
    <w:rsid w:val="002B42B8"/>
    <w:rsid w:val="002C0479"/>
    <w:rsid w:val="002C0555"/>
    <w:rsid w:val="002D6856"/>
    <w:rsid w:val="002E64DF"/>
    <w:rsid w:val="00326F22"/>
    <w:rsid w:val="003320A7"/>
    <w:rsid w:val="00337C92"/>
    <w:rsid w:val="00382E89"/>
    <w:rsid w:val="003915FB"/>
    <w:rsid w:val="00391C56"/>
    <w:rsid w:val="003B5014"/>
    <w:rsid w:val="003C6A54"/>
    <w:rsid w:val="003E0E4E"/>
    <w:rsid w:val="00434554"/>
    <w:rsid w:val="00446641"/>
    <w:rsid w:val="00482DC9"/>
    <w:rsid w:val="00487333"/>
    <w:rsid w:val="004A08F0"/>
    <w:rsid w:val="004B4F43"/>
    <w:rsid w:val="004C3C9F"/>
    <w:rsid w:val="004C7A23"/>
    <w:rsid w:val="004F5DCB"/>
    <w:rsid w:val="004F6FD2"/>
    <w:rsid w:val="00533213"/>
    <w:rsid w:val="005518CD"/>
    <w:rsid w:val="0055242F"/>
    <w:rsid w:val="005630B6"/>
    <w:rsid w:val="00582948"/>
    <w:rsid w:val="00587498"/>
    <w:rsid w:val="00592107"/>
    <w:rsid w:val="005A4493"/>
    <w:rsid w:val="005B769D"/>
    <w:rsid w:val="005D5FFC"/>
    <w:rsid w:val="005F4ABE"/>
    <w:rsid w:val="0060476E"/>
    <w:rsid w:val="00631532"/>
    <w:rsid w:val="0064540F"/>
    <w:rsid w:val="00645412"/>
    <w:rsid w:val="00651E2D"/>
    <w:rsid w:val="00667F55"/>
    <w:rsid w:val="006820B0"/>
    <w:rsid w:val="006961B7"/>
    <w:rsid w:val="006B6339"/>
    <w:rsid w:val="006C6567"/>
    <w:rsid w:val="006D12B3"/>
    <w:rsid w:val="00760D4B"/>
    <w:rsid w:val="00771876"/>
    <w:rsid w:val="00776F3B"/>
    <w:rsid w:val="00787545"/>
    <w:rsid w:val="007A16D7"/>
    <w:rsid w:val="007A5606"/>
    <w:rsid w:val="007B419C"/>
    <w:rsid w:val="007E7B4D"/>
    <w:rsid w:val="007F1E7B"/>
    <w:rsid w:val="007F38E9"/>
    <w:rsid w:val="007F4615"/>
    <w:rsid w:val="00806209"/>
    <w:rsid w:val="00810F0C"/>
    <w:rsid w:val="008200FA"/>
    <w:rsid w:val="0082444A"/>
    <w:rsid w:val="00844DDD"/>
    <w:rsid w:val="00853A47"/>
    <w:rsid w:val="00863FEF"/>
    <w:rsid w:val="00870DF6"/>
    <w:rsid w:val="008723F0"/>
    <w:rsid w:val="008769EA"/>
    <w:rsid w:val="0088714C"/>
    <w:rsid w:val="008A6402"/>
    <w:rsid w:val="008C445B"/>
    <w:rsid w:val="008D14FE"/>
    <w:rsid w:val="008E7A2A"/>
    <w:rsid w:val="009157D4"/>
    <w:rsid w:val="00941D6F"/>
    <w:rsid w:val="00952C58"/>
    <w:rsid w:val="00955DFF"/>
    <w:rsid w:val="00997FD4"/>
    <w:rsid w:val="009D4081"/>
    <w:rsid w:val="009D7EE2"/>
    <w:rsid w:val="00A07D4F"/>
    <w:rsid w:val="00A14906"/>
    <w:rsid w:val="00A158A4"/>
    <w:rsid w:val="00A228B2"/>
    <w:rsid w:val="00A36B41"/>
    <w:rsid w:val="00A43C7D"/>
    <w:rsid w:val="00A55093"/>
    <w:rsid w:val="00AC669A"/>
    <w:rsid w:val="00AD39A4"/>
    <w:rsid w:val="00AD63F8"/>
    <w:rsid w:val="00AE05E7"/>
    <w:rsid w:val="00AF2442"/>
    <w:rsid w:val="00AF391D"/>
    <w:rsid w:val="00AF63F3"/>
    <w:rsid w:val="00B31BC1"/>
    <w:rsid w:val="00B447BA"/>
    <w:rsid w:val="00B96189"/>
    <w:rsid w:val="00BA1F7B"/>
    <w:rsid w:val="00BA2127"/>
    <w:rsid w:val="00BA4D61"/>
    <w:rsid w:val="00BA6D1A"/>
    <w:rsid w:val="00BC245F"/>
    <w:rsid w:val="00BD0330"/>
    <w:rsid w:val="00BD5EA5"/>
    <w:rsid w:val="00BF3184"/>
    <w:rsid w:val="00C4689B"/>
    <w:rsid w:val="00C545EA"/>
    <w:rsid w:val="00C552A9"/>
    <w:rsid w:val="00C55392"/>
    <w:rsid w:val="00C606CD"/>
    <w:rsid w:val="00C770A9"/>
    <w:rsid w:val="00C931F7"/>
    <w:rsid w:val="00CA36DC"/>
    <w:rsid w:val="00CD26B4"/>
    <w:rsid w:val="00CE06B5"/>
    <w:rsid w:val="00D21621"/>
    <w:rsid w:val="00D33954"/>
    <w:rsid w:val="00D36866"/>
    <w:rsid w:val="00D44436"/>
    <w:rsid w:val="00D55DD9"/>
    <w:rsid w:val="00D75281"/>
    <w:rsid w:val="00D76D82"/>
    <w:rsid w:val="00D8166D"/>
    <w:rsid w:val="00D91024"/>
    <w:rsid w:val="00D94C75"/>
    <w:rsid w:val="00DC41AC"/>
    <w:rsid w:val="00DC7754"/>
    <w:rsid w:val="00DE297C"/>
    <w:rsid w:val="00DF047C"/>
    <w:rsid w:val="00E039B7"/>
    <w:rsid w:val="00E441CB"/>
    <w:rsid w:val="00E656E6"/>
    <w:rsid w:val="00E7270C"/>
    <w:rsid w:val="00E8018B"/>
    <w:rsid w:val="00E86897"/>
    <w:rsid w:val="00E959F6"/>
    <w:rsid w:val="00EA34C9"/>
    <w:rsid w:val="00EA3FBC"/>
    <w:rsid w:val="00EF2E30"/>
    <w:rsid w:val="00F110D1"/>
    <w:rsid w:val="00F17F73"/>
    <w:rsid w:val="00F35761"/>
    <w:rsid w:val="00F427E1"/>
    <w:rsid w:val="00F507B8"/>
    <w:rsid w:val="00F83863"/>
    <w:rsid w:val="00FA2B25"/>
    <w:rsid w:val="00FC0080"/>
    <w:rsid w:val="00FC2FD7"/>
    <w:rsid w:val="00FC4460"/>
    <w:rsid w:val="00FD04F2"/>
    <w:rsid w:val="00FD0F57"/>
    <w:rsid w:val="00FE0FAB"/>
    <w:rsid w:val="00FF0CE5"/>
    <w:rsid w:val="00FF697B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330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6454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40F"/>
    <w:rPr>
      <w:sz w:val="20"/>
      <w:szCs w:val="20"/>
    </w:rPr>
  </w:style>
  <w:style w:type="character" w:customStyle="1" w:styleId="TextocomentarioCar">
    <w:name w:val="Comment Text Char"/>
    <w:basedOn w:val="Fuentedeprrafopredeter"/>
    <w:link w:val="Textocomentario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40F"/>
    <w:rPr>
      <w:b/>
      <w:bCs/>
    </w:rPr>
  </w:style>
  <w:style w:type="character" w:customStyle="1" w:styleId="AsuntodelcomentarioCar">
    <w:name w:val="Comment Subject Char"/>
    <w:basedOn w:val="TextocomentarioCar"/>
    <w:link w:val="Asuntodelcomentario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EncabezadoCar">
    <w:name w:val="Header Char"/>
    <w:basedOn w:val="Fuentedeprrafopredeter"/>
    <w:link w:val="Encabezado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PiedepginaCar">
    <w:name w:val="Footer Char"/>
    <w:basedOn w:val="Fuentedeprrafopredeter"/>
    <w:link w:val="Piedepgina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E65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sar.rgis.ch/pdf/cop11/doc/cop11-doc02-s-rules-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E90B-050B-4202-AF24-90F7CEBF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Ramsar\JenningsE</cp:lastModifiedBy>
  <cp:revision>2</cp:revision>
  <cp:lastPrinted>2015-01-08T08:19:00Z</cp:lastPrinted>
  <dcterms:created xsi:type="dcterms:W3CDTF">2015-01-08T08:20:00Z</dcterms:created>
  <dcterms:modified xsi:type="dcterms:W3CDTF">2015-01-08T08:20:00Z</dcterms:modified>
</cp:coreProperties>
</file>