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3B5840" w14:textId="77777777" w:rsidR="002E46B7" w:rsidRPr="00BF700B" w:rsidRDefault="002E46B7" w:rsidP="002E46B7">
      <w:pPr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BF700B">
        <w:rPr>
          <w:rFonts w:asciiTheme="minorHAnsi" w:hAnsiTheme="minorHAnsi" w:cstheme="minorHAnsi"/>
          <w:bCs/>
          <w:noProof/>
          <w:szCs w:val="2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875D6C7" wp14:editId="597965CA">
            <wp:simplePos x="0" y="0"/>
            <wp:positionH relativeFrom="margin">
              <wp:posOffset>-171450</wp:posOffset>
            </wp:positionH>
            <wp:positionV relativeFrom="margin">
              <wp:posOffset>-349250</wp:posOffset>
            </wp:positionV>
            <wp:extent cx="2216150" cy="952500"/>
            <wp:effectExtent l="0" t="0" r="0" b="0"/>
            <wp:wrapSquare wrapText="bothSides"/>
            <wp:docPr id="2" name="Picture 5" descr="J:\CC98\COMMON\COPs\COP12\COP12 logos\COP12-logo-en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:\CC98\COMMON\COPs\COP12\COP12 logos\COP12-logo-en_small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446DD" w:rsidRPr="00BF700B">
        <w:rPr>
          <w:rFonts w:asciiTheme="minorHAnsi" w:hAnsiTheme="minorHAnsi" w:cstheme="minorHAnsi"/>
          <w:bCs/>
          <w:szCs w:val="20"/>
          <w:lang w:val="es-ES_tradnl"/>
        </w:rPr>
        <w:t xml:space="preserve"> </w:t>
      </w:r>
      <w:r w:rsidR="00A379A3" w:rsidRPr="00BF700B">
        <w:rPr>
          <w:rFonts w:asciiTheme="minorHAnsi" w:hAnsiTheme="minorHAnsi"/>
          <w:b/>
          <w:sz w:val="25"/>
          <w:szCs w:val="25"/>
          <w:lang w:val="es-ES_tradnl"/>
        </w:rPr>
        <w:t>12ª Reunión de la Conferencia de las Partes en la Convención sobre los Humedales (Ramsar, Irán, 1971</w:t>
      </w:r>
      <w:r w:rsidRPr="00BF700B">
        <w:rPr>
          <w:rFonts w:asciiTheme="minorHAnsi" w:hAnsiTheme="minorHAnsi"/>
          <w:b/>
          <w:sz w:val="25"/>
          <w:szCs w:val="25"/>
          <w:lang w:val="es-ES_tradnl"/>
        </w:rPr>
        <w:t>)</w:t>
      </w:r>
    </w:p>
    <w:p w14:paraId="4BB56079" w14:textId="77777777" w:rsidR="002E46B7" w:rsidRPr="00BF700B" w:rsidRDefault="002E46B7" w:rsidP="002E46B7">
      <w:pPr>
        <w:jc w:val="center"/>
        <w:rPr>
          <w:rFonts w:asciiTheme="minorHAnsi" w:hAnsiTheme="minorHAnsi"/>
          <w:sz w:val="25"/>
          <w:szCs w:val="25"/>
          <w:lang w:val="es-ES_tradnl"/>
        </w:rPr>
      </w:pPr>
    </w:p>
    <w:p w14:paraId="11254605" w14:textId="2987C207" w:rsidR="002E46B7" w:rsidRPr="002C775E" w:rsidRDefault="00A379A3" w:rsidP="002C775E">
      <w:pPr>
        <w:tabs>
          <w:tab w:val="left" w:pos="3828"/>
        </w:tabs>
        <w:jc w:val="center"/>
        <w:rPr>
          <w:rFonts w:asciiTheme="minorHAnsi" w:hAnsiTheme="minorHAnsi"/>
          <w:b/>
          <w:sz w:val="25"/>
          <w:szCs w:val="25"/>
          <w:lang w:val="es-ES_tradnl"/>
        </w:rPr>
      </w:pPr>
      <w:r w:rsidRPr="00BF700B">
        <w:rPr>
          <w:rFonts w:asciiTheme="minorHAnsi" w:hAnsiTheme="minorHAnsi"/>
          <w:b/>
          <w:sz w:val="25"/>
          <w:szCs w:val="25"/>
          <w:lang w:val="es-ES_tradnl"/>
        </w:rPr>
        <w:t>Punta del Este, Uruguay, 1 a 9 de junio de 2015</w:t>
      </w:r>
    </w:p>
    <w:p w14:paraId="772443B1" w14:textId="77777777" w:rsidR="002C775E" w:rsidRDefault="002C775E" w:rsidP="002C775E">
      <w:pPr>
        <w:spacing w:line="240" w:lineRule="auto"/>
        <w:ind w:right="16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</w:pPr>
    </w:p>
    <w:p w14:paraId="4545D244" w14:textId="77777777" w:rsidR="002C775E" w:rsidRPr="00BF700B" w:rsidRDefault="002C775E" w:rsidP="002C775E">
      <w:pPr>
        <w:spacing w:line="240" w:lineRule="auto"/>
        <w:ind w:right="16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</w:pPr>
    </w:p>
    <w:p w14:paraId="22A88FCD" w14:textId="14B925F1" w:rsidR="002E46B7" w:rsidRPr="00BF700B" w:rsidRDefault="00A379A3" w:rsidP="002E46B7">
      <w:pPr>
        <w:ind w:right="17"/>
        <w:jc w:val="center"/>
        <w:rPr>
          <w:rFonts w:asciiTheme="minorHAnsi" w:hAnsiTheme="minorHAnsi"/>
          <w:b/>
          <w:bCs/>
          <w:sz w:val="28"/>
          <w:szCs w:val="28"/>
          <w:lang w:val="es-ES_tradnl"/>
        </w:rPr>
      </w:pPr>
      <w:r w:rsidRPr="00BF700B">
        <w:rPr>
          <w:rFonts w:asciiTheme="minorHAnsi" w:hAnsiTheme="minorHAnsi"/>
          <w:b/>
          <w:bCs/>
          <w:sz w:val="28"/>
          <w:szCs w:val="28"/>
          <w:lang w:val="es-ES_tradnl"/>
        </w:rPr>
        <w:t xml:space="preserve">Resolución </w:t>
      </w:r>
      <w:r w:rsidR="002E46B7" w:rsidRPr="00BF700B">
        <w:rPr>
          <w:rFonts w:asciiTheme="minorHAnsi" w:hAnsiTheme="minorHAnsi"/>
          <w:b/>
          <w:bCs/>
          <w:sz w:val="28"/>
          <w:szCs w:val="28"/>
          <w:lang w:val="es-ES_tradnl"/>
        </w:rPr>
        <w:t>XII.13</w:t>
      </w:r>
    </w:p>
    <w:p w14:paraId="37A1670B" w14:textId="77777777" w:rsidR="004D2D2D" w:rsidRPr="00BF700B" w:rsidRDefault="004D2D2D" w:rsidP="004D2D2D">
      <w:pPr>
        <w:spacing w:line="240" w:lineRule="auto"/>
        <w:ind w:right="16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/>
        </w:rPr>
      </w:pPr>
    </w:p>
    <w:p w14:paraId="45FAD3FB" w14:textId="77777777" w:rsidR="00A379A3" w:rsidRPr="00BF700B" w:rsidRDefault="00A379A3" w:rsidP="00A379A3">
      <w:pPr>
        <w:spacing w:line="240" w:lineRule="auto"/>
        <w:ind w:right="17"/>
        <w:jc w:val="center"/>
        <w:rPr>
          <w:rFonts w:asciiTheme="minorHAnsi" w:eastAsia="Times New Roman" w:hAnsiTheme="minorHAnsi" w:cs="Times New Roman"/>
          <w:b/>
          <w:bCs/>
          <w:sz w:val="28"/>
          <w:szCs w:val="28"/>
          <w:lang w:val="es-ES_tradnl" w:eastAsia="el-GR"/>
        </w:rPr>
      </w:pPr>
      <w:r w:rsidRPr="00BF700B">
        <w:rPr>
          <w:rFonts w:asciiTheme="minorHAnsi" w:eastAsia="Times New Roman" w:hAnsiTheme="minorHAnsi" w:cs="Times New Roman"/>
          <w:b/>
          <w:bCs/>
          <w:sz w:val="28"/>
          <w:szCs w:val="28"/>
          <w:lang w:val="es-ES_tradnl" w:eastAsia="el-GR"/>
        </w:rPr>
        <w:t>Humedales y reducción del riesgo de desastres</w:t>
      </w:r>
    </w:p>
    <w:p w14:paraId="640173EF" w14:textId="77777777" w:rsidR="00A379A3" w:rsidRPr="002C775E" w:rsidRDefault="00A379A3" w:rsidP="00A379A3">
      <w:pPr>
        <w:spacing w:line="240" w:lineRule="auto"/>
        <w:ind w:right="16"/>
        <w:rPr>
          <w:rFonts w:asciiTheme="minorHAnsi" w:hAnsiTheme="minorHAnsi"/>
          <w:sz w:val="28"/>
          <w:szCs w:val="28"/>
          <w:lang w:val="es-ES_tradnl"/>
        </w:rPr>
      </w:pPr>
    </w:p>
    <w:p w14:paraId="26C989DE" w14:textId="2D473A1B" w:rsidR="00A379A3" w:rsidRPr="00BF700B" w:rsidRDefault="00A379A3" w:rsidP="00A379A3">
      <w:pPr>
        <w:widowControl w:val="0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RECORDANDO la Resolución VIII.35 sobre las </w:t>
      </w:r>
      <w:r w:rsidRPr="00BF700B">
        <w:rPr>
          <w:rFonts w:asciiTheme="minorHAnsi" w:eastAsia="Times New Roman" w:hAnsiTheme="minorHAnsi" w:cs="Times New Roman"/>
          <w:i/>
          <w:sz w:val="22"/>
          <w:szCs w:val="22"/>
          <w:lang w:val="es-ES_tradnl"/>
        </w:rPr>
        <w:t>Repercusiones de los desastres naturales, en particular de la sequía, en los ecosistemas de humedales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la Resolución IX.9 sobre </w:t>
      </w:r>
      <w:r w:rsidRPr="00BF700B">
        <w:rPr>
          <w:rFonts w:asciiTheme="minorHAnsi" w:eastAsia="Times New Roman" w:hAnsiTheme="minorHAnsi" w:cs="Times New Roman"/>
          <w:i/>
          <w:iCs/>
          <w:sz w:val="22"/>
          <w:szCs w:val="22"/>
          <w:lang w:val="es-ES_tradnl"/>
        </w:rPr>
        <w:t>El papel de la Convención de Ramsar en la prevención y mitigación de los impactos asociados a los fenómenos naturales, incluidos los inducidos o exacerbados por las actividades humanas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, en las que, respectivamente, se reconoce el papel de los humedales en la provisión de agua durante períodos de sequía y en la prevención y mitigación de 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las repercusiones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los fenómenos naturales, incluidos aquellos inducidos o exacerbados por las actividades humanas, pero RECONOCIENDO que no existe un marco específico para concretizar este papel urgente;</w:t>
      </w:r>
    </w:p>
    <w:p w14:paraId="1CBACEA9" w14:textId="77777777" w:rsidR="00A379A3" w:rsidRPr="00BF700B" w:rsidRDefault="00A379A3" w:rsidP="00A379A3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4596E809" w14:textId="77777777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RECORDANDO la Resolución X.24 sobre </w:t>
      </w:r>
      <w:r w:rsidRPr="00BF700B">
        <w:rPr>
          <w:rFonts w:asciiTheme="minorHAnsi" w:eastAsia="Times New Roman" w:hAnsiTheme="minorHAnsi" w:cs="Times New Roman"/>
          <w:i/>
          <w:iCs/>
          <w:sz w:val="22"/>
          <w:szCs w:val="22"/>
          <w:lang w:val="es-ES_tradnl"/>
        </w:rPr>
        <w:t>Cambio climático y humedales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en la que se afirma el papel de los humedales saludables en el aumento de la resiliencia al cambio climático y a los fenómenos climáticos extremos y en velar por que las respuestas al cambio climático no redunden en perjuicio grave de las características ecológicas de los humedales;</w:t>
      </w:r>
    </w:p>
    <w:p w14:paraId="4950756A" w14:textId="77777777" w:rsidR="00A379A3" w:rsidRPr="00BF700B" w:rsidRDefault="00A379A3" w:rsidP="000B7FD0">
      <w:pPr>
        <w:tabs>
          <w:tab w:val="left" w:pos="1780"/>
        </w:tabs>
        <w:spacing w:line="240" w:lineRule="auto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2EB53CAD" w14:textId="231A0F3A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RECORDANDO ASIMISMO que en la Resolución X.3 sobre </w:t>
      </w:r>
      <w:r w:rsidRPr="00BF700B">
        <w:rPr>
          <w:rFonts w:asciiTheme="minorHAnsi" w:eastAsia="Times New Roman" w:hAnsiTheme="minorHAnsi" w:cs="Times New Roman"/>
          <w:i/>
          <w:iCs/>
          <w:sz w:val="22"/>
          <w:szCs w:val="22"/>
          <w:lang w:val="es-ES_tradnl"/>
        </w:rPr>
        <w:t xml:space="preserve">La Declaración de Changwon sobre el bienestar humano y los humedales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y la Resolución X.23 sobre </w:t>
      </w:r>
      <w:r w:rsidRPr="00BF700B">
        <w:rPr>
          <w:rFonts w:asciiTheme="minorHAnsi" w:eastAsia="Times New Roman" w:hAnsiTheme="minorHAnsi" w:cs="Times New Roman"/>
          <w:i/>
          <w:iCs/>
          <w:sz w:val="22"/>
          <w:szCs w:val="22"/>
          <w:lang w:val="es-ES_tradnl"/>
        </w:rPr>
        <w:t xml:space="preserve">Humedales y salud y bienestar humanos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se destaca la importancia del manejo sostenible de los humedales y de la restauración de los mismos para garantizar el bienestar humano en el futuro;</w:t>
      </w:r>
    </w:p>
    <w:p w14:paraId="79E5722A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hAnsiTheme="minorHAnsi"/>
          <w:sz w:val="22"/>
          <w:szCs w:val="22"/>
          <w:lang w:val="es-ES_tradnl"/>
        </w:rPr>
      </w:pPr>
    </w:p>
    <w:p w14:paraId="022992B7" w14:textId="5EAE0C1E" w:rsidR="00453B8F" w:rsidRPr="00001355" w:rsidRDefault="00064736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RECORDANDO ASIMISMO la Decisión X/28 de la Conferencia de las Partes en el Convenio sobre la Diversidad Biológica (CDB), en la que se alienta al reconocimiento del papel de los 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ecosistemas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saludables, y 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en particular de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humedales, en la protección de las comunidades humanas 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frente a algunos desastres naturales y </w:t>
      </w:r>
      <w:r w:rsid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 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que </w:t>
      </w:r>
      <w:r w:rsid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se 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integren tales 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consideraciones en políticas pertinentes;</w:t>
      </w:r>
    </w:p>
    <w:p w14:paraId="0FEE22B1" w14:textId="77777777" w:rsidR="00453B8F" w:rsidRPr="00453B8F" w:rsidRDefault="00453B8F" w:rsidP="00453B8F">
      <w:pPr>
        <w:spacing w:line="240" w:lineRule="auto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7259B3BC" w14:textId="77777777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CONSCIENTE de la Declaración de las Naciones Unidas sobre los Derechos de los Pueblos Indígenas (2007), y RECORDANDO la Resolución VII.8 sobre los </w:t>
      </w:r>
      <w:r w:rsidRPr="00BF700B">
        <w:rPr>
          <w:rFonts w:asciiTheme="minorHAnsi" w:eastAsia="Times New Roman" w:hAnsiTheme="minorHAnsi" w:cs="Times New Roman"/>
          <w:i/>
          <w:iCs/>
          <w:sz w:val="22"/>
          <w:szCs w:val="22"/>
          <w:lang w:val="es-ES_tradnl"/>
        </w:rPr>
        <w:t xml:space="preserve">Lineamientos para establecer y fortalecer la participación de las comunidades locales y de los pueblos indígenas en el manejo de los humedales,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en la que se reconoce la contribución de los pueblos indígenas y las comunidades locales en el manejo y uso racional de los humedales;</w:t>
      </w:r>
    </w:p>
    <w:p w14:paraId="76512483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21F2A11D" w14:textId="48F600A2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RECONOCIENDO el papel esencial que desempeñan los ecosistemas de humedales</w:t>
      </w:r>
      <w:r w:rsidR="00ED22D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sobre todo los humedales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saludables y bien manejados</w:t>
      </w:r>
      <w:r w:rsidR="00D90563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la reducción del riesgo de desastres actuando como amortiguadores o barreras protectoras naturales, por ejemplo mitigando</w:t>
      </w:r>
      <w:r w:rsidR="00ED22D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 erosión del suelo,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el impacto de </w:t>
      </w:r>
      <w:r w:rsidR="00ED22D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las tormentas de polvo y de arena,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inundaciones</w:t>
      </w:r>
      <w:r w:rsidRPr="00BF700B">
        <w:rPr>
          <w:rFonts w:asciiTheme="minorHAnsi" w:eastAsia="Times New Roman" w:hAnsiTheme="minorHAnsi" w:cs="Times New Roman"/>
          <w:w w:val="104"/>
          <w:sz w:val="22"/>
          <w:szCs w:val="22"/>
          <w:lang w:val="es-ES_tradnl"/>
        </w:rPr>
        <w:t xml:space="preserve">, </w:t>
      </w:r>
      <w:r w:rsidRPr="00BF700B">
        <w:rPr>
          <w:rFonts w:asciiTheme="minorHAnsi" w:eastAsia="Times New Roman" w:hAnsiTheme="minorHAnsi" w:cs="Times New Roman"/>
          <w:position w:val="-1"/>
          <w:sz w:val="22"/>
          <w:szCs w:val="22"/>
          <w:lang w:val="es-ES_tradnl"/>
        </w:rPr>
        <w:t>olas de marea, maremotos y corrimientos de tierras, y almacenando grandes cantidades de agua, reduciendo así el caudal máximo de las crecidas durante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 época de lluvias y maximizando el almacenamiento de agua durante la época seca; y RECONOCIENDO ASIMISMO que los ecosistemas de humedales plenamente funcionales aumentan la resiliencia local frente a los desastres proporcionando agua</w:t>
      </w:r>
      <w:r w:rsidR="00064736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dulce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productos importantes y manteniendo la vida y el sustento de las poblaciones locales y la biodiversidad;</w:t>
      </w:r>
    </w:p>
    <w:p w14:paraId="741BA22F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6329DE4E" w14:textId="5895A90A" w:rsidR="00A379A3" w:rsidRPr="00001355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CONSCIENTE de que la Evaluación de los Ecosistemas del Milenio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las Naciones Unidas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064736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reconoc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ió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importantes servicios que los ecosistemas, incluidos los humedales, proporcionan a las comunidades humanas regulando la frecuencia y la magnitud de amenazas tales como inundaciones, incendios y sequías y actuando como barreras naturales que pueden mitigar los 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efectos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adversos de las amenazas y proteger a las comunidades, pero por otra parte reconoc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ió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que se est</w:t>
      </w:r>
      <w:r w:rsidR="00001355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aba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produciendo una pérdida acelerada </w:t>
      </w:r>
      <w:r w:rsidR="00064736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y continuada 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de estos servicios y funcio</w:t>
      </w:r>
      <w:r w:rsidR="00064736"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nes vitales de los ecosistemas </w:t>
      </w:r>
      <w:r w:rsidRPr="00001355">
        <w:rPr>
          <w:rFonts w:asciiTheme="minorHAnsi" w:eastAsia="Times New Roman" w:hAnsiTheme="minorHAnsi" w:cs="Times New Roman"/>
          <w:sz w:val="22"/>
          <w:szCs w:val="22"/>
          <w:lang w:val="es-ES_tradnl"/>
        </w:rPr>
        <w:t>en los humedales;</w:t>
      </w:r>
    </w:p>
    <w:p w14:paraId="584252A4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03694489" w14:textId="77777777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CONSCIENTE de que el </w:t>
      </w:r>
      <w:r w:rsidRPr="00BF700B">
        <w:rPr>
          <w:rFonts w:asciiTheme="minorHAnsi" w:eastAsia="Times New Roman" w:hAnsiTheme="minorHAnsi" w:cs="Times New Roman"/>
          <w:i/>
          <w:sz w:val="22"/>
          <w:szCs w:val="22"/>
          <w:lang w:val="es-ES_tradnl"/>
        </w:rPr>
        <w:t>Informe de Evaluación Global sobre Reducción del Riesgo de Desastres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</w:t>
      </w:r>
      <w:r w:rsidRPr="00BF700B">
        <w:rPr>
          <w:rFonts w:asciiTheme="minorHAnsi" w:eastAsia="Times New Roman" w:hAnsiTheme="minorHAnsi" w:cs="Times New Roman"/>
          <w:w w:val="98"/>
          <w:sz w:val="22"/>
          <w:szCs w:val="22"/>
          <w:lang w:val="es-ES_tradnl"/>
        </w:rPr>
        <w:t xml:space="preserve">2011, </w:t>
      </w:r>
      <w:r w:rsidRPr="00BF700B">
        <w:rPr>
          <w:rFonts w:asciiTheme="minorHAnsi" w:eastAsia="Times New Roman" w:hAnsiTheme="minorHAnsi" w:cs="Times New Roman"/>
          <w:spacing w:val="-37"/>
          <w:sz w:val="22"/>
          <w:szCs w:val="22"/>
          <w:lang w:val="es-ES_tradnl"/>
        </w:rPr>
        <w:t xml:space="preserve">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la Declaración “El futuro que queremos” de RÍ0+20 (2012) y organismos similares de coordinación mundiales y de las Naciones Unidas instan a que se trate la reducción del riesgo de desastres en el contexto del desarrollo sostenible y a que exista una mayor coordinación en los planos nacional, regional e internacional para permitir una respuesta firme a las emergencias ambientales y mejorar los sistemas de previsión y alerta temprana;</w:t>
      </w:r>
    </w:p>
    <w:p w14:paraId="7876DEE8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035271C1" w14:textId="099DEA19" w:rsidR="00A379A3" w:rsidRPr="00BF700B" w:rsidRDefault="00ED22DB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>CONSIDERANDO</w:t>
      </w:r>
      <w:r w:rsidR="00A379A3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que </w:t>
      </w:r>
      <w:r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el Marco de Sendai para la Reducción del Riesgo de Desastres 2015-2030 reconoce </w:t>
      </w:r>
      <w:r w:rsidR="00A379A3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que la degradación de los ecosistemas </w:t>
      </w:r>
      <w:r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>es un factor subyacente</w:t>
      </w:r>
      <w:r w:rsidR="00774BC7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del </w:t>
      </w:r>
      <w:r w:rsidR="00A379A3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riesgo de desastres y </w:t>
      </w:r>
      <w:r w:rsidR="00001355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>que es importante</w:t>
      </w:r>
      <w:r w:rsidR="00774BC7" w:rsidRPr="00001355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fomentar</w:t>
      </w:r>
      <w:r w:rsidR="00774B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el uso y manejo sostenibles de los ecosistemas</w:t>
      </w:r>
      <w:r w:rsidR="00D90563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así como</w:t>
      </w:r>
      <w:r w:rsidR="00774B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la aplicación de métodos </w:t>
      </w:r>
      <w:r w:rsidR="00D90563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integrados de manejo </w:t>
      </w:r>
      <w:r w:rsidR="00774B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del medio ambiente y de los recursos naturales que incluyan la re</w:t>
      </w:r>
      <w:r w:rsidR="00001355">
        <w:rPr>
          <w:rFonts w:asciiTheme="minorHAnsi" w:eastAsia="Times New Roman" w:hAnsiTheme="minorHAnsi" w:cs="Calibri"/>
          <w:sz w:val="22"/>
          <w:szCs w:val="22"/>
          <w:lang w:val="es-ES_tradnl"/>
        </w:rPr>
        <w:t>ducción del riesgo de desastres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;</w:t>
      </w:r>
    </w:p>
    <w:p w14:paraId="0CE2BC2D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7159D3A1" w14:textId="012E7218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PREOCUPADA porque 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los efectos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devastadores de los desastres sobre la provisión de los servicios de los ecosistemas, y por lo tanto sobre el mantenimiento de las características ecológicas de los Humedales de Importancia Internacional (sitios Ramsar) y otros humedales en los países afectados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han tenido efectos graves sobre la vida y el sustento de millones de personas y la biodiversidad y han causado importantes impactos ambientales, sociales y económicos;</w:t>
      </w:r>
    </w:p>
    <w:p w14:paraId="1E18AAB0" w14:textId="77777777" w:rsidR="00A379A3" w:rsidRPr="00BF700B" w:rsidRDefault="00A379A3" w:rsidP="000B7FD0">
      <w:p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30A50DAA" w14:textId="285B4643" w:rsidR="006B11F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CONSCIENTE de que para reducir el riesgo de desastres es necesario reducir la exposición y la vulnerabilidad a las amenazas potenciando la capacidad de las personas para</w:t>
      </w:r>
      <w:r w:rsidR="001E1F2B" w:rsidRPr="001E1F2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1E1F2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prepararse para los desastres, resistir a estos y </w:t>
      </w:r>
      <w:r w:rsid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afrontarlos o </w:t>
      </w:r>
      <w:r w:rsidR="001E1F2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recuperarse </w:t>
      </w:r>
      <w:r w:rsid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>d</w:t>
      </w:r>
      <w:r w:rsidR="001E1F2B">
        <w:rPr>
          <w:rFonts w:asciiTheme="minorHAnsi" w:eastAsia="Times New Roman" w:hAnsiTheme="minorHAnsi" w:cs="Times New Roman"/>
          <w:sz w:val="22"/>
          <w:szCs w:val="22"/>
          <w:lang w:val="es-ES_tradnl"/>
        </w:rPr>
        <w:t>e ellos</w:t>
      </w:r>
      <w:r w:rsidR="00D90563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realizando un uso y un manejo sostenibles del suelo y los recursos hídricos para reducir, amortiguar y en algunas circunstancias mitigar el riesgo de desastres; </w:t>
      </w:r>
      <w:r w:rsidR="00064736">
        <w:rPr>
          <w:rFonts w:asciiTheme="minorHAnsi" w:eastAsia="Times New Roman" w:hAnsiTheme="minorHAnsi" w:cs="Times New Roman"/>
          <w:sz w:val="22"/>
          <w:szCs w:val="22"/>
          <w:lang w:val="es-ES_tradnl"/>
        </w:rPr>
        <w:t>y</w:t>
      </w:r>
    </w:p>
    <w:p w14:paraId="728FCEB6" w14:textId="77777777" w:rsidR="00A379A3" w:rsidRPr="00BF700B" w:rsidRDefault="00A379A3" w:rsidP="00064736">
      <w:pPr>
        <w:spacing w:line="240" w:lineRule="auto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0E70186E" w14:textId="4483F2D6" w:rsidR="00255209" w:rsidRPr="00BF700B" w:rsidRDefault="00064736" w:rsidP="000B7FD0">
      <w:pPr>
        <w:pStyle w:val="ListParagraph"/>
        <w:numPr>
          <w:ilvl w:val="0"/>
          <w:numId w:val="12"/>
        </w:numPr>
        <w:spacing w:line="240" w:lineRule="auto"/>
        <w:ind w:left="425" w:hanging="425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RECONOCIENDO que los humedales en todas las partes del mundo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desempeña</w:t>
      </w: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n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un papel importante en la reducción del riesgo de desastres si </w:t>
      </w:r>
      <w:r w:rsid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se </w:t>
      </w:r>
      <w:r w:rsidR="00A15B28">
        <w:rPr>
          <w:rFonts w:asciiTheme="minorHAnsi" w:eastAsia="Times New Roman" w:hAnsiTheme="minorHAnsi" w:cs="Times New Roman"/>
          <w:sz w:val="22"/>
          <w:szCs w:val="22"/>
          <w:lang w:val="es-ES_tradnl"/>
        </w:rPr>
        <w:t>gestionan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forma efectiva y se restauran </w:t>
      </w:r>
      <w:r w:rsid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en caso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necesario;</w:t>
      </w:r>
      <w:r w:rsidR="00255209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</w:p>
    <w:p w14:paraId="2DB2EA69" w14:textId="77777777" w:rsidR="00255209" w:rsidRPr="00BF700B" w:rsidRDefault="00255209" w:rsidP="00255209">
      <w:pPr>
        <w:spacing w:line="240" w:lineRule="auto"/>
        <w:ind w:left="426" w:right="16" w:hanging="426"/>
        <w:jc w:val="center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bookmarkStart w:id="0" w:name="_GoBack"/>
      <w:bookmarkEnd w:id="0"/>
    </w:p>
    <w:p w14:paraId="6765208E" w14:textId="43D797AF" w:rsidR="00A379A3" w:rsidRPr="00BF700B" w:rsidRDefault="00A379A3" w:rsidP="00255209">
      <w:pPr>
        <w:spacing w:line="240" w:lineRule="auto"/>
        <w:ind w:left="426" w:right="16" w:hanging="426"/>
        <w:jc w:val="center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LA CONFERENCIA DE LAS PARTES CONTRATANTES</w:t>
      </w:r>
    </w:p>
    <w:p w14:paraId="2D9EDB5A" w14:textId="77777777" w:rsidR="00A379A3" w:rsidRPr="00BF700B" w:rsidRDefault="00A379A3" w:rsidP="00A379A3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4251D786" w14:textId="061CD921" w:rsidR="00A379A3" w:rsidRPr="002A1C55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AFIRMA la necesidad de desarrollar y aplicar planes de manejo para los humedales</w:t>
      </w:r>
      <w:r w:rsidR="00D90563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o de adaptar dichos planes en</w:t>
      </w:r>
      <w:r w:rsidR="002765AC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instrumentos diseñados para el manejo de </w:t>
      </w:r>
      <w:r w:rsidR="00D90563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los </w:t>
      </w:r>
      <w:r w:rsidR="002765AC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recursos naturales existentes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, especialmente los sitios Ramsar, en los que se integren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los principios del manejo y la adaptación basados en los ecosistemas frente a </w:t>
      </w:r>
      <w:r w:rsidR="00CA138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las amenazas naturales como las tormentas de polvo y de arena,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inundaciones, sequías, incendios, corrimientos de tierras, </w:t>
      </w:r>
      <w:r w:rsidR="00CA138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erosión costera,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maremotos</w:t>
      </w:r>
      <w:r w:rsidR="00CA138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, huracanes</w:t>
      </w:r>
      <w:r w:rsidR="0006473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, </w:t>
      </w:r>
      <w:r w:rsidR="00CA138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tormentas</w:t>
      </w:r>
      <w:r w:rsidR="0006473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mareas de tempestad</w:t>
      </w:r>
      <w:r w:rsidR="00184C5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el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aumento acelerado del nivel del mar, y ALIENTA ENCARECIDAMENTE a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que se integren medidas de reducción del riesgo de desastres en dichos planes de manejo y </w:t>
      </w:r>
      <w:r w:rsidR="00064736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en </w:t>
      </w:r>
      <w:r w:rsidR="00064736" w:rsidRP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>todos</w:t>
      </w:r>
      <w:r w:rsidR="002A1C55" w:rsidRP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</w:t>
      </w:r>
      <w:r w:rsidRP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planes de acción, programas y políticas </w:t>
      </w:r>
      <w:r w:rsidR="00064736" w:rsidRPr="002A1C55">
        <w:rPr>
          <w:rFonts w:asciiTheme="minorHAnsi" w:eastAsia="Times New Roman" w:hAnsiTheme="minorHAnsi" w:cs="Times New Roman"/>
          <w:sz w:val="22"/>
          <w:szCs w:val="22"/>
          <w:lang w:val="es-ES_tradnl"/>
        </w:rPr>
        <w:t>relevantes</w:t>
      </w:r>
      <w:r w:rsidRPr="002A1C55">
        <w:rPr>
          <w:rFonts w:asciiTheme="minorHAnsi" w:eastAsia="Times New Roman" w:hAnsiTheme="minorHAnsi" w:cs="Times New Roman"/>
          <w:w w:val="107"/>
          <w:sz w:val="22"/>
          <w:szCs w:val="22"/>
          <w:lang w:val="es-ES_tradnl"/>
        </w:rPr>
        <w:t>;</w:t>
      </w:r>
    </w:p>
    <w:p w14:paraId="58C602A0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5046295C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2EAD808B" w14:textId="33F05F3A" w:rsidR="00A379A3" w:rsidRDefault="00A379A3" w:rsidP="008302D0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lastRenderedPageBreak/>
        <w:t>ALIENTA a las Partes Contratantes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, según proceda,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="00317376">
        <w:rPr>
          <w:rFonts w:asciiTheme="minorHAnsi" w:eastAsia="Times New Roman" w:hAnsiTheme="minorHAnsi" w:cs="Calibri"/>
          <w:sz w:val="22"/>
          <w:szCs w:val="22"/>
          <w:lang w:val="es-ES_tradnl"/>
        </w:rPr>
        <w:t>a integrar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="00CA138A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la 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reducción y 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gestión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del riesgo de </w:t>
      </w:r>
      <w:r w:rsidR="00F163CE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desastres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basad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a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s en los humedales en 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los planes estratégicos nacionales y 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todos los procesos de planificación y las </w:t>
      </w:r>
      <w:r w:rsidR="008302D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políticas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pertinentes</w:t>
      </w:r>
      <w:r w:rsidR="006274F3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y</w:t>
      </w:r>
      <w:r w:rsid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también</w:t>
      </w:r>
      <w:r w:rsidR="006274F3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en la gestión medioambiental y del agua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en todos los niveles de gobierno, inclusive en los análisis de la vulnerabilidad, las estrategias de reducción de la pobreza</w:t>
      </w:r>
      <w:r w:rsidR="006274F3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, los comités d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e emergencia para los desastres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los planes de manejo de los recursos naturales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,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los planes 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y sectores 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de uso de</w:t>
      </w:r>
      <w:r w:rsidR="00A15B28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la tierra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del agua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, y </w:t>
      </w:r>
      <w:r w:rsidR="00A80759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planes y políticas</w:t>
      </w:r>
      <w:r w:rsid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Pr="008302D0">
        <w:rPr>
          <w:rFonts w:asciiTheme="minorHAnsi" w:eastAsia="Times New Roman" w:hAnsiTheme="minorHAnsi" w:cs="Calibri"/>
          <w:sz w:val="22"/>
          <w:szCs w:val="22"/>
          <w:lang w:val="es-ES_tradnl"/>
        </w:rPr>
        <w:t>multisectoriales;</w:t>
      </w:r>
    </w:p>
    <w:p w14:paraId="037FA37E" w14:textId="77777777" w:rsidR="006C0400" w:rsidRDefault="006C0400" w:rsidP="006C0400">
      <w:pPr>
        <w:pStyle w:val="ListParagraph"/>
        <w:spacing w:line="240" w:lineRule="auto"/>
        <w:ind w:left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</w:p>
    <w:p w14:paraId="51293155" w14:textId="415CCC56" w:rsidR="00A379A3" w:rsidRPr="00A80759" w:rsidRDefault="006C0400" w:rsidP="006C0400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ALIENTA a las Partes Contratantes </w:t>
      </w:r>
      <w:r w:rsidR="00317376">
        <w:rPr>
          <w:rFonts w:asciiTheme="minorHAnsi" w:eastAsia="Times New Roman" w:hAnsiTheme="minorHAnsi" w:cs="Times New Roman"/>
          <w:sz w:val="22"/>
          <w:szCs w:val="22"/>
          <w:lang w:val="es-ES_tradnl"/>
        </w:rPr>
        <w:t>a velar por</w:t>
      </w: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que la planificación del riesgo de desastres no comprometa los valores importantes ni </w:t>
      </w:r>
      <w:r w:rsid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las</w:t>
      </w: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características ecológicas </w:t>
      </w:r>
      <w:r w:rsid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 los sitios Ramsar a escala </w:t>
      </w: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internacional;</w:t>
      </w:r>
    </w:p>
    <w:p w14:paraId="52AFC19C" w14:textId="77777777" w:rsidR="006C0400" w:rsidRPr="006C0400" w:rsidRDefault="006C0400" w:rsidP="006C0400">
      <w:pPr>
        <w:spacing w:line="240" w:lineRule="auto"/>
        <w:rPr>
          <w:rFonts w:asciiTheme="minorHAnsi" w:eastAsia="Times New Roman" w:hAnsiTheme="minorHAnsi" w:cs="Calibri"/>
          <w:sz w:val="22"/>
          <w:szCs w:val="22"/>
          <w:lang w:val="es-ES_tradnl"/>
        </w:rPr>
      </w:pPr>
    </w:p>
    <w:p w14:paraId="345665BE" w14:textId="4E90C50F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Theme="minorHAnsi" w:eastAsia="Times New Roman" w:hAnsiTheme="minorHAnsi" w:cs="Times New Roman"/>
          <w:w w:val="107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ALIENTA a las Partes Contratantes </w:t>
      </w:r>
      <w:r w:rsidR="00317376">
        <w:rPr>
          <w:rFonts w:asciiTheme="minorHAnsi" w:eastAsia="Times New Roman" w:hAnsiTheme="minorHAnsi" w:cs="Times New Roman"/>
          <w:sz w:val="22"/>
          <w:szCs w:val="22"/>
          <w:lang w:val="es-ES_tradnl"/>
        </w:rPr>
        <w:t>a integrar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planes de manejo de los humedales u otros planes de manejo del agua y el paisaje de mayor alcance en los planes de uso del suelo y de desarrollo, y ALIENTA ASIMISMO a las Partes Contratantes a incorporar consideraciones relativas al manejo de los ecosistemas y particularmente al manejo de los humedales y el agua en sus estrategias nacionales de reducción del riesgo de desastres y de adaptación al cambio climático</w:t>
      </w:r>
      <w:r w:rsidRPr="00BF700B">
        <w:rPr>
          <w:rFonts w:asciiTheme="minorHAnsi" w:eastAsia="Times New Roman" w:hAnsiTheme="minorHAnsi" w:cs="Times New Roman"/>
          <w:w w:val="107"/>
          <w:sz w:val="22"/>
          <w:szCs w:val="22"/>
          <w:lang w:val="es-ES_tradnl"/>
        </w:rPr>
        <w:t>;</w:t>
      </w:r>
    </w:p>
    <w:p w14:paraId="7189F805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54FCDB64" w14:textId="23693C2D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ALIENTA a las Partes Contratantes a evaluar el riesgo de desastres</w:t>
      </w:r>
      <w:r w:rsidR="007925D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relativo a los ecosistemas de los humedales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 la escala </w:t>
      </w:r>
      <w:r w:rsidR="007925DA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social y espacial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adecuada para permitir el diseño de intervenciones efectivas de reducción del riesgo de 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desastres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, </w:t>
      </w:r>
      <w:r w:rsidR="00A80759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tales como</w:t>
      </w:r>
      <w:r w:rsidR="006C0400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los enfoques y soluciones basados en los ecosistemas,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 fin de reducir la vulnerabilidad y la exposición al riesgo de las personas;</w:t>
      </w:r>
    </w:p>
    <w:p w14:paraId="037963AC" w14:textId="77777777" w:rsidR="00A379A3" w:rsidRPr="00BF700B" w:rsidRDefault="00A379A3" w:rsidP="000B7FD0">
      <w:pPr>
        <w:spacing w:line="240" w:lineRule="auto"/>
        <w:ind w:left="42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</w:p>
    <w:p w14:paraId="62F176E1" w14:textId="0D8B746E" w:rsidR="00A379A3" w:rsidRPr="00A80759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ALIENTA a las Partes </w:t>
      </w:r>
      <w:r w:rsidRPr="0031737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Contratantes a </w:t>
      </w:r>
      <w:r w:rsidR="00317376" w:rsidRPr="0031737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velar </w:t>
      </w:r>
      <w:r w:rsidR="006C0400" w:rsidRPr="00317376">
        <w:rPr>
          <w:rFonts w:asciiTheme="minorHAnsi" w:eastAsia="Times New Roman" w:hAnsiTheme="minorHAnsi" w:cs="Calibri"/>
          <w:sz w:val="22"/>
          <w:szCs w:val="22"/>
          <w:lang w:val="es-ES_tradnl"/>
        </w:rPr>
        <w:t>por que las actividades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de desarrollo necesarias 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en los humedales y en sus alrededores 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sean sostenible</w:t>
      </w:r>
      <w:r w:rsidR="00317376">
        <w:rPr>
          <w:rFonts w:asciiTheme="minorHAnsi" w:eastAsia="Times New Roman" w:hAnsiTheme="minorHAnsi" w:cs="Calibri"/>
          <w:sz w:val="22"/>
          <w:szCs w:val="22"/>
          <w:lang w:val="es-ES_tradnl"/>
        </w:rPr>
        <w:t>s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mantengan y conserven los servicios de los ecosistemas, incluido el papel de los humedales en la reducción de</w:t>
      </w:r>
      <w:r w:rsidR="00317376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 impacto </w:t>
      </w:r>
      <w:r w:rsidR="006C0400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de los desastres</w:t>
      </w:r>
      <w:r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;</w:t>
      </w:r>
    </w:p>
    <w:p w14:paraId="646A74D2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63108962" w14:textId="6F604400" w:rsidR="00A379A3" w:rsidRPr="00BF700B" w:rsidRDefault="00A379A3" w:rsidP="000B7FD0">
      <w:pPr>
        <w:pStyle w:val="ListParagraph"/>
        <w:numPr>
          <w:ilvl w:val="0"/>
          <w:numId w:val="12"/>
        </w:numPr>
        <w:tabs>
          <w:tab w:val="left" w:pos="2320"/>
        </w:tabs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ALIENTA</w:t>
      </w:r>
      <w:r w:rsidRPr="00BF700B">
        <w:rPr>
          <w:rFonts w:asciiTheme="minorHAnsi" w:eastAsia="Times New Roman" w:hAnsiTheme="minorHAnsi" w:cs="Times New Roman"/>
          <w:spacing w:val="30"/>
          <w:sz w:val="22"/>
          <w:szCs w:val="22"/>
          <w:lang w:val="es-ES_tradnl"/>
        </w:rPr>
        <w:t xml:space="preserve">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 las Partes Contratantes a </w:t>
      </w:r>
      <w:r w:rsidRPr="00317376">
        <w:rPr>
          <w:rFonts w:asciiTheme="minorHAnsi" w:eastAsia="Times New Roman" w:hAnsiTheme="minorHAnsi" w:cs="Times New Roman"/>
          <w:sz w:val="22"/>
          <w:szCs w:val="22"/>
          <w:lang w:val="es-ES_tradnl"/>
        </w:rPr>
        <w:t>incorporar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las necesidades financieras y de otros recursos</w:t>
      </w:r>
      <w:r w:rsidR="007925DA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, según </w:t>
      </w:r>
      <w:r w:rsidR="00317376">
        <w:rPr>
          <w:rFonts w:asciiTheme="minorHAnsi" w:eastAsia="Times New Roman" w:hAnsiTheme="minorHAnsi" w:cs="Times New Roman"/>
          <w:sz w:val="22"/>
          <w:szCs w:val="22"/>
          <w:lang w:val="es-ES_tradnl"/>
        </w:rPr>
        <w:t>proceda</w:t>
      </w:r>
      <w:r w:rsidR="007925DA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para las actividades de conservación, restauración y manejo de los humedales en relación con la reducción del riesgo de desastres en su programación de inversiones a largo plazo, garantizando al mismo tiempo la inclusión de medidas destinadas a evitar impactos ambientales o sociales adversos</w:t>
      </w:r>
      <w:r w:rsidRPr="00BF700B">
        <w:rPr>
          <w:rFonts w:asciiTheme="minorHAnsi" w:eastAsia="Times New Roman" w:hAnsiTheme="minorHAnsi" w:cs="Times New Roman"/>
          <w:w w:val="113"/>
          <w:sz w:val="22"/>
          <w:szCs w:val="22"/>
          <w:lang w:val="es-ES_tradnl"/>
        </w:rPr>
        <w:t>;</w:t>
      </w:r>
    </w:p>
    <w:p w14:paraId="0C73606D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0F335CF5" w14:textId="6223C8A0" w:rsidR="007925DA" w:rsidRPr="00A80759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INVITA a las Partes Contratantes y a los asociados a velar por que la aplicación de proyectos y programas de manejo y restauración de los humeda</w:t>
      </w:r>
      <w:r w:rsidR="006C0400"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les basados en los ecosistemas se lleve a cabo de manera adecuada para </w:t>
      </w:r>
      <w:r w:rsidR="00A80759"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garantizar</w:t>
      </w:r>
      <w:r w:rsidR="006C0400"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 integridad ecológica y el </w:t>
      </w:r>
      <w:r w:rsidR="00A80759"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funcionamiento</w:t>
      </w:r>
      <w:r w:rsidR="006C0400"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original de ecosistemas concretos</w:t>
      </w:r>
      <w:r w:rsidRPr="00A80759">
        <w:rPr>
          <w:rFonts w:asciiTheme="minorHAnsi" w:eastAsia="Times New Roman" w:hAnsiTheme="minorHAnsi" w:cs="Times New Roman"/>
          <w:sz w:val="22"/>
          <w:szCs w:val="22"/>
          <w:lang w:val="es-ES_tradnl"/>
        </w:rPr>
        <w:t>;</w:t>
      </w:r>
    </w:p>
    <w:p w14:paraId="5A98D65B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16D9E65D" w14:textId="5B1DA4FE" w:rsidR="005D3C3C" w:rsidRPr="00BF700B" w:rsidRDefault="00376135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RECORDANDO </w:t>
      </w:r>
      <w:r w:rsidR="007925DA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 </w:t>
      </w:r>
      <w:r w:rsidR="006C0400">
        <w:rPr>
          <w:rFonts w:asciiTheme="minorHAnsi" w:eastAsia="Times New Roman" w:hAnsiTheme="minorHAnsi" w:cs="Times New Roman"/>
          <w:sz w:val="22"/>
          <w:szCs w:val="22"/>
          <w:lang w:val="es-ES_tradnl"/>
        </w:rPr>
        <w:t>D</w:t>
      </w:r>
      <w:r w:rsidR="007925DA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ecisión XII/19 del C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DB</w:t>
      </w:r>
      <w:r w:rsidR="009360E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sobre </w:t>
      </w:r>
      <w:r w:rsidR="009360E2" w:rsidRPr="00A80759">
        <w:rPr>
          <w:rFonts w:asciiTheme="minorHAnsi" w:eastAsia="Times New Roman" w:hAnsiTheme="minorHAnsi" w:cs="Times New Roman"/>
          <w:i/>
          <w:sz w:val="22"/>
          <w:szCs w:val="22"/>
          <w:lang w:val="es-ES_tradnl"/>
        </w:rPr>
        <w:t>Conservación y restauración de los ecosistemas</w:t>
      </w:r>
      <w:r w:rsidR="00317376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="009360E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F9305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que destaca la importancia crucial de los humedales costeros para los servicios de los ecosistemas, incluidos los relativos a la reducción del riesgo de desastres y la conservación de la diversidad biológica, ACOGE con beneplácito las inici</w:t>
      </w:r>
      <w:r w:rsidR="00184C56">
        <w:rPr>
          <w:rFonts w:asciiTheme="minorHAnsi" w:eastAsia="Times New Roman" w:hAnsiTheme="minorHAnsi" w:cs="Times New Roman"/>
          <w:sz w:val="22"/>
          <w:szCs w:val="22"/>
          <w:lang w:val="es-ES_tradnl"/>
        </w:rPr>
        <w:t>ativas que apoya</w:t>
      </w:r>
      <w:r w:rsidR="00F9305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n la conservación y la restauración de humedales costeros, incluidas opciones para desarrollar una iniciativa de “Cuidado de las costas”, como parte de un movimiento mundial para restaurar los humedales costeros</w:t>
      </w:r>
      <w:r w:rsidR="00184C56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="00F9305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ALIENTA a las Partes Contratantes a considerar su </w:t>
      </w:r>
      <w:r w:rsidR="005D3C3C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posible </w:t>
      </w:r>
      <w:r w:rsidR="00F9305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participación en</w:t>
      </w:r>
      <w:r w:rsidR="005D3C3C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el desarrollo y realización de la iniciativa propuesta</w:t>
      </w:r>
      <w:r w:rsidR="00F93052" w:rsidRPr="00BF700B">
        <w:rPr>
          <w:kern w:val="22"/>
          <w:lang w:val="es-ES_tradnl"/>
        </w:rPr>
        <w:t>;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 </w:t>
      </w:r>
    </w:p>
    <w:p w14:paraId="5634F6D5" w14:textId="77777777" w:rsidR="005D3C3C" w:rsidRPr="00BF700B" w:rsidRDefault="005D3C3C" w:rsidP="005D3C3C">
      <w:pPr>
        <w:spacing w:line="240" w:lineRule="auto"/>
        <w:ind w:right="1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7D3C2779" w14:textId="77777777" w:rsidR="005D3C3C" w:rsidRPr="00BF700B" w:rsidRDefault="005D3C3C" w:rsidP="005D3C3C">
      <w:pPr>
        <w:spacing w:line="240" w:lineRule="auto"/>
        <w:ind w:right="1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435DB6D7" w14:textId="16DB7349" w:rsidR="005D3C3C" w:rsidRPr="00BF700B" w:rsidRDefault="005D3C3C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RECONOCIENDO las referencias a</w:t>
      </w:r>
      <w:r w:rsidR="00746BB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 reducción del riesgo de desastres contenidas en las propuestas del </w:t>
      </w:r>
      <w:r w:rsidR="00184C56">
        <w:rPr>
          <w:rFonts w:asciiTheme="minorHAnsi" w:eastAsia="Times New Roman" w:hAnsiTheme="minorHAnsi" w:cs="Times New Roman"/>
          <w:sz w:val="22"/>
          <w:szCs w:val="22"/>
          <w:lang w:val="es-ES_tradnl"/>
        </w:rPr>
        <w:t>Grupo de Trabajo Abierto sobre l</w:t>
      </w:r>
      <w:r w:rsidR="00746BB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os Objetivos de Desarrollo Sostenible y en </w:t>
      </w:r>
      <w:r w:rsidR="00746BBD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el </w:t>
      </w:r>
      <w:r w:rsidR="00746BBD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lastRenderedPageBreak/>
        <w:t>Marco de Sendai para la Reducción del Riesgo de Desastres 2015-2</w:t>
      </w:r>
      <w:r w:rsidR="00184C56">
        <w:rPr>
          <w:rFonts w:asciiTheme="minorHAnsi" w:eastAsia="Times New Roman" w:hAnsiTheme="minorHAnsi" w:cs="Calibri"/>
          <w:sz w:val="22"/>
          <w:szCs w:val="22"/>
          <w:lang w:val="es-ES_tradnl"/>
        </w:rPr>
        <w:t>030</w:t>
      </w:r>
      <w:r w:rsidR="00746BBD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, ALIENTA a las Partes Contratantes a poner de relieve la importancia de conservar</w:t>
      </w:r>
      <w:r w:rsidR="0095112D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</w:t>
      </w:r>
      <w:r w:rsidR="00746BBD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restaurar los humedales</w:t>
      </w:r>
      <w:r w:rsidR="0095112D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</w:t>
      </w:r>
      <w:r w:rsidR="0095112D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utilizarlos de manera racional</w:t>
      </w:r>
      <w:r w:rsidR="00746BBD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para reducir el riesgo de desastres</w:t>
      </w:r>
      <w:r w:rsidR="00A80759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en estos d</w:t>
      </w:r>
      <w:r w:rsidR="0095112D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ebates</w:t>
      </w:r>
      <w:r w:rsidR="00746BBD" w:rsidRPr="00A80759">
        <w:rPr>
          <w:rFonts w:asciiTheme="minorHAnsi" w:eastAsia="Times New Roman" w:hAnsiTheme="minorHAnsi" w:cs="Calibri"/>
          <w:sz w:val="22"/>
          <w:szCs w:val="22"/>
          <w:lang w:val="es-ES_tradnl"/>
        </w:rPr>
        <w:t>;</w:t>
      </w:r>
    </w:p>
    <w:p w14:paraId="0470B884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73634929" w14:textId="588F0D8F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ALIE</w:t>
      </w:r>
      <w:r w:rsidR="00E2360A">
        <w:rPr>
          <w:rFonts w:asciiTheme="minorHAnsi" w:eastAsia="Times New Roman" w:hAnsiTheme="minorHAnsi" w:cs="Times New Roman"/>
          <w:sz w:val="22"/>
          <w:szCs w:val="22"/>
          <w:lang w:val="es-ES_tradnl"/>
        </w:rPr>
        <w:t>NTA a las Partes Contratantes a que comprendan</w:t>
      </w:r>
      <w:r w:rsidR="00746BB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la</w:t>
      </w:r>
      <w:r w:rsidR="00746BBD" w:rsidRPr="0095112D">
        <w:rPr>
          <w:rFonts w:asciiTheme="minorHAnsi" w:eastAsia="Times New Roman" w:hAnsiTheme="minorHAnsi" w:cs="Times New Roman"/>
          <w:color w:val="FF0000"/>
          <w:sz w:val="22"/>
          <w:szCs w:val="22"/>
          <w:lang w:val="es-ES_tradnl"/>
        </w:rPr>
        <w:t xml:space="preserve"> </w:t>
      </w:r>
      <w:r w:rsidR="00746BBD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>situación difícil</w:t>
      </w:r>
      <w:r w:rsidR="00381677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 la que se enfrentan</w:t>
      </w:r>
      <w:r w:rsidR="00A80759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pueblos indígenas y las comunidades locales y</w:t>
      </w:r>
      <w:r w:rsidR="00746BBD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reconozcan </w:t>
      </w:r>
      <w:r w:rsidR="00A80759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>su</w:t>
      </w:r>
      <w:r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papel </w:t>
      </w:r>
      <w:r w:rsidR="0095112D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y, </w:t>
      </w:r>
      <w:r w:rsid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>cuando</w:t>
      </w:r>
      <w:r w:rsidR="0095112D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proceda, s</w:t>
      </w:r>
      <w:r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u experiencia, conocimientos, </w:t>
      </w:r>
      <w:r w:rsidR="00381677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derechos ancestrales, </w:t>
      </w:r>
      <w:r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>métodos y enfoques relativos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al manejo de los humedales y la reducción del riesgo de desastres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haciendo posible su participación a través del uso eficaz de di</w:t>
      </w:r>
      <w:r w:rsidR="00E2360A">
        <w:rPr>
          <w:rFonts w:asciiTheme="minorHAnsi" w:eastAsia="Times New Roman" w:hAnsiTheme="minorHAnsi" w:cs="Times New Roman"/>
          <w:sz w:val="22"/>
          <w:szCs w:val="22"/>
          <w:lang w:val="es-ES_tradnl"/>
        </w:rPr>
        <w:t>versas estrategias, tales como c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onsejos, reuniones y todos los planes y programas a disposición de los gobiernos nacionales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;</w:t>
      </w:r>
    </w:p>
    <w:p w14:paraId="42FAA65A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24CC994C" w14:textId="444B759F" w:rsidR="00A379A3" w:rsidRPr="00BF700B" w:rsidRDefault="0095112D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>INSTA ASIMISMO</w:t>
      </w:r>
      <w:r w:rsidR="00A379A3" w:rsidRPr="00CA2DD1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 las Partes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Contratantes a </w:t>
      </w: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adoptar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enfoque</w:t>
      </w:r>
      <w:r w:rsidR="0060485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s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para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 reducción del riesgo de desastres 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con el fin de </w:t>
      </w: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garantizar los derechos 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las personas </w:t>
      </w: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desplazadas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dependientes de los humedales;</w:t>
      </w:r>
    </w:p>
    <w:p w14:paraId="5821C0D7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21EFD5D8" w14:textId="30EDDE94" w:rsidR="00A379A3" w:rsidRPr="00BF700B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al </w:t>
      </w:r>
      <w:r w:rsidR="0095112D">
        <w:rPr>
          <w:rFonts w:asciiTheme="minorHAnsi" w:eastAsia="Times New Roman" w:hAnsiTheme="minorHAnsi" w:cs="Times New Roman"/>
          <w:sz w:val="22"/>
          <w:szCs w:val="22"/>
          <w:lang w:val="es-ES_tradnl"/>
        </w:rPr>
        <w:t>Grupo de Examen Científico y Técnico (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GECT</w:t>
      </w:r>
      <w:r w:rsidR="0095112D">
        <w:rPr>
          <w:rFonts w:asciiTheme="minorHAnsi" w:eastAsia="Times New Roman" w:hAnsiTheme="minorHAnsi" w:cs="Times New Roman"/>
          <w:sz w:val="22"/>
          <w:szCs w:val="22"/>
          <w:lang w:val="es-ES_tradnl"/>
        </w:rPr>
        <w:t>)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que </w:t>
      </w:r>
      <w:r w:rsidR="0060485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considere la posibilidad de examinar y recopilar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las orientaciones existentes sobre la adaptación basada en los ecosistemas de humedales en </w:t>
      </w:r>
      <w:r w:rsidR="0060485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el desarrollo de su programa de trabajo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en consonancia</w:t>
      </w:r>
      <w:r w:rsidR="0060485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con el Cuarto Plan Estratégico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 fin de presentar un conjunto de políticas y orientaciones prácticas que puedan iniciar los gobiernos para que se realicen un manejo y un uso racional de los humedales encaminados a aumentar la resiliencia frente a las amenazas naturales, particularmente </w:t>
      </w:r>
      <w:r w:rsidR="00306BC4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las </w:t>
      </w:r>
      <w:r w:rsidR="00381677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tormentas de polvo y de arena, 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inundaciones, sequías, incendios, corrimientos de tierras, </w:t>
      </w:r>
      <w:r w:rsidR="00306BC4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erosión costera, 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maremotos y mareas de tempestad, y frente al aumento acelerado del nivel del mar, y que incluyan la utilización de enfoques basados en el riesgo de conformidad con el </w:t>
      </w:r>
      <w:r w:rsidR="00A379A3" w:rsidRPr="00BF700B">
        <w:rPr>
          <w:rFonts w:asciiTheme="minorHAnsi" w:eastAsia="Times New Roman" w:hAnsiTheme="minorHAnsi" w:cs="Calibri"/>
          <w:i/>
          <w:sz w:val="22"/>
          <w:szCs w:val="22"/>
          <w:lang w:val="es-ES_tradnl"/>
        </w:rPr>
        <w:t>Marco para evaluar el riesgo en humedales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aprobado mediante la Resolución VII.10, y desarrolle indicadores adecuados e información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 referencia para demostrar los progresos hacia la integración del manejo de los humedales en la reducción del riesgo de desastres y las estrategias de adaptación al cambio climático</w:t>
      </w:r>
      <w:r w:rsidR="00306BC4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de manera que las orientaciones citadas se incorporen en los instrumentos actuales de planificación espacial estratégica en el ámbito nacional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;</w:t>
      </w:r>
    </w:p>
    <w:p w14:paraId="08EB7BDD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047035E0" w14:textId="1F2B3DBD" w:rsidR="00625219" w:rsidRPr="00BF700B" w:rsidRDefault="00306BC4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INSTA a la Secretaría a que establezca una asociaciones estratégica con las entidades y convenciones internacionales pertinentes, y concretamente con la</w:t>
      </w:r>
      <w:r w:rsidR="0095112D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95112D" w:rsidRPr="005F4DBC">
        <w:rPr>
          <w:rFonts w:asciiTheme="minorHAnsi" w:eastAsia="Times New Roman" w:hAnsiTheme="minorHAnsi" w:cs="Times New Roman"/>
          <w:sz w:val="22"/>
          <w:szCs w:val="22"/>
          <w:lang w:val="es-ES_tradnl"/>
        </w:rPr>
        <w:t>Convención</w:t>
      </w:r>
      <w:r w:rsidR="0095112D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las Naciones Unidas de Lucha contra la Desertificación (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CNULD</w:t>
      </w:r>
      <w:r w:rsidR="0095112D">
        <w:rPr>
          <w:rFonts w:asciiTheme="minorHAnsi" w:eastAsia="Times New Roman" w:hAnsiTheme="minorHAnsi" w:cs="Times New Roman"/>
          <w:sz w:val="22"/>
          <w:szCs w:val="22"/>
          <w:lang w:val="es-ES_tradnl"/>
        </w:rPr>
        <w:t>)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para crear una plataforma apropiada para la cooperación basada en la prestación de apoyo científico y técnico</w:t>
      </w:r>
      <w:r w:rsidR="00625219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y asimismo</w:t>
      </w:r>
      <w:r w:rsidR="00943742">
        <w:rPr>
          <w:rFonts w:asciiTheme="minorHAnsi" w:eastAsia="Times New Roman" w:hAnsiTheme="minorHAnsi" w:cs="Times New Roman"/>
          <w:sz w:val="22"/>
          <w:szCs w:val="22"/>
          <w:lang w:val="es-ES_tradnl"/>
        </w:rPr>
        <w:t>,</w:t>
      </w:r>
      <w:r w:rsidR="00625219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para facilitar el acceso de países afectados a recursos financieros;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 </w:t>
      </w:r>
    </w:p>
    <w:p w14:paraId="358B822C" w14:textId="77777777" w:rsidR="00625219" w:rsidRPr="00BF700B" w:rsidRDefault="00625219" w:rsidP="00625219">
      <w:pPr>
        <w:spacing w:line="240" w:lineRule="auto"/>
        <w:ind w:right="1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4CFB9032" w14:textId="36A3C117" w:rsidR="00A379A3" w:rsidRPr="00BF700B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ASIMISMO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al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GECT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que </w:t>
      </w:r>
      <w:r w:rsidR="00B90E0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tenga en cuenta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el papel de la conserv</w:t>
      </w:r>
      <w:r w:rsidR="00772874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ación, la restauración y el uso racional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 </w:t>
      </w:r>
      <w:r w:rsidR="00772874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los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humedales en la reducción del riesgo de desastres y </w:t>
      </w:r>
      <w:r w:rsidR="005F4DBC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al abordar 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las repercusiones </w:t>
      </w:r>
      <w:r w:rsidR="00772874">
        <w:rPr>
          <w:rFonts w:asciiTheme="minorHAnsi" w:eastAsia="Times New Roman" w:hAnsiTheme="minorHAnsi" w:cs="Times New Roman"/>
          <w:sz w:val="22"/>
          <w:szCs w:val="22"/>
          <w:lang w:val="es-ES_tradnl"/>
        </w:rPr>
        <w:t>de</w:t>
      </w:r>
      <w:r w:rsidR="00625219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cambio climático</w:t>
      </w:r>
      <w:r w:rsidR="00772874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coordinación con el </w:t>
      </w:r>
      <w:r w:rsidR="00AB2032" w:rsidRPr="00AB2032">
        <w:rPr>
          <w:rFonts w:asciiTheme="minorHAnsi" w:eastAsia="Times New Roman" w:hAnsiTheme="minorHAnsi" w:cstheme="minorHAnsi"/>
          <w:sz w:val="22"/>
          <w:szCs w:val="22"/>
          <w:lang w:val="es-ES_tradnl"/>
        </w:rPr>
        <w:t xml:space="preserve">Grupo Intergubernamental de Expertos sobre el Cambio Climático </w:t>
      </w:r>
      <w:r w:rsidR="00772874" w:rsidRPr="00AB2032">
        <w:rPr>
          <w:rFonts w:asciiTheme="minorHAnsi" w:eastAsia="Times New Roman" w:hAnsiTheme="minorHAnsi" w:cstheme="minorHAnsi"/>
          <w:sz w:val="22"/>
          <w:szCs w:val="22"/>
          <w:lang w:val="es-ES_tradnl"/>
        </w:rPr>
        <w:t>(IPCC)</w:t>
      </w:r>
      <w:r w:rsidR="00A379A3" w:rsidRP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 identifique me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canismos de valoración económica,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seguimiento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evaluación</w:t>
      </w:r>
      <w:r w:rsidR="004E5F6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el desarrollo de su programa de trabajo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en consonancia</w:t>
      </w:r>
      <w:r w:rsidR="004E5F6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con el Cuarto Plan Estratégico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;</w:t>
      </w:r>
    </w:p>
    <w:p w14:paraId="69D7AFDE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1282D276" w14:textId="23E071B7" w:rsidR="00DC756E" w:rsidRPr="00AB2032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al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GECT </w:t>
      </w:r>
      <w:r w:rsidR="00AA2442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que considere la posibilidad de realizar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un seguimiento de las deliberaciones, los avances y las tendencias en los foros internacionales sobre el papel de la conservación</w:t>
      </w:r>
      <w:r w:rsidR="00ED2187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, la restauración y el uso racional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 los humedales en la reducción del riesgo de desastres y la adaptación al cambio climático</w:t>
      </w:r>
      <w:r w:rsid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el desarrollo de su trabajo</w:t>
      </w:r>
      <w:r w:rsidR="00ED2187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</w:t>
      </w:r>
      <w:r w:rsidR="00ED2187" w:rsidRP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consonancia con el Cuarto Plan Estratégico</w:t>
      </w:r>
      <w:r w:rsidR="00DC756E" w:rsidRP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;</w:t>
      </w:r>
    </w:p>
    <w:p w14:paraId="3FD0A12E" w14:textId="77777777" w:rsidR="00DC756E" w:rsidRPr="00BF700B" w:rsidRDefault="00DC756E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41C430E9" w14:textId="28E936C0" w:rsidR="00DC756E" w:rsidRPr="00BF700B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lastRenderedPageBreak/>
        <w:t>PIDE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ADEMÁS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al GECT, si el Comité Permanente aprueba esta labor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, que mantenga a las Partes Contratantes informadas sobre las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deliberaciones,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las tendencias y los avances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mencionado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s a 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través </w:t>
      </w:r>
      <w:r w:rsidR="008D2DA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del informe del GECT en 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reuniones futuras del Comité Permanente;</w:t>
      </w:r>
    </w:p>
    <w:p w14:paraId="1E953443" w14:textId="77777777" w:rsidR="00DC756E" w:rsidRPr="00BF700B" w:rsidRDefault="00DC756E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5D02AB1B" w14:textId="3C1DA3CE" w:rsidR="00552F2D" w:rsidRPr="00BF700B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ADEMÁS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al GECT que considere la posibilidad de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apoyar las actividades de creaci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ón de capacidad de los administradores de los humedales sobre la reducci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ón del riesgo de desast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res en el desarrollo de su programa de trabajo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en consonancia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con el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Cuarto</w:t>
      </w:r>
      <w:r w:rsidR="00552F2D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Plan Estratégico;</w:t>
      </w:r>
    </w:p>
    <w:p w14:paraId="4A6B1090" w14:textId="77777777" w:rsidR="00552F2D" w:rsidRPr="00BF700B" w:rsidRDefault="00552F2D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0867316B" w14:textId="77777777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ALIENTA a las Partes Contratantes y particularmente a sus Coordinadores Nacionales de CECoP para Ramsar a que establezcan o fortalezcan los programas de CECoP y aumenten la concienciación sobre el papel del uso racional, el manejo, la conservación y la restauración de los humedales en la reducción del riesgo de desastres y sobre el papel de los humedales en la reducción de las vulnerabilidades y la mitigación de los desastres;</w:t>
      </w:r>
    </w:p>
    <w:p w14:paraId="79DF85D2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0F1DD316" w14:textId="1C9A9E6A" w:rsidR="00A379A3" w:rsidRPr="00BF700B" w:rsidRDefault="00B8799B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ALIENTA a los gobiernos a integr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ar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enfoques basados en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los ecosistemas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con los enfoques tradicionales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para </w:t>
      </w:r>
      <w:r w:rsidR="00A7165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la reducción del riesgo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 desastre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s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y a tomar</w:t>
      </w:r>
      <w:r w:rsidR="00A7165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en consi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deración medidas de salvaguarda</w:t>
      </w:r>
      <w:r w:rsidR="00A7165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de la biodiversidad 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para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hacer frente a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los factores subyacentes </w:t>
      </w:r>
      <w:r w:rsidR="00133716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de los</w:t>
      </w: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riesgos relacionados con el agua en el paisaje junto c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on otras medidas </w:t>
      </w:r>
      <w:r w:rsidR="00133716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de preparación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y alerta temprana</w:t>
      </w:r>
      <w:r w:rsidR="00A379A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;</w:t>
      </w:r>
    </w:p>
    <w:p w14:paraId="0637A7F8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</w:p>
    <w:p w14:paraId="203398AE" w14:textId="6931D7EC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Calibri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ALIENTA </w:t>
      </w:r>
      <w:r w:rsidR="009841BB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a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los organismos nacionales de gestión de desastres y las autoridades responsables de las cuencas hidrográficas</w:t>
      </w:r>
      <w:r w:rsidR="009841BB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a que colaboren</w:t>
      </w:r>
      <w:r w:rsidR="00A7165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="00684EE8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en otras formas de</w:t>
      </w:r>
      <w:r w:rsidR="00A7165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manej</w:t>
      </w:r>
      <w:r w:rsidR="00684EE8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o de l</w:t>
      </w:r>
      <w:r w:rsidR="00A7165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os humedales,</w:t>
      </w:r>
      <w:r w:rsidR="009841BB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según proceda, con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los responsables del manejo de las costas y </w:t>
      </w:r>
      <w:r w:rsidR="00311373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las organizaciones humanitarias </w:t>
      </w:r>
      <w:r w:rsidR="00575EDF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nacionales y, </w:t>
      </w:r>
      <w:r w:rsidR="00FF5A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según proceda, internacionales, </w:t>
      </w:r>
      <w:r w:rsidR="00943742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y </w:t>
      </w:r>
      <w:r w:rsidR="00FF5A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en el desarrollo y la aplicación de</w:t>
      </w:r>
      <w:r w:rsidR="00575EDF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leyes, políticas y planes, incluyendo planes de contingencia, para integrar enfoques basa</w:t>
      </w:r>
      <w:r w:rsidR="00575EDF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dos en los ecosistemas, incluida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s las infraestructura</w:t>
      </w:r>
      <w:r w:rsidR="00FF5A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s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</w:t>
      </w:r>
      <w:r w:rsidR="00ED2187">
        <w:rPr>
          <w:rFonts w:asciiTheme="minorHAnsi" w:eastAsia="Times New Roman" w:hAnsiTheme="minorHAnsi" w:cs="Calibri"/>
          <w:sz w:val="22"/>
          <w:szCs w:val="22"/>
          <w:lang w:val="es-ES_tradnl"/>
        </w:rPr>
        <w:t>sostenibles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, en la reducción del riesgo de desastres</w:t>
      </w:r>
      <w:r w:rsidR="00575EDF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, de conformidad con la</w:t>
      </w:r>
      <w:r w:rsidR="00FF5AC7"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 xml:space="preserve"> legislación nacional</w:t>
      </w:r>
      <w:r w:rsidRPr="00BF700B">
        <w:rPr>
          <w:rFonts w:asciiTheme="minorHAnsi" w:eastAsia="Times New Roman" w:hAnsiTheme="minorHAnsi" w:cs="Calibri"/>
          <w:sz w:val="22"/>
          <w:szCs w:val="22"/>
          <w:lang w:val="es-ES_tradnl"/>
        </w:rPr>
        <w:t>;</w:t>
      </w:r>
    </w:p>
    <w:p w14:paraId="76751EE7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062F8001" w14:textId="406AE7F0" w:rsidR="00A379A3" w:rsidRPr="00BF700B" w:rsidRDefault="00A379A3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  <w:r w:rsidRPr="00BF700B">
        <w:rPr>
          <w:rFonts w:asciiTheme="minorHAnsi" w:hAnsiTheme="minorHAnsi"/>
          <w:sz w:val="22"/>
          <w:szCs w:val="22"/>
          <w:lang w:val="es-ES_tradnl"/>
        </w:rPr>
        <w:t xml:space="preserve">ALIENTA a las Partes Contratantes a colaborar con universidades e instituciones de investigación para realizar investigaciones a largo plazo sobre los humedales y el manejo del riesgo de desastres; </w:t>
      </w:r>
    </w:p>
    <w:p w14:paraId="674E520B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42AE6C3A" w14:textId="52CF23C9" w:rsidR="00A379A3" w:rsidRPr="00BF700B" w:rsidRDefault="00552DC1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que la Secretaría de Ramsar establezca contactos con la Secretaría de la Convención Marco de las Naciones Unidas sobre el Cambio Climático 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y la Estrategia Internacional para la Reducción de los Desastres de las Naciones Unidos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para resaltar la importancia de los humedales en la adaptación al cambio climático, particularmente en los países considerados como </w:t>
      </w:r>
      <w:r w:rsidR="004B62CB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vulnerables 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al cambio climático, y </w:t>
      </w:r>
      <w:r w:rsidRPr="00AB2032">
        <w:rPr>
          <w:rFonts w:asciiTheme="minorHAnsi" w:eastAsia="Times New Roman" w:hAnsiTheme="minorHAnsi" w:cs="Times New Roman"/>
          <w:sz w:val="22"/>
          <w:szCs w:val="22"/>
          <w:lang w:val="es-ES_tradnl"/>
        </w:rPr>
        <w:t>PIDE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TAMBIÉN que la Secretaría de Ra</w:t>
      </w:r>
      <w:r w:rsidR="00DC756E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msar establezca</w:t>
      </w:r>
      <w:r w:rsidR="00A379A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alianzas estratégicas para garantizar una colaboración y el acceso</w:t>
      </w:r>
      <w:r w:rsidR="00B84209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 a fondos fiduciarios mundiales</w:t>
      </w:r>
      <w:r w:rsidR="00684EE8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; y</w:t>
      </w:r>
    </w:p>
    <w:p w14:paraId="1E037CE9" w14:textId="77777777" w:rsidR="004B62CB" w:rsidRPr="00BF700B" w:rsidRDefault="004B62CB" w:rsidP="004B62CB">
      <w:pPr>
        <w:spacing w:line="240" w:lineRule="auto"/>
        <w:ind w:right="1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</w:p>
    <w:p w14:paraId="2946D91A" w14:textId="4C575504" w:rsidR="004B62CB" w:rsidRPr="00BF700B" w:rsidRDefault="004B62CB" w:rsidP="000B7FD0">
      <w:pPr>
        <w:pStyle w:val="ListParagraph"/>
        <w:numPr>
          <w:ilvl w:val="0"/>
          <w:numId w:val="12"/>
        </w:numPr>
        <w:spacing w:line="240" w:lineRule="auto"/>
        <w:ind w:left="426" w:right="16" w:hanging="426"/>
        <w:rPr>
          <w:rFonts w:asciiTheme="minorHAnsi" w:eastAsia="Times New Roman" w:hAnsiTheme="minorHAnsi" w:cs="Times New Roman"/>
          <w:sz w:val="22"/>
          <w:szCs w:val="22"/>
          <w:lang w:val="es-ES_tradnl"/>
        </w:rPr>
      </w:pPr>
      <w:r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 xml:space="preserve">PIDE a los donantes multilaterales y bilaterales, así como a los patrocinadores del sector privado, que apoyen la aplicación de las medidas necesarias y apropiadas relativas a los humedales y la reducción del riesgo de desastres, </w:t>
      </w:r>
      <w:r w:rsidR="006D3CB3" w:rsidRPr="00BF700B">
        <w:rPr>
          <w:rFonts w:asciiTheme="minorHAnsi" w:eastAsia="Times New Roman" w:hAnsiTheme="minorHAnsi" w:cs="Times New Roman"/>
          <w:sz w:val="22"/>
          <w:szCs w:val="22"/>
          <w:lang w:val="es-ES_tradnl"/>
        </w:rPr>
        <w:t>especialmente en los países en desarrollo.</w:t>
      </w:r>
    </w:p>
    <w:p w14:paraId="387ACD0E" w14:textId="77777777" w:rsidR="00A379A3" w:rsidRPr="00BF700B" w:rsidRDefault="00A379A3" w:rsidP="000B7FD0">
      <w:pPr>
        <w:spacing w:line="240" w:lineRule="auto"/>
        <w:ind w:left="426" w:right="16" w:hanging="426"/>
        <w:rPr>
          <w:rFonts w:asciiTheme="minorHAnsi" w:hAnsiTheme="minorHAnsi"/>
          <w:sz w:val="22"/>
          <w:szCs w:val="22"/>
          <w:lang w:val="es-ES_tradnl"/>
        </w:rPr>
      </w:pPr>
    </w:p>
    <w:p w14:paraId="5A195FB6" w14:textId="77777777" w:rsidR="00922E74" w:rsidRPr="00BF700B" w:rsidRDefault="00922E74" w:rsidP="002E46B7">
      <w:pPr>
        <w:spacing w:line="240" w:lineRule="auto"/>
        <w:ind w:right="16"/>
        <w:rPr>
          <w:rFonts w:asciiTheme="minorHAnsi" w:hAnsiTheme="minorHAnsi"/>
          <w:sz w:val="22"/>
          <w:szCs w:val="22"/>
          <w:lang w:val="es-ES_tradnl"/>
        </w:rPr>
      </w:pPr>
    </w:p>
    <w:p w14:paraId="1A79A9DA" w14:textId="77777777" w:rsidR="00CF26F5" w:rsidRPr="00BF700B" w:rsidRDefault="00CF26F5" w:rsidP="002E46B7">
      <w:pPr>
        <w:rPr>
          <w:rFonts w:asciiTheme="minorHAnsi" w:hAnsiTheme="minorHAnsi"/>
          <w:b/>
          <w:bCs/>
          <w:sz w:val="22"/>
          <w:szCs w:val="22"/>
          <w:lang w:val="es-ES_tradnl" w:eastAsia="ja-JP"/>
        </w:rPr>
      </w:pPr>
    </w:p>
    <w:sectPr w:rsidR="00CF26F5" w:rsidRPr="00BF700B" w:rsidSect="004D2D2D">
      <w:footerReference w:type="default" r:id="rId10"/>
      <w:pgSz w:w="11907" w:h="16839" w:code="9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055CA1" w14:textId="77777777" w:rsidR="005F4DBC" w:rsidRDefault="005F4DBC" w:rsidP="00A85C87">
      <w:pPr>
        <w:spacing w:line="240" w:lineRule="auto"/>
      </w:pPr>
      <w:r>
        <w:separator/>
      </w:r>
    </w:p>
  </w:endnote>
  <w:endnote w:type="continuationSeparator" w:id="0">
    <w:p w14:paraId="44335F50" w14:textId="77777777" w:rsidR="005F4DBC" w:rsidRDefault="005F4DBC" w:rsidP="00A85C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Zapf Dingbats">
    <w:charset w:val="02"/>
    <w:family w:val="auto"/>
    <w:pitch w:val="variable"/>
    <w:sig w:usb0="00000000" w:usb1="10000000" w:usb2="00000000" w:usb3="00000000" w:csb0="80000000" w:csb1="00000000"/>
  </w:font>
  <w:font w:name="Adobe Caslo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27907" w14:textId="0AB75BD3" w:rsidR="005F4DBC" w:rsidRPr="00831A51" w:rsidRDefault="005F4DBC" w:rsidP="002E46B7">
    <w:pPr>
      <w:pStyle w:val="Footer"/>
      <w:tabs>
        <w:tab w:val="clear" w:pos="9360"/>
        <w:tab w:val="right" w:pos="9072"/>
      </w:tabs>
      <w:rPr>
        <w:rFonts w:asciiTheme="minorHAnsi" w:hAnsiTheme="minorHAnsi"/>
        <w:sz w:val="20"/>
        <w:szCs w:val="20"/>
        <w:lang w:val="es-ES"/>
      </w:rPr>
    </w:pPr>
    <w:r w:rsidRPr="00831A51">
      <w:rPr>
        <w:rFonts w:asciiTheme="minorHAnsi" w:hAnsiTheme="minorHAnsi"/>
        <w:sz w:val="20"/>
        <w:szCs w:val="20"/>
        <w:lang w:val="es-ES"/>
      </w:rPr>
      <w:t>Resolución XII.13 de la COP12 de Ramsar</w:t>
    </w:r>
    <w:r w:rsidRPr="00831A51">
      <w:rPr>
        <w:rFonts w:asciiTheme="minorHAnsi" w:hAnsiTheme="minorHAnsi"/>
        <w:sz w:val="20"/>
        <w:szCs w:val="20"/>
        <w:lang w:val="es-ES"/>
      </w:rPr>
      <w:tab/>
    </w:r>
    <w:r w:rsidRPr="00831A51">
      <w:rPr>
        <w:rFonts w:asciiTheme="minorHAnsi" w:hAnsiTheme="minorHAnsi"/>
        <w:sz w:val="20"/>
        <w:szCs w:val="20"/>
        <w:lang w:val="es-ES"/>
      </w:rPr>
      <w:tab/>
    </w:r>
    <w:r w:rsidRPr="00155801">
      <w:rPr>
        <w:rFonts w:asciiTheme="minorHAnsi" w:hAnsiTheme="minorHAnsi"/>
        <w:sz w:val="20"/>
        <w:szCs w:val="20"/>
      </w:rPr>
      <w:fldChar w:fldCharType="begin"/>
    </w:r>
    <w:r w:rsidRPr="00831A51">
      <w:rPr>
        <w:rFonts w:asciiTheme="minorHAnsi" w:hAnsiTheme="minorHAnsi"/>
        <w:sz w:val="20"/>
        <w:szCs w:val="20"/>
        <w:lang w:val="es-ES"/>
      </w:rPr>
      <w:instrText xml:space="preserve"> PAGE   \* MERGEFORMAT </w:instrText>
    </w:r>
    <w:r w:rsidRPr="00155801">
      <w:rPr>
        <w:rFonts w:asciiTheme="minorHAnsi" w:hAnsiTheme="minorHAnsi"/>
        <w:sz w:val="20"/>
        <w:szCs w:val="20"/>
      </w:rPr>
      <w:fldChar w:fldCharType="separate"/>
    </w:r>
    <w:r w:rsidR="002744A8">
      <w:rPr>
        <w:rFonts w:asciiTheme="minorHAnsi" w:hAnsiTheme="minorHAnsi"/>
        <w:noProof/>
        <w:sz w:val="20"/>
        <w:szCs w:val="20"/>
        <w:lang w:val="es-ES"/>
      </w:rPr>
      <w:t>2</w:t>
    </w:r>
    <w:r w:rsidRPr="00155801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B810B" w14:textId="77777777" w:rsidR="005F4DBC" w:rsidRDefault="005F4DBC" w:rsidP="00A85C87">
      <w:pPr>
        <w:spacing w:line="240" w:lineRule="auto"/>
      </w:pPr>
      <w:r>
        <w:separator/>
      </w:r>
    </w:p>
  </w:footnote>
  <w:footnote w:type="continuationSeparator" w:id="0">
    <w:p w14:paraId="5FCF0BF0" w14:textId="77777777" w:rsidR="005F4DBC" w:rsidRDefault="005F4DBC" w:rsidP="00A85C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42F8B7E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FA0C43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316832"/>
    <w:multiLevelType w:val="hybridMultilevel"/>
    <w:tmpl w:val="5AC4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725CD"/>
    <w:multiLevelType w:val="hybridMultilevel"/>
    <w:tmpl w:val="EB5841DC"/>
    <w:lvl w:ilvl="0" w:tplc="7D048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8006C4"/>
    <w:multiLevelType w:val="hybridMultilevel"/>
    <w:tmpl w:val="54EEBBC0"/>
    <w:lvl w:ilvl="0" w:tplc="4D227A08">
      <w:start w:val="4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0175A"/>
    <w:multiLevelType w:val="hybridMultilevel"/>
    <w:tmpl w:val="F9A6EFCC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0FB968A9"/>
    <w:multiLevelType w:val="hybridMultilevel"/>
    <w:tmpl w:val="2FA2C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5C756E"/>
    <w:multiLevelType w:val="hybridMultilevel"/>
    <w:tmpl w:val="EBF21FF0"/>
    <w:lvl w:ilvl="0" w:tplc="B2760C4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462916"/>
    <w:multiLevelType w:val="hybridMultilevel"/>
    <w:tmpl w:val="F9F86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350E67"/>
    <w:multiLevelType w:val="hybridMultilevel"/>
    <w:tmpl w:val="DEB695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2B6DA0"/>
    <w:multiLevelType w:val="hybridMultilevel"/>
    <w:tmpl w:val="D7209A9E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1194D"/>
    <w:multiLevelType w:val="hybridMultilevel"/>
    <w:tmpl w:val="A89A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25748"/>
    <w:multiLevelType w:val="hybridMultilevel"/>
    <w:tmpl w:val="69D699A0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439E6"/>
    <w:multiLevelType w:val="multilevel"/>
    <w:tmpl w:val="BD48F04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</w:lvl>
    <w:lvl w:ilvl="1">
      <w:start w:val="1"/>
      <w:numFmt w:val="decimal"/>
      <w:pStyle w:val="MainParanoChapter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3952417"/>
    <w:multiLevelType w:val="hybridMultilevel"/>
    <w:tmpl w:val="5F18B6F8"/>
    <w:lvl w:ilvl="0" w:tplc="4D227A08">
      <w:start w:val="4"/>
      <w:numFmt w:val="bullet"/>
      <w:lvlText w:val="•"/>
      <w:lvlJc w:val="left"/>
      <w:pPr>
        <w:ind w:left="420" w:hanging="420"/>
      </w:pPr>
      <w:rPr>
        <w:rFonts w:ascii="Garamond" w:eastAsia="Times New Roman" w:hAnsi="Garamon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5217B4A"/>
    <w:multiLevelType w:val="hybridMultilevel"/>
    <w:tmpl w:val="3874385C"/>
    <w:lvl w:ilvl="0" w:tplc="7D0483D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315DFC"/>
    <w:multiLevelType w:val="hybridMultilevel"/>
    <w:tmpl w:val="C4DE0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AE4316"/>
    <w:multiLevelType w:val="hybridMultilevel"/>
    <w:tmpl w:val="B3AC7DF8"/>
    <w:lvl w:ilvl="0" w:tplc="0858892C">
      <w:start w:val="1"/>
      <w:numFmt w:val="decimal"/>
      <w:lvlText w:val="%1."/>
      <w:lvlJc w:val="left"/>
      <w:pPr>
        <w:ind w:left="928" w:hanging="360"/>
      </w:pPr>
      <w:rPr>
        <w:rFonts w:ascii="Calibri" w:hAnsi="Calibri" w:hint="default"/>
        <w:w w:val="10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5D3285"/>
    <w:multiLevelType w:val="hybridMultilevel"/>
    <w:tmpl w:val="855EEF3E"/>
    <w:lvl w:ilvl="0" w:tplc="62E2F01A">
      <w:start w:val="1"/>
      <w:numFmt w:val="lowerLetter"/>
      <w:lvlText w:val="%1)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6C40BAC"/>
    <w:multiLevelType w:val="hybridMultilevel"/>
    <w:tmpl w:val="E7B21BF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49D82372"/>
    <w:multiLevelType w:val="hybridMultilevel"/>
    <w:tmpl w:val="0EF66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162336"/>
    <w:multiLevelType w:val="hybridMultilevel"/>
    <w:tmpl w:val="64D49838"/>
    <w:lvl w:ilvl="0" w:tplc="619036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A17A55"/>
    <w:multiLevelType w:val="hybridMultilevel"/>
    <w:tmpl w:val="C7A6A9BA"/>
    <w:lvl w:ilvl="0" w:tplc="4D227A08">
      <w:start w:val="4"/>
      <w:numFmt w:val="bullet"/>
      <w:lvlText w:val="•"/>
      <w:lvlJc w:val="left"/>
      <w:pPr>
        <w:ind w:left="420" w:hanging="420"/>
      </w:pPr>
      <w:rPr>
        <w:rFonts w:ascii="Garamond" w:eastAsia="Times New Roman" w:hAnsi="Garamond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5FF4F72"/>
    <w:multiLevelType w:val="hybridMultilevel"/>
    <w:tmpl w:val="26E8DF7E"/>
    <w:lvl w:ilvl="0" w:tplc="488450E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>
    <w:nsid w:val="5BAE5A37"/>
    <w:multiLevelType w:val="hybridMultilevel"/>
    <w:tmpl w:val="60DC3C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CA45C5"/>
    <w:multiLevelType w:val="hybridMultilevel"/>
    <w:tmpl w:val="BA7CD286"/>
    <w:lvl w:ilvl="0" w:tplc="08090019">
      <w:start w:val="1"/>
      <w:numFmt w:val="lowerLetter"/>
      <w:lvlText w:val="%1.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5F29EE"/>
    <w:multiLevelType w:val="hybridMultilevel"/>
    <w:tmpl w:val="75F0E92C"/>
    <w:lvl w:ilvl="0" w:tplc="84342F5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w w:val="126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D56AD8"/>
    <w:multiLevelType w:val="hybridMultilevel"/>
    <w:tmpl w:val="73C85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715BF0"/>
    <w:multiLevelType w:val="hybridMultilevel"/>
    <w:tmpl w:val="9404C840"/>
    <w:lvl w:ilvl="0" w:tplc="4D227A08">
      <w:start w:val="4"/>
      <w:numFmt w:val="bullet"/>
      <w:lvlText w:val="•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26821"/>
    <w:multiLevelType w:val="hybridMultilevel"/>
    <w:tmpl w:val="181C4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A330B"/>
    <w:multiLevelType w:val="hybridMultilevel"/>
    <w:tmpl w:val="EBF83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41491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6CDC0E48"/>
    <w:multiLevelType w:val="multilevel"/>
    <w:tmpl w:val="4AA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3">
    <w:nsid w:val="72724030"/>
    <w:multiLevelType w:val="hybridMultilevel"/>
    <w:tmpl w:val="6D68D076"/>
    <w:lvl w:ilvl="0" w:tplc="9454CDF6">
      <w:start w:val="27"/>
      <w:numFmt w:val="decimal"/>
      <w:lvlText w:val="%1."/>
      <w:lvlJc w:val="left"/>
      <w:pPr>
        <w:ind w:left="720" w:hanging="360"/>
      </w:pPr>
      <w:rPr>
        <w:rFonts w:hint="default"/>
        <w:w w:val="1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8"/>
  </w:num>
  <w:num w:numId="5">
    <w:abstractNumId w:val="4"/>
  </w:num>
  <w:num w:numId="6">
    <w:abstractNumId w:val="22"/>
  </w:num>
  <w:num w:numId="7">
    <w:abstractNumId w:val="14"/>
  </w:num>
  <w:num w:numId="8">
    <w:abstractNumId w:val="21"/>
  </w:num>
  <w:num w:numId="9">
    <w:abstractNumId w:val="32"/>
  </w:num>
  <w:num w:numId="10">
    <w:abstractNumId w:val="18"/>
  </w:num>
  <w:num w:numId="11">
    <w:abstractNumId w:val="29"/>
  </w:num>
  <w:num w:numId="12">
    <w:abstractNumId w:val="15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6"/>
  </w:num>
  <w:num w:numId="18">
    <w:abstractNumId w:val="27"/>
  </w:num>
  <w:num w:numId="19">
    <w:abstractNumId w:val="31"/>
  </w:num>
  <w:num w:numId="20">
    <w:abstractNumId w:val="24"/>
  </w:num>
  <w:num w:numId="21">
    <w:abstractNumId w:val="25"/>
  </w:num>
  <w:num w:numId="22">
    <w:abstractNumId w:val="30"/>
  </w:num>
  <w:num w:numId="23">
    <w:abstractNumId w:val="11"/>
  </w:num>
  <w:num w:numId="24">
    <w:abstractNumId w:val="33"/>
  </w:num>
  <w:num w:numId="25">
    <w:abstractNumId w:val="17"/>
  </w:num>
  <w:num w:numId="26">
    <w:abstractNumId w:val="12"/>
  </w:num>
  <w:num w:numId="27">
    <w:abstractNumId w:val="10"/>
  </w:num>
  <w:num w:numId="28">
    <w:abstractNumId w:val="26"/>
  </w:num>
  <w:num w:numId="29">
    <w:abstractNumId w:val="20"/>
  </w:num>
  <w:num w:numId="30">
    <w:abstractNumId w:val="23"/>
  </w:num>
  <w:num w:numId="31">
    <w:abstractNumId w:val="19"/>
  </w:num>
  <w:num w:numId="32">
    <w:abstractNumId w:val="5"/>
  </w:num>
  <w:num w:numId="33">
    <w:abstractNumId w:val="8"/>
  </w:num>
  <w:num w:numId="34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Formatting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80D"/>
    <w:rsid w:val="00000246"/>
    <w:rsid w:val="00001355"/>
    <w:rsid w:val="00021F18"/>
    <w:rsid w:val="000238CD"/>
    <w:rsid w:val="00027B6E"/>
    <w:rsid w:val="00034847"/>
    <w:rsid w:val="00034F2E"/>
    <w:rsid w:val="00057F48"/>
    <w:rsid w:val="00064736"/>
    <w:rsid w:val="00064D59"/>
    <w:rsid w:val="0006567A"/>
    <w:rsid w:val="000708EC"/>
    <w:rsid w:val="00071182"/>
    <w:rsid w:val="000828B6"/>
    <w:rsid w:val="00086363"/>
    <w:rsid w:val="000949F5"/>
    <w:rsid w:val="000A0C87"/>
    <w:rsid w:val="000A0F90"/>
    <w:rsid w:val="000A26B7"/>
    <w:rsid w:val="000A54E3"/>
    <w:rsid w:val="000B789D"/>
    <w:rsid w:val="000B7FD0"/>
    <w:rsid w:val="000C1EE3"/>
    <w:rsid w:val="000D2215"/>
    <w:rsid w:val="000D2DCE"/>
    <w:rsid w:val="000D5389"/>
    <w:rsid w:val="000D75B5"/>
    <w:rsid w:val="000E2237"/>
    <w:rsid w:val="000E30C0"/>
    <w:rsid w:val="000E6137"/>
    <w:rsid w:val="00104EE3"/>
    <w:rsid w:val="00112950"/>
    <w:rsid w:val="001134EE"/>
    <w:rsid w:val="0012631A"/>
    <w:rsid w:val="00133464"/>
    <w:rsid w:val="00133716"/>
    <w:rsid w:val="00134EBF"/>
    <w:rsid w:val="00140751"/>
    <w:rsid w:val="00142C6E"/>
    <w:rsid w:val="00145C7D"/>
    <w:rsid w:val="00155801"/>
    <w:rsid w:val="001637D0"/>
    <w:rsid w:val="001651A2"/>
    <w:rsid w:val="00167E71"/>
    <w:rsid w:val="0017008A"/>
    <w:rsid w:val="00184C56"/>
    <w:rsid w:val="001860B8"/>
    <w:rsid w:val="00187C88"/>
    <w:rsid w:val="001A1BB1"/>
    <w:rsid w:val="001A4EAC"/>
    <w:rsid w:val="001A586B"/>
    <w:rsid w:val="001A6D48"/>
    <w:rsid w:val="001B64CB"/>
    <w:rsid w:val="001C048F"/>
    <w:rsid w:val="001C1193"/>
    <w:rsid w:val="001C74A0"/>
    <w:rsid w:val="001D1292"/>
    <w:rsid w:val="001D62EA"/>
    <w:rsid w:val="001E098A"/>
    <w:rsid w:val="001E1F2B"/>
    <w:rsid w:val="001E6E1A"/>
    <w:rsid w:val="00202FBE"/>
    <w:rsid w:val="0022180D"/>
    <w:rsid w:val="002370EB"/>
    <w:rsid w:val="002510D9"/>
    <w:rsid w:val="00252CC1"/>
    <w:rsid w:val="002538FC"/>
    <w:rsid w:val="00253E3B"/>
    <w:rsid w:val="00255209"/>
    <w:rsid w:val="002565EE"/>
    <w:rsid w:val="00266091"/>
    <w:rsid w:val="002744A8"/>
    <w:rsid w:val="002765AC"/>
    <w:rsid w:val="00287480"/>
    <w:rsid w:val="0029472B"/>
    <w:rsid w:val="002A1C55"/>
    <w:rsid w:val="002A3227"/>
    <w:rsid w:val="002A3CB7"/>
    <w:rsid w:val="002B273A"/>
    <w:rsid w:val="002B7B1E"/>
    <w:rsid w:val="002C775E"/>
    <w:rsid w:val="002D6D93"/>
    <w:rsid w:val="002D6FD8"/>
    <w:rsid w:val="002D7CC7"/>
    <w:rsid w:val="002E313B"/>
    <w:rsid w:val="002E46B7"/>
    <w:rsid w:val="002E5075"/>
    <w:rsid w:val="002F3DE5"/>
    <w:rsid w:val="002F4D89"/>
    <w:rsid w:val="002F55EB"/>
    <w:rsid w:val="002F5AC9"/>
    <w:rsid w:val="002F6BF4"/>
    <w:rsid w:val="002F75AA"/>
    <w:rsid w:val="00306BC4"/>
    <w:rsid w:val="00306E04"/>
    <w:rsid w:val="003108BE"/>
    <w:rsid w:val="00311373"/>
    <w:rsid w:val="00313728"/>
    <w:rsid w:val="00317376"/>
    <w:rsid w:val="0032426C"/>
    <w:rsid w:val="00334055"/>
    <w:rsid w:val="00337EF9"/>
    <w:rsid w:val="003416AC"/>
    <w:rsid w:val="00341A71"/>
    <w:rsid w:val="00356189"/>
    <w:rsid w:val="0036104C"/>
    <w:rsid w:val="00362EEC"/>
    <w:rsid w:val="00364D70"/>
    <w:rsid w:val="00366FA7"/>
    <w:rsid w:val="00367EA3"/>
    <w:rsid w:val="00372F00"/>
    <w:rsid w:val="00375A2D"/>
    <w:rsid w:val="00376135"/>
    <w:rsid w:val="00376EAA"/>
    <w:rsid w:val="00381677"/>
    <w:rsid w:val="003828C9"/>
    <w:rsid w:val="0038403E"/>
    <w:rsid w:val="00390C85"/>
    <w:rsid w:val="0039734F"/>
    <w:rsid w:val="003A52A6"/>
    <w:rsid w:val="003B4642"/>
    <w:rsid w:val="003B6F7C"/>
    <w:rsid w:val="003C7ADF"/>
    <w:rsid w:val="003C7E28"/>
    <w:rsid w:val="003D12C2"/>
    <w:rsid w:val="003D3C5D"/>
    <w:rsid w:val="003D3D81"/>
    <w:rsid w:val="003D5252"/>
    <w:rsid w:val="003D675F"/>
    <w:rsid w:val="003E07AF"/>
    <w:rsid w:val="004037DA"/>
    <w:rsid w:val="00406D95"/>
    <w:rsid w:val="00415DBF"/>
    <w:rsid w:val="004203ED"/>
    <w:rsid w:val="004206C6"/>
    <w:rsid w:val="004233E6"/>
    <w:rsid w:val="00426A1A"/>
    <w:rsid w:val="00427C6A"/>
    <w:rsid w:val="00427DAE"/>
    <w:rsid w:val="00436296"/>
    <w:rsid w:val="0043716D"/>
    <w:rsid w:val="00441DCE"/>
    <w:rsid w:val="00444840"/>
    <w:rsid w:val="00451ECF"/>
    <w:rsid w:val="00453B8F"/>
    <w:rsid w:val="00460343"/>
    <w:rsid w:val="0046774A"/>
    <w:rsid w:val="00471FBA"/>
    <w:rsid w:val="004764B3"/>
    <w:rsid w:val="00492347"/>
    <w:rsid w:val="00496C6F"/>
    <w:rsid w:val="004A3DD3"/>
    <w:rsid w:val="004B62CB"/>
    <w:rsid w:val="004C6228"/>
    <w:rsid w:val="004D2D2D"/>
    <w:rsid w:val="004E5F6B"/>
    <w:rsid w:val="004F13A9"/>
    <w:rsid w:val="00504301"/>
    <w:rsid w:val="005125F8"/>
    <w:rsid w:val="005131CE"/>
    <w:rsid w:val="00522F1A"/>
    <w:rsid w:val="005315F1"/>
    <w:rsid w:val="00542C5E"/>
    <w:rsid w:val="00552DC1"/>
    <w:rsid w:val="00552F2D"/>
    <w:rsid w:val="00553D6C"/>
    <w:rsid w:val="005704D0"/>
    <w:rsid w:val="00575EDF"/>
    <w:rsid w:val="00576EE8"/>
    <w:rsid w:val="00577984"/>
    <w:rsid w:val="00591B9F"/>
    <w:rsid w:val="00593234"/>
    <w:rsid w:val="00596399"/>
    <w:rsid w:val="005A1F08"/>
    <w:rsid w:val="005A2267"/>
    <w:rsid w:val="005A41AE"/>
    <w:rsid w:val="005B232C"/>
    <w:rsid w:val="005D03DB"/>
    <w:rsid w:val="005D3C3C"/>
    <w:rsid w:val="005D45E3"/>
    <w:rsid w:val="005E1E7E"/>
    <w:rsid w:val="005E32D1"/>
    <w:rsid w:val="005F4027"/>
    <w:rsid w:val="005F4DBC"/>
    <w:rsid w:val="00604856"/>
    <w:rsid w:val="00607BD2"/>
    <w:rsid w:val="00610B81"/>
    <w:rsid w:val="0061262E"/>
    <w:rsid w:val="00625219"/>
    <w:rsid w:val="006274F3"/>
    <w:rsid w:val="00630707"/>
    <w:rsid w:val="00632DFD"/>
    <w:rsid w:val="00634C76"/>
    <w:rsid w:val="00641F4E"/>
    <w:rsid w:val="006518E1"/>
    <w:rsid w:val="00664529"/>
    <w:rsid w:val="006663DF"/>
    <w:rsid w:val="006722BA"/>
    <w:rsid w:val="00673C63"/>
    <w:rsid w:val="00676C34"/>
    <w:rsid w:val="00677EC1"/>
    <w:rsid w:val="00684010"/>
    <w:rsid w:val="00684EE8"/>
    <w:rsid w:val="00692B0A"/>
    <w:rsid w:val="0069363D"/>
    <w:rsid w:val="00695F58"/>
    <w:rsid w:val="00697172"/>
    <w:rsid w:val="006A09BE"/>
    <w:rsid w:val="006A5FC9"/>
    <w:rsid w:val="006B11F3"/>
    <w:rsid w:val="006B3F17"/>
    <w:rsid w:val="006C0400"/>
    <w:rsid w:val="006C12CC"/>
    <w:rsid w:val="006C60D0"/>
    <w:rsid w:val="006C7337"/>
    <w:rsid w:val="006D3CB3"/>
    <w:rsid w:val="006D5F2E"/>
    <w:rsid w:val="006D7925"/>
    <w:rsid w:val="006E3A58"/>
    <w:rsid w:val="006E794F"/>
    <w:rsid w:val="00714752"/>
    <w:rsid w:val="0071504F"/>
    <w:rsid w:val="00727B7B"/>
    <w:rsid w:val="00727F81"/>
    <w:rsid w:val="007337C0"/>
    <w:rsid w:val="007427C4"/>
    <w:rsid w:val="00743266"/>
    <w:rsid w:val="00744E87"/>
    <w:rsid w:val="00746BBD"/>
    <w:rsid w:val="00750528"/>
    <w:rsid w:val="00750BBA"/>
    <w:rsid w:val="00750FF2"/>
    <w:rsid w:val="00751EA8"/>
    <w:rsid w:val="0075385A"/>
    <w:rsid w:val="00755C9F"/>
    <w:rsid w:val="00757A20"/>
    <w:rsid w:val="0076243B"/>
    <w:rsid w:val="00762D2B"/>
    <w:rsid w:val="00763EC2"/>
    <w:rsid w:val="00765119"/>
    <w:rsid w:val="00772874"/>
    <w:rsid w:val="00774BC7"/>
    <w:rsid w:val="0077541B"/>
    <w:rsid w:val="00775696"/>
    <w:rsid w:val="007818D5"/>
    <w:rsid w:val="00781B76"/>
    <w:rsid w:val="00781FE2"/>
    <w:rsid w:val="00786312"/>
    <w:rsid w:val="00786341"/>
    <w:rsid w:val="007925DA"/>
    <w:rsid w:val="00795EC4"/>
    <w:rsid w:val="007A09FF"/>
    <w:rsid w:val="007A5057"/>
    <w:rsid w:val="007A518D"/>
    <w:rsid w:val="007B7C33"/>
    <w:rsid w:val="007B7CAB"/>
    <w:rsid w:val="007D213C"/>
    <w:rsid w:val="007D63BB"/>
    <w:rsid w:val="007D6700"/>
    <w:rsid w:val="00803373"/>
    <w:rsid w:val="0080509D"/>
    <w:rsid w:val="008140E1"/>
    <w:rsid w:val="00825481"/>
    <w:rsid w:val="008302D0"/>
    <w:rsid w:val="00831A51"/>
    <w:rsid w:val="00836E70"/>
    <w:rsid w:val="00844997"/>
    <w:rsid w:val="008469A0"/>
    <w:rsid w:val="00851C8F"/>
    <w:rsid w:val="00854E28"/>
    <w:rsid w:val="00860D99"/>
    <w:rsid w:val="00860ECF"/>
    <w:rsid w:val="00863CD8"/>
    <w:rsid w:val="0086743E"/>
    <w:rsid w:val="0087726F"/>
    <w:rsid w:val="0088340D"/>
    <w:rsid w:val="0088743C"/>
    <w:rsid w:val="008A0E62"/>
    <w:rsid w:val="008A19CB"/>
    <w:rsid w:val="008D2DAD"/>
    <w:rsid w:val="008D3591"/>
    <w:rsid w:val="008D4855"/>
    <w:rsid w:val="008E1E26"/>
    <w:rsid w:val="008E2013"/>
    <w:rsid w:val="009002AA"/>
    <w:rsid w:val="00922E74"/>
    <w:rsid w:val="00930182"/>
    <w:rsid w:val="009321BA"/>
    <w:rsid w:val="009360E2"/>
    <w:rsid w:val="0094053B"/>
    <w:rsid w:val="00943742"/>
    <w:rsid w:val="009446DD"/>
    <w:rsid w:val="00945128"/>
    <w:rsid w:val="00945FB0"/>
    <w:rsid w:val="0095112D"/>
    <w:rsid w:val="00952552"/>
    <w:rsid w:val="00955CA2"/>
    <w:rsid w:val="00964576"/>
    <w:rsid w:val="009679F7"/>
    <w:rsid w:val="0097272C"/>
    <w:rsid w:val="00975A92"/>
    <w:rsid w:val="00980552"/>
    <w:rsid w:val="009832F3"/>
    <w:rsid w:val="009841BB"/>
    <w:rsid w:val="009A070C"/>
    <w:rsid w:val="009A4AF7"/>
    <w:rsid w:val="009A6C2B"/>
    <w:rsid w:val="009B43AA"/>
    <w:rsid w:val="009C6C49"/>
    <w:rsid w:val="009D4856"/>
    <w:rsid w:val="009E504D"/>
    <w:rsid w:val="009E78D5"/>
    <w:rsid w:val="009E7C2D"/>
    <w:rsid w:val="009F6304"/>
    <w:rsid w:val="009F75F6"/>
    <w:rsid w:val="00A01248"/>
    <w:rsid w:val="00A0141E"/>
    <w:rsid w:val="00A01A7D"/>
    <w:rsid w:val="00A13858"/>
    <w:rsid w:val="00A14CB6"/>
    <w:rsid w:val="00A15B28"/>
    <w:rsid w:val="00A20625"/>
    <w:rsid w:val="00A22FC1"/>
    <w:rsid w:val="00A3543C"/>
    <w:rsid w:val="00A379A3"/>
    <w:rsid w:val="00A414ED"/>
    <w:rsid w:val="00A4565B"/>
    <w:rsid w:val="00A465FF"/>
    <w:rsid w:val="00A71653"/>
    <w:rsid w:val="00A73C35"/>
    <w:rsid w:val="00A77349"/>
    <w:rsid w:val="00A80759"/>
    <w:rsid w:val="00A810EE"/>
    <w:rsid w:val="00A811FC"/>
    <w:rsid w:val="00A833EB"/>
    <w:rsid w:val="00A85C87"/>
    <w:rsid w:val="00A9074D"/>
    <w:rsid w:val="00AA2442"/>
    <w:rsid w:val="00AA300E"/>
    <w:rsid w:val="00AA3F64"/>
    <w:rsid w:val="00AA4865"/>
    <w:rsid w:val="00AB0DDC"/>
    <w:rsid w:val="00AB2032"/>
    <w:rsid w:val="00AB5991"/>
    <w:rsid w:val="00AB5D3E"/>
    <w:rsid w:val="00AB7247"/>
    <w:rsid w:val="00AC1898"/>
    <w:rsid w:val="00AC192B"/>
    <w:rsid w:val="00AD260F"/>
    <w:rsid w:val="00AD2D6C"/>
    <w:rsid w:val="00AE1E53"/>
    <w:rsid w:val="00AF4A7E"/>
    <w:rsid w:val="00B01C90"/>
    <w:rsid w:val="00B0514D"/>
    <w:rsid w:val="00B24120"/>
    <w:rsid w:val="00B25528"/>
    <w:rsid w:val="00B32EBA"/>
    <w:rsid w:val="00B46A59"/>
    <w:rsid w:val="00B47A9A"/>
    <w:rsid w:val="00B52B7A"/>
    <w:rsid w:val="00B56166"/>
    <w:rsid w:val="00B6399F"/>
    <w:rsid w:val="00B715BF"/>
    <w:rsid w:val="00B717D0"/>
    <w:rsid w:val="00B84209"/>
    <w:rsid w:val="00B8799B"/>
    <w:rsid w:val="00B90E02"/>
    <w:rsid w:val="00BA1A68"/>
    <w:rsid w:val="00BB4128"/>
    <w:rsid w:val="00BB4F5D"/>
    <w:rsid w:val="00BC3CD1"/>
    <w:rsid w:val="00BC4408"/>
    <w:rsid w:val="00BC75B8"/>
    <w:rsid w:val="00BE0988"/>
    <w:rsid w:val="00BF700B"/>
    <w:rsid w:val="00C029E1"/>
    <w:rsid w:val="00C15264"/>
    <w:rsid w:val="00C171FF"/>
    <w:rsid w:val="00C17BD3"/>
    <w:rsid w:val="00C25404"/>
    <w:rsid w:val="00C36C45"/>
    <w:rsid w:val="00C41F60"/>
    <w:rsid w:val="00C44FE0"/>
    <w:rsid w:val="00C47178"/>
    <w:rsid w:val="00C555F8"/>
    <w:rsid w:val="00C55E8C"/>
    <w:rsid w:val="00C6015B"/>
    <w:rsid w:val="00C62DBE"/>
    <w:rsid w:val="00C63E44"/>
    <w:rsid w:val="00C64879"/>
    <w:rsid w:val="00C726A3"/>
    <w:rsid w:val="00C77AE7"/>
    <w:rsid w:val="00C80F9A"/>
    <w:rsid w:val="00C86618"/>
    <w:rsid w:val="00C93E6D"/>
    <w:rsid w:val="00CA0392"/>
    <w:rsid w:val="00CA138A"/>
    <w:rsid w:val="00CA2DD1"/>
    <w:rsid w:val="00CA3A5C"/>
    <w:rsid w:val="00CB16F7"/>
    <w:rsid w:val="00CB72E8"/>
    <w:rsid w:val="00CC09C8"/>
    <w:rsid w:val="00CC353B"/>
    <w:rsid w:val="00CC421E"/>
    <w:rsid w:val="00CC5431"/>
    <w:rsid w:val="00CD4F0C"/>
    <w:rsid w:val="00CE1604"/>
    <w:rsid w:val="00CE4660"/>
    <w:rsid w:val="00CE6738"/>
    <w:rsid w:val="00CF26F5"/>
    <w:rsid w:val="00D14DFA"/>
    <w:rsid w:val="00D327E9"/>
    <w:rsid w:val="00D34B06"/>
    <w:rsid w:val="00D37612"/>
    <w:rsid w:val="00D440A7"/>
    <w:rsid w:val="00D647E4"/>
    <w:rsid w:val="00D663D8"/>
    <w:rsid w:val="00D85500"/>
    <w:rsid w:val="00D85552"/>
    <w:rsid w:val="00D90563"/>
    <w:rsid w:val="00D91120"/>
    <w:rsid w:val="00D972B6"/>
    <w:rsid w:val="00DB7AA9"/>
    <w:rsid w:val="00DC52F3"/>
    <w:rsid w:val="00DC756E"/>
    <w:rsid w:val="00DD0745"/>
    <w:rsid w:val="00DD3D87"/>
    <w:rsid w:val="00DE0028"/>
    <w:rsid w:val="00E01EDA"/>
    <w:rsid w:val="00E05B7C"/>
    <w:rsid w:val="00E127CD"/>
    <w:rsid w:val="00E130BB"/>
    <w:rsid w:val="00E2360A"/>
    <w:rsid w:val="00E254B1"/>
    <w:rsid w:val="00E34094"/>
    <w:rsid w:val="00E3621B"/>
    <w:rsid w:val="00E5148F"/>
    <w:rsid w:val="00E53C26"/>
    <w:rsid w:val="00E54049"/>
    <w:rsid w:val="00E54E48"/>
    <w:rsid w:val="00E66739"/>
    <w:rsid w:val="00E66D03"/>
    <w:rsid w:val="00E70B9C"/>
    <w:rsid w:val="00E7158D"/>
    <w:rsid w:val="00E826EF"/>
    <w:rsid w:val="00E83064"/>
    <w:rsid w:val="00E83A54"/>
    <w:rsid w:val="00E9062C"/>
    <w:rsid w:val="00E90C58"/>
    <w:rsid w:val="00E93550"/>
    <w:rsid w:val="00E94959"/>
    <w:rsid w:val="00EA5382"/>
    <w:rsid w:val="00EA60AE"/>
    <w:rsid w:val="00EB3321"/>
    <w:rsid w:val="00EB648F"/>
    <w:rsid w:val="00EB7740"/>
    <w:rsid w:val="00EC46D9"/>
    <w:rsid w:val="00EC5B5E"/>
    <w:rsid w:val="00ED2187"/>
    <w:rsid w:val="00ED22DB"/>
    <w:rsid w:val="00ED4A35"/>
    <w:rsid w:val="00EE2C18"/>
    <w:rsid w:val="00EE2E1F"/>
    <w:rsid w:val="00EE3FA1"/>
    <w:rsid w:val="00EE53D0"/>
    <w:rsid w:val="00EF0AD6"/>
    <w:rsid w:val="00EF1797"/>
    <w:rsid w:val="00EF400B"/>
    <w:rsid w:val="00EF69AB"/>
    <w:rsid w:val="00F0236D"/>
    <w:rsid w:val="00F04A06"/>
    <w:rsid w:val="00F0742A"/>
    <w:rsid w:val="00F163CE"/>
    <w:rsid w:val="00F16812"/>
    <w:rsid w:val="00F30479"/>
    <w:rsid w:val="00F376DB"/>
    <w:rsid w:val="00F40576"/>
    <w:rsid w:val="00F543EB"/>
    <w:rsid w:val="00F54970"/>
    <w:rsid w:val="00F54B11"/>
    <w:rsid w:val="00F64369"/>
    <w:rsid w:val="00F709D5"/>
    <w:rsid w:val="00F845E8"/>
    <w:rsid w:val="00F93052"/>
    <w:rsid w:val="00F935F8"/>
    <w:rsid w:val="00FB020D"/>
    <w:rsid w:val="00FB1C72"/>
    <w:rsid w:val="00FB3E98"/>
    <w:rsid w:val="00FB774E"/>
    <w:rsid w:val="00FC591E"/>
    <w:rsid w:val="00FC5B2B"/>
    <w:rsid w:val="00FD3439"/>
    <w:rsid w:val="00FD54A9"/>
    <w:rsid w:val="00FD74AB"/>
    <w:rsid w:val="00FD7E22"/>
    <w:rsid w:val="00FE0947"/>
    <w:rsid w:val="00FE44C1"/>
    <w:rsid w:val="00FE4FB2"/>
    <w:rsid w:val="00FE587E"/>
    <w:rsid w:val="00FF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E13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B Nazanin"/>
        <w:sz w:val="24"/>
        <w:szCs w:val="26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97"/>
  </w:style>
  <w:style w:type="paragraph" w:styleId="Heading1">
    <w:name w:val="heading 1"/>
    <w:basedOn w:val="Normal"/>
    <w:next w:val="Normal"/>
    <w:link w:val="Heading1Char"/>
    <w:qFormat/>
    <w:rsid w:val="00A85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6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828C9"/>
    <w:pPr>
      <w:keepNext/>
      <w:spacing w:line="240" w:lineRule="auto"/>
      <w:outlineLvl w:val="3"/>
    </w:pPr>
    <w:rPr>
      <w:rFonts w:asciiTheme="minorHAnsi" w:eastAsiaTheme="minorEastAsia" w:hAnsiTheme="minorHAnsi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922E74"/>
    <w:pPr>
      <w:keepNext/>
      <w:spacing w:line="240" w:lineRule="auto"/>
      <w:outlineLvl w:val="4"/>
    </w:pPr>
    <w:rPr>
      <w:rFonts w:ascii="Arial" w:eastAsiaTheme="minorEastAsia" w:hAnsi="Arial" w:cs="Arial"/>
      <w:i/>
      <w:iCs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22E74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22E74"/>
    <w:pPr>
      <w:keepNext/>
      <w:spacing w:before="14" w:after="14" w:line="240" w:lineRule="auto"/>
      <w:outlineLvl w:val="6"/>
    </w:pPr>
    <w:rPr>
      <w:rFonts w:ascii="Arial" w:eastAsia="Times New Roman" w:hAnsi="Arial" w:cs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22E74"/>
    <w:pPr>
      <w:keepNext/>
      <w:spacing w:line="240" w:lineRule="auto"/>
      <w:outlineLvl w:val="7"/>
    </w:pPr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22E74"/>
    <w:pPr>
      <w:keepNext/>
      <w:spacing w:before="20" w:after="20" w:line="240" w:lineRule="auto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65F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rsid w:val="000E6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828C9"/>
    <w:rPr>
      <w:rFonts w:asciiTheme="minorHAnsi" w:eastAsiaTheme="minorEastAsia" w:hAnsiTheme="minorHAns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22E74"/>
    <w:rPr>
      <w:rFonts w:ascii="Arial" w:eastAsiaTheme="minorEastAsia" w:hAnsi="Arial" w:cs="Arial"/>
      <w:i/>
      <w:i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22E74"/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2E74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22E74"/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22E74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69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87"/>
  </w:style>
  <w:style w:type="paragraph" w:styleId="Footer">
    <w:name w:val="footer"/>
    <w:basedOn w:val="Normal"/>
    <w:link w:val="Foot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87"/>
  </w:style>
  <w:style w:type="paragraph" w:styleId="Title">
    <w:name w:val="Title"/>
    <w:basedOn w:val="Normal"/>
    <w:next w:val="Normal"/>
    <w:link w:val="TitleChar"/>
    <w:qFormat/>
    <w:rsid w:val="00A85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F1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7D"/>
    <w:rPr>
      <w:color w:val="0000FF"/>
      <w:u w:val="single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0E613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0E6137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FootnoteReference">
    <w:name w:val="footnote reference"/>
    <w:aliases w:val="16 Point,Superscript 6 Point"/>
    <w:basedOn w:val="DefaultParagraphFont"/>
    <w:unhideWhenUsed/>
    <w:rsid w:val="000E613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A77349"/>
    <w:pPr>
      <w:ind w:left="480" w:hanging="480"/>
    </w:pPr>
    <w:rPr>
      <w:rFonts w:asciiTheme="minorHAnsi" w:hAnsiTheme="minorHAnsi" w:cs="Times New Roman"/>
      <w: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77349"/>
    <w:pPr>
      <w:spacing w:before="360"/>
    </w:pPr>
    <w:rPr>
      <w:rFonts w:asciiTheme="majorHAnsi" w:hAnsiTheme="majorHAnsi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7349"/>
    <w:pPr>
      <w:spacing w:before="240"/>
    </w:pPr>
    <w:rPr>
      <w:rFonts w:asciiTheme="minorHAnsi" w:hAnsiTheme="minorHAnsi"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7349"/>
    <w:pPr>
      <w:ind w:left="240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77349"/>
    <w:pPr>
      <w:ind w:left="48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77349"/>
    <w:pPr>
      <w:ind w:left="720"/>
    </w:pPr>
    <w:rPr>
      <w:rFonts w:ascii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77349"/>
    <w:pPr>
      <w:ind w:left="96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77349"/>
    <w:pPr>
      <w:ind w:left="120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77349"/>
    <w:pPr>
      <w:ind w:left="144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77349"/>
    <w:pPr>
      <w:ind w:left="1680"/>
    </w:pPr>
    <w:rPr>
      <w:rFonts w:asciiTheme="minorHAnsi" w:hAnsiTheme="minorHAnsi" w:cs="Times New Roman"/>
      <w:sz w:val="20"/>
      <w:szCs w:val="24"/>
    </w:rPr>
  </w:style>
  <w:style w:type="character" w:styleId="Strong">
    <w:name w:val="Strong"/>
    <w:qFormat/>
    <w:rsid w:val="00922E74"/>
    <w:rPr>
      <w:b/>
      <w:bCs/>
    </w:rPr>
  </w:style>
  <w:style w:type="paragraph" w:styleId="BodyTextIndent3">
    <w:name w:val="Body Text Indent 3"/>
    <w:basedOn w:val="Normal"/>
    <w:link w:val="BodyTextIndent3Char"/>
    <w:rsid w:val="00922E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22E7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922E74"/>
    <w:pPr>
      <w:spacing w:after="120" w:line="24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rsid w:val="00922E74"/>
    <w:pPr>
      <w:spacing w:after="120" w:line="48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customStyle="1" w:styleId="Body1">
    <w:name w:val="Body 1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Cambria" w:eastAsia="Cambria" w:hAnsi="Cambria" w:cs="Cambria"/>
      <w:color w:val="000000"/>
      <w:szCs w:val="24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22E74"/>
    <w:rPr>
      <w:rFonts w:ascii="Cambria" w:eastAsia="Cambria" w:hAnsi="Cambria" w:cs="Cambria"/>
      <w:color w:val="000000"/>
      <w:szCs w:val="24"/>
      <w:u w:color="000000"/>
      <w:bdr w:val="nil"/>
    </w:rPr>
  </w:style>
  <w:style w:type="paragraph" w:customStyle="1" w:styleId="Body">
    <w:name w:val="Body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22E74"/>
    <w:rPr>
      <w:rFonts w:ascii="Calibri" w:eastAsia="Calibri" w:hAnsi="Calibri" w:cs="Calibri"/>
      <w:color w:val="0000FF"/>
      <w:sz w:val="22"/>
      <w:szCs w:val="22"/>
      <w:u w:val="single" w:color="000000"/>
      <w:lang w:val="en-US"/>
    </w:rPr>
  </w:style>
  <w:style w:type="character" w:styleId="FollowedHyperlink">
    <w:name w:val="FollowedHyperlink"/>
    <w:rsid w:val="00922E7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922E74"/>
    <w:pPr>
      <w:spacing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E7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22E7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922E74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">
    <w:name w:val="List"/>
    <w:basedOn w:val="Normal"/>
    <w:rsid w:val="00922E74"/>
    <w:pPr>
      <w:spacing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autoRedefine/>
    <w:rsid w:val="00922E74"/>
    <w:pPr>
      <w:numPr>
        <w:numId w:val="14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List2">
    <w:name w:val="List 2"/>
    <w:basedOn w:val="Normal"/>
    <w:rsid w:val="00922E74"/>
    <w:pPr>
      <w:spacing w:line="240" w:lineRule="auto"/>
      <w:ind w:left="720" w:hanging="360"/>
    </w:pPr>
    <w:rPr>
      <w:rFonts w:ascii="Times New Roman" w:eastAsia="Times New Roman" w:hAnsi="Times New Roman" w:cs="Times New Roman"/>
      <w:szCs w:val="24"/>
    </w:rPr>
  </w:style>
  <w:style w:type="paragraph" w:styleId="ListBullet2">
    <w:name w:val="List Bullet 2"/>
    <w:basedOn w:val="Normal"/>
    <w:autoRedefine/>
    <w:rsid w:val="00922E7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Anna"/>
    <w:basedOn w:val="Normal"/>
    <w:link w:val="BodyTextChar"/>
    <w:rsid w:val="00922E74"/>
    <w:pPr>
      <w:spacing w:line="240" w:lineRule="auto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Char">
    <w:name w:val="Body Text Char"/>
    <w:aliases w:val="Anna Char"/>
    <w:basedOn w:val="DefaultParagraphFont"/>
    <w:link w:val="BodyText"/>
    <w:rsid w:val="00922E74"/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922E74"/>
    <w:pPr>
      <w:spacing w:line="240" w:lineRule="auto"/>
      <w:ind w:left="36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22E74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922E74"/>
    <w:pPr>
      <w:spacing w:line="240" w:lineRule="auto"/>
      <w:jc w:val="right"/>
    </w:pPr>
    <w:rPr>
      <w:rFonts w:ascii="Times New Roman" w:eastAsia="Times New Roman" w:hAnsi="Times New Roman" w:cs="Times New Roman"/>
      <w:b/>
      <w:sz w:val="4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22E74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BodyText3">
    <w:name w:val="Body Text 3"/>
    <w:basedOn w:val="Normal"/>
    <w:link w:val="BodyText3Char"/>
    <w:rsid w:val="00922E74"/>
    <w:pPr>
      <w:spacing w:line="240" w:lineRule="auto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22E74"/>
    <w:rPr>
      <w:rFonts w:ascii="Times New Roman" w:eastAsia="Times New Roman" w:hAnsi="Times New Roman" w:cs="Times New Roman"/>
      <w:sz w:val="22"/>
      <w:szCs w:val="24"/>
    </w:rPr>
  </w:style>
  <w:style w:type="paragraph" w:styleId="BlockText">
    <w:name w:val="Block Text"/>
    <w:basedOn w:val="Normal"/>
    <w:rsid w:val="00922E74"/>
    <w:pPr>
      <w:autoSpaceDE w:val="0"/>
      <w:autoSpaceDN w:val="0"/>
      <w:adjustRightInd w:val="0"/>
      <w:spacing w:line="240" w:lineRule="auto"/>
      <w:ind w:left="1080" w:right="108"/>
      <w:jc w:val="center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922E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E74"/>
    <w:rPr>
      <w:b/>
      <w:bCs/>
    </w:rPr>
  </w:style>
  <w:style w:type="paragraph" w:styleId="Revision">
    <w:name w:val="Revision"/>
    <w:uiPriority w:val="71"/>
    <w:rsid w:val="00922E74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ial10">
    <w:name w:val="Arial 10"/>
    <w:basedOn w:val="Normal"/>
    <w:rsid w:val="00922E74"/>
    <w:pPr>
      <w:spacing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Arial8bold">
    <w:name w:val="Arial 8 bold"/>
    <w:basedOn w:val="Normal"/>
    <w:rsid w:val="00922E74"/>
    <w:pPr>
      <w:spacing w:line="240" w:lineRule="auto"/>
    </w:pPr>
    <w:rPr>
      <w:rFonts w:ascii="Arial" w:eastAsia="Times New Roman" w:hAnsi="Arial" w:cs="Times New Roman"/>
      <w:b/>
      <w:sz w:val="16"/>
      <w:szCs w:val="24"/>
      <w:lang w:val="en-AU"/>
    </w:rPr>
  </w:style>
  <w:style w:type="paragraph" w:customStyle="1" w:styleId="Style1">
    <w:name w:val="Style 1"/>
    <w:basedOn w:val="Normal"/>
    <w:rsid w:val="00922E74"/>
    <w:pPr>
      <w:widowControl w:val="0"/>
      <w:tabs>
        <w:tab w:val="left" w:pos="2952"/>
      </w:tabs>
      <w:autoSpaceDE w:val="0"/>
      <w:autoSpaceDN w:val="0"/>
      <w:spacing w:line="288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 2"/>
    <w:basedOn w:val="Normal"/>
    <w:rsid w:val="00922E74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tyle3">
    <w:name w:val="Style 3"/>
    <w:basedOn w:val="Normal"/>
    <w:rsid w:val="00922E74"/>
    <w:pPr>
      <w:widowControl w:val="0"/>
      <w:autoSpaceDE w:val="0"/>
      <w:autoSpaceDN w:val="0"/>
      <w:spacing w:before="360" w:after="10332" w:line="240" w:lineRule="atLeast"/>
      <w:ind w:right="432"/>
    </w:pPr>
    <w:rPr>
      <w:rFonts w:ascii="Times New Roman" w:eastAsia="Times New Roman" w:hAnsi="Times New Roman" w:cs="Times New Roman"/>
      <w:szCs w:val="24"/>
    </w:rPr>
  </w:style>
  <w:style w:type="paragraph" w:customStyle="1" w:styleId="Style4">
    <w:name w:val="Style 4"/>
    <w:basedOn w:val="Normal"/>
    <w:rsid w:val="00922E74"/>
    <w:pPr>
      <w:widowControl w:val="0"/>
      <w:autoSpaceDE w:val="0"/>
      <w:autoSpaceDN w:val="0"/>
      <w:spacing w:line="240" w:lineRule="auto"/>
      <w:ind w:left="72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22E74"/>
    <w:pPr>
      <w:autoSpaceDE w:val="0"/>
      <w:autoSpaceDN w:val="0"/>
      <w:adjustRightInd w:val="0"/>
      <w:spacing w:line="240" w:lineRule="auto"/>
    </w:pPr>
    <w:rPr>
      <w:rFonts w:ascii="Myriad" w:eastAsia="Times New Roman" w:hAnsi="Myriad" w:cs="Myriad"/>
      <w:color w:val="000000"/>
      <w:szCs w:val="24"/>
    </w:rPr>
  </w:style>
  <w:style w:type="paragraph" w:customStyle="1" w:styleId="Pa0">
    <w:name w:val="Pa0"/>
    <w:basedOn w:val="Default"/>
    <w:next w:val="Default"/>
    <w:rsid w:val="00922E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22E74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922E74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922E74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922E74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922E74"/>
    <w:rPr>
      <w:szCs w:val="24"/>
    </w:rPr>
  </w:style>
  <w:style w:type="paragraph" w:customStyle="1" w:styleId="MainParanoChapter">
    <w:name w:val="Main Para no Chapter #"/>
    <w:basedOn w:val="Normal"/>
    <w:link w:val="MainParanoChapterChar"/>
    <w:rsid w:val="00922E74"/>
    <w:pPr>
      <w:numPr>
        <w:ilvl w:val="1"/>
        <w:numId w:val="16"/>
      </w:numPr>
      <w:spacing w:after="240" w:line="240" w:lineRule="auto"/>
      <w:outlineLvl w:val="1"/>
    </w:pPr>
    <w:rPr>
      <w:szCs w:val="24"/>
    </w:rPr>
  </w:style>
  <w:style w:type="paragraph" w:customStyle="1" w:styleId="Sub-Para1underX">
    <w:name w:val="Sub-Para 1 under X."/>
    <w:basedOn w:val="Normal"/>
    <w:rsid w:val="00922E74"/>
    <w:pPr>
      <w:numPr>
        <w:ilvl w:val="2"/>
        <w:numId w:val="1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922E74"/>
    <w:pPr>
      <w:numPr>
        <w:ilvl w:val="3"/>
        <w:numId w:val="1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922E74"/>
    <w:pPr>
      <w:numPr>
        <w:ilvl w:val="4"/>
        <w:numId w:val="1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922E74"/>
    <w:pPr>
      <w:numPr>
        <w:ilvl w:val="5"/>
        <w:numId w:val="1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1a">
    <w:name w:val="Heading 1a"/>
    <w:basedOn w:val="Normal"/>
    <w:next w:val="Normal"/>
    <w:rsid w:val="00922E74"/>
    <w:pPr>
      <w:keepNext/>
      <w:keepLines/>
      <w:numPr>
        <w:numId w:val="16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styleId="CommentReference">
    <w:name w:val="annotation reference"/>
    <w:uiPriority w:val="99"/>
    <w:rsid w:val="00922E74"/>
    <w:rPr>
      <w:sz w:val="16"/>
      <w:szCs w:val="16"/>
    </w:rPr>
  </w:style>
  <w:style w:type="character" w:customStyle="1" w:styleId="A4">
    <w:name w:val="A4"/>
    <w:rsid w:val="00922E74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922E74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922E74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922E74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922E74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922E74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922E74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922E74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922E74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922E74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rsid w:val="00922E74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922E74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922E74"/>
    <w:rPr>
      <w:rFonts w:ascii="Myriad" w:hAnsi="Myriad" w:cs="Myriad" w:hint="default"/>
      <w:color w:val="FFFFFF"/>
      <w:sz w:val="22"/>
      <w:szCs w:val="22"/>
    </w:rPr>
  </w:style>
  <w:style w:type="paragraph" w:customStyle="1" w:styleId="Arial8">
    <w:name w:val="Arial 8"/>
    <w:basedOn w:val="Arial8bold"/>
    <w:rsid w:val="00922E74"/>
    <w:rPr>
      <w:b w:val="0"/>
    </w:rPr>
  </w:style>
  <w:style w:type="character" w:styleId="PageNumber">
    <w:name w:val="page number"/>
    <w:basedOn w:val="DefaultParagraphFont"/>
    <w:uiPriority w:val="99"/>
    <w:unhideWhenUsed/>
    <w:rsid w:val="00922E74"/>
  </w:style>
  <w:style w:type="paragraph" w:customStyle="1" w:styleId="Header2">
    <w:name w:val="Header 2"/>
    <w:basedOn w:val="Normal"/>
    <w:rsid w:val="00922E74"/>
    <w:pPr>
      <w:tabs>
        <w:tab w:val="left" w:pos="567"/>
      </w:tabs>
      <w:spacing w:line="240" w:lineRule="auto"/>
      <w:ind w:right="-45"/>
    </w:pPr>
    <w:rPr>
      <w:rFonts w:eastAsia="Times New Roman" w:cs="Times New Roman"/>
      <w:b/>
      <w:sz w:val="28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CF26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Prrafodelista1">
    <w:name w:val="Párrafo de lista1"/>
    <w:basedOn w:val="Normal"/>
    <w:rsid w:val="00CF26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3439"/>
    <w:pPr>
      <w:spacing w:line="240" w:lineRule="auto"/>
    </w:pPr>
    <w:rPr>
      <w:rFonts w:ascii="Arial" w:eastAsia="Times New Roman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3439"/>
    <w:rPr>
      <w:rFonts w:ascii="Arial" w:eastAsia="Times New Roman" w:hAnsi="Arial" w:cs="Times New Roman"/>
      <w:sz w:val="20"/>
      <w:szCs w:val="21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B Nazanin"/>
        <w:sz w:val="24"/>
        <w:szCs w:val="26"/>
        <w:lang w:val="en-US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97"/>
  </w:style>
  <w:style w:type="paragraph" w:styleId="Heading1">
    <w:name w:val="heading 1"/>
    <w:basedOn w:val="Normal"/>
    <w:next w:val="Normal"/>
    <w:link w:val="Heading1Char"/>
    <w:qFormat/>
    <w:rsid w:val="00A85C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46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E613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3828C9"/>
    <w:pPr>
      <w:keepNext/>
      <w:spacing w:line="240" w:lineRule="auto"/>
      <w:outlineLvl w:val="3"/>
    </w:pPr>
    <w:rPr>
      <w:rFonts w:asciiTheme="minorHAnsi" w:eastAsiaTheme="minorEastAsia" w:hAnsiTheme="minorHAnsi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qFormat/>
    <w:rsid w:val="00922E74"/>
    <w:pPr>
      <w:keepNext/>
      <w:spacing w:line="240" w:lineRule="auto"/>
      <w:outlineLvl w:val="4"/>
    </w:pPr>
    <w:rPr>
      <w:rFonts w:ascii="Arial" w:eastAsiaTheme="minorEastAsia" w:hAnsi="Arial" w:cs="Arial"/>
      <w:i/>
      <w:iCs/>
      <w:sz w:val="32"/>
      <w:szCs w:val="24"/>
      <w:lang w:val="en-GB"/>
    </w:rPr>
  </w:style>
  <w:style w:type="paragraph" w:styleId="Heading6">
    <w:name w:val="heading 6"/>
    <w:basedOn w:val="Normal"/>
    <w:next w:val="Normal"/>
    <w:link w:val="Heading6Char"/>
    <w:qFormat/>
    <w:rsid w:val="00922E74"/>
    <w:pPr>
      <w:spacing w:before="240" w:after="60" w:line="240" w:lineRule="auto"/>
      <w:outlineLvl w:val="5"/>
    </w:pPr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qFormat/>
    <w:rsid w:val="00922E74"/>
    <w:pPr>
      <w:keepNext/>
      <w:spacing w:before="14" w:after="14" w:line="240" w:lineRule="auto"/>
      <w:outlineLvl w:val="6"/>
    </w:pPr>
    <w:rPr>
      <w:rFonts w:ascii="Arial" w:eastAsia="Times New Roman" w:hAnsi="Arial" w:cs="Times New Roman"/>
      <w:szCs w:val="24"/>
      <w:lang w:val="en-GB"/>
    </w:rPr>
  </w:style>
  <w:style w:type="paragraph" w:styleId="Heading8">
    <w:name w:val="heading 8"/>
    <w:basedOn w:val="Normal"/>
    <w:next w:val="Normal"/>
    <w:link w:val="Heading8Char"/>
    <w:qFormat/>
    <w:rsid w:val="00922E74"/>
    <w:pPr>
      <w:keepNext/>
      <w:spacing w:line="240" w:lineRule="auto"/>
      <w:outlineLvl w:val="7"/>
    </w:pPr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paragraph" w:styleId="Heading9">
    <w:name w:val="heading 9"/>
    <w:basedOn w:val="Normal"/>
    <w:next w:val="Normal"/>
    <w:link w:val="Heading9Char"/>
    <w:qFormat/>
    <w:rsid w:val="00922E74"/>
    <w:pPr>
      <w:keepNext/>
      <w:spacing w:before="20" w:after="20" w:line="240" w:lineRule="auto"/>
      <w:outlineLvl w:val="8"/>
    </w:pPr>
    <w:rPr>
      <w:rFonts w:ascii="Times New Roman" w:eastAsia="Times New Roman" w:hAnsi="Times New Roman" w:cs="Times New Roman"/>
      <w:b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C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A465F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Heading3Char">
    <w:name w:val="Heading 3 Char"/>
    <w:basedOn w:val="DefaultParagraphFont"/>
    <w:link w:val="Heading3"/>
    <w:rsid w:val="000E613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rsid w:val="003828C9"/>
    <w:rPr>
      <w:rFonts w:asciiTheme="minorHAnsi" w:eastAsiaTheme="minorEastAsia" w:hAnsiTheme="minorHAnsi" w:cs="Times New Roman"/>
      <w:b/>
      <w:bCs/>
      <w:szCs w:val="24"/>
    </w:rPr>
  </w:style>
  <w:style w:type="character" w:customStyle="1" w:styleId="Heading5Char">
    <w:name w:val="Heading 5 Char"/>
    <w:basedOn w:val="DefaultParagraphFont"/>
    <w:link w:val="Heading5"/>
    <w:rsid w:val="00922E74"/>
    <w:rPr>
      <w:rFonts w:ascii="Arial" w:eastAsiaTheme="minorEastAsia" w:hAnsi="Arial" w:cs="Arial"/>
      <w:i/>
      <w:iCs/>
      <w:sz w:val="32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rsid w:val="00922E74"/>
    <w:rPr>
      <w:rFonts w:ascii="Times New Roman" w:eastAsiaTheme="minorEastAsia" w:hAnsi="Times New Roman" w:cs="Times New Roman"/>
      <w:b/>
      <w:bCs/>
      <w:sz w:val="22"/>
      <w:szCs w:val="22"/>
      <w:lang w:val="en-GB"/>
    </w:rPr>
  </w:style>
  <w:style w:type="character" w:customStyle="1" w:styleId="Heading7Char">
    <w:name w:val="Heading 7 Char"/>
    <w:basedOn w:val="DefaultParagraphFont"/>
    <w:link w:val="Heading7"/>
    <w:rsid w:val="00922E74"/>
    <w:rPr>
      <w:rFonts w:ascii="Arial" w:eastAsia="Times New Roman" w:hAnsi="Arial" w:cs="Times New Roman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rsid w:val="00922E74"/>
    <w:rPr>
      <w:rFonts w:ascii="Times New Roman Bold" w:eastAsia="Times New Roman" w:hAnsi="Times New Roman Bold" w:cs="Times New Roman"/>
      <w:b/>
      <w:sz w:val="22"/>
      <w:szCs w:val="24"/>
      <w:lang w:val="en-GB"/>
    </w:rPr>
  </w:style>
  <w:style w:type="character" w:customStyle="1" w:styleId="Heading9Char">
    <w:name w:val="Heading 9 Char"/>
    <w:basedOn w:val="DefaultParagraphFont"/>
    <w:link w:val="Heading9"/>
    <w:rsid w:val="00922E74"/>
    <w:rPr>
      <w:rFonts w:ascii="Times New Roman" w:eastAsia="Times New Roman" w:hAnsi="Times New Roman" w:cs="Times New Roman"/>
      <w:b/>
      <w:szCs w:val="24"/>
    </w:rPr>
  </w:style>
  <w:style w:type="paragraph" w:styleId="ListParagraph">
    <w:name w:val="List Paragraph"/>
    <w:basedOn w:val="Normal"/>
    <w:uiPriority w:val="34"/>
    <w:qFormat/>
    <w:rsid w:val="00695F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5C87"/>
  </w:style>
  <w:style w:type="paragraph" w:styleId="Footer">
    <w:name w:val="footer"/>
    <w:basedOn w:val="Normal"/>
    <w:link w:val="FooterChar"/>
    <w:uiPriority w:val="99"/>
    <w:unhideWhenUsed/>
    <w:rsid w:val="00A85C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5C87"/>
  </w:style>
  <w:style w:type="paragraph" w:styleId="Title">
    <w:name w:val="Title"/>
    <w:basedOn w:val="Normal"/>
    <w:next w:val="Normal"/>
    <w:link w:val="TitleChar"/>
    <w:qFormat/>
    <w:rsid w:val="00A85C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A85C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semiHidden/>
    <w:unhideWhenUsed/>
    <w:rsid w:val="00F168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68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01A7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1A7D"/>
    <w:rPr>
      <w:color w:val="0000FF"/>
      <w:u w:val="single"/>
    </w:rPr>
  </w:style>
  <w:style w:type="paragraph" w:styleId="FootnoteText">
    <w:name w:val="footnote text"/>
    <w:aliases w:val="Geneva 9,Font: Geneva 9,Boston 10,f"/>
    <w:basedOn w:val="Normal"/>
    <w:link w:val="FootnoteTextChar"/>
    <w:unhideWhenUsed/>
    <w:rsid w:val="000E6137"/>
    <w:pPr>
      <w:spacing w:line="240" w:lineRule="auto"/>
    </w:pPr>
    <w:rPr>
      <w:rFonts w:asciiTheme="minorHAnsi" w:eastAsiaTheme="minorEastAsia" w:hAnsiTheme="minorHAnsi" w:cstheme="minorBidi"/>
      <w:sz w:val="20"/>
      <w:szCs w:val="20"/>
      <w:lang w:val="en-GB"/>
    </w:rPr>
  </w:style>
  <w:style w:type="character" w:customStyle="1" w:styleId="FootnoteTextChar">
    <w:name w:val="Footnote Text Char"/>
    <w:aliases w:val="Geneva 9 Char,Font: Geneva 9 Char,Boston 10 Char,f Char"/>
    <w:basedOn w:val="DefaultParagraphFont"/>
    <w:link w:val="FootnoteText"/>
    <w:rsid w:val="000E6137"/>
    <w:rPr>
      <w:rFonts w:asciiTheme="minorHAnsi" w:eastAsiaTheme="minorEastAsia" w:hAnsiTheme="minorHAnsi" w:cstheme="minorBidi"/>
      <w:sz w:val="20"/>
      <w:szCs w:val="20"/>
      <w:lang w:val="en-GB"/>
    </w:rPr>
  </w:style>
  <w:style w:type="character" w:styleId="FootnoteReference">
    <w:name w:val="footnote reference"/>
    <w:aliases w:val="16 Point,Superscript 6 Point"/>
    <w:basedOn w:val="DefaultParagraphFont"/>
    <w:unhideWhenUsed/>
    <w:rsid w:val="000E6137"/>
    <w:rPr>
      <w:vertAlign w:val="superscript"/>
    </w:rPr>
  </w:style>
  <w:style w:type="paragraph" w:styleId="TableofFigures">
    <w:name w:val="table of figures"/>
    <w:basedOn w:val="Normal"/>
    <w:next w:val="Normal"/>
    <w:uiPriority w:val="99"/>
    <w:unhideWhenUsed/>
    <w:rsid w:val="00A77349"/>
    <w:pPr>
      <w:ind w:left="480" w:hanging="480"/>
    </w:pPr>
    <w:rPr>
      <w:rFonts w:asciiTheme="minorHAnsi" w:hAnsiTheme="minorHAnsi" w:cs="Times New Roman"/>
      <w:caps/>
      <w:sz w:val="20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A77349"/>
    <w:pPr>
      <w:spacing w:before="360"/>
    </w:pPr>
    <w:rPr>
      <w:rFonts w:asciiTheme="majorHAnsi" w:hAnsiTheme="majorHAnsi" w:cs="Times New Roman"/>
      <w:b/>
      <w:bCs/>
      <w:caps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A77349"/>
    <w:pPr>
      <w:spacing w:before="240"/>
    </w:pPr>
    <w:rPr>
      <w:rFonts w:asciiTheme="minorHAnsi" w:hAnsiTheme="minorHAnsi" w:cs="Times New Roman"/>
      <w:b/>
      <w:bCs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A77349"/>
    <w:pPr>
      <w:ind w:left="240"/>
    </w:pPr>
    <w:rPr>
      <w:rFonts w:asciiTheme="minorHAnsi" w:hAnsiTheme="minorHAnsi" w:cs="Times New Roman"/>
      <w:sz w:val="20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A77349"/>
    <w:pPr>
      <w:ind w:left="480"/>
    </w:pPr>
    <w:rPr>
      <w:rFonts w:asciiTheme="minorHAnsi" w:hAnsiTheme="minorHAnsi" w:cs="Times New Roman"/>
      <w:sz w:val="20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A77349"/>
    <w:pPr>
      <w:ind w:left="720"/>
    </w:pPr>
    <w:rPr>
      <w:rFonts w:asciiTheme="minorHAnsi" w:hAnsiTheme="minorHAnsi" w:cs="Times New Roman"/>
      <w:sz w:val="20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A77349"/>
    <w:pPr>
      <w:ind w:left="960"/>
    </w:pPr>
    <w:rPr>
      <w:rFonts w:asciiTheme="minorHAnsi" w:hAnsiTheme="minorHAnsi" w:cs="Times New Roman"/>
      <w:sz w:val="20"/>
      <w:szCs w:val="24"/>
    </w:rPr>
  </w:style>
  <w:style w:type="paragraph" w:styleId="TOC7">
    <w:name w:val="toc 7"/>
    <w:basedOn w:val="Normal"/>
    <w:next w:val="Normal"/>
    <w:autoRedefine/>
    <w:uiPriority w:val="39"/>
    <w:unhideWhenUsed/>
    <w:rsid w:val="00A77349"/>
    <w:pPr>
      <w:ind w:left="1200"/>
    </w:pPr>
    <w:rPr>
      <w:rFonts w:asciiTheme="minorHAnsi" w:hAnsiTheme="minorHAnsi" w:cs="Times New Roman"/>
      <w:sz w:val="20"/>
      <w:szCs w:val="24"/>
    </w:rPr>
  </w:style>
  <w:style w:type="paragraph" w:styleId="TOC8">
    <w:name w:val="toc 8"/>
    <w:basedOn w:val="Normal"/>
    <w:next w:val="Normal"/>
    <w:autoRedefine/>
    <w:uiPriority w:val="39"/>
    <w:unhideWhenUsed/>
    <w:rsid w:val="00A77349"/>
    <w:pPr>
      <w:ind w:left="1440"/>
    </w:pPr>
    <w:rPr>
      <w:rFonts w:asciiTheme="minorHAnsi" w:hAnsiTheme="minorHAnsi" w:cs="Times New Roman"/>
      <w:sz w:val="20"/>
      <w:szCs w:val="24"/>
    </w:rPr>
  </w:style>
  <w:style w:type="paragraph" w:styleId="TOC9">
    <w:name w:val="toc 9"/>
    <w:basedOn w:val="Normal"/>
    <w:next w:val="Normal"/>
    <w:autoRedefine/>
    <w:uiPriority w:val="39"/>
    <w:unhideWhenUsed/>
    <w:rsid w:val="00A77349"/>
    <w:pPr>
      <w:ind w:left="1680"/>
    </w:pPr>
    <w:rPr>
      <w:rFonts w:asciiTheme="minorHAnsi" w:hAnsiTheme="minorHAnsi" w:cs="Times New Roman"/>
      <w:sz w:val="20"/>
      <w:szCs w:val="24"/>
    </w:rPr>
  </w:style>
  <w:style w:type="character" w:styleId="Strong">
    <w:name w:val="Strong"/>
    <w:qFormat/>
    <w:rsid w:val="00922E74"/>
    <w:rPr>
      <w:b/>
      <w:bCs/>
    </w:rPr>
  </w:style>
  <w:style w:type="paragraph" w:styleId="BodyTextIndent3">
    <w:name w:val="Body Text Indent 3"/>
    <w:basedOn w:val="Normal"/>
    <w:link w:val="BodyTextIndent3Char"/>
    <w:rsid w:val="00922E7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922E74"/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paragraph" w:styleId="BodyTextIndent">
    <w:name w:val="Body Text Indent"/>
    <w:basedOn w:val="Normal"/>
    <w:link w:val="BodyTextIndentChar"/>
    <w:rsid w:val="00922E74"/>
    <w:pPr>
      <w:spacing w:after="120" w:line="24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Char">
    <w:name w:val="Body Text Indent Char"/>
    <w:basedOn w:val="DefaultParagraphFont"/>
    <w:link w:val="BodyTextIndent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styleId="BodyTextIndent2">
    <w:name w:val="Body Text Indent 2"/>
    <w:basedOn w:val="Normal"/>
    <w:link w:val="BodyTextIndent2Char"/>
    <w:rsid w:val="00922E74"/>
    <w:pPr>
      <w:spacing w:after="120" w:line="480" w:lineRule="auto"/>
      <w:ind w:left="283"/>
    </w:pPr>
    <w:rPr>
      <w:rFonts w:ascii="Times New Roman" w:eastAsia="MS Mincho" w:hAnsi="Times New Roman" w:cs="Times New Roman"/>
      <w:szCs w:val="24"/>
      <w:lang w:val="en-AU" w:eastAsia="ja-JP"/>
    </w:rPr>
  </w:style>
  <w:style w:type="character" w:customStyle="1" w:styleId="BodyTextIndent2Char">
    <w:name w:val="Body Text Indent 2 Char"/>
    <w:basedOn w:val="DefaultParagraphFont"/>
    <w:link w:val="BodyTextIndent2"/>
    <w:rsid w:val="00922E74"/>
    <w:rPr>
      <w:rFonts w:ascii="Times New Roman" w:eastAsia="MS Mincho" w:hAnsi="Times New Roman" w:cs="Times New Roman"/>
      <w:szCs w:val="24"/>
      <w:lang w:val="en-AU" w:eastAsia="ja-JP"/>
    </w:rPr>
  </w:style>
  <w:style w:type="paragraph" w:customStyle="1" w:styleId="Body1">
    <w:name w:val="Body 1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outlineLvl w:val="0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paragraph" w:styleId="NoSpacing">
    <w:name w:val="No Spacing"/>
    <w:link w:val="NoSpacingChar"/>
    <w:uiPriority w:val="1"/>
    <w:qFormat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Cambria" w:eastAsia="Cambria" w:hAnsi="Cambria" w:cs="Cambria"/>
      <w:color w:val="000000"/>
      <w:szCs w:val="24"/>
      <w:u w:color="000000"/>
      <w:bdr w:val="nil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22E74"/>
    <w:rPr>
      <w:rFonts w:ascii="Cambria" w:eastAsia="Cambria" w:hAnsi="Cambria" w:cs="Cambria"/>
      <w:color w:val="000000"/>
      <w:szCs w:val="24"/>
      <w:u w:color="000000"/>
      <w:bdr w:val="nil"/>
    </w:rPr>
  </w:style>
  <w:style w:type="paragraph" w:customStyle="1" w:styleId="Body">
    <w:name w:val="Body"/>
    <w:rsid w:val="00922E74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ind w:left="714" w:hanging="357"/>
    </w:pPr>
    <w:rPr>
      <w:rFonts w:ascii="Times New Roman" w:eastAsia="Times New Roman" w:hAnsi="Times New Roman" w:cs="Times New Roman"/>
      <w:color w:val="000000"/>
      <w:szCs w:val="24"/>
      <w:u w:color="000000"/>
      <w:bdr w:val="nil"/>
    </w:rPr>
  </w:style>
  <w:style w:type="character" w:customStyle="1" w:styleId="Hyperlink0">
    <w:name w:val="Hyperlink.0"/>
    <w:basedOn w:val="DefaultParagraphFont"/>
    <w:rsid w:val="00922E74"/>
    <w:rPr>
      <w:rFonts w:ascii="Calibri" w:eastAsia="Calibri" w:hAnsi="Calibri" w:cs="Calibri"/>
      <w:color w:val="0000FF"/>
      <w:sz w:val="22"/>
      <w:szCs w:val="22"/>
      <w:u w:val="single" w:color="000000"/>
      <w:lang w:val="en-US"/>
    </w:rPr>
  </w:style>
  <w:style w:type="character" w:styleId="FollowedHyperlink">
    <w:name w:val="FollowedHyperlink"/>
    <w:rsid w:val="00922E74"/>
    <w:rPr>
      <w:color w:val="800080"/>
      <w:u w:val="single"/>
    </w:rPr>
  </w:style>
  <w:style w:type="paragraph" w:styleId="CommentText">
    <w:name w:val="annotation text"/>
    <w:basedOn w:val="Normal"/>
    <w:link w:val="CommentTextChar"/>
    <w:uiPriority w:val="99"/>
    <w:rsid w:val="00922E74"/>
    <w:pPr>
      <w:spacing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2E74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EndnoteTextChar">
    <w:name w:val="Endnote Text Char"/>
    <w:basedOn w:val="DefaultParagraphFont"/>
    <w:link w:val="EndnoteText"/>
    <w:semiHidden/>
    <w:rsid w:val="00922E74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EndnoteText">
    <w:name w:val="endnote text"/>
    <w:basedOn w:val="Normal"/>
    <w:link w:val="EndnoteTextChar"/>
    <w:semiHidden/>
    <w:rsid w:val="00922E74"/>
    <w:pPr>
      <w:spacing w:line="240" w:lineRule="auto"/>
    </w:pPr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List">
    <w:name w:val="List"/>
    <w:basedOn w:val="Normal"/>
    <w:rsid w:val="00922E74"/>
    <w:pPr>
      <w:spacing w:line="240" w:lineRule="auto"/>
      <w:ind w:left="360" w:hanging="360"/>
    </w:pPr>
    <w:rPr>
      <w:rFonts w:ascii="Times New Roman" w:eastAsia="Times New Roman" w:hAnsi="Times New Roman" w:cs="Times New Roman"/>
      <w:szCs w:val="24"/>
    </w:rPr>
  </w:style>
  <w:style w:type="paragraph" w:styleId="ListBullet">
    <w:name w:val="List Bullet"/>
    <w:basedOn w:val="Normal"/>
    <w:autoRedefine/>
    <w:rsid w:val="00922E74"/>
    <w:pPr>
      <w:numPr>
        <w:numId w:val="14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List2">
    <w:name w:val="List 2"/>
    <w:basedOn w:val="Normal"/>
    <w:rsid w:val="00922E74"/>
    <w:pPr>
      <w:spacing w:line="240" w:lineRule="auto"/>
      <w:ind w:left="720" w:hanging="360"/>
    </w:pPr>
    <w:rPr>
      <w:rFonts w:ascii="Times New Roman" w:eastAsia="Times New Roman" w:hAnsi="Times New Roman" w:cs="Times New Roman"/>
      <w:szCs w:val="24"/>
    </w:rPr>
  </w:style>
  <w:style w:type="paragraph" w:styleId="ListBullet2">
    <w:name w:val="List Bullet 2"/>
    <w:basedOn w:val="Normal"/>
    <w:autoRedefine/>
    <w:rsid w:val="00922E74"/>
    <w:pPr>
      <w:numPr>
        <w:numId w:val="15"/>
      </w:num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styleId="BodyText">
    <w:name w:val="Body Text"/>
    <w:aliases w:val="Anna"/>
    <w:basedOn w:val="Normal"/>
    <w:link w:val="BodyTextChar"/>
    <w:rsid w:val="00922E74"/>
    <w:pPr>
      <w:spacing w:line="240" w:lineRule="auto"/>
    </w:pPr>
    <w:rPr>
      <w:rFonts w:ascii="Times New Roman" w:eastAsia="Times New Roman" w:hAnsi="Times New Roman" w:cs="Times New Roman"/>
      <w:b/>
      <w:bCs/>
      <w:sz w:val="22"/>
      <w:szCs w:val="24"/>
    </w:rPr>
  </w:style>
  <w:style w:type="character" w:customStyle="1" w:styleId="BodyTextChar">
    <w:name w:val="Body Text Char"/>
    <w:aliases w:val="Anna Char"/>
    <w:basedOn w:val="DefaultParagraphFont"/>
    <w:link w:val="BodyText"/>
    <w:rsid w:val="00922E74"/>
    <w:rPr>
      <w:rFonts w:ascii="Times New Roman" w:eastAsia="Times New Roman" w:hAnsi="Times New Roman" w:cs="Times New Roman"/>
      <w:b/>
      <w:bCs/>
      <w:sz w:val="22"/>
      <w:szCs w:val="24"/>
    </w:rPr>
  </w:style>
  <w:style w:type="paragraph" w:styleId="Subtitle">
    <w:name w:val="Subtitle"/>
    <w:basedOn w:val="Normal"/>
    <w:link w:val="SubtitleChar"/>
    <w:qFormat/>
    <w:rsid w:val="00922E74"/>
    <w:pPr>
      <w:spacing w:line="240" w:lineRule="auto"/>
      <w:ind w:left="360"/>
    </w:pPr>
    <w:rPr>
      <w:rFonts w:ascii="Times New Roman" w:eastAsia="Times New Roman" w:hAnsi="Times New Roman" w:cs="Times New Roman"/>
      <w:b/>
      <w:bCs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922E74"/>
    <w:rPr>
      <w:rFonts w:ascii="Times New Roman" w:eastAsia="Times New Roman" w:hAnsi="Times New Roman" w:cs="Times New Roman"/>
      <w:b/>
      <w:bCs/>
      <w:szCs w:val="24"/>
      <w:u w:val="single"/>
    </w:rPr>
  </w:style>
  <w:style w:type="paragraph" w:styleId="BodyText2">
    <w:name w:val="Body Text 2"/>
    <w:basedOn w:val="Normal"/>
    <w:link w:val="BodyText2Char"/>
    <w:rsid w:val="00922E74"/>
    <w:pPr>
      <w:spacing w:line="240" w:lineRule="auto"/>
      <w:jc w:val="right"/>
    </w:pPr>
    <w:rPr>
      <w:rFonts w:ascii="Times New Roman" w:eastAsia="Times New Roman" w:hAnsi="Times New Roman" w:cs="Times New Roman"/>
      <w:b/>
      <w:sz w:val="40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922E74"/>
    <w:rPr>
      <w:rFonts w:ascii="Times New Roman" w:eastAsia="Times New Roman" w:hAnsi="Times New Roman" w:cs="Times New Roman"/>
      <w:b/>
      <w:sz w:val="40"/>
      <w:szCs w:val="24"/>
      <w:lang w:val="en-GB"/>
    </w:rPr>
  </w:style>
  <w:style w:type="paragraph" w:styleId="BodyText3">
    <w:name w:val="Body Text 3"/>
    <w:basedOn w:val="Normal"/>
    <w:link w:val="BodyText3Char"/>
    <w:rsid w:val="00922E74"/>
    <w:pPr>
      <w:spacing w:line="240" w:lineRule="auto"/>
    </w:pPr>
    <w:rPr>
      <w:rFonts w:ascii="Times New Roman" w:eastAsia="Times New Roman" w:hAnsi="Times New Roman" w:cs="Times New Roman"/>
      <w:sz w:val="22"/>
      <w:szCs w:val="24"/>
    </w:rPr>
  </w:style>
  <w:style w:type="character" w:customStyle="1" w:styleId="BodyText3Char">
    <w:name w:val="Body Text 3 Char"/>
    <w:basedOn w:val="DefaultParagraphFont"/>
    <w:link w:val="BodyText3"/>
    <w:rsid w:val="00922E74"/>
    <w:rPr>
      <w:rFonts w:ascii="Times New Roman" w:eastAsia="Times New Roman" w:hAnsi="Times New Roman" w:cs="Times New Roman"/>
      <w:sz w:val="22"/>
      <w:szCs w:val="24"/>
    </w:rPr>
  </w:style>
  <w:style w:type="paragraph" w:styleId="BlockText">
    <w:name w:val="Block Text"/>
    <w:basedOn w:val="Normal"/>
    <w:rsid w:val="00922E74"/>
    <w:pPr>
      <w:autoSpaceDE w:val="0"/>
      <w:autoSpaceDN w:val="0"/>
      <w:adjustRightInd w:val="0"/>
      <w:spacing w:line="240" w:lineRule="auto"/>
      <w:ind w:left="1080" w:right="108"/>
      <w:jc w:val="center"/>
    </w:pPr>
    <w:rPr>
      <w:rFonts w:ascii="Times New Roman" w:eastAsia="Times New Roman" w:hAnsi="Times New Roman" w:cs="Times New Roman"/>
      <w:b/>
      <w:bCs/>
      <w:sz w:val="22"/>
      <w:szCs w:val="24"/>
      <w:u w:val="single"/>
    </w:rPr>
  </w:style>
  <w:style w:type="character" w:customStyle="1" w:styleId="CommentSubjectChar">
    <w:name w:val="Comment Subject Char"/>
    <w:basedOn w:val="CommentTextChar"/>
    <w:link w:val="CommentSubject"/>
    <w:semiHidden/>
    <w:rsid w:val="00922E74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922E74"/>
    <w:rPr>
      <w:b/>
      <w:bCs/>
    </w:rPr>
  </w:style>
  <w:style w:type="paragraph" w:styleId="Revision">
    <w:name w:val="Revision"/>
    <w:uiPriority w:val="71"/>
    <w:rsid w:val="00922E74"/>
    <w:pPr>
      <w:spacing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Arial10">
    <w:name w:val="Arial 10"/>
    <w:basedOn w:val="Normal"/>
    <w:rsid w:val="00922E74"/>
    <w:pPr>
      <w:spacing w:line="240" w:lineRule="auto"/>
    </w:pPr>
    <w:rPr>
      <w:rFonts w:ascii="Arial" w:eastAsia="Times New Roman" w:hAnsi="Arial" w:cs="Times New Roman"/>
      <w:sz w:val="20"/>
      <w:szCs w:val="24"/>
      <w:lang w:val="en-AU"/>
    </w:rPr>
  </w:style>
  <w:style w:type="paragraph" w:customStyle="1" w:styleId="Arial8bold">
    <w:name w:val="Arial 8 bold"/>
    <w:basedOn w:val="Normal"/>
    <w:rsid w:val="00922E74"/>
    <w:pPr>
      <w:spacing w:line="240" w:lineRule="auto"/>
    </w:pPr>
    <w:rPr>
      <w:rFonts w:ascii="Arial" w:eastAsia="Times New Roman" w:hAnsi="Arial" w:cs="Times New Roman"/>
      <w:b/>
      <w:sz w:val="16"/>
      <w:szCs w:val="24"/>
      <w:lang w:val="en-AU"/>
    </w:rPr>
  </w:style>
  <w:style w:type="paragraph" w:customStyle="1" w:styleId="Style1">
    <w:name w:val="Style 1"/>
    <w:basedOn w:val="Normal"/>
    <w:rsid w:val="00922E74"/>
    <w:pPr>
      <w:widowControl w:val="0"/>
      <w:tabs>
        <w:tab w:val="left" w:pos="2952"/>
      </w:tabs>
      <w:autoSpaceDE w:val="0"/>
      <w:autoSpaceDN w:val="0"/>
      <w:spacing w:line="288" w:lineRule="atLeast"/>
    </w:pPr>
    <w:rPr>
      <w:rFonts w:ascii="Times New Roman" w:eastAsia="Times New Roman" w:hAnsi="Times New Roman" w:cs="Times New Roman"/>
      <w:szCs w:val="24"/>
    </w:rPr>
  </w:style>
  <w:style w:type="paragraph" w:customStyle="1" w:styleId="Style2">
    <w:name w:val="Style 2"/>
    <w:basedOn w:val="Normal"/>
    <w:rsid w:val="00922E74"/>
    <w:pPr>
      <w:widowControl w:val="0"/>
      <w:autoSpaceDE w:val="0"/>
      <w:autoSpaceDN w:val="0"/>
      <w:spacing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paragraph" w:customStyle="1" w:styleId="Style3">
    <w:name w:val="Style 3"/>
    <w:basedOn w:val="Normal"/>
    <w:rsid w:val="00922E74"/>
    <w:pPr>
      <w:widowControl w:val="0"/>
      <w:autoSpaceDE w:val="0"/>
      <w:autoSpaceDN w:val="0"/>
      <w:spacing w:before="360" w:after="10332" w:line="240" w:lineRule="atLeast"/>
      <w:ind w:right="432"/>
    </w:pPr>
    <w:rPr>
      <w:rFonts w:ascii="Times New Roman" w:eastAsia="Times New Roman" w:hAnsi="Times New Roman" w:cs="Times New Roman"/>
      <w:szCs w:val="24"/>
    </w:rPr>
  </w:style>
  <w:style w:type="paragraph" w:customStyle="1" w:styleId="Style4">
    <w:name w:val="Style 4"/>
    <w:basedOn w:val="Normal"/>
    <w:rsid w:val="00922E74"/>
    <w:pPr>
      <w:widowControl w:val="0"/>
      <w:autoSpaceDE w:val="0"/>
      <w:autoSpaceDN w:val="0"/>
      <w:spacing w:line="240" w:lineRule="auto"/>
      <w:ind w:left="72"/>
    </w:pPr>
    <w:rPr>
      <w:rFonts w:ascii="Times New Roman" w:eastAsia="Times New Roman" w:hAnsi="Times New Roman" w:cs="Times New Roman"/>
      <w:szCs w:val="24"/>
    </w:rPr>
  </w:style>
  <w:style w:type="paragraph" w:customStyle="1" w:styleId="Default">
    <w:name w:val="Default"/>
    <w:rsid w:val="00922E74"/>
    <w:pPr>
      <w:autoSpaceDE w:val="0"/>
      <w:autoSpaceDN w:val="0"/>
      <w:adjustRightInd w:val="0"/>
      <w:spacing w:line="240" w:lineRule="auto"/>
    </w:pPr>
    <w:rPr>
      <w:rFonts w:ascii="Myriad" w:eastAsia="Times New Roman" w:hAnsi="Myriad" w:cs="Myriad"/>
      <w:color w:val="000000"/>
      <w:szCs w:val="24"/>
    </w:rPr>
  </w:style>
  <w:style w:type="paragraph" w:customStyle="1" w:styleId="Pa0">
    <w:name w:val="Pa0"/>
    <w:basedOn w:val="Default"/>
    <w:next w:val="Default"/>
    <w:rsid w:val="00922E7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rsid w:val="00922E74"/>
    <w:pPr>
      <w:spacing w:line="401" w:lineRule="atLeast"/>
    </w:pPr>
    <w:rPr>
      <w:rFonts w:ascii="Myriad Pro" w:hAnsi="Myriad Pro" w:cs="Times New Roman"/>
      <w:color w:val="auto"/>
    </w:rPr>
  </w:style>
  <w:style w:type="paragraph" w:customStyle="1" w:styleId="Pa6">
    <w:name w:val="Pa6"/>
    <w:basedOn w:val="Default"/>
    <w:next w:val="Default"/>
    <w:rsid w:val="00922E74"/>
    <w:pPr>
      <w:spacing w:line="241" w:lineRule="atLeast"/>
    </w:pPr>
    <w:rPr>
      <w:rFonts w:ascii="Adobe Caslon Pro" w:hAnsi="Adobe Caslon Pro" w:cs="Times New Roman"/>
      <w:color w:val="auto"/>
    </w:rPr>
  </w:style>
  <w:style w:type="paragraph" w:customStyle="1" w:styleId="Pa11">
    <w:name w:val="Pa11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8">
    <w:name w:val="Pa8"/>
    <w:basedOn w:val="Default"/>
    <w:next w:val="Default"/>
    <w:rsid w:val="00922E74"/>
    <w:pPr>
      <w:spacing w:line="241" w:lineRule="atLeast"/>
    </w:pPr>
    <w:rPr>
      <w:rFonts w:ascii="Myriad Pro" w:hAnsi="Myriad Pro" w:cs="Times New Roman"/>
      <w:color w:val="auto"/>
    </w:rPr>
  </w:style>
  <w:style w:type="paragraph" w:customStyle="1" w:styleId="Pa9">
    <w:name w:val="Pa9"/>
    <w:basedOn w:val="Default"/>
    <w:next w:val="Default"/>
    <w:rsid w:val="00922E74"/>
    <w:pPr>
      <w:spacing w:line="181" w:lineRule="atLeast"/>
    </w:pPr>
    <w:rPr>
      <w:rFonts w:ascii="Myriad Pro" w:hAnsi="Myriad Pro" w:cs="Times New Roman"/>
      <w:color w:val="auto"/>
    </w:rPr>
  </w:style>
  <w:style w:type="paragraph" w:customStyle="1" w:styleId="Pa10">
    <w:name w:val="Pa10"/>
    <w:basedOn w:val="Default"/>
    <w:next w:val="Default"/>
    <w:rsid w:val="00922E74"/>
    <w:pPr>
      <w:spacing w:line="201" w:lineRule="atLeast"/>
    </w:pPr>
    <w:rPr>
      <w:rFonts w:ascii="Myriad Pro" w:hAnsi="Myriad Pro" w:cs="Times New Roman"/>
      <w:color w:val="auto"/>
    </w:rPr>
  </w:style>
  <w:style w:type="character" w:customStyle="1" w:styleId="MainParanoChapterChar">
    <w:name w:val="Main Para no Chapter # Char"/>
    <w:link w:val="MainParanoChapter"/>
    <w:locked/>
    <w:rsid w:val="00922E74"/>
    <w:rPr>
      <w:szCs w:val="24"/>
    </w:rPr>
  </w:style>
  <w:style w:type="paragraph" w:customStyle="1" w:styleId="MainParanoChapter">
    <w:name w:val="Main Para no Chapter #"/>
    <w:basedOn w:val="Normal"/>
    <w:link w:val="MainParanoChapterChar"/>
    <w:rsid w:val="00922E74"/>
    <w:pPr>
      <w:numPr>
        <w:ilvl w:val="1"/>
        <w:numId w:val="16"/>
      </w:numPr>
      <w:spacing w:after="240" w:line="240" w:lineRule="auto"/>
      <w:outlineLvl w:val="1"/>
    </w:pPr>
    <w:rPr>
      <w:szCs w:val="24"/>
    </w:rPr>
  </w:style>
  <w:style w:type="paragraph" w:customStyle="1" w:styleId="Sub-Para1underX">
    <w:name w:val="Sub-Para 1 under X."/>
    <w:basedOn w:val="Normal"/>
    <w:rsid w:val="00922E74"/>
    <w:pPr>
      <w:numPr>
        <w:ilvl w:val="2"/>
        <w:numId w:val="16"/>
      </w:numPr>
      <w:spacing w:after="240" w:line="240" w:lineRule="auto"/>
      <w:outlineLvl w:val="2"/>
    </w:pPr>
    <w:rPr>
      <w:rFonts w:ascii="Times New Roman" w:eastAsia="Times New Roman" w:hAnsi="Times New Roman" w:cs="Times New Roman"/>
      <w:szCs w:val="24"/>
    </w:rPr>
  </w:style>
  <w:style w:type="paragraph" w:customStyle="1" w:styleId="Sub-Para2underX">
    <w:name w:val="Sub-Para 2 under X."/>
    <w:basedOn w:val="Normal"/>
    <w:rsid w:val="00922E74"/>
    <w:pPr>
      <w:numPr>
        <w:ilvl w:val="3"/>
        <w:numId w:val="16"/>
      </w:numPr>
      <w:spacing w:after="240" w:line="240" w:lineRule="auto"/>
      <w:outlineLvl w:val="3"/>
    </w:pPr>
    <w:rPr>
      <w:rFonts w:ascii="Times New Roman" w:eastAsia="Times New Roman" w:hAnsi="Times New Roman" w:cs="Times New Roman"/>
      <w:szCs w:val="24"/>
    </w:rPr>
  </w:style>
  <w:style w:type="paragraph" w:customStyle="1" w:styleId="Sub-Para3underX">
    <w:name w:val="Sub-Para 3 under X."/>
    <w:basedOn w:val="Normal"/>
    <w:rsid w:val="00922E74"/>
    <w:pPr>
      <w:numPr>
        <w:ilvl w:val="4"/>
        <w:numId w:val="16"/>
      </w:numPr>
      <w:spacing w:after="240" w:line="240" w:lineRule="auto"/>
      <w:outlineLvl w:val="4"/>
    </w:pPr>
    <w:rPr>
      <w:rFonts w:ascii="Times New Roman" w:eastAsia="Times New Roman" w:hAnsi="Times New Roman" w:cs="Times New Roman"/>
      <w:szCs w:val="24"/>
    </w:rPr>
  </w:style>
  <w:style w:type="paragraph" w:customStyle="1" w:styleId="Sub-Para4underX">
    <w:name w:val="Sub-Para 4 under X."/>
    <w:basedOn w:val="Normal"/>
    <w:rsid w:val="00922E74"/>
    <w:pPr>
      <w:numPr>
        <w:ilvl w:val="5"/>
        <w:numId w:val="16"/>
      </w:numPr>
      <w:spacing w:after="240" w:line="240" w:lineRule="auto"/>
      <w:outlineLvl w:val="5"/>
    </w:pPr>
    <w:rPr>
      <w:rFonts w:ascii="Times New Roman" w:eastAsia="Times New Roman" w:hAnsi="Times New Roman" w:cs="Times New Roman"/>
      <w:szCs w:val="24"/>
    </w:rPr>
  </w:style>
  <w:style w:type="paragraph" w:customStyle="1" w:styleId="Heading1a">
    <w:name w:val="Heading 1a"/>
    <w:basedOn w:val="Normal"/>
    <w:next w:val="Normal"/>
    <w:rsid w:val="00922E74"/>
    <w:pPr>
      <w:keepNext/>
      <w:keepLines/>
      <w:numPr>
        <w:numId w:val="16"/>
      </w:numPr>
      <w:spacing w:before="1440" w:after="24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2"/>
      <w:szCs w:val="24"/>
    </w:rPr>
  </w:style>
  <w:style w:type="character" w:styleId="CommentReference">
    <w:name w:val="annotation reference"/>
    <w:uiPriority w:val="99"/>
    <w:rsid w:val="00922E74"/>
    <w:rPr>
      <w:sz w:val="16"/>
      <w:szCs w:val="16"/>
    </w:rPr>
  </w:style>
  <w:style w:type="character" w:customStyle="1" w:styleId="A4">
    <w:name w:val="A4"/>
    <w:rsid w:val="00922E74"/>
    <w:rPr>
      <w:rFonts w:ascii="Myriad" w:hAnsi="Myriad" w:cs="Myriad" w:hint="default"/>
      <w:color w:val="000000"/>
      <w:sz w:val="20"/>
      <w:szCs w:val="20"/>
    </w:rPr>
  </w:style>
  <w:style w:type="character" w:customStyle="1" w:styleId="A8">
    <w:name w:val="A8"/>
    <w:rsid w:val="00922E74"/>
    <w:rPr>
      <w:rFonts w:ascii="Myriad Pro" w:hAnsi="Myriad Pro" w:cs="Myriad Pro" w:hint="default"/>
      <w:color w:val="626262"/>
      <w:sz w:val="60"/>
      <w:szCs w:val="60"/>
    </w:rPr>
  </w:style>
  <w:style w:type="character" w:customStyle="1" w:styleId="A9">
    <w:name w:val="A9"/>
    <w:rsid w:val="00922E74"/>
    <w:rPr>
      <w:rFonts w:ascii="Myriad Pro" w:hAnsi="Myriad Pro" w:cs="Myriad Pro" w:hint="default"/>
      <w:color w:val="206461"/>
      <w:sz w:val="30"/>
      <w:szCs w:val="30"/>
    </w:rPr>
  </w:style>
  <w:style w:type="character" w:customStyle="1" w:styleId="A10">
    <w:name w:val="A10"/>
    <w:rsid w:val="00922E74"/>
    <w:rPr>
      <w:rFonts w:ascii="Myriad Pro" w:hAnsi="Myriad Pro" w:cs="Myriad Pro" w:hint="default"/>
      <w:color w:val="7C7C7C"/>
      <w:sz w:val="46"/>
      <w:szCs w:val="46"/>
    </w:rPr>
  </w:style>
  <w:style w:type="character" w:customStyle="1" w:styleId="A7">
    <w:name w:val="A7"/>
    <w:rsid w:val="00922E74"/>
    <w:rPr>
      <w:rFonts w:ascii="Myriad Pro" w:hAnsi="Myriad Pro" w:cs="Myriad Pro" w:hint="default"/>
      <w:color w:val="206461"/>
      <w:sz w:val="42"/>
      <w:szCs w:val="42"/>
    </w:rPr>
  </w:style>
  <w:style w:type="character" w:customStyle="1" w:styleId="A12">
    <w:name w:val="A12"/>
    <w:rsid w:val="00922E74"/>
    <w:rPr>
      <w:rFonts w:ascii="Adobe Caslon Pro" w:hAnsi="Adobe Caslon Pro" w:cs="Adobe Caslon Pro" w:hint="default"/>
      <w:color w:val="000000"/>
      <w:sz w:val="23"/>
      <w:szCs w:val="23"/>
    </w:rPr>
  </w:style>
  <w:style w:type="character" w:customStyle="1" w:styleId="A13">
    <w:name w:val="A13"/>
    <w:rsid w:val="00922E74"/>
    <w:rPr>
      <w:rFonts w:ascii="Zapf Dingbats" w:eastAsia="Zapf Dingbats" w:hAnsi="Zapf Dingbats" w:cs="Zapf Dingbats" w:hint="default"/>
      <w:color w:val="206461"/>
      <w:sz w:val="16"/>
      <w:szCs w:val="16"/>
    </w:rPr>
  </w:style>
  <w:style w:type="character" w:customStyle="1" w:styleId="A19">
    <w:name w:val="A19"/>
    <w:rsid w:val="00922E74"/>
    <w:rPr>
      <w:rFonts w:ascii="Myriad Pro" w:hAnsi="Myriad Pro" w:cs="Myriad Pro" w:hint="default"/>
      <w:color w:val="626262"/>
      <w:sz w:val="34"/>
      <w:szCs w:val="34"/>
    </w:rPr>
  </w:style>
  <w:style w:type="character" w:customStyle="1" w:styleId="A15">
    <w:name w:val="A15"/>
    <w:rsid w:val="00922E74"/>
    <w:rPr>
      <w:rFonts w:ascii="Myriad" w:hAnsi="Myriad" w:cs="Myriad" w:hint="default"/>
      <w:color w:val="000000"/>
      <w:sz w:val="28"/>
      <w:szCs w:val="28"/>
    </w:rPr>
  </w:style>
  <w:style w:type="character" w:customStyle="1" w:styleId="A16">
    <w:name w:val="A16"/>
    <w:rsid w:val="00922E74"/>
    <w:rPr>
      <w:rFonts w:ascii="Adobe Caslon" w:hAnsi="Adobe Caslon" w:cs="Adobe Caslon" w:hint="default"/>
      <w:color w:val="000000"/>
      <w:sz w:val="9"/>
      <w:szCs w:val="9"/>
    </w:rPr>
  </w:style>
  <w:style w:type="character" w:customStyle="1" w:styleId="A17">
    <w:name w:val="A17"/>
    <w:rsid w:val="00922E74"/>
    <w:rPr>
      <w:rFonts w:ascii="Adobe Caslon" w:hAnsi="Adobe Caslon" w:cs="Adobe Caslon" w:hint="default"/>
      <w:color w:val="000000"/>
      <w:sz w:val="10"/>
      <w:szCs w:val="10"/>
    </w:rPr>
  </w:style>
  <w:style w:type="character" w:customStyle="1" w:styleId="A18">
    <w:name w:val="A18"/>
    <w:rsid w:val="00922E74"/>
    <w:rPr>
      <w:rFonts w:ascii="Myriad" w:hAnsi="Myriad" w:cs="Myriad" w:hint="default"/>
      <w:color w:val="000000"/>
      <w:sz w:val="18"/>
      <w:szCs w:val="18"/>
    </w:rPr>
  </w:style>
  <w:style w:type="character" w:customStyle="1" w:styleId="A0">
    <w:name w:val="A0"/>
    <w:rsid w:val="00922E74"/>
    <w:rPr>
      <w:rFonts w:ascii="Myriad" w:hAnsi="Myriad" w:cs="Myriad" w:hint="default"/>
      <w:color w:val="FFFFFF"/>
      <w:sz w:val="22"/>
      <w:szCs w:val="22"/>
    </w:rPr>
  </w:style>
  <w:style w:type="paragraph" w:customStyle="1" w:styleId="Arial8">
    <w:name w:val="Arial 8"/>
    <w:basedOn w:val="Arial8bold"/>
    <w:rsid w:val="00922E74"/>
    <w:rPr>
      <w:b w:val="0"/>
    </w:rPr>
  </w:style>
  <w:style w:type="character" w:styleId="PageNumber">
    <w:name w:val="page number"/>
    <w:basedOn w:val="DefaultParagraphFont"/>
    <w:uiPriority w:val="99"/>
    <w:unhideWhenUsed/>
    <w:rsid w:val="00922E74"/>
  </w:style>
  <w:style w:type="paragraph" w:customStyle="1" w:styleId="Header2">
    <w:name w:val="Header 2"/>
    <w:basedOn w:val="Normal"/>
    <w:rsid w:val="00922E74"/>
    <w:pPr>
      <w:tabs>
        <w:tab w:val="left" w:pos="567"/>
      </w:tabs>
      <w:spacing w:line="240" w:lineRule="auto"/>
      <w:ind w:right="-45"/>
    </w:pPr>
    <w:rPr>
      <w:rFonts w:eastAsia="Times New Roman" w:cs="Times New Roman"/>
      <w:b/>
      <w:sz w:val="28"/>
      <w:szCs w:val="20"/>
    </w:rPr>
  </w:style>
  <w:style w:type="paragraph" w:customStyle="1" w:styleId="Listavistosa-nfasis11">
    <w:name w:val="Lista vistosa - Énfasis 11"/>
    <w:basedOn w:val="Normal"/>
    <w:uiPriority w:val="34"/>
    <w:qFormat/>
    <w:rsid w:val="00CF26F5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customStyle="1" w:styleId="Prrafodelista1">
    <w:name w:val="Párrafo de lista1"/>
    <w:basedOn w:val="Normal"/>
    <w:rsid w:val="00CF26F5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val="es-ES"/>
    </w:rPr>
  </w:style>
  <w:style w:type="paragraph" w:styleId="PlainText">
    <w:name w:val="Plain Text"/>
    <w:basedOn w:val="Normal"/>
    <w:link w:val="PlainTextChar"/>
    <w:uiPriority w:val="99"/>
    <w:unhideWhenUsed/>
    <w:rsid w:val="00FD3439"/>
    <w:pPr>
      <w:spacing w:line="240" w:lineRule="auto"/>
    </w:pPr>
    <w:rPr>
      <w:rFonts w:ascii="Arial" w:eastAsia="Times New Roman" w:hAnsi="Arial" w:cs="Times New Roman"/>
      <w:sz w:val="20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FD3439"/>
    <w:rPr>
      <w:rFonts w:ascii="Arial" w:eastAsia="Times New Roman" w:hAnsi="Arial" w:cs="Times New Roman"/>
      <w:sz w:val="20"/>
      <w:szCs w:val="2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6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4FC39-457A-457A-8B89-363AEEAD4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2560</Words>
  <Characters>14186</Characters>
  <Application>Microsoft Office Word</Application>
  <DocSecurity>4</DocSecurity>
  <Lines>886</Lines>
  <Paragraphs>265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Ramsar\Asia Oceania</dc:creator>
  <cp:lastModifiedBy>Ramsar\JenningsE</cp:lastModifiedBy>
  <cp:revision>2</cp:revision>
  <cp:lastPrinted>2015-06-08T17:05:00Z</cp:lastPrinted>
  <dcterms:created xsi:type="dcterms:W3CDTF">2015-07-15T07:52:00Z</dcterms:created>
  <dcterms:modified xsi:type="dcterms:W3CDTF">2015-07-15T07:52:00Z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2014-10-03T00:00:00Z</vt:filetime>
  </property>
  <property fmtid="{D5CDD505-2E9C-101B-9397-08002B2CF9AE}" pid="3" name="LastSaved">
    <vt:filetime>2014-10-06T00:00:00Z</vt:filetime>
  </property>
</Properties>
</file>