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55C2E" w14:textId="77777777" w:rsidR="00994C7E" w:rsidRPr="009A4741" w:rsidRDefault="00994C7E" w:rsidP="00994C7E">
      <w:pPr>
        <w:jc w:val="center"/>
        <w:rPr>
          <w:rFonts w:asciiTheme="minorHAnsi" w:hAnsiTheme="minorHAnsi"/>
          <w:b/>
          <w:sz w:val="25"/>
          <w:szCs w:val="25"/>
          <w:lang w:val="es-ES_tradnl"/>
        </w:rPr>
      </w:pPr>
      <w:r w:rsidRPr="009A4741">
        <w:rPr>
          <w:noProof/>
          <w:sz w:val="25"/>
          <w:szCs w:val="25"/>
          <w:lang w:val="en-GB" w:eastAsia="en-GB"/>
        </w:rPr>
        <w:drawing>
          <wp:anchor distT="0" distB="0" distL="114300" distR="114300" simplePos="0" relativeHeight="251660288" behindDoc="0" locked="0" layoutInCell="1" allowOverlap="1" wp14:anchorId="4AC98B15" wp14:editId="468F3FA4">
            <wp:simplePos x="0" y="0"/>
            <wp:positionH relativeFrom="margin">
              <wp:posOffset>-171450</wp:posOffset>
            </wp:positionH>
            <wp:positionV relativeFrom="margin">
              <wp:posOffset>-185420</wp:posOffset>
            </wp:positionV>
            <wp:extent cx="2219325" cy="955675"/>
            <wp:effectExtent l="0" t="0" r="9525" b="0"/>
            <wp:wrapSquare wrapText="bothSides"/>
            <wp:docPr id="11"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a:stretch>
                      <a:fillRect/>
                    </a:stretch>
                  </pic:blipFill>
                  <pic:spPr bwMode="auto">
                    <a:xfrm>
                      <a:off x="0" y="0"/>
                      <a:ext cx="2219325" cy="955675"/>
                    </a:xfrm>
                    <a:prstGeom prst="rect">
                      <a:avLst/>
                    </a:prstGeom>
                    <a:noFill/>
                  </pic:spPr>
                </pic:pic>
              </a:graphicData>
            </a:graphic>
          </wp:anchor>
        </w:drawing>
      </w:r>
      <w:r w:rsidRPr="009A4741">
        <w:rPr>
          <w:rFonts w:asciiTheme="minorHAnsi" w:hAnsiTheme="minorHAnsi"/>
          <w:b/>
          <w:sz w:val="25"/>
          <w:szCs w:val="25"/>
          <w:lang w:val="es-ES_tradnl"/>
        </w:rPr>
        <w:t>12</w:t>
      </w:r>
      <w:r w:rsidR="007607E7" w:rsidRPr="009A4741">
        <w:rPr>
          <w:rFonts w:asciiTheme="minorHAnsi" w:hAnsiTheme="minorHAnsi"/>
          <w:b/>
          <w:sz w:val="25"/>
          <w:szCs w:val="25"/>
          <w:vertAlign w:val="superscript"/>
          <w:lang w:val="es-ES_tradnl"/>
        </w:rPr>
        <w:t>ª</w:t>
      </w:r>
      <w:r w:rsidRPr="009A4741">
        <w:rPr>
          <w:rFonts w:asciiTheme="minorHAnsi" w:hAnsiTheme="minorHAnsi"/>
          <w:b/>
          <w:sz w:val="25"/>
          <w:szCs w:val="25"/>
          <w:lang w:val="es-ES_tradnl"/>
        </w:rPr>
        <w:t xml:space="preserve"> </w:t>
      </w:r>
      <w:r w:rsidR="007607E7" w:rsidRPr="009A4741">
        <w:rPr>
          <w:rFonts w:asciiTheme="minorHAnsi" w:hAnsiTheme="minorHAnsi"/>
          <w:b/>
          <w:sz w:val="25"/>
          <w:szCs w:val="25"/>
          <w:lang w:val="es-ES_tradnl"/>
        </w:rPr>
        <w:t>Reunión de la Conferencia de las Partes en</w:t>
      </w:r>
      <w:r w:rsidRPr="009A4741">
        <w:rPr>
          <w:rFonts w:asciiTheme="minorHAnsi" w:hAnsiTheme="minorHAnsi"/>
          <w:b/>
          <w:sz w:val="25"/>
          <w:szCs w:val="25"/>
          <w:lang w:val="es-ES_tradnl"/>
        </w:rPr>
        <w:t xml:space="preserve"> </w:t>
      </w:r>
      <w:r w:rsidR="007607E7" w:rsidRPr="009A4741">
        <w:rPr>
          <w:rFonts w:asciiTheme="minorHAnsi" w:hAnsiTheme="minorHAnsi"/>
          <w:b/>
          <w:sz w:val="25"/>
          <w:szCs w:val="25"/>
          <w:lang w:val="es-ES_tradnl"/>
        </w:rPr>
        <w:t>la</w:t>
      </w:r>
      <w:r w:rsidRPr="009A4741">
        <w:rPr>
          <w:rFonts w:asciiTheme="minorHAnsi" w:hAnsiTheme="minorHAnsi"/>
          <w:b/>
          <w:sz w:val="25"/>
          <w:szCs w:val="25"/>
          <w:lang w:val="es-ES_tradnl"/>
        </w:rPr>
        <w:br/>
      </w:r>
      <w:r w:rsidR="007607E7" w:rsidRPr="009A4741">
        <w:rPr>
          <w:rFonts w:asciiTheme="minorHAnsi" w:hAnsiTheme="minorHAnsi"/>
          <w:b/>
          <w:sz w:val="25"/>
          <w:szCs w:val="25"/>
          <w:lang w:val="es-ES_tradnl"/>
        </w:rPr>
        <w:t>Convención sobre los Humedales (Ramsar, Irá</w:t>
      </w:r>
      <w:r w:rsidRPr="009A4741">
        <w:rPr>
          <w:rFonts w:asciiTheme="minorHAnsi" w:hAnsiTheme="minorHAnsi"/>
          <w:b/>
          <w:sz w:val="25"/>
          <w:szCs w:val="25"/>
          <w:lang w:val="es-ES_tradnl"/>
        </w:rPr>
        <w:t>n, 1971)</w:t>
      </w:r>
    </w:p>
    <w:p w14:paraId="791E4585" w14:textId="77777777" w:rsidR="00994C7E" w:rsidRPr="009A4741" w:rsidRDefault="00994C7E" w:rsidP="00994C7E">
      <w:pPr>
        <w:jc w:val="center"/>
        <w:rPr>
          <w:rFonts w:asciiTheme="minorHAnsi" w:hAnsiTheme="minorHAnsi"/>
          <w:sz w:val="25"/>
          <w:szCs w:val="25"/>
          <w:lang w:val="es-ES_tradnl"/>
        </w:rPr>
      </w:pPr>
    </w:p>
    <w:p w14:paraId="195E066A" w14:textId="67DF7B83" w:rsidR="00994C7E" w:rsidRPr="009A4741" w:rsidRDefault="00FA6A8F" w:rsidP="00994C7E">
      <w:pPr>
        <w:tabs>
          <w:tab w:val="left" w:pos="3828"/>
        </w:tabs>
        <w:jc w:val="center"/>
        <w:rPr>
          <w:rFonts w:asciiTheme="minorHAnsi" w:hAnsiTheme="minorHAnsi"/>
          <w:b/>
          <w:sz w:val="25"/>
          <w:szCs w:val="25"/>
          <w:lang w:val="es-ES_tradnl"/>
        </w:rPr>
      </w:pPr>
      <w:r w:rsidRPr="009A4741">
        <w:rPr>
          <w:rFonts w:asciiTheme="minorHAnsi" w:hAnsiTheme="minorHAnsi"/>
          <w:b/>
          <w:sz w:val="25"/>
          <w:szCs w:val="25"/>
          <w:lang w:val="es-ES_tradnl"/>
        </w:rPr>
        <w:t>Punta del Este, Uruguay, 1 a</w:t>
      </w:r>
      <w:r w:rsidR="00A35F35" w:rsidRPr="009A4741">
        <w:rPr>
          <w:rFonts w:asciiTheme="minorHAnsi" w:hAnsiTheme="minorHAnsi"/>
          <w:b/>
          <w:sz w:val="25"/>
          <w:szCs w:val="25"/>
          <w:lang w:val="es-ES_tradnl"/>
        </w:rPr>
        <w:t xml:space="preserve"> </w:t>
      </w:r>
      <w:r w:rsidR="00994C7E" w:rsidRPr="009A4741">
        <w:rPr>
          <w:rFonts w:asciiTheme="minorHAnsi" w:hAnsiTheme="minorHAnsi"/>
          <w:b/>
          <w:sz w:val="25"/>
          <w:szCs w:val="25"/>
          <w:lang w:val="es-ES_tradnl"/>
        </w:rPr>
        <w:t xml:space="preserve">9 </w:t>
      </w:r>
      <w:r w:rsidR="007607E7" w:rsidRPr="009A4741">
        <w:rPr>
          <w:rFonts w:asciiTheme="minorHAnsi" w:hAnsiTheme="minorHAnsi"/>
          <w:b/>
          <w:sz w:val="25"/>
          <w:szCs w:val="25"/>
          <w:lang w:val="es-ES_tradnl"/>
        </w:rPr>
        <w:t>de junio de</w:t>
      </w:r>
      <w:r w:rsidR="00994C7E" w:rsidRPr="009A4741">
        <w:rPr>
          <w:rFonts w:asciiTheme="minorHAnsi" w:hAnsiTheme="minorHAnsi"/>
          <w:b/>
          <w:sz w:val="25"/>
          <w:szCs w:val="25"/>
          <w:lang w:val="es-ES_tradnl"/>
        </w:rPr>
        <w:t xml:space="preserve"> 2015</w:t>
      </w:r>
    </w:p>
    <w:p w14:paraId="4728D72A" w14:textId="77777777" w:rsidR="00994C7E" w:rsidRPr="00AE507F" w:rsidRDefault="00994C7E" w:rsidP="00994C7E">
      <w:pPr>
        <w:rPr>
          <w:rFonts w:asciiTheme="minorHAnsi" w:hAnsiTheme="minorHAnsi"/>
          <w:sz w:val="28"/>
          <w:szCs w:val="28"/>
          <w:lang w:val="es-ES_tradnl"/>
        </w:rPr>
      </w:pPr>
    </w:p>
    <w:p w14:paraId="04D34B1D" w14:textId="77777777" w:rsidR="00994C7E" w:rsidRPr="00AE507F" w:rsidRDefault="00994C7E" w:rsidP="00994C7E">
      <w:pPr>
        <w:rPr>
          <w:rFonts w:asciiTheme="minorHAnsi" w:hAnsiTheme="minorHAnsi"/>
          <w:sz w:val="28"/>
          <w:szCs w:val="28"/>
          <w:lang w:val="es-ES_tradnl"/>
        </w:rPr>
      </w:pPr>
    </w:p>
    <w:p w14:paraId="2E6FF165" w14:textId="03923B38" w:rsidR="00994C7E" w:rsidRPr="009A4741" w:rsidRDefault="007607E7" w:rsidP="00FA6A8F">
      <w:pPr>
        <w:jc w:val="center"/>
        <w:rPr>
          <w:rFonts w:asciiTheme="minorHAnsi" w:hAnsiTheme="minorHAnsi"/>
          <w:b/>
          <w:bCs/>
          <w:sz w:val="28"/>
          <w:szCs w:val="28"/>
          <w:lang w:val="es-ES_tradnl" w:eastAsia="el-GR"/>
        </w:rPr>
      </w:pPr>
      <w:r w:rsidRPr="009A4741">
        <w:rPr>
          <w:rFonts w:asciiTheme="minorHAnsi" w:hAnsiTheme="minorHAnsi"/>
          <w:b/>
          <w:bCs/>
          <w:sz w:val="28"/>
          <w:szCs w:val="28"/>
          <w:lang w:val="es-ES_tradnl" w:eastAsia="el-GR"/>
        </w:rPr>
        <w:t xml:space="preserve">Resolución </w:t>
      </w:r>
      <w:r w:rsidR="00994C7E" w:rsidRPr="009A4741">
        <w:rPr>
          <w:rFonts w:asciiTheme="minorHAnsi" w:hAnsiTheme="minorHAnsi"/>
          <w:b/>
          <w:bCs/>
          <w:sz w:val="28"/>
          <w:szCs w:val="28"/>
          <w:lang w:val="es-ES_tradnl" w:eastAsia="el-GR"/>
        </w:rPr>
        <w:t>XII.1</w:t>
      </w:r>
    </w:p>
    <w:p w14:paraId="178C7228" w14:textId="77777777" w:rsidR="00994C7E" w:rsidRPr="009A4741" w:rsidRDefault="00994C7E" w:rsidP="00994C7E">
      <w:pPr>
        <w:suppressAutoHyphens/>
        <w:jc w:val="center"/>
        <w:rPr>
          <w:rFonts w:ascii="Calibri" w:hAnsi="Calibri"/>
          <w:b/>
          <w:bCs/>
          <w:sz w:val="28"/>
          <w:szCs w:val="28"/>
          <w:lang w:val="es-ES_tradnl"/>
        </w:rPr>
      </w:pPr>
    </w:p>
    <w:p w14:paraId="0204206F" w14:textId="77777777" w:rsidR="009A67CE" w:rsidRPr="009A4741" w:rsidRDefault="007607E7" w:rsidP="00994C7E">
      <w:pPr>
        <w:suppressAutoHyphens/>
        <w:jc w:val="center"/>
        <w:rPr>
          <w:rFonts w:asciiTheme="minorHAnsi" w:eastAsiaTheme="minorHAnsi" w:hAnsiTheme="minorHAnsi" w:cs="Garamond"/>
          <w:b/>
          <w:color w:val="000000"/>
          <w:sz w:val="28"/>
          <w:szCs w:val="28"/>
          <w:lang w:val="es-ES_tradnl"/>
        </w:rPr>
      </w:pPr>
      <w:r w:rsidRPr="009A4741">
        <w:rPr>
          <w:rFonts w:asciiTheme="minorHAnsi" w:eastAsiaTheme="minorHAnsi" w:hAnsiTheme="minorHAnsi" w:cs="Garamond"/>
          <w:b/>
          <w:color w:val="000000"/>
          <w:sz w:val="28"/>
          <w:szCs w:val="28"/>
          <w:lang w:val="es-ES_tradnl"/>
        </w:rPr>
        <w:t>Cuestiones financie</w:t>
      </w:r>
      <w:bookmarkStart w:id="0" w:name="_GoBack"/>
      <w:bookmarkEnd w:id="0"/>
      <w:r w:rsidRPr="009A4741">
        <w:rPr>
          <w:rFonts w:asciiTheme="minorHAnsi" w:eastAsiaTheme="minorHAnsi" w:hAnsiTheme="minorHAnsi" w:cs="Garamond"/>
          <w:b/>
          <w:color w:val="000000"/>
          <w:sz w:val="28"/>
          <w:szCs w:val="28"/>
          <w:lang w:val="es-ES_tradnl"/>
        </w:rPr>
        <w:t>ras y presupuestarias</w:t>
      </w:r>
    </w:p>
    <w:p w14:paraId="735CE2C4" w14:textId="77777777" w:rsidR="009A67CE" w:rsidRPr="009A4741" w:rsidRDefault="009A67CE" w:rsidP="009A67CE">
      <w:pPr>
        <w:rPr>
          <w:rFonts w:asciiTheme="minorHAnsi" w:hAnsiTheme="minorHAnsi"/>
          <w:b/>
          <w:sz w:val="28"/>
          <w:szCs w:val="28"/>
          <w:lang w:val="es-ES_tradnl"/>
        </w:rPr>
      </w:pPr>
    </w:p>
    <w:p w14:paraId="4D746BFF" w14:textId="77777777" w:rsidR="009A67CE" w:rsidRPr="009A4741" w:rsidRDefault="007607E7"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RECORDANDO las disposiciones presupuestarias establecidas en los párrafos 5 y 6 del Artículo 6 de la Convención relativa a los Humedales</w:t>
      </w:r>
      <w:r w:rsidR="009A67CE" w:rsidRPr="009A4741">
        <w:rPr>
          <w:rFonts w:asciiTheme="minorHAnsi" w:hAnsiTheme="minorHAnsi"/>
          <w:sz w:val="22"/>
          <w:szCs w:val="22"/>
          <w:lang w:val="es-ES_tradnl"/>
        </w:rPr>
        <w:t>;</w:t>
      </w:r>
    </w:p>
    <w:p w14:paraId="065FEAAF" w14:textId="77777777" w:rsidR="009A67CE" w:rsidRPr="009A4741" w:rsidRDefault="009A67CE" w:rsidP="00AE507F">
      <w:pPr>
        <w:ind w:left="426" w:hanging="426"/>
        <w:rPr>
          <w:rFonts w:asciiTheme="minorHAnsi" w:hAnsiTheme="minorHAnsi"/>
          <w:sz w:val="22"/>
          <w:szCs w:val="22"/>
          <w:lang w:val="es-ES_tradnl"/>
        </w:rPr>
      </w:pPr>
    </w:p>
    <w:p w14:paraId="28BAF545" w14:textId="1BF672AB" w:rsidR="009A67CE" w:rsidRPr="009A4741" w:rsidRDefault="007607E7"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RECONOCIENDO CON APRECIO el pronto pago realizado por la mayoría de las Partes Contratantes de las contribuciones al presupuesto básico de la Convención, pero OBSERVANDO CON PREOCUPACIÓN que varias Partes todavía tienen contribuciones pendientes de pago </w:t>
      </w:r>
      <w:r w:rsidR="00031D94" w:rsidRPr="009A4741">
        <w:rPr>
          <w:rFonts w:asciiTheme="minorHAnsi" w:hAnsiTheme="minorHAnsi"/>
          <w:sz w:val="22"/>
          <w:szCs w:val="22"/>
          <w:lang w:val="es-ES_tradnl"/>
        </w:rPr>
        <w:t>significativas</w:t>
      </w:r>
      <w:r w:rsidR="007F1160" w:rsidRPr="009A4741">
        <w:rPr>
          <w:rFonts w:asciiTheme="minorHAnsi" w:hAnsiTheme="minorHAnsi"/>
          <w:sz w:val="22"/>
          <w:szCs w:val="22"/>
          <w:lang w:val="es-ES_tradnl"/>
        </w:rPr>
        <w:t xml:space="preserve"> </w:t>
      </w:r>
      <w:r w:rsidR="009A67CE" w:rsidRPr="009A4741">
        <w:rPr>
          <w:rFonts w:asciiTheme="minorHAnsi" w:hAnsiTheme="minorHAnsi"/>
          <w:sz w:val="22"/>
          <w:szCs w:val="22"/>
          <w:lang w:val="es-ES_tradnl"/>
        </w:rPr>
        <w:t>(COP12 DOC</w:t>
      </w:r>
      <w:r w:rsidR="007F1160" w:rsidRPr="009A4741">
        <w:rPr>
          <w:rFonts w:asciiTheme="minorHAnsi" w:hAnsiTheme="minorHAnsi"/>
          <w:sz w:val="22"/>
          <w:szCs w:val="22"/>
          <w:lang w:val="es-ES_tradnl"/>
        </w:rPr>
        <w:t>.15</w:t>
      </w:r>
      <w:r w:rsidR="00FA6A8F" w:rsidRPr="009A4741">
        <w:rPr>
          <w:rFonts w:asciiTheme="minorHAnsi" w:hAnsiTheme="minorHAnsi"/>
          <w:sz w:val="22"/>
          <w:szCs w:val="22"/>
          <w:lang w:val="es-ES_tradnl"/>
        </w:rPr>
        <w:t xml:space="preserve"> </w:t>
      </w:r>
      <w:r w:rsidR="007942E8" w:rsidRPr="009A4741">
        <w:rPr>
          <w:rFonts w:asciiTheme="minorHAnsi" w:hAnsiTheme="minorHAnsi"/>
          <w:sz w:val="22"/>
          <w:szCs w:val="22"/>
          <w:lang w:val="es-ES_tradnl"/>
        </w:rPr>
        <w:t>Rev1</w:t>
      </w:r>
      <w:r w:rsidR="009A67CE" w:rsidRPr="009A4741">
        <w:rPr>
          <w:rFonts w:asciiTheme="minorHAnsi" w:hAnsiTheme="minorHAnsi"/>
          <w:sz w:val="22"/>
          <w:szCs w:val="22"/>
          <w:lang w:val="es-ES_tradnl"/>
        </w:rPr>
        <w:t xml:space="preserve">); </w:t>
      </w:r>
    </w:p>
    <w:p w14:paraId="27602CAA" w14:textId="77777777" w:rsidR="009A67CE" w:rsidRPr="009A4741" w:rsidRDefault="009A67CE" w:rsidP="00AE507F">
      <w:pPr>
        <w:ind w:left="426" w:hanging="426"/>
        <w:rPr>
          <w:rFonts w:asciiTheme="minorHAnsi" w:hAnsiTheme="minorHAnsi"/>
          <w:sz w:val="22"/>
          <w:szCs w:val="22"/>
          <w:lang w:val="es-ES_tradnl"/>
        </w:rPr>
      </w:pPr>
    </w:p>
    <w:p w14:paraId="2F9E2C02" w14:textId="77777777" w:rsidR="009A67CE" w:rsidRPr="009A4741" w:rsidRDefault="00031D94"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OBSERVANDO CON AGRADECIMIENTO las contribuciones financieras adicionales de carácter voluntario realizadas por muchas Partes Contratantes, por mediación de sus Autoridades Administrativas de Ramsar y otros organismos, entre ellos algunos organismos de ayuda al desarrollo, así como las contribuciones realizadas por organizaciones no gubernamentales y empresas privadas para actividades llevadas a cabo por la Secretaría, pero OBSERVANDO CON PREOCUPACIÓN que prosigue la disminución de esas contribuciones voluntarias</w:t>
      </w:r>
      <w:r w:rsidR="009A67CE" w:rsidRPr="009A4741">
        <w:rPr>
          <w:rFonts w:asciiTheme="minorHAnsi" w:hAnsiTheme="minorHAnsi"/>
          <w:sz w:val="22"/>
          <w:szCs w:val="22"/>
          <w:lang w:val="es-ES_tradnl"/>
        </w:rPr>
        <w:t xml:space="preserve">; </w:t>
      </w:r>
    </w:p>
    <w:p w14:paraId="620B0FAF" w14:textId="77777777" w:rsidR="009A67CE" w:rsidRPr="009A4741" w:rsidRDefault="009A67CE" w:rsidP="00AE507F">
      <w:pPr>
        <w:ind w:left="426" w:hanging="426"/>
        <w:rPr>
          <w:rFonts w:asciiTheme="minorHAnsi" w:hAnsiTheme="minorHAnsi"/>
          <w:sz w:val="22"/>
          <w:szCs w:val="22"/>
          <w:lang w:val="es-ES_tradnl"/>
        </w:rPr>
      </w:pPr>
    </w:p>
    <w:p w14:paraId="5D6586F0" w14:textId="77777777" w:rsidR="009A67CE" w:rsidRPr="009A4741" w:rsidRDefault="00031D94"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RECONOCIENDO CON APRECIO los servicios financieros y administrativos prestados a la Secretaría por la UICN, respaldados por el Acuerdo de Servicios entre Ramsar y la UICN revisado en 2009;</w:t>
      </w:r>
    </w:p>
    <w:p w14:paraId="1AF68147" w14:textId="77777777" w:rsidR="009A67CE" w:rsidRPr="009A4741" w:rsidRDefault="009A67CE" w:rsidP="00AE507F">
      <w:pPr>
        <w:ind w:left="426" w:hanging="426"/>
        <w:rPr>
          <w:rFonts w:asciiTheme="minorHAnsi" w:hAnsiTheme="minorHAnsi"/>
          <w:sz w:val="22"/>
          <w:szCs w:val="22"/>
          <w:lang w:val="es-ES_tradnl"/>
        </w:rPr>
      </w:pPr>
    </w:p>
    <w:p w14:paraId="7DCA3D55" w14:textId="77777777" w:rsidR="009A67CE" w:rsidRPr="009A4741" w:rsidRDefault="00031D94" w:rsidP="00AE507F">
      <w:pPr>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OBSERVANDO que se ha mantenido informadas a las Partes Contratantes sobre la situación financiera de la Secretaría mediante los estados financieros anuales auditados correspondientes a los ejercicios transcurridos desde 2011 hasta 2014 y los informes sobre las reuniones del Comité Permanente celebradas en 2012, 2013 y 2014; y</w:t>
      </w:r>
      <w:r w:rsidR="009A67CE" w:rsidRPr="009A4741">
        <w:rPr>
          <w:rFonts w:asciiTheme="minorHAnsi" w:hAnsiTheme="minorHAnsi"/>
          <w:sz w:val="22"/>
          <w:szCs w:val="22"/>
          <w:lang w:val="es-ES_tradnl"/>
        </w:rPr>
        <w:t xml:space="preserve"> </w:t>
      </w:r>
    </w:p>
    <w:p w14:paraId="529FDD17" w14:textId="77777777" w:rsidR="009A67CE" w:rsidRPr="009A4741" w:rsidRDefault="009A67CE" w:rsidP="00AE507F">
      <w:pPr>
        <w:tabs>
          <w:tab w:val="num" w:pos="540"/>
        </w:tabs>
        <w:ind w:left="426" w:hanging="426"/>
        <w:rPr>
          <w:rFonts w:asciiTheme="minorHAnsi" w:hAnsiTheme="minorHAnsi"/>
          <w:sz w:val="22"/>
          <w:szCs w:val="22"/>
          <w:lang w:val="es-ES_tradnl"/>
        </w:rPr>
      </w:pPr>
    </w:p>
    <w:p w14:paraId="59F194E5" w14:textId="77777777" w:rsidR="009A67CE" w:rsidRPr="009A4741" w:rsidRDefault="00031D94" w:rsidP="00AE507F">
      <w:pPr>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RECONOCIENDO la necesidad de continuar fortaleciendo las alianzas financieras con las organizaciones internacionales pertinentes y otras entidades, y de analizar oportunidades de financiación adicionales mediante los mecanismos financieros existentes</w:t>
      </w:r>
      <w:r w:rsidR="009A67CE" w:rsidRPr="009A4741">
        <w:rPr>
          <w:rFonts w:asciiTheme="minorHAnsi" w:hAnsiTheme="minorHAnsi"/>
          <w:sz w:val="22"/>
          <w:szCs w:val="22"/>
          <w:lang w:val="es-ES_tradnl"/>
        </w:rPr>
        <w:t xml:space="preserve">; </w:t>
      </w:r>
    </w:p>
    <w:p w14:paraId="23E9F15B" w14:textId="77777777" w:rsidR="009A67CE" w:rsidRPr="009A4741" w:rsidRDefault="009A67CE" w:rsidP="00AE507F">
      <w:pPr>
        <w:ind w:left="426" w:hanging="426"/>
        <w:rPr>
          <w:rFonts w:asciiTheme="minorHAnsi" w:hAnsiTheme="minorHAnsi"/>
          <w:sz w:val="22"/>
          <w:szCs w:val="22"/>
          <w:lang w:val="es-ES_tradnl"/>
        </w:rPr>
      </w:pPr>
    </w:p>
    <w:p w14:paraId="60DCF391" w14:textId="77777777" w:rsidR="009A67CE" w:rsidRPr="009A4741" w:rsidRDefault="00031D94" w:rsidP="00AE507F">
      <w:pPr>
        <w:ind w:left="426" w:hanging="426"/>
        <w:jc w:val="center"/>
        <w:rPr>
          <w:rFonts w:asciiTheme="minorHAnsi" w:hAnsiTheme="minorHAnsi"/>
          <w:sz w:val="22"/>
          <w:szCs w:val="22"/>
          <w:lang w:val="es-ES_tradnl"/>
        </w:rPr>
      </w:pPr>
      <w:r w:rsidRPr="009A4741">
        <w:rPr>
          <w:rFonts w:asciiTheme="minorHAnsi" w:hAnsiTheme="minorHAnsi"/>
          <w:sz w:val="22"/>
          <w:szCs w:val="22"/>
          <w:lang w:val="es-ES_tradnl"/>
        </w:rPr>
        <w:t>LA CONFERENCIA DE LAS PARTES CONTRATANTES</w:t>
      </w:r>
    </w:p>
    <w:p w14:paraId="1778F4C5" w14:textId="77777777" w:rsidR="009A67CE" w:rsidRPr="009A4741" w:rsidRDefault="009A67CE" w:rsidP="00AE507F">
      <w:pPr>
        <w:ind w:left="567" w:hanging="567"/>
        <w:rPr>
          <w:rFonts w:asciiTheme="minorHAnsi" w:hAnsiTheme="minorHAnsi"/>
          <w:lang w:val="es-ES_tradnl"/>
        </w:rPr>
      </w:pPr>
    </w:p>
    <w:p w14:paraId="1652DD0C" w14:textId="77777777" w:rsidR="009A67CE" w:rsidRPr="009A4741" w:rsidRDefault="00031D94"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RECONOCE que, desde la 11ª reunión de la Conferencia de las Partes Contratantes, celebrada en 2012, la Secretaría ha manejado los fondos de la Convención con prudencia, eficiencia y transparencia</w:t>
      </w:r>
      <w:r w:rsidR="009A67CE" w:rsidRPr="009A4741">
        <w:rPr>
          <w:rFonts w:asciiTheme="minorHAnsi" w:hAnsiTheme="minorHAnsi"/>
          <w:sz w:val="22"/>
          <w:szCs w:val="22"/>
          <w:lang w:val="es-ES_tradnl"/>
        </w:rPr>
        <w:t>;</w:t>
      </w:r>
    </w:p>
    <w:p w14:paraId="03F6C0AC" w14:textId="77777777" w:rsidR="009A67CE" w:rsidRPr="009A4741" w:rsidRDefault="009A67CE" w:rsidP="00AE507F">
      <w:pPr>
        <w:ind w:left="426" w:hanging="426"/>
        <w:rPr>
          <w:rFonts w:asciiTheme="minorHAnsi" w:hAnsiTheme="minorHAnsi"/>
          <w:sz w:val="22"/>
          <w:szCs w:val="22"/>
          <w:lang w:val="es-ES_tradnl"/>
        </w:rPr>
      </w:pPr>
    </w:p>
    <w:p w14:paraId="2C4A3983" w14:textId="77777777" w:rsidR="009A67CE" w:rsidRPr="009A4741" w:rsidRDefault="00031D94"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EXPRESA SU AGRADECIMIENTO a las Partes Contratantes que han prestado servicios en el Subgrupo de Finanzas del Comité Permanente durante el último ciclo y, en particular, al Canadá, que ha ocupado la Presidencia de dicho Subgrupo</w:t>
      </w:r>
      <w:r w:rsidR="009A67CE" w:rsidRPr="009A4741">
        <w:rPr>
          <w:rFonts w:asciiTheme="minorHAnsi" w:hAnsiTheme="minorHAnsi"/>
          <w:sz w:val="22"/>
          <w:szCs w:val="22"/>
          <w:lang w:val="es-ES_tradnl"/>
        </w:rPr>
        <w:t xml:space="preserve">; </w:t>
      </w:r>
    </w:p>
    <w:p w14:paraId="368D24D1" w14:textId="77777777" w:rsidR="009A67CE" w:rsidRPr="009A4741" w:rsidRDefault="009A67CE" w:rsidP="00AE507F">
      <w:pPr>
        <w:ind w:left="426" w:hanging="426"/>
        <w:rPr>
          <w:rFonts w:asciiTheme="minorHAnsi" w:hAnsiTheme="minorHAnsi"/>
          <w:sz w:val="22"/>
          <w:szCs w:val="22"/>
          <w:lang w:val="es-ES_tradnl"/>
        </w:rPr>
      </w:pPr>
    </w:p>
    <w:p w14:paraId="5FCA31AD" w14:textId="77777777" w:rsidR="009A67CE" w:rsidRPr="009A4741" w:rsidRDefault="00031D94"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lastRenderedPageBreak/>
        <w:t>DECIDE que las Disposiciones para la Administración Financiera de la Convención que figuran en el Anexo 3 de la Resolución 5.2 (1993) se aplicarán en su totalidad al ciclo 2016-2018</w:t>
      </w:r>
      <w:r w:rsidR="009A67CE" w:rsidRPr="009A4741">
        <w:rPr>
          <w:rFonts w:asciiTheme="minorHAnsi" w:hAnsiTheme="minorHAnsi"/>
          <w:sz w:val="22"/>
          <w:szCs w:val="22"/>
          <w:lang w:val="es-ES_tradnl"/>
        </w:rPr>
        <w:t>;</w:t>
      </w:r>
    </w:p>
    <w:p w14:paraId="6AE0AC30" w14:textId="77777777" w:rsidR="009A67CE" w:rsidRPr="009A4741" w:rsidRDefault="009A67CE" w:rsidP="00AE507F">
      <w:pPr>
        <w:ind w:left="426" w:hanging="426"/>
        <w:rPr>
          <w:rFonts w:asciiTheme="minorHAnsi" w:hAnsiTheme="minorHAnsi"/>
          <w:sz w:val="22"/>
          <w:szCs w:val="22"/>
          <w:lang w:val="es-ES_tradnl"/>
        </w:rPr>
      </w:pPr>
    </w:p>
    <w:p w14:paraId="483A8E52" w14:textId="77777777" w:rsidR="00E61061" w:rsidRPr="009A4741" w:rsidRDefault="008A2325"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DECIDE TAMBIÉN que el Subgrupo de Finanzas, establecido por la Resolución VI.17, debe continuar sus operaciones bajo los auspicios del Comité Permanente y con las funciones y responsabilidades especificadas en dicha Resolución</w:t>
      </w:r>
      <w:r w:rsidR="009A67CE" w:rsidRPr="009A4741">
        <w:rPr>
          <w:rFonts w:asciiTheme="minorHAnsi" w:hAnsiTheme="minorHAnsi"/>
          <w:sz w:val="22"/>
          <w:szCs w:val="22"/>
          <w:lang w:val="es-ES_tradnl"/>
        </w:rPr>
        <w:t>;</w:t>
      </w:r>
    </w:p>
    <w:p w14:paraId="0972B463" w14:textId="77777777" w:rsidR="00E61061" w:rsidRPr="009A4741" w:rsidRDefault="00E61061" w:rsidP="00AE507F">
      <w:pPr>
        <w:rPr>
          <w:rFonts w:asciiTheme="minorHAnsi" w:hAnsiTheme="minorHAnsi"/>
          <w:sz w:val="22"/>
          <w:szCs w:val="22"/>
          <w:lang w:val="es-ES_tradnl"/>
        </w:rPr>
      </w:pPr>
    </w:p>
    <w:p w14:paraId="107EF037" w14:textId="19FA6B3B" w:rsidR="00810020" w:rsidRPr="009A4741" w:rsidRDefault="00E61061"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OBSERVA que se utilizaron 115.000 francos suizos de los fondos de reserva para 2013-2015 para patrocinar la asistencia a la COP12 de delegados que </w:t>
      </w:r>
      <w:r w:rsidR="00FA6A8F" w:rsidRPr="009A4741">
        <w:rPr>
          <w:rFonts w:asciiTheme="minorHAnsi" w:hAnsiTheme="minorHAnsi"/>
          <w:sz w:val="22"/>
          <w:szCs w:val="22"/>
          <w:lang w:val="es-ES_tradnl"/>
        </w:rPr>
        <w:t>cumplían</w:t>
      </w:r>
      <w:r w:rsidRPr="009A4741">
        <w:rPr>
          <w:rFonts w:asciiTheme="minorHAnsi" w:hAnsiTheme="minorHAnsi"/>
          <w:sz w:val="22"/>
          <w:szCs w:val="22"/>
          <w:lang w:val="es-ES_tradnl"/>
        </w:rPr>
        <w:t xml:space="preserve"> los requisitos, con el fin de garantizar que todas las partes </w:t>
      </w:r>
      <w:r w:rsidR="00FA6A8F" w:rsidRPr="009A4741">
        <w:rPr>
          <w:rFonts w:asciiTheme="minorHAnsi" w:hAnsiTheme="minorHAnsi"/>
          <w:sz w:val="22"/>
          <w:szCs w:val="22"/>
          <w:lang w:val="es-ES_tradnl"/>
        </w:rPr>
        <w:t>pudiesen participar de forma efectiva; y</w:t>
      </w:r>
      <w:r w:rsidRPr="009A4741">
        <w:rPr>
          <w:rFonts w:asciiTheme="minorHAnsi" w:hAnsiTheme="minorHAnsi"/>
          <w:sz w:val="22"/>
          <w:szCs w:val="22"/>
          <w:lang w:val="es-ES_tradnl"/>
        </w:rPr>
        <w:t xml:space="preserve"> OBSERVA ADEMÁS que esto no s</w:t>
      </w:r>
      <w:r w:rsidR="00920215" w:rsidRPr="009A4741">
        <w:rPr>
          <w:rFonts w:asciiTheme="minorHAnsi" w:hAnsiTheme="minorHAnsi"/>
          <w:sz w:val="22"/>
          <w:szCs w:val="22"/>
          <w:lang w:val="es-ES_tradnl"/>
        </w:rPr>
        <w:t>upone un</w:t>
      </w:r>
      <w:r w:rsidRPr="009A4741">
        <w:rPr>
          <w:rFonts w:asciiTheme="minorHAnsi" w:hAnsiTheme="minorHAnsi"/>
          <w:sz w:val="22"/>
          <w:szCs w:val="22"/>
          <w:lang w:val="es-ES_tradnl"/>
        </w:rPr>
        <w:t xml:space="preserve"> pre</w:t>
      </w:r>
      <w:r w:rsidR="00920215" w:rsidRPr="009A4741">
        <w:rPr>
          <w:rFonts w:asciiTheme="minorHAnsi" w:hAnsiTheme="minorHAnsi"/>
          <w:sz w:val="22"/>
          <w:szCs w:val="22"/>
          <w:lang w:val="es-ES_tradnl"/>
        </w:rPr>
        <w:t>cedente para la Convención, considerándose</w:t>
      </w:r>
      <w:r w:rsidRPr="009A4741">
        <w:rPr>
          <w:rFonts w:asciiTheme="minorHAnsi" w:hAnsiTheme="minorHAnsi"/>
          <w:sz w:val="22"/>
          <w:szCs w:val="22"/>
          <w:lang w:val="es-ES_tradnl"/>
        </w:rPr>
        <w:t xml:space="preserve"> una excepción a la práctica habitual</w:t>
      </w:r>
      <w:r w:rsidR="00920215" w:rsidRPr="009A4741">
        <w:rPr>
          <w:rFonts w:asciiTheme="minorHAnsi" w:hAnsiTheme="minorHAnsi"/>
          <w:sz w:val="22"/>
          <w:szCs w:val="22"/>
          <w:lang w:val="es-ES_tradnl"/>
        </w:rPr>
        <w:t>,</w:t>
      </w:r>
      <w:r w:rsidRPr="009A4741">
        <w:rPr>
          <w:rFonts w:asciiTheme="minorHAnsi" w:hAnsiTheme="minorHAnsi"/>
          <w:sz w:val="22"/>
          <w:szCs w:val="22"/>
          <w:lang w:val="es-ES_tradnl"/>
        </w:rPr>
        <w:t xml:space="preserve"> que se </w:t>
      </w:r>
      <w:r w:rsidR="00920215" w:rsidRPr="009A4741">
        <w:rPr>
          <w:rFonts w:asciiTheme="minorHAnsi" w:hAnsiTheme="minorHAnsi"/>
          <w:sz w:val="22"/>
          <w:szCs w:val="22"/>
          <w:lang w:val="es-ES_tradnl"/>
        </w:rPr>
        <w:t xml:space="preserve">hace de forma especial y </w:t>
      </w:r>
      <w:r w:rsidRPr="009A4741">
        <w:rPr>
          <w:rFonts w:asciiTheme="minorHAnsi" w:hAnsiTheme="minorHAnsi"/>
          <w:sz w:val="22"/>
          <w:szCs w:val="22"/>
          <w:lang w:val="es-ES_tradnl"/>
        </w:rPr>
        <w:t xml:space="preserve">una sola vez, teniendo en cuenta el clima económico mundial y la dificultad que existe para obtener fondos </w:t>
      </w:r>
      <w:r w:rsidR="00810020" w:rsidRPr="009A4741">
        <w:rPr>
          <w:rFonts w:asciiTheme="minorHAnsi" w:hAnsiTheme="minorHAnsi"/>
          <w:sz w:val="22"/>
          <w:szCs w:val="22"/>
          <w:lang w:val="es-ES_tradnl"/>
        </w:rPr>
        <w:t xml:space="preserve">voluntarios </w:t>
      </w:r>
      <w:r w:rsidRPr="009A4741">
        <w:rPr>
          <w:rFonts w:asciiTheme="minorHAnsi" w:hAnsiTheme="minorHAnsi"/>
          <w:sz w:val="22"/>
          <w:szCs w:val="22"/>
          <w:lang w:val="es-ES_tradnl"/>
        </w:rPr>
        <w:t xml:space="preserve">de </w:t>
      </w:r>
      <w:r w:rsidR="00810020" w:rsidRPr="009A4741">
        <w:rPr>
          <w:rFonts w:asciiTheme="minorHAnsi" w:hAnsiTheme="minorHAnsi"/>
          <w:sz w:val="22"/>
          <w:szCs w:val="22"/>
          <w:lang w:val="es-ES_tradnl"/>
        </w:rPr>
        <w:t xml:space="preserve">las Partes Contratantes y </w:t>
      </w:r>
      <w:r w:rsidR="00920215" w:rsidRPr="009A4741">
        <w:rPr>
          <w:rFonts w:asciiTheme="minorHAnsi" w:hAnsiTheme="minorHAnsi"/>
          <w:sz w:val="22"/>
          <w:szCs w:val="22"/>
          <w:lang w:val="es-ES_tradnl"/>
        </w:rPr>
        <w:t xml:space="preserve">de </w:t>
      </w:r>
      <w:r w:rsidR="00FA6A8F" w:rsidRPr="009A4741">
        <w:rPr>
          <w:rFonts w:asciiTheme="minorHAnsi" w:hAnsiTheme="minorHAnsi"/>
          <w:sz w:val="22"/>
          <w:szCs w:val="22"/>
          <w:lang w:val="es-ES_tradnl"/>
        </w:rPr>
        <w:t>otras fuentes externas;</w:t>
      </w:r>
    </w:p>
    <w:p w14:paraId="70D234EF" w14:textId="77777777" w:rsidR="00810020" w:rsidRPr="009A4741" w:rsidRDefault="00810020" w:rsidP="00AE507F">
      <w:pPr>
        <w:rPr>
          <w:rFonts w:asciiTheme="minorHAnsi" w:hAnsiTheme="minorHAnsi"/>
          <w:sz w:val="22"/>
          <w:szCs w:val="22"/>
          <w:lang w:val="es-ES_tradnl"/>
        </w:rPr>
      </w:pPr>
    </w:p>
    <w:p w14:paraId="4B45B58D" w14:textId="04516463" w:rsidR="009A67CE" w:rsidRPr="009A4741" w:rsidRDefault="00810020"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PIDE al Secretario General que continúe sus esfuerzos para captar fondos externos </w:t>
      </w:r>
      <w:r w:rsidR="00253673">
        <w:rPr>
          <w:rFonts w:asciiTheme="minorHAnsi" w:hAnsiTheme="minorHAnsi"/>
          <w:sz w:val="22"/>
          <w:szCs w:val="22"/>
          <w:lang w:val="es-ES_tradnl"/>
        </w:rPr>
        <w:t>a fin de</w:t>
      </w:r>
      <w:r w:rsidRPr="009A4741">
        <w:rPr>
          <w:rFonts w:asciiTheme="minorHAnsi" w:hAnsiTheme="minorHAnsi"/>
          <w:sz w:val="22"/>
          <w:szCs w:val="22"/>
          <w:lang w:val="es-ES_tradnl"/>
        </w:rPr>
        <w:t xml:space="preserve"> reponer los fondos utilizados de la reserva en estas circunstancias extraordinarias</w:t>
      </w:r>
      <w:r w:rsidR="00920215" w:rsidRPr="009A4741">
        <w:rPr>
          <w:rFonts w:asciiTheme="minorHAnsi" w:hAnsiTheme="minorHAnsi"/>
          <w:sz w:val="22"/>
          <w:szCs w:val="22"/>
          <w:lang w:val="es-ES_tradnl"/>
        </w:rPr>
        <w:t>,</w:t>
      </w:r>
      <w:r w:rsidRPr="009A4741">
        <w:rPr>
          <w:rFonts w:asciiTheme="minorHAnsi" w:hAnsiTheme="minorHAnsi"/>
          <w:sz w:val="22"/>
          <w:szCs w:val="22"/>
          <w:lang w:val="es-ES_tradnl"/>
        </w:rPr>
        <w:t xml:space="preserve"> e informe sobre el progreso logrado al respecto en las reuniones futuras del Subgrupo de Finanzas; PIDE ADEMÁS al Secretario General que procure que el patrocinio de delegados </w:t>
      </w:r>
      <w:r w:rsidR="00FA6A8F" w:rsidRPr="009A4741">
        <w:rPr>
          <w:rFonts w:asciiTheme="minorHAnsi" w:hAnsiTheme="minorHAnsi"/>
          <w:sz w:val="22"/>
          <w:szCs w:val="22"/>
          <w:lang w:val="es-ES_tradnl"/>
        </w:rPr>
        <w:t>para</w:t>
      </w:r>
      <w:r w:rsidRPr="009A4741">
        <w:rPr>
          <w:rFonts w:asciiTheme="minorHAnsi" w:hAnsiTheme="minorHAnsi"/>
          <w:sz w:val="22"/>
          <w:szCs w:val="22"/>
          <w:lang w:val="es-ES_tradnl"/>
        </w:rPr>
        <w:t xml:space="preserve"> la COP13 sea una prioridad</w:t>
      </w:r>
      <w:r w:rsidR="00920215" w:rsidRPr="009A4741">
        <w:rPr>
          <w:rFonts w:asciiTheme="minorHAnsi" w:hAnsiTheme="minorHAnsi"/>
          <w:sz w:val="22"/>
          <w:szCs w:val="22"/>
          <w:lang w:val="es-ES_tradnl"/>
        </w:rPr>
        <w:t xml:space="preserve"> </w:t>
      </w:r>
      <w:r w:rsidR="00FA6A8F" w:rsidRPr="009A4741">
        <w:rPr>
          <w:rFonts w:asciiTheme="minorHAnsi" w:hAnsiTheme="minorHAnsi"/>
          <w:sz w:val="22"/>
          <w:szCs w:val="22"/>
          <w:lang w:val="es-ES_tradnl"/>
        </w:rPr>
        <w:t xml:space="preserve">en la captación de fondos </w:t>
      </w:r>
      <w:r w:rsidR="00920215" w:rsidRPr="009A4741">
        <w:rPr>
          <w:rFonts w:asciiTheme="minorHAnsi" w:hAnsiTheme="minorHAnsi"/>
          <w:sz w:val="22"/>
          <w:szCs w:val="22"/>
          <w:lang w:val="es-ES_tradnl"/>
        </w:rPr>
        <w:t>a</w:t>
      </w:r>
      <w:r w:rsidRPr="009A4741">
        <w:rPr>
          <w:rFonts w:asciiTheme="minorHAnsi" w:hAnsiTheme="minorHAnsi"/>
          <w:sz w:val="22"/>
          <w:szCs w:val="22"/>
          <w:lang w:val="es-ES_tradnl"/>
        </w:rPr>
        <w:t xml:space="preserve"> fin de evitar que esta situación </w:t>
      </w:r>
      <w:r w:rsidR="00920215" w:rsidRPr="009A4741">
        <w:rPr>
          <w:rFonts w:asciiTheme="minorHAnsi" w:hAnsiTheme="minorHAnsi"/>
          <w:sz w:val="22"/>
          <w:szCs w:val="22"/>
          <w:lang w:val="es-ES_tradnl"/>
        </w:rPr>
        <w:t>vuelva a plantearse</w:t>
      </w:r>
      <w:r w:rsidR="00FA6A8F" w:rsidRPr="009A4741">
        <w:rPr>
          <w:rFonts w:asciiTheme="minorHAnsi" w:hAnsiTheme="minorHAnsi"/>
          <w:sz w:val="22"/>
          <w:szCs w:val="22"/>
          <w:lang w:val="es-ES_tradnl"/>
        </w:rPr>
        <w:t xml:space="preserve"> en el futuro;</w:t>
      </w:r>
      <w:r w:rsidR="000C7E37" w:rsidRPr="009A4741">
        <w:rPr>
          <w:rFonts w:asciiTheme="minorHAnsi" w:hAnsiTheme="minorHAnsi"/>
          <w:sz w:val="22"/>
          <w:szCs w:val="22"/>
          <w:lang w:val="es-ES_tradnl"/>
        </w:rPr>
        <w:t xml:space="preserve"> </w:t>
      </w:r>
    </w:p>
    <w:p w14:paraId="2C1CF68C" w14:textId="77777777" w:rsidR="007163E6" w:rsidRPr="009A4741" w:rsidRDefault="007163E6" w:rsidP="00AE507F">
      <w:pPr>
        <w:pStyle w:val="ListParagraph"/>
        <w:rPr>
          <w:rFonts w:asciiTheme="minorHAnsi" w:hAnsiTheme="minorHAnsi"/>
          <w:sz w:val="22"/>
          <w:szCs w:val="22"/>
          <w:lang w:val="es-ES_tradnl"/>
        </w:rPr>
      </w:pPr>
    </w:p>
    <w:p w14:paraId="1D617F59" w14:textId="57A59115" w:rsidR="009A67CE" w:rsidRPr="009A4741" w:rsidRDefault="00926863"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OBSERVA que el presupuesto para 2016-2018 incluye un elemento básico financiado con cargo a las contribuciones de las Partes Contratantes, elaborado sobre la base de que no se producirán cambios fundamentales en el funcionamiento de la Secretaría durante el período 2016-2018, y un elemento no básico y no provisionado, que se financiará con cargo a contribuciones voluntarias, y APRUEBA el presupuesto combinado para el ciclo 2016-2018 que figura como Anexo 1, con objeto de permitir la ejecución del Plan Estratégico de la Convención</w:t>
      </w:r>
      <w:r w:rsidR="009A67CE" w:rsidRPr="009A4741">
        <w:rPr>
          <w:rFonts w:asciiTheme="minorHAnsi" w:hAnsiTheme="minorHAnsi"/>
          <w:sz w:val="22"/>
          <w:szCs w:val="22"/>
          <w:lang w:val="es-ES_tradnl"/>
        </w:rPr>
        <w:t>;</w:t>
      </w:r>
    </w:p>
    <w:p w14:paraId="405F41F0" w14:textId="77777777" w:rsidR="009A67CE" w:rsidRPr="009A4741" w:rsidRDefault="009A67CE" w:rsidP="00AE507F">
      <w:pPr>
        <w:ind w:left="426" w:hanging="426"/>
        <w:rPr>
          <w:rFonts w:asciiTheme="minorHAnsi" w:hAnsiTheme="minorHAnsi"/>
          <w:sz w:val="22"/>
          <w:szCs w:val="22"/>
          <w:lang w:val="es-ES_tradnl"/>
        </w:rPr>
      </w:pPr>
    </w:p>
    <w:p w14:paraId="21716E67" w14:textId="1C9E2D2C" w:rsidR="009A67CE" w:rsidRPr="009A4741" w:rsidRDefault="0052666A"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AUTORIZA al Comité Permanente a que, con el asesoramiento de su Subgrupo de Finanzas, revise las asignaciones del presupuesto básico a las líneas presupuestarias con arreglo a cambios significativos positivos o negativos durante el ciclo en los costos, las tasas de inflación, los intereses y los ingresos impositivos proyectados en el presupuesto, sin incrementar las contribuciones de las Partes ni los </w:t>
      </w:r>
      <w:r w:rsidR="00FA6A8F" w:rsidRPr="009A4741">
        <w:rPr>
          <w:rFonts w:asciiTheme="minorHAnsi" w:hAnsiTheme="minorHAnsi"/>
          <w:sz w:val="22"/>
          <w:szCs w:val="22"/>
          <w:lang w:val="es-ES_tradnl"/>
        </w:rPr>
        <w:t>cargos</w:t>
      </w:r>
      <w:r w:rsidRPr="009A4741">
        <w:rPr>
          <w:rFonts w:asciiTheme="minorHAnsi" w:hAnsiTheme="minorHAnsi"/>
          <w:sz w:val="22"/>
          <w:szCs w:val="22"/>
          <w:lang w:val="es-ES_tradnl"/>
        </w:rPr>
        <w:t xml:space="preserve"> abonados a la UICN por encima del máximo presupuestado del 13 %;</w:t>
      </w:r>
    </w:p>
    <w:p w14:paraId="17A53392" w14:textId="77777777" w:rsidR="009A67CE" w:rsidRPr="009A4741" w:rsidRDefault="009A67CE" w:rsidP="00AE507F">
      <w:pPr>
        <w:ind w:left="426" w:hanging="426"/>
        <w:rPr>
          <w:rFonts w:asciiTheme="minorHAnsi" w:hAnsiTheme="minorHAnsi"/>
          <w:sz w:val="22"/>
          <w:szCs w:val="22"/>
          <w:lang w:val="es-ES_tradnl"/>
        </w:rPr>
      </w:pPr>
    </w:p>
    <w:p w14:paraId="37B82CD3" w14:textId="05BBB95C" w:rsidR="009A67CE" w:rsidRPr="009A4741" w:rsidRDefault="00257E6B"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AUTORIZA al Comité Permanente a que, con el asesoramiento de su Subgrupo de Finanzas, revise las asignaciones y prioridades del presupuesto no básico con arreglo a los logros de la Secretaría en la obtención de financiación voluntaria destinada a esas actividades</w:t>
      </w:r>
      <w:r w:rsidR="009A67CE" w:rsidRPr="009A4741">
        <w:rPr>
          <w:rFonts w:asciiTheme="minorHAnsi" w:hAnsiTheme="minorHAnsi"/>
          <w:sz w:val="22"/>
          <w:szCs w:val="22"/>
          <w:lang w:val="es-ES_tradnl"/>
        </w:rPr>
        <w:t>;</w:t>
      </w:r>
    </w:p>
    <w:p w14:paraId="2F9C6AC1" w14:textId="77777777" w:rsidR="009A67CE" w:rsidRPr="009A4741" w:rsidRDefault="009A67CE" w:rsidP="00AE507F">
      <w:pPr>
        <w:ind w:left="426" w:hanging="426"/>
        <w:rPr>
          <w:rFonts w:asciiTheme="minorHAnsi" w:hAnsiTheme="minorHAnsi"/>
          <w:sz w:val="22"/>
          <w:szCs w:val="22"/>
          <w:lang w:val="es-ES_tradnl"/>
        </w:rPr>
      </w:pPr>
    </w:p>
    <w:p w14:paraId="545318B2" w14:textId="77777777" w:rsidR="00E73F79" w:rsidRPr="009A4741" w:rsidRDefault="00257E6B"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DECIDE que la contribución de cada Parte Contratante al presupuesto básico (</w:t>
      </w:r>
      <w:r w:rsidR="002E4985" w:rsidRPr="009A4741">
        <w:rPr>
          <w:rFonts w:asciiTheme="minorHAnsi" w:hAnsiTheme="minorHAnsi"/>
          <w:sz w:val="22"/>
          <w:szCs w:val="22"/>
          <w:lang w:val="es-ES_tradnl"/>
        </w:rPr>
        <w:t>con excepción de las que aporten únicamente contribuciones voluntarias</w:t>
      </w:r>
      <w:r w:rsidRPr="009A4741">
        <w:rPr>
          <w:rFonts w:asciiTheme="minorHAnsi" w:hAnsiTheme="minorHAnsi"/>
          <w:sz w:val="22"/>
          <w:szCs w:val="22"/>
          <w:lang w:val="es-ES_tradnl"/>
        </w:rPr>
        <w:t>) deberá adecuarse a la escala de cuotas para las contribuciones de los Estados Miembros al presupuesto de las Naciones Unidas aprobada por la Asamblea General de las Naciones Unidas</w:t>
      </w:r>
      <w:r w:rsidR="002E4985" w:rsidRPr="009A4741">
        <w:rPr>
          <w:rFonts w:asciiTheme="minorHAnsi" w:hAnsiTheme="minorHAnsi"/>
          <w:sz w:val="22"/>
          <w:szCs w:val="22"/>
          <w:lang w:val="es-ES_tradnl"/>
        </w:rPr>
        <w:t xml:space="preserve"> que, para aquellas que aporten únicamente contribuciones voluntarias, se aplicará de manera indicativa</w:t>
      </w:r>
      <w:r w:rsidRPr="009A4741">
        <w:rPr>
          <w:rFonts w:asciiTheme="minorHAnsi" w:hAnsiTheme="minorHAnsi"/>
          <w:sz w:val="22"/>
          <w:szCs w:val="22"/>
          <w:lang w:val="es-ES_tradnl"/>
        </w:rPr>
        <w:t>, y excepto en el caso de las Partes Contratantes que, en aplicación de dicha escala de cuotas, podrían aportar una contribución anual al presupuesto básico de la Convención de Ramsar inferior a 1.000 francos suizos, en cuyo caso la contribución anual ascenderá a esa cuantía</w:t>
      </w:r>
      <w:r w:rsidR="009A67CE" w:rsidRPr="009A4741">
        <w:rPr>
          <w:rFonts w:asciiTheme="minorHAnsi" w:hAnsiTheme="minorHAnsi"/>
          <w:sz w:val="22"/>
          <w:szCs w:val="22"/>
          <w:lang w:val="es-ES_tradnl"/>
        </w:rPr>
        <w:t>;</w:t>
      </w:r>
      <w:bookmarkStart w:id="1" w:name="OLE_LINK6"/>
    </w:p>
    <w:p w14:paraId="4F3B4B2B" w14:textId="77777777" w:rsidR="00E73F79" w:rsidRPr="009A4741" w:rsidRDefault="00E73F79" w:rsidP="00AE507F">
      <w:pPr>
        <w:rPr>
          <w:rFonts w:asciiTheme="minorHAnsi" w:hAnsiTheme="minorHAnsi"/>
          <w:sz w:val="22"/>
          <w:szCs w:val="22"/>
          <w:lang w:val="es-ES_tradnl"/>
        </w:rPr>
      </w:pPr>
    </w:p>
    <w:p w14:paraId="58C2CDBD" w14:textId="12E751D6" w:rsidR="009A67CE" w:rsidRPr="009A4741" w:rsidRDefault="00586FDA"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lastRenderedPageBreak/>
        <w:t>INSTA a todas las Partes Contratantes a que abonen sus cuotas con puntualidad el 1 de enero de cada año a más tardar o, después de esa fecha, tan pronto como lo permita el ciclo presupuestario del país</w:t>
      </w:r>
      <w:r w:rsidR="009A67CE" w:rsidRPr="009A4741">
        <w:rPr>
          <w:rFonts w:asciiTheme="minorHAnsi" w:hAnsiTheme="minorHAnsi"/>
          <w:sz w:val="22"/>
          <w:szCs w:val="22"/>
          <w:lang w:val="es-ES_tradnl"/>
        </w:rPr>
        <w:t>;</w:t>
      </w:r>
    </w:p>
    <w:p w14:paraId="3E24EFCE" w14:textId="77777777" w:rsidR="00E73F79" w:rsidRPr="009A4741" w:rsidRDefault="00E73F79" w:rsidP="00AE507F">
      <w:pPr>
        <w:pStyle w:val="ListParagraph"/>
        <w:rPr>
          <w:rFonts w:asciiTheme="minorHAnsi" w:hAnsiTheme="minorHAnsi"/>
          <w:sz w:val="22"/>
          <w:szCs w:val="22"/>
          <w:lang w:val="es-ES_tradnl"/>
        </w:rPr>
      </w:pPr>
    </w:p>
    <w:p w14:paraId="445BA5F3" w14:textId="69D74747" w:rsidR="009A67CE" w:rsidRPr="009A4741" w:rsidRDefault="00586FDA" w:rsidP="00AE507F">
      <w:pPr>
        <w:pStyle w:val="ListParagraph"/>
        <w:numPr>
          <w:ilvl w:val="0"/>
          <w:numId w:val="1"/>
        </w:numPr>
        <w:ind w:left="425" w:hanging="425"/>
        <w:rPr>
          <w:rFonts w:asciiTheme="minorHAnsi" w:hAnsiTheme="minorHAnsi"/>
          <w:sz w:val="22"/>
          <w:szCs w:val="22"/>
          <w:lang w:val="es-ES_tradnl"/>
        </w:rPr>
      </w:pPr>
      <w:r w:rsidRPr="009A4741">
        <w:rPr>
          <w:rFonts w:asciiTheme="minorHAnsi" w:hAnsiTheme="minorHAnsi"/>
          <w:sz w:val="22"/>
          <w:szCs w:val="22"/>
          <w:lang w:val="es-ES_tradnl"/>
        </w:rPr>
        <w:t xml:space="preserve">INSTA a las Partes Contratantes con contribuciones pendientes de pago a que renueven sus esfuerzos destinados a abonarlas a la mayor brevedad posible, a fin de mejorar la sostenibilidad financiera de la Convención mediante las contribuciones de todas las Partes Contratantes, y </w:t>
      </w:r>
      <w:r w:rsidR="00895E39">
        <w:rPr>
          <w:rFonts w:asciiTheme="minorHAnsi" w:hAnsiTheme="minorHAnsi"/>
          <w:sz w:val="22"/>
          <w:szCs w:val="22"/>
          <w:lang w:val="es-ES_tradnl"/>
        </w:rPr>
        <w:t>PIDE</w:t>
      </w:r>
      <w:r w:rsidR="009A67CE" w:rsidRPr="009A4741">
        <w:rPr>
          <w:rFonts w:asciiTheme="minorHAnsi" w:hAnsiTheme="minorHAnsi"/>
          <w:sz w:val="22"/>
          <w:szCs w:val="22"/>
          <w:lang w:val="es-ES_tradnl"/>
        </w:rPr>
        <w:t xml:space="preserve"> </w:t>
      </w:r>
      <w:r w:rsidRPr="009A4741">
        <w:rPr>
          <w:rFonts w:asciiTheme="minorHAnsi" w:hAnsiTheme="minorHAnsi"/>
          <w:sz w:val="22"/>
          <w:szCs w:val="22"/>
          <w:lang w:val="es-ES_tradnl"/>
        </w:rPr>
        <w:t>a la Secretaría que se ponga en contacto con las Partes Contratantes que tengan contribuciones pendientes de pago durante más de tres años y colabore con ellas para encontrar opciones y medidas apropiadas a fin de resolver la situación e iniciar un plan para abonar las contribuciones, y que presente informes en todas las reuniones del Comité Permanente y de las Conferencias de las Partes sobre las actividades realizadas a este respecto y los resultados logrados</w:t>
      </w:r>
      <w:r w:rsidR="009A67CE" w:rsidRPr="009A4741">
        <w:rPr>
          <w:rFonts w:asciiTheme="minorHAnsi" w:hAnsiTheme="minorHAnsi"/>
          <w:sz w:val="22"/>
          <w:szCs w:val="22"/>
          <w:lang w:val="es-ES_tradnl"/>
        </w:rPr>
        <w:t xml:space="preserve">; </w:t>
      </w:r>
      <w:bookmarkEnd w:id="1"/>
    </w:p>
    <w:p w14:paraId="257BB018" w14:textId="77777777" w:rsidR="00E73F79" w:rsidRPr="009A4741" w:rsidRDefault="00E73F79" w:rsidP="00AE507F">
      <w:pPr>
        <w:pStyle w:val="ListParagraph"/>
        <w:rPr>
          <w:rFonts w:asciiTheme="minorHAnsi" w:hAnsiTheme="minorHAnsi"/>
          <w:sz w:val="22"/>
          <w:szCs w:val="22"/>
          <w:lang w:val="es-ES_tradnl"/>
        </w:rPr>
      </w:pPr>
    </w:p>
    <w:p w14:paraId="0AFA3066" w14:textId="6CDE4EE1" w:rsidR="009A67CE" w:rsidRPr="009A4741" w:rsidRDefault="00693AEA"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OBSERVA con preocupación la disminución continua de las contribuciones voluntarias de las Partes Contratantes e INSTA a las Partes Contratantes y otras entidades a que </w:t>
      </w:r>
      <w:r w:rsidR="00EE4C10" w:rsidRPr="009A4741">
        <w:rPr>
          <w:rFonts w:asciiTheme="minorHAnsi" w:hAnsiTheme="minorHAnsi"/>
          <w:sz w:val="22"/>
          <w:szCs w:val="22"/>
          <w:lang w:val="es-ES_tradnl"/>
        </w:rPr>
        <w:t>intenten invertir</w:t>
      </w:r>
      <w:r w:rsidRPr="009A4741">
        <w:rPr>
          <w:rFonts w:asciiTheme="minorHAnsi" w:hAnsiTheme="minorHAnsi"/>
          <w:sz w:val="22"/>
          <w:szCs w:val="22"/>
          <w:lang w:val="es-ES_tradnl"/>
        </w:rPr>
        <w:t xml:space="preserve"> esa tendencia con objeto de financiar el importante elemento no básico del presupuesto combinado para 2016 -2018</w:t>
      </w:r>
      <w:r w:rsidR="000B43D8" w:rsidRPr="009A4741">
        <w:rPr>
          <w:rFonts w:asciiTheme="minorHAnsi" w:hAnsiTheme="minorHAnsi"/>
          <w:sz w:val="22"/>
          <w:szCs w:val="22"/>
          <w:lang w:val="es-ES_tradnl"/>
        </w:rPr>
        <w:t>, y AGRADECE las contribuciones voluntarias de cualquier donante para actividade</w:t>
      </w:r>
      <w:r w:rsidR="00FA6A8F" w:rsidRPr="009A4741">
        <w:rPr>
          <w:rFonts w:asciiTheme="minorHAnsi" w:hAnsiTheme="minorHAnsi"/>
          <w:sz w:val="22"/>
          <w:szCs w:val="22"/>
          <w:lang w:val="es-ES_tradnl"/>
        </w:rPr>
        <w:t>s no mencionadas en el Anexo 3</w:t>
      </w:r>
      <w:r w:rsidR="000B43D8" w:rsidRPr="009A4741">
        <w:rPr>
          <w:rFonts w:asciiTheme="minorHAnsi" w:hAnsiTheme="minorHAnsi"/>
          <w:sz w:val="22"/>
          <w:szCs w:val="22"/>
          <w:lang w:val="es-ES_tradnl"/>
        </w:rPr>
        <w:t xml:space="preserve"> pero que apoyen la ejecución del Plan Estratégico de Ramsar para 2016-2024</w:t>
      </w:r>
      <w:r w:rsidRPr="009A4741">
        <w:rPr>
          <w:rFonts w:asciiTheme="minorHAnsi" w:hAnsiTheme="minorHAnsi"/>
          <w:sz w:val="22"/>
          <w:szCs w:val="22"/>
          <w:lang w:val="es-ES_tradnl"/>
        </w:rPr>
        <w:t>;</w:t>
      </w:r>
      <w:r w:rsidR="009A67CE" w:rsidRPr="009A4741">
        <w:rPr>
          <w:rFonts w:asciiTheme="minorHAnsi" w:hAnsiTheme="minorHAnsi"/>
          <w:sz w:val="22"/>
          <w:szCs w:val="22"/>
          <w:lang w:val="es-ES_tradnl"/>
        </w:rPr>
        <w:t xml:space="preserve"> </w:t>
      </w:r>
    </w:p>
    <w:p w14:paraId="3742BD3B" w14:textId="77777777" w:rsidR="00E73F79" w:rsidRPr="009A4741" w:rsidRDefault="00E73F79" w:rsidP="00AE507F">
      <w:pPr>
        <w:rPr>
          <w:rFonts w:asciiTheme="minorHAnsi" w:hAnsiTheme="minorHAnsi"/>
          <w:sz w:val="22"/>
          <w:szCs w:val="22"/>
          <w:lang w:val="es-ES_tradnl"/>
        </w:rPr>
      </w:pPr>
    </w:p>
    <w:p w14:paraId="3B1F79B8" w14:textId="758FD3C6" w:rsidR="009A67CE" w:rsidRPr="009A4741" w:rsidRDefault="00895E39" w:rsidP="00AE507F">
      <w:pPr>
        <w:pStyle w:val="ListParagraph"/>
        <w:numPr>
          <w:ilvl w:val="0"/>
          <w:numId w:val="1"/>
        </w:numPr>
        <w:ind w:left="426" w:hanging="426"/>
        <w:rPr>
          <w:rFonts w:asciiTheme="minorHAnsi" w:hAnsiTheme="minorHAnsi"/>
          <w:sz w:val="22"/>
          <w:szCs w:val="22"/>
          <w:lang w:val="es-ES_tradnl"/>
        </w:rPr>
      </w:pPr>
      <w:r>
        <w:rPr>
          <w:rFonts w:asciiTheme="minorHAnsi" w:hAnsiTheme="minorHAnsi"/>
          <w:sz w:val="22"/>
          <w:szCs w:val="22"/>
          <w:lang w:val="es-ES_tradnl"/>
        </w:rPr>
        <w:t>PIDE</w:t>
      </w:r>
      <w:r w:rsidR="004140BC" w:rsidRPr="009A4741">
        <w:rPr>
          <w:rFonts w:asciiTheme="minorHAnsi" w:hAnsiTheme="minorHAnsi"/>
          <w:sz w:val="22"/>
          <w:szCs w:val="22"/>
          <w:lang w:val="es-ES_tradnl"/>
        </w:rPr>
        <w:t xml:space="preserve"> que la Secretaría siga formulando nuevos enfoques e instrumentos, como las iniciativas distintivas, según corresponda, a fin de asegurar el apoyo financiero voluntario para </w:t>
      </w:r>
      <w:r w:rsidR="00EE4C10" w:rsidRPr="009A4741">
        <w:rPr>
          <w:rFonts w:asciiTheme="minorHAnsi" w:hAnsiTheme="minorHAnsi"/>
          <w:sz w:val="22"/>
          <w:szCs w:val="22"/>
          <w:lang w:val="es-ES_tradnl"/>
        </w:rPr>
        <w:t xml:space="preserve">aquellos </w:t>
      </w:r>
      <w:r w:rsidR="004140BC" w:rsidRPr="009A4741">
        <w:rPr>
          <w:rFonts w:asciiTheme="minorHAnsi" w:hAnsiTheme="minorHAnsi"/>
          <w:sz w:val="22"/>
          <w:szCs w:val="22"/>
          <w:lang w:val="es-ES_tradnl"/>
        </w:rPr>
        <w:t>proyectos prioritarios</w:t>
      </w:r>
      <w:r w:rsidR="00EE4C10" w:rsidRPr="009A4741">
        <w:rPr>
          <w:rFonts w:asciiTheme="minorHAnsi" w:hAnsiTheme="minorHAnsi"/>
          <w:sz w:val="22"/>
          <w:szCs w:val="22"/>
          <w:lang w:val="es-ES_tradnl"/>
        </w:rPr>
        <w:t xml:space="preserve"> que actualmente no estuviesen financiados</w:t>
      </w:r>
      <w:r w:rsidR="008B3FCE" w:rsidRPr="009A4741">
        <w:rPr>
          <w:rFonts w:asciiTheme="minorHAnsi" w:hAnsiTheme="minorHAnsi"/>
          <w:sz w:val="22"/>
          <w:szCs w:val="22"/>
          <w:lang w:val="es-ES_tradnl"/>
        </w:rPr>
        <w:t>, de acuerdo con l</w:t>
      </w:r>
      <w:r w:rsidR="007942E8" w:rsidRPr="009A4741">
        <w:rPr>
          <w:rFonts w:asciiTheme="minorHAnsi" w:hAnsiTheme="minorHAnsi"/>
          <w:sz w:val="22"/>
          <w:szCs w:val="22"/>
          <w:lang w:val="es-ES_tradnl"/>
        </w:rPr>
        <w:t>a lista que</w:t>
      </w:r>
      <w:r w:rsidR="00FA6A8F" w:rsidRPr="009A4741">
        <w:rPr>
          <w:rFonts w:asciiTheme="minorHAnsi" w:hAnsiTheme="minorHAnsi"/>
          <w:sz w:val="22"/>
          <w:szCs w:val="22"/>
          <w:lang w:val="es-ES_tradnl"/>
        </w:rPr>
        <w:t xml:space="preserve"> figura en el Anexo 3</w:t>
      </w:r>
      <w:r w:rsidR="009A67CE" w:rsidRPr="009A4741">
        <w:rPr>
          <w:rFonts w:asciiTheme="minorHAnsi" w:hAnsiTheme="minorHAnsi"/>
          <w:sz w:val="22"/>
          <w:szCs w:val="22"/>
          <w:lang w:val="es-ES_tradnl"/>
        </w:rPr>
        <w:t>;</w:t>
      </w:r>
    </w:p>
    <w:p w14:paraId="418D5851" w14:textId="77777777" w:rsidR="009A67CE" w:rsidRPr="009A4741" w:rsidRDefault="009A67CE" w:rsidP="00AE507F">
      <w:pPr>
        <w:ind w:left="426" w:hanging="426"/>
        <w:rPr>
          <w:rFonts w:asciiTheme="minorHAnsi" w:hAnsiTheme="minorHAnsi"/>
          <w:sz w:val="22"/>
          <w:szCs w:val="22"/>
          <w:lang w:val="es-ES_tradnl"/>
        </w:rPr>
      </w:pPr>
    </w:p>
    <w:p w14:paraId="6681F869" w14:textId="2C2D46DB" w:rsidR="009A67CE" w:rsidRPr="009A4741" w:rsidRDefault="00327B92"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REAFIRMA su convencimiento de que el Fondo de Pequeñas Subvenciones</w:t>
      </w:r>
      <w:r w:rsidR="008B3FCE" w:rsidRPr="009A4741">
        <w:rPr>
          <w:rFonts w:asciiTheme="minorHAnsi" w:hAnsiTheme="minorHAnsi"/>
          <w:sz w:val="22"/>
          <w:szCs w:val="22"/>
          <w:lang w:val="es-ES_tradnl"/>
        </w:rPr>
        <w:t xml:space="preserve"> de la Convención es</w:t>
      </w:r>
      <w:r w:rsidRPr="009A4741">
        <w:rPr>
          <w:rFonts w:asciiTheme="minorHAnsi" w:hAnsiTheme="minorHAnsi"/>
          <w:sz w:val="22"/>
          <w:szCs w:val="22"/>
          <w:lang w:val="es-ES_tradnl"/>
        </w:rPr>
        <w:t xml:space="preserve"> enormemente valioso para la aplicación de la Convención</w:t>
      </w:r>
      <w:r w:rsidR="008B3FCE" w:rsidRPr="009A4741">
        <w:rPr>
          <w:rFonts w:asciiTheme="minorHAnsi" w:hAnsiTheme="minorHAnsi"/>
          <w:sz w:val="22"/>
          <w:szCs w:val="22"/>
          <w:lang w:val="es-ES_tradnl"/>
        </w:rPr>
        <w:t xml:space="preserve"> </w:t>
      </w:r>
      <w:r w:rsidR="00C571A0" w:rsidRPr="009A4741">
        <w:rPr>
          <w:rFonts w:asciiTheme="minorHAnsi" w:hAnsiTheme="minorHAnsi"/>
          <w:sz w:val="22"/>
          <w:szCs w:val="22"/>
          <w:lang w:val="es-ES_tradnl"/>
        </w:rPr>
        <w:t>e</w:t>
      </w:r>
      <w:r w:rsidRPr="009A4741">
        <w:rPr>
          <w:rFonts w:asciiTheme="minorHAnsi" w:hAnsiTheme="minorHAnsi"/>
          <w:sz w:val="22"/>
          <w:szCs w:val="22"/>
          <w:lang w:val="es-ES_tradnl"/>
        </w:rPr>
        <w:t xml:space="preserve"> INSTA a las Partes y otras entidades a encontrar </w:t>
      </w:r>
      <w:r w:rsidR="008B3FCE" w:rsidRPr="009A4741">
        <w:rPr>
          <w:rFonts w:asciiTheme="minorHAnsi" w:hAnsiTheme="minorHAnsi"/>
          <w:sz w:val="22"/>
          <w:szCs w:val="22"/>
          <w:lang w:val="es-ES_tradnl"/>
        </w:rPr>
        <w:t>1.000.000</w:t>
      </w:r>
      <w:r w:rsidRPr="009A4741">
        <w:rPr>
          <w:rFonts w:asciiTheme="minorHAnsi" w:hAnsiTheme="minorHAnsi"/>
          <w:sz w:val="22"/>
          <w:szCs w:val="22"/>
          <w:lang w:val="es-ES_tradnl"/>
        </w:rPr>
        <w:t xml:space="preserve"> francos suizos </w:t>
      </w:r>
      <w:r w:rsidR="008B3FCE" w:rsidRPr="009A4741">
        <w:rPr>
          <w:rFonts w:asciiTheme="minorHAnsi" w:hAnsiTheme="minorHAnsi"/>
          <w:sz w:val="22"/>
          <w:szCs w:val="22"/>
          <w:lang w:val="es-ES_tradnl"/>
        </w:rPr>
        <w:t>a lo la</w:t>
      </w:r>
      <w:r w:rsidR="007942E8" w:rsidRPr="009A4741">
        <w:rPr>
          <w:rFonts w:asciiTheme="minorHAnsi" w:hAnsiTheme="minorHAnsi"/>
          <w:sz w:val="22"/>
          <w:szCs w:val="22"/>
          <w:lang w:val="es-ES_tradnl"/>
        </w:rPr>
        <w:t>rgo</w:t>
      </w:r>
      <w:r w:rsidR="00FA6A8F" w:rsidRPr="009A4741">
        <w:rPr>
          <w:rFonts w:asciiTheme="minorHAnsi" w:hAnsiTheme="minorHAnsi"/>
          <w:sz w:val="22"/>
          <w:szCs w:val="22"/>
          <w:lang w:val="es-ES_tradnl"/>
        </w:rPr>
        <w:t xml:space="preserve"> del próximo trienio (Anexo 3</w:t>
      </w:r>
      <w:r w:rsidR="008B3FCE" w:rsidRPr="009A4741">
        <w:rPr>
          <w:rFonts w:asciiTheme="minorHAnsi" w:hAnsiTheme="minorHAnsi"/>
          <w:sz w:val="22"/>
          <w:szCs w:val="22"/>
          <w:lang w:val="es-ES_tradnl"/>
        </w:rPr>
        <w:t>)</w:t>
      </w:r>
      <w:r w:rsidRPr="009A4741">
        <w:rPr>
          <w:rFonts w:asciiTheme="minorHAnsi" w:hAnsiTheme="minorHAnsi"/>
          <w:sz w:val="22"/>
          <w:szCs w:val="22"/>
          <w:lang w:val="es-ES_tradnl"/>
        </w:rPr>
        <w:t xml:space="preserve"> para asegurar el funcionamiento eficaz de es</w:t>
      </w:r>
      <w:r w:rsidR="008B3FCE" w:rsidRPr="009A4741">
        <w:rPr>
          <w:rFonts w:asciiTheme="minorHAnsi" w:hAnsiTheme="minorHAnsi"/>
          <w:sz w:val="22"/>
          <w:szCs w:val="22"/>
          <w:lang w:val="es-ES_tradnl"/>
        </w:rPr>
        <w:t>e</w:t>
      </w:r>
      <w:r w:rsidRPr="009A4741">
        <w:rPr>
          <w:rFonts w:asciiTheme="minorHAnsi" w:hAnsiTheme="minorHAnsi"/>
          <w:sz w:val="22"/>
          <w:szCs w:val="22"/>
          <w:lang w:val="es-ES_tradnl"/>
        </w:rPr>
        <w:t xml:space="preserve"> programa</w:t>
      </w:r>
      <w:r w:rsidR="00C571A0" w:rsidRPr="009A4741">
        <w:rPr>
          <w:rFonts w:asciiTheme="minorHAnsi" w:hAnsiTheme="minorHAnsi"/>
          <w:sz w:val="22"/>
          <w:szCs w:val="22"/>
          <w:lang w:val="es-ES_tradnl"/>
        </w:rPr>
        <w:t>;</w:t>
      </w:r>
      <w:r w:rsidR="009A67CE" w:rsidRPr="009A4741">
        <w:rPr>
          <w:rFonts w:asciiTheme="minorHAnsi" w:hAnsiTheme="minorHAnsi"/>
          <w:sz w:val="22"/>
          <w:szCs w:val="22"/>
          <w:lang w:val="es-ES_tradnl"/>
        </w:rPr>
        <w:t xml:space="preserve"> </w:t>
      </w:r>
    </w:p>
    <w:p w14:paraId="2323BDF2" w14:textId="77777777" w:rsidR="009A67CE" w:rsidRPr="009A4741" w:rsidRDefault="009A67CE" w:rsidP="00AE507F">
      <w:pPr>
        <w:pStyle w:val="ListParagraph"/>
        <w:ind w:left="426" w:hanging="426"/>
        <w:rPr>
          <w:rFonts w:asciiTheme="minorHAnsi" w:hAnsiTheme="minorHAnsi"/>
          <w:sz w:val="22"/>
          <w:szCs w:val="22"/>
          <w:lang w:val="es-ES_tradnl"/>
        </w:rPr>
      </w:pPr>
    </w:p>
    <w:p w14:paraId="2D3AB2AC" w14:textId="37C5B3ED" w:rsidR="009A67CE" w:rsidRPr="009A4741" w:rsidRDefault="00895E39" w:rsidP="00AE507F">
      <w:pPr>
        <w:pStyle w:val="ListParagraph"/>
        <w:numPr>
          <w:ilvl w:val="0"/>
          <w:numId w:val="1"/>
        </w:numPr>
        <w:ind w:left="426" w:hanging="426"/>
        <w:rPr>
          <w:rFonts w:asciiTheme="minorHAnsi" w:hAnsiTheme="minorHAnsi"/>
          <w:sz w:val="22"/>
          <w:szCs w:val="22"/>
          <w:lang w:val="es-ES_tradnl"/>
        </w:rPr>
      </w:pPr>
      <w:r>
        <w:rPr>
          <w:rFonts w:asciiTheme="minorHAnsi" w:hAnsiTheme="minorHAnsi"/>
          <w:sz w:val="22"/>
          <w:szCs w:val="22"/>
          <w:lang w:val="es-ES_tradnl"/>
        </w:rPr>
        <w:t>PIDE</w:t>
      </w:r>
      <w:r w:rsidR="00291D10" w:rsidRPr="009A4741">
        <w:rPr>
          <w:rFonts w:asciiTheme="minorHAnsi" w:hAnsiTheme="minorHAnsi"/>
          <w:sz w:val="22"/>
          <w:szCs w:val="22"/>
          <w:lang w:val="es-ES_tradnl"/>
        </w:rPr>
        <w:t xml:space="preserve"> que el Comité Permanente examine el funcionamiento del programa durante el trienio y llegue a una conclusión definitiva sobre si las Partes deben continuar el Fondo de Pequeñas Subvenciones o ponerle fin, y presente dicha conclusión para su examen por la 13ª reunión de la Conferencia de las Partes Contratantes</w:t>
      </w:r>
      <w:r w:rsidR="009A67CE" w:rsidRPr="009A4741">
        <w:rPr>
          <w:rFonts w:asciiTheme="minorHAnsi" w:hAnsiTheme="minorHAnsi"/>
          <w:sz w:val="22"/>
          <w:szCs w:val="22"/>
          <w:lang w:val="es-ES_tradnl"/>
        </w:rPr>
        <w:t xml:space="preserve">; </w:t>
      </w:r>
    </w:p>
    <w:p w14:paraId="100CCD91" w14:textId="77777777" w:rsidR="00E73F79" w:rsidRPr="009A4741" w:rsidRDefault="00E73F79" w:rsidP="00AE507F">
      <w:pPr>
        <w:pStyle w:val="ListParagraph"/>
        <w:rPr>
          <w:rFonts w:asciiTheme="minorHAnsi" w:hAnsiTheme="minorHAnsi"/>
          <w:sz w:val="22"/>
          <w:szCs w:val="22"/>
          <w:lang w:val="es-ES_tradnl"/>
        </w:rPr>
      </w:pPr>
    </w:p>
    <w:p w14:paraId="3FE54E72" w14:textId="183B1C23" w:rsidR="008B3FCE" w:rsidRPr="009A4741" w:rsidRDefault="008B3FCE"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EXPRESA su agradecimiento a los gobiernos de Suiza y de los Estados Unidos de América, y a las Fundaciones Danone y MAVA, por sus contribuciones voluntarias a las actividades de la Convención</w:t>
      </w:r>
      <w:r w:rsidR="00F93DF7" w:rsidRPr="009A4741">
        <w:rPr>
          <w:rFonts w:asciiTheme="minorHAnsi" w:hAnsiTheme="minorHAnsi"/>
          <w:sz w:val="22"/>
          <w:szCs w:val="22"/>
          <w:lang w:val="es-ES_tradnl"/>
        </w:rPr>
        <w:t xml:space="preserve"> que no se financian </w:t>
      </w:r>
      <w:r w:rsidR="00ED6D1D" w:rsidRPr="009A4741">
        <w:rPr>
          <w:rFonts w:asciiTheme="minorHAnsi" w:hAnsiTheme="minorHAnsi"/>
          <w:sz w:val="22"/>
          <w:szCs w:val="22"/>
          <w:lang w:val="es-ES_tradnl"/>
        </w:rPr>
        <w:t xml:space="preserve">con cargo al </w:t>
      </w:r>
      <w:r w:rsidR="00F93DF7" w:rsidRPr="009A4741">
        <w:rPr>
          <w:rFonts w:asciiTheme="minorHAnsi" w:hAnsiTheme="minorHAnsi"/>
          <w:sz w:val="22"/>
          <w:szCs w:val="22"/>
          <w:lang w:val="es-ES_tradnl"/>
        </w:rPr>
        <w:t xml:space="preserve">presupuesto básico, concretamente, </w:t>
      </w:r>
      <w:r w:rsidR="00E35DE5" w:rsidRPr="009A4741">
        <w:rPr>
          <w:rFonts w:asciiTheme="minorHAnsi" w:hAnsiTheme="minorHAnsi"/>
          <w:sz w:val="22"/>
          <w:szCs w:val="22"/>
          <w:lang w:val="es-ES_tradnl"/>
        </w:rPr>
        <w:t>la Subvención Suiza para África, el Fondo de Humedales para el Futuro, el Día Mundial de los Humedales y la Red de Cult</w:t>
      </w:r>
      <w:r w:rsidR="00FA6A8F" w:rsidRPr="009A4741">
        <w:rPr>
          <w:rFonts w:asciiTheme="minorHAnsi" w:hAnsiTheme="minorHAnsi"/>
          <w:sz w:val="22"/>
          <w:szCs w:val="22"/>
          <w:lang w:val="es-ES_tradnl"/>
        </w:rPr>
        <w:t>ura de Ramsar, respectivamente;</w:t>
      </w:r>
    </w:p>
    <w:p w14:paraId="7C18562C" w14:textId="77777777" w:rsidR="00E73F79" w:rsidRPr="009A4741" w:rsidRDefault="00E73F79" w:rsidP="00AE507F">
      <w:pPr>
        <w:pStyle w:val="ListParagraph"/>
        <w:rPr>
          <w:rFonts w:asciiTheme="minorHAnsi" w:hAnsiTheme="minorHAnsi"/>
          <w:sz w:val="22"/>
          <w:szCs w:val="22"/>
          <w:lang w:val="es-ES_tradnl"/>
        </w:rPr>
      </w:pPr>
    </w:p>
    <w:p w14:paraId="5AFF3CB6" w14:textId="69EAABF2" w:rsidR="000D3097" w:rsidRPr="009A4741" w:rsidRDefault="00E35DE5"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REAFIRMA la decisión adoptada por la COP11 (Resolución XI.2)</w:t>
      </w:r>
      <w:r w:rsidR="000D3097" w:rsidRPr="009A4741">
        <w:rPr>
          <w:rFonts w:asciiTheme="minorHAnsi" w:hAnsiTheme="minorHAnsi"/>
          <w:sz w:val="22"/>
          <w:szCs w:val="22"/>
          <w:lang w:val="es-ES_tradnl"/>
        </w:rPr>
        <w:t xml:space="preserve"> </w:t>
      </w:r>
      <w:r w:rsidR="00FA6A8F" w:rsidRPr="009A4741">
        <w:rPr>
          <w:rFonts w:asciiTheme="minorHAnsi" w:hAnsiTheme="minorHAnsi"/>
          <w:sz w:val="22"/>
          <w:szCs w:val="22"/>
          <w:lang w:val="es-ES_tradnl"/>
        </w:rPr>
        <w:t>de que el Fondo de Reserva:</w:t>
      </w:r>
    </w:p>
    <w:p w14:paraId="6AD35B79" w14:textId="77777777" w:rsidR="00FA6A8F" w:rsidRPr="009A4741" w:rsidRDefault="00FA6A8F" w:rsidP="00AE507F">
      <w:pPr>
        <w:rPr>
          <w:rFonts w:asciiTheme="minorHAnsi" w:hAnsiTheme="minorHAnsi"/>
          <w:sz w:val="22"/>
          <w:szCs w:val="22"/>
          <w:lang w:val="es-ES_tradnl"/>
        </w:rPr>
      </w:pPr>
    </w:p>
    <w:p w14:paraId="1386C260" w14:textId="57EC63EF" w:rsidR="00A7427A" w:rsidRPr="009A4741" w:rsidRDefault="000D3097" w:rsidP="00AE507F">
      <w:pPr>
        <w:pStyle w:val="ListParagraph"/>
        <w:numPr>
          <w:ilvl w:val="0"/>
          <w:numId w:val="17"/>
        </w:numPr>
        <w:rPr>
          <w:rFonts w:asciiTheme="minorHAnsi" w:hAnsiTheme="minorHAnsi"/>
          <w:sz w:val="22"/>
          <w:szCs w:val="22"/>
          <w:lang w:val="es-ES_tradnl"/>
        </w:rPr>
      </w:pPr>
      <w:r w:rsidRPr="009A4741">
        <w:rPr>
          <w:rFonts w:asciiTheme="minorHAnsi" w:hAnsiTheme="minorHAnsi"/>
          <w:sz w:val="22"/>
          <w:szCs w:val="22"/>
          <w:lang w:val="es-ES_tradnl"/>
        </w:rPr>
        <w:t>cubra los ga</w:t>
      </w:r>
      <w:r w:rsidR="00FA6A8F" w:rsidRPr="009A4741">
        <w:rPr>
          <w:rFonts w:asciiTheme="minorHAnsi" w:hAnsiTheme="minorHAnsi"/>
          <w:sz w:val="22"/>
          <w:szCs w:val="22"/>
          <w:lang w:val="es-ES_tradnl"/>
        </w:rPr>
        <w:t>stos imprevistos e inevitables;</w:t>
      </w:r>
    </w:p>
    <w:p w14:paraId="33DBA6C1" w14:textId="619DB111" w:rsidR="000D3097" w:rsidRPr="009A4741" w:rsidRDefault="000D3097" w:rsidP="00AE507F">
      <w:pPr>
        <w:pStyle w:val="ListParagraph"/>
        <w:numPr>
          <w:ilvl w:val="0"/>
          <w:numId w:val="17"/>
        </w:numPr>
        <w:rPr>
          <w:rFonts w:asciiTheme="minorHAnsi" w:hAnsiTheme="minorHAnsi"/>
          <w:sz w:val="22"/>
          <w:szCs w:val="22"/>
          <w:lang w:val="es-ES_tradnl"/>
        </w:rPr>
      </w:pPr>
      <w:r w:rsidRPr="009A4741">
        <w:rPr>
          <w:rFonts w:asciiTheme="minorHAnsi" w:hAnsiTheme="minorHAnsi"/>
          <w:sz w:val="22"/>
          <w:szCs w:val="22"/>
          <w:lang w:val="es-ES_tradnl"/>
        </w:rPr>
        <w:t>absorba los excedentes (o dé</w:t>
      </w:r>
      <w:r w:rsidR="00FA6A8F" w:rsidRPr="009A4741">
        <w:rPr>
          <w:rFonts w:asciiTheme="minorHAnsi" w:hAnsiTheme="minorHAnsi"/>
          <w:sz w:val="22"/>
          <w:szCs w:val="22"/>
          <w:lang w:val="es-ES_tradnl"/>
        </w:rPr>
        <w:t>ficits) del presupuesto básico;</w:t>
      </w:r>
    </w:p>
    <w:p w14:paraId="0C9917B4" w14:textId="0C63AD64" w:rsidR="000D3097" w:rsidRPr="009A4741" w:rsidRDefault="000D3097" w:rsidP="00AE507F">
      <w:pPr>
        <w:pStyle w:val="ListParagraph"/>
        <w:numPr>
          <w:ilvl w:val="0"/>
          <w:numId w:val="17"/>
        </w:numPr>
        <w:rPr>
          <w:rFonts w:asciiTheme="minorHAnsi" w:hAnsiTheme="minorHAnsi"/>
          <w:sz w:val="22"/>
          <w:szCs w:val="22"/>
          <w:lang w:val="es-ES_tradnl"/>
        </w:rPr>
      </w:pPr>
      <w:r w:rsidRPr="009A4741">
        <w:rPr>
          <w:rFonts w:asciiTheme="minorHAnsi" w:hAnsiTheme="minorHAnsi"/>
          <w:sz w:val="22"/>
          <w:szCs w:val="22"/>
          <w:lang w:val="es-ES_tradnl"/>
        </w:rPr>
        <w:t>no sea inferior al 6 % del presupuesto básico anual de la Convenc</w:t>
      </w:r>
      <w:r w:rsidR="00FA6A8F" w:rsidRPr="009A4741">
        <w:rPr>
          <w:rFonts w:asciiTheme="minorHAnsi" w:hAnsiTheme="minorHAnsi"/>
          <w:sz w:val="22"/>
          <w:szCs w:val="22"/>
          <w:lang w:val="es-ES_tradnl"/>
        </w:rPr>
        <w:t>ión y no supere el 15% de este;</w:t>
      </w:r>
    </w:p>
    <w:p w14:paraId="682F02D8" w14:textId="77777777" w:rsidR="000D3097" w:rsidRPr="009A4741" w:rsidRDefault="000D3097" w:rsidP="00AE507F">
      <w:pPr>
        <w:pStyle w:val="ListParagraph"/>
        <w:numPr>
          <w:ilvl w:val="0"/>
          <w:numId w:val="17"/>
        </w:numPr>
        <w:rPr>
          <w:rFonts w:asciiTheme="minorHAnsi" w:hAnsiTheme="minorHAnsi"/>
          <w:sz w:val="22"/>
          <w:szCs w:val="22"/>
          <w:lang w:val="es-ES_tradnl"/>
        </w:rPr>
      </w:pPr>
      <w:r w:rsidRPr="009A4741">
        <w:rPr>
          <w:rFonts w:asciiTheme="minorHAnsi" w:hAnsiTheme="minorHAnsi"/>
          <w:sz w:val="22"/>
          <w:szCs w:val="22"/>
          <w:lang w:val="es-ES_tradnl"/>
        </w:rPr>
        <w:t>sea administrado por el Secretario General con la aprobación del Subgrupo de Finanzas establecido por el Comité Permanente.</w:t>
      </w:r>
    </w:p>
    <w:p w14:paraId="7724FD9C" w14:textId="77777777" w:rsidR="00E73F79" w:rsidRPr="009A4741" w:rsidRDefault="00E73F79" w:rsidP="00AE507F">
      <w:pPr>
        <w:ind w:left="380"/>
        <w:rPr>
          <w:rFonts w:asciiTheme="minorHAnsi" w:hAnsiTheme="minorHAnsi"/>
          <w:sz w:val="22"/>
          <w:szCs w:val="22"/>
          <w:lang w:val="es-ES_tradnl"/>
        </w:rPr>
      </w:pPr>
    </w:p>
    <w:p w14:paraId="6E8D09FC" w14:textId="73D7950A" w:rsidR="009A67CE" w:rsidRPr="009A4741" w:rsidRDefault="00895E39" w:rsidP="00AE507F">
      <w:pPr>
        <w:pStyle w:val="ListParagraph"/>
        <w:numPr>
          <w:ilvl w:val="0"/>
          <w:numId w:val="1"/>
        </w:numPr>
        <w:ind w:left="426" w:hanging="426"/>
        <w:rPr>
          <w:rFonts w:asciiTheme="minorHAnsi" w:hAnsiTheme="minorHAnsi"/>
          <w:sz w:val="22"/>
          <w:szCs w:val="22"/>
          <w:lang w:val="es-ES_tradnl"/>
        </w:rPr>
      </w:pPr>
      <w:r>
        <w:rPr>
          <w:rFonts w:asciiTheme="minorHAnsi" w:hAnsiTheme="minorHAnsi"/>
          <w:sz w:val="22"/>
          <w:szCs w:val="22"/>
          <w:lang w:val="es-ES_tradnl"/>
        </w:rPr>
        <w:lastRenderedPageBreak/>
        <w:t>PIDE</w:t>
      </w:r>
      <w:r w:rsidR="00243FB6" w:rsidRPr="009A4741">
        <w:rPr>
          <w:rFonts w:asciiTheme="minorHAnsi" w:hAnsiTheme="minorHAnsi"/>
          <w:sz w:val="22"/>
          <w:szCs w:val="22"/>
          <w:lang w:val="es-ES_tradnl"/>
        </w:rPr>
        <w:t xml:space="preserve"> a la Secretaría que haga lo posible por mantener el Fondo de Reserva durante el trienio </w:t>
      </w:r>
      <w:r w:rsidR="009A67CE" w:rsidRPr="009A4741">
        <w:rPr>
          <w:rFonts w:asciiTheme="minorHAnsi" w:hAnsiTheme="minorHAnsi"/>
          <w:sz w:val="22"/>
          <w:szCs w:val="22"/>
          <w:lang w:val="es-ES_tradnl"/>
        </w:rPr>
        <w:t xml:space="preserve">2016-2018 </w:t>
      </w:r>
      <w:r w:rsidR="00243FB6" w:rsidRPr="009A4741">
        <w:rPr>
          <w:rFonts w:asciiTheme="minorHAnsi" w:hAnsiTheme="minorHAnsi"/>
          <w:sz w:val="22"/>
          <w:szCs w:val="22"/>
          <w:lang w:val="es-ES_tradnl"/>
        </w:rPr>
        <w:t>con arreglo a este presupuesto, presente al Comité Permanente informes anuales sobre la situación y, antes de utilizar el Fondo</w:t>
      </w:r>
      <w:r w:rsidR="00F21BEB" w:rsidRPr="009A4741">
        <w:rPr>
          <w:rFonts w:asciiTheme="minorHAnsi" w:hAnsiTheme="minorHAnsi"/>
          <w:sz w:val="22"/>
          <w:szCs w:val="22"/>
          <w:lang w:val="es-ES_tradnl"/>
        </w:rPr>
        <w:t>,</w:t>
      </w:r>
      <w:r w:rsidR="00243FB6" w:rsidRPr="009A4741">
        <w:rPr>
          <w:rFonts w:asciiTheme="minorHAnsi" w:hAnsiTheme="minorHAnsi"/>
          <w:sz w:val="22"/>
          <w:szCs w:val="22"/>
          <w:lang w:val="es-ES_tradnl"/>
        </w:rPr>
        <w:t xml:space="preserve"> presente la propuesta correspondiente al Subgrupo de Finanzas para que dé su aprobación</w:t>
      </w:r>
      <w:r w:rsidR="009A67CE" w:rsidRPr="009A4741">
        <w:rPr>
          <w:rFonts w:asciiTheme="minorHAnsi" w:hAnsiTheme="minorHAnsi"/>
          <w:sz w:val="22"/>
          <w:szCs w:val="22"/>
          <w:lang w:val="es-ES_tradnl"/>
        </w:rPr>
        <w:t xml:space="preserve">; </w:t>
      </w:r>
    </w:p>
    <w:p w14:paraId="0EA19327" w14:textId="77777777" w:rsidR="00E73F79" w:rsidRPr="009A4741" w:rsidRDefault="00E73F79" w:rsidP="00AE507F">
      <w:pPr>
        <w:pStyle w:val="ListParagraph"/>
        <w:ind w:left="426"/>
        <w:rPr>
          <w:rFonts w:asciiTheme="minorHAnsi" w:hAnsiTheme="minorHAnsi"/>
          <w:sz w:val="22"/>
          <w:szCs w:val="22"/>
          <w:lang w:val="es-ES_tradnl"/>
        </w:rPr>
      </w:pPr>
    </w:p>
    <w:p w14:paraId="01C82E81" w14:textId="105B7B12" w:rsidR="00F07CDF" w:rsidRPr="009A4741" w:rsidRDefault="00D07FE7"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APRUEBA la plantilla de personal de la Secretaría en cuanto al número de empleados y </w:t>
      </w:r>
      <w:r w:rsidR="00465CF8" w:rsidRPr="009A4741">
        <w:rPr>
          <w:rFonts w:asciiTheme="minorHAnsi" w:hAnsiTheme="minorHAnsi"/>
          <w:sz w:val="22"/>
          <w:szCs w:val="22"/>
          <w:lang w:val="es-ES_tradnl"/>
        </w:rPr>
        <w:t>puestos de trabajo</w:t>
      </w:r>
      <w:r w:rsidRPr="009A4741">
        <w:rPr>
          <w:rFonts w:asciiTheme="minorHAnsi" w:hAnsiTheme="minorHAnsi"/>
          <w:sz w:val="22"/>
          <w:szCs w:val="22"/>
          <w:lang w:val="es-ES_tradnl"/>
        </w:rPr>
        <w:t xml:space="preserve"> (conforme</w:t>
      </w:r>
      <w:r w:rsidR="005B562F" w:rsidRPr="009A4741">
        <w:rPr>
          <w:rFonts w:asciiTheme="minorHAnsi" w:hAnsiTheme="minorHAnsi"/>
          <w:sz w:val="22"/>
          <w:szCs w:val="22"/>
          <w:lang w:val="es-ES_tradnl"/>
        </w:rPr>
        <w:t xml:space="preserve"> al Grupo de Función de los Recursos Humanos de la UICN) para el trienio, de acuerd</w:t>
      </w:r>
      <w:r w:rsidR="00FA6A8F" w:rsidRPr="009A4741">
        <w:rPr>
          <w:rFonts w:asciiTheme="minorHAnsi" w:hAnsiTheme="minorHAnsi"/>
          <w:sz w:val="22"/>
          <w:szCs w:val="22"/>
          <w:lang w:val="es-ES_tradnl"/>
        </w:rPr>
        <w:t>o con lo indicado en el Anexo 4</w:t>
      </w:r>
      <w:r w:rsidR="005B562F" w:rsidRPr="009A4741">
        <w:rPr>
          <w:rFonts w:asciiTheme="minorHAnsi" w:hAnsiTheme="minorHAnsi"/>
          <w:sz w:val="22"/>
          <w:szCs w:val="22"/>
          <w:lang w:val="es-ES_tradnl"/>
        </w:rPr>
        <w:t xml:space="preserve">, y </w:t>
      </w:r>
      <w:r w:rsidR="00FA6A8F" w:rsidRPr="009A4741">
        <w:rPr>
          <w:rFonts w:asciiTheme="minorHAnsi" w:hAnsiTheme="minorHAnsi"/>
          <w:sz w:val="22"/>
          <w:szCs w:val="22"/>
          <w:lang w:val="es-ES_tradnl"/>
        </w:rPr>
        <w:t>OBSERVA</w:t>
      </w:r>
      <w:r w:rsidR="005B562F" w:rsidRPr="009A4741">
        <w:rPr>
          <w:rFonts w:asciiTheme="minorHAnsi" w:hAnsiTheme="minorHAnsi"/>
          <w:sz w:val="22"/>
          <w:szCs w:val="22"/>
          <w:lang w:val="es-ES_tradnl"/>
        </w:rPr>
        <w:t xml:space="preserve"> que todo cambio solicitado relativo al número de empleados o al grupo de función del personal debe ser tratado con el Equipo Ejecutivo</w:t>
      </w:r>
      <w:r w:rsidR="00D820CA" w:rsidRPr="009A4741">
        <w:rPr>
          <w:rFonts w:asciiTheme="minorHAnsi" w:hAnsiTheme="minorHAnsi"/>
          <w:sz w:val="22"/>
          <w:szCs w:val="22"/>
          <w:lang w:val="es-ES_tradnl"/>
        </w:rPr>
        <w:t xml:space="preserve"> con el fin de obtener su aprobación;</w:t>
      </w:r>
    </w:p>
    <w:p w14:paraId="5F50E256" w14:textId="77777777" w:rsidR="007942E8" w:rsidRPr="009A4741" w:rsidRDefault="007942E8" w:rsidP="00AE507F">
      <w:pPr>
        <w:rPr>
          <w:rFonts w:asciiTheme="minorHAnsi" w:hAnsiTheme="minorHAnsi"/>
          <w:sz w:val="22"/>
          <w:szCs w:val="22"/>
          <w:lang w:val="es-ES_tradnl"/>
        </w:rPr>
      </w:pPr>
    </w:p>
    <w:p w14:paraId="1E403DC5" w14:textId="63D79B78" w:rsidR="00BC71AF" w:rsidRPr="009A4741" w:rsidRDefault="00895E39" w:rsidP="00AE507F">
      <w:pPr>
        <w:pStyle w:val="ListParagraph"/>
        <w:numPr>
          <w:ilvl w:val="0"/>
          <w:numId w:val="1"/>
        </w:numPr>
        <w:ind w:left="426" w:hanging="426"/>
        <w:rPr>
          <w:rFonts w:asciiTheme="minorHAnsi" w:hAnsiTheme="minorHAnsi"/>
          <w:sz w:val="22"/>
          <w:szCs w:val="22"/>
          <w:lang w:val="es-ES_tradnl"/>
        </w:rPr>
      </w:pPr>
      <w:r>
        <w:rPr>
          <w:rFonts w:asciiTheme="minorHAnsi" w:hAnsiTheme="minorHAnsi"/>
          <w:sz w:val="22"/>
          <w:szCs w:val="22"/>
          <w:lang w:val="es-ES_tradnl"/>
        </w:rPr>
        <w:t>PIDE</w:t>
      </w:r>
      <w:r w:rsidR="00F07CDF" w:rsidRPr="009A4741">
        <w:rPr>
          <w:rFonts w:asciiTheme="minorHAnsi" w:hAnsiTheme="minorHAnsi"/>
          <w:sz w:val="22"/>
          <w:szCs w:val="22"/>
          <w:lang w:val="es-ES_tradnl"/>
        </w:rPr>
        <w:t xml:space="preserve"> que el Secretario General no utilice consultores con regularidad como medio para cumplir funciones básicas de la Secretaría y que todos los consultores se utilicen para tareas concretas a muy corto plazo que se consideren necesarias para lograr la aplicación de la Convención, y </w:t>
      </w:r>
      <w:r>
        <w:rPr>
          <w:rFonts w:asciiTheme="minorHAnsi" w:hAnsiTheme="minorHAnsi"/>
          <w:sz w:val="22"/>
          <w:szCs w:val="22"/>
          <w:lang w:val="es-ES_tradnl"/>
        </w:rPr>
        <w:t>PIDE</w:t>
      </w:r>
      <w:r w:rsidR="00F07CDF" w:rsidRPr="009A4741">
        <w:rPr>
          <w:rFonts w:asciiTheme="minorHAnsi" w:hAnsiTheme="minorHAnsi"/>
          <w:sz w:val="22"/>
          <w:szCs w:val="22"/>
          <w:lang w:val="es-ES_tradnl"/>
        </w:rPr>
        <w:t xml:space="preserve"> ASIMISMO que toda iniciativa que no corresponda a esta práctica habitual se </w:t>
      </w:r>
      <w:r w:rsidR="00EF0329" w:rsidRPr="009A4741">
        <w:rPr>
          <w:rFonts w:asciiTheme="minorHAnsi" w:hAnsiTheme="minorHAnsi"/>
          <w:sz w:val="22"/>
          <w:szCs w:val="22"/>
          <w:lang w:val="es-ES_tradnl"/>
        </w:rPr>
        <w:t>discuta con el Equipo Ejecutivo;</w:t>
      </w:r>
      <w:r w:rsidR="00F07CDF" w:rsidRPr="009A4741">
        <w:rPr>
          <w:rFonts w:asciiTheme="minorHAnsi" w:hAnsiTheme="minorHAnsi"/>
          <w:sz w:val="22"/>
          <w:szCs w:val="22"/>
          <w:lang w:val="es-ES_tradnl"/>
        </w:rPr>
        <w:t xml:space="preserve"> </w:t>
      </w:r>
    </w:p>
    <w:p w14:paraId="49606F10" w14:textId="77777777" w:rsidR="00E73F79" w:rsidRPr="009A4741" w:rsidRDefault="00E73F79" w:rsidP="00AE507F">
      <w:pPr>
        <w:pStyle w:val="ListParagraph"/>
        <w:rPr>
          <w:rFonts w:asciiTheme="minorHAnsi" w:hAnsiTheme="minorHAnsi"/>
          <w:sz w:val="22"/>
          <w:szCs w:val="22"/>
          <w:lang w:val="es-ES_tradnl"/>
        </w:rPr>
      </w:pPr>
    </w:p>
    <w:p w14:paraId="33C4E981" w14:textId="07567102" w:rsidR="00D07FE7" w:rsidRPr="009A4741" w:rsidRDefault="00BC71AF"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PIDE a la Secretaría que utilice la lista </w:t>
      </w:r>
      <w:r w:rsidR="00AB0F3D" w:rsidRPr="009A4741">
        <w:rPr>
          <w:rFonts w:asciiTheme="minorHAnsi" w:hAnsiTheme="minorHAnsi"/>
          <w:sz w:val="22"/>
          <w:szCs w:val="22"/>
          <w:lang w:val="es-ES_tradnl"/>
        </w:rPr>
        <w:t xml:space="preserve">de </w:t>
      </w:r>
      <w:r w:rsidR="003F4A90" w:rsidRPr="009A4741">
        <w:rPr>
          <w:rFonts w:asciiTheme="minorHAnsi" w:hAnsiTheme="minorHAnsi"/>
          <w:sz w:val="22"/>
          <w:szCs w:val="22"/>
          <w:lang w:val="es-ES_tradnl"/>
        </w:rPr>
        <w:t>pequeños Estados insulares</w:t>
      </w:r>
      <w:r w:rsidR="0088572B" w:rsidRPr="009A4741">
        <w:rPr>
          <w:rFonts w:asciiTheme="minorHAnsi" w:hAnsiTheme="minorHAnsi"/>
          <w:sz w:val="22"/>
          <w:szCs w:val="22"/>
          <w:lang w:val="es-ES_tradnl"/>
        </w:rPr>
        <w:t xml:space="preserve"> </w:t>
      </w:r>
      <w:r w:rsidR="00AB0F3D" w:rsidRPr="009A4741">
        <w:rPr>
          <w:rFonts w:asciiTheme="minorHAnsi" w:hAnsiTheme="minorHAnsi"/>
          <w:sz w:val="22"/>
          <w:szCs w:val="22"/>
          <w:lang w:val="es-ES_tradnl"/>
        </w:rPr>
        <w:t xml:space="preserve">en desarrollo </w:t>
      </w:r>
      <w:r w:rsidR="0088572B" w:rsidRPr="009A4741">
        <w:rPr>
          <w:rFonts w:asciiTheme="minorHAnsi" w:hAnsiTheme="minorHAnsi"/>
          <w:sz w:val="22"/>
          <w:szCs w:val="22"/>
          <w:lang w:val="es-ES_tradnl"/>
        </w:rPr>
        <w:t xml:space="preserve">(SIDS) </w:t>
      </w:r>
      <w:r w:rsidR="00AB0F3D" w:rsidRPr="009A4741">
        <w:rPr>
          <w:rFonts w:asciiTheme="minorHAnsi" w:hAnsiTheme="minorHAnsi"/>
          <w:sz w:val="22"/>
          <w:szCs w:val="22"/>
          <w:lang w:val="es-ES_tradnl"/>
        </w:rPr>
        <w:t>de la Conferencia de las Naciones Unidas sobre Comercio y Desarrollo a la hora de decidir sobre la admisibilidad</w:t>
      </w:r>
      <w:r w:rsidR="003F4A90" w:rsidRPr="009A4741">
        <w:rPr>
          <w:rFonts w:asciiTheme="minorHAnsi" w:hAnsiTheme="minorHAnsi"/>
          <w:sz w:val="22"/>
          <w:szCs w:val="22"/>
          <w:lang w:val="es-ES_tradnl"/>
        </w:rPr>
        <w:t xml:space="preserve"> de delegados para el patrocinio de sus desplazamientos, y considere que los pequeños Estados insulares cumplen los requisitos para el patrocinio, sin tener en cuenta si est</w:t>
      </w:r>
      <w:r w:rsidR="0088572B" w:rsidRPr="009A4741">
        <w:rPr>
          <w:rFonts w:asciiTheme="minorHAnsi" w:hAnsiTheme="minorHAnsi"/>
          <w:sz w:val="22"/>
          <w:szCs w:val="22"/>
          <w:lang w:val="es-ES_tradnl"/>
        </w:rPr>
        <w:t>uviese</w:t>
      </w:r>
      <w:r w:rsidR="003F4A90" w:rsidRPr="009A4741">
        <w:rPr>
          <w:rFonts w:asciiTheme="minorHAnsi" w:hAnsiTheme="minorHAnsi"/>
          <w:sz w:val="22"/>
          <w:szCs w:val="22"/>
          <w:lang w:val="es-ES_tradnl"/>
        </w:rPr>
        <w:t xml:space="preserve">n clasificados formalmente como tales en la lista del Comité de Asistencia para </w:t>
      </w:r>
      <w:r w:rsidR="007942E8" w:rsidRPr="009A4741">
        <w:rPr>
          <w:rFonts w:asciiTheme="minorHAnsi" w:hAnsiTheme="minorHAnsi"/>
          <w:sz w:val="22"/>
          <w:szCs w:val="22"/>
          <w:lang w:val="es-ES_tradnl"/>
        </w:rPr>
        <w:t>el Desarrollo (CAD) de la OCDE.</w:t>
      </w:r>
    </w:p>
    <w:p w14:paraId="1A39FD2C" w14:textId="77777777" w:rsidR="007942E8" w:rsidRPr="009A4741" w:rsidRDefault="007942E8" w:rsidP="00AE507F">
      <w:pPr>
        <w:rPr>
          <w:rFonts w:asciiTheme="minorHAnsi" w:hAnsiTheme="minorHAnsi"/>
          <w:sz w:val="22"/>
          <w:szCs w:val="22"/>
          <w:lang w:val="es-ES_tradnl"/>
        </w:rPr>
      </w:pPr>
    </w:p>
    <w:p w14:paraId="37A31B2D" w14:textId="1C704BE0" w:rsidR="007942E8" w:rsidRPr="009A4741" w:rsidRDefault="007942E8"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ENCARGA a la Secretaría que </w:t>
      </w:r>
      <w:r w:rsidR="003A504D" w:rsidRPr="009A4741">
        <w:rPr>
          <w:rFonts w:asciiTheme="minorHAnsi" w:hAnsiTheme="minorHAnsi"/>
          <w:sz w:val="22"/>
          <w:szCs w:val="22"/>
          <w:lang w:val="es-ES_tradnl"/>
        </w:rPr>
        <w:t>garantice</w:t>
      </w:r>
      <w:r w:rsidRPr="009A4741">
        <w:rPr>
          <w:rFonts w:asciiTheme="minorHAnsi" w:hAnsiTheme="minorHAnsi"/>
          <w:sz w:val="22"/>
          <w:szCs w:val="22"/>
          <w:lang w:val="es-ES_tradnl"/>
        </w:rPr>
        <w:t xml:space="preserve"> que la COP13 se prepare de forma que las negociaciones sobre los proyectos de resolución puedan comenzar </w:t>
      </w:r>
      <w:r w:rsidR="002A2571" w:rsidRPr="009A4741">
        <w:rPr>
          <w:rFonts w:asciiTheme="minorHAnsi" w:hAnsiTheme="minorHAnsi"/>
          <w:sz w:val="22"/>
          <w:szCs w:val="22"/>
          <w:lang w:val="es-ES_tradnl"/>
        </w:rPr>
        <w:t xml:space="preserve">lo </w:t>
      </w:r>
      <w:r w:rsidR="000824AF" w:rsidRPr="009A4741">
        <w:rPr>
          <w:rFonts w:asciiTheme="minorHAnsi" w:hAnsiTheme="minorHAnsi"/>
          <w:sz w:val="22"/>
          <w:szCs w:val="22"/>
          <w:lang w:val="es-ES_tradnl"/>
        </w:rPr>
        <w:t>antes</w:t>
      </w:r>
      <w:r w:rsidRPr="009A4741">
        <w:rPr>
          <w:rFonts w:asciiTheme="minorHAnsi" w:hAnsiTheme="minorHAnsi"/>
          <w:sz w:val="22"/>
          <w:szCs w:val="22"/>
          <w:lang w:val="es-ES_tradnl"/>
        </w:rPr>
        <w:t xml:space="preserve"> posible y a más tardar la tarde del primer día de la COP; y</w:t>
      </w:r>
    </w:p>
    <w:p w14:paraId="5D5A9D62" w14:textId="77777777" w:rsidR="007942E8" w:rsidRPr="009A4741" w:rsidRDefault="007942E8" w:rsidP="00AE507F">
      <w:pPr>
        <w:rPr>
          <w:rFonts w:asciiTheme="minorHAnsi" w:hAnsiTheme="minorHAnsi"/>
          <w:sz w:val="22"/>
          <w:szCs w:val="22"/>
          <w:lang w:val="es-ES_tradnl"/>
        </w:rPr>
      </w:pPr>
    </w:p>
    <w:p w14:paraId="651E7AD1" w14:textId="5CC76724" w:rsidR="007942E8" w:rsidRPr="009A4741" w:rsidRDefault="007942E8" w:rsidP="00AE507F">
      <w:pPr>
        <w:pStyle w:val="ListParagraph"/>
        <w:numPr>
          <w:ilvl w:val="0"/>
          <w:numId w:val="1"/>
        </w:numPr>
        <w:ind w:left="426" w:hanging="426"/>
        <w:rPr>
          <w:rFonts w:asciiTheme="minorHAnsi" w:hAnsiTheme="minorHAnsi"/>
          <w:sz w:val="22"/>
          <w:szCs w:val="22"/>
          <w:lang w:val="es-ES_tradnl"/>
        </w:rPr>
      </w:pPr>
      <w:r w:rsidRPr="009A4741">
        <w:rPr>
          <w:rFonts w:asciiTheme="minorHAnsi" w:hAnsiTheme="minorHAnsi"/>
          <w:sz w:val="22"/>
          <w:szCs w:val="22"/>
          <w:lang w:val="es-ES_tradnl"/>
        </w:rPr>
        <w:t xml:space="preserve">ENCARGA ASIMISMO a la Secretaría que haga todo lo posible </w:t>
      </w:r>
      <w:r w:rsidR="000824AF" w:rsidRPr="009A4741">
        <w:rPr>
          <w:rFonts w:asciiTheme="minorHAnsi" w:hAnsiTheme="minorHAnsi"/>
          <w:sz w:val="22"/>
          <w:szCs w:val="22"/>
          <w:lang w:val="es-ES_tradnl"/>
        </w:rPr>
        <w:t>para</w:t>
      </w:r>
      <w:r w:rsidRPr="009A4741">
        <w:rPr>
          <w:rFonts w:asciiTheme="minorHAnsi" w:hAnsiTheme="minorHAnsi"/>
          <w:sz w:val="22"/>
          <w:szCs w:val="22"/>
          <w:lang w:val="es-ES_tradnl"/>
        </w:rPr>
        <w:t xml:space="preserve"> que </w:t>
      </w:r>
      <w:r w:rsidR="000824AF" w:rsidRPr="009A4741">
        <w:rPr>
          <w:rFonts w:asciiTheme="minorHAnsi" w:hAnsiTheme="minorHAnsi"/>
          <w:sz w:val="22"/>
          <w:szCs w:val="22"/>
          <w:lang w:val="es-ES_tradnl"/>
        </w:rPr>
        <w:t>los</w:t>
      </w:r>
      <w:r w:rsidRPr="009A4741">
        <w:rPr>
          <w:rFonts w:asciiTheme="minorHAnsi" w:hAnsiTheme="minorHAnsi"/>
          <w:sz w:val="22"/>
          <w:szCs w:val="22"/>
          <w:lang w:val="es-ES_tradnl"/>
        </w:rPr>
        <w:t xml:space="preserve"> proyectos de resolución revisados </w:t>
      </w:r>
      <w:r w:rsidR="000824AF" w:rsidRPr="009A4741">
        <w:rPr>
          <w:rFonts w:asciiTheme="minorHAnsi" w:hAnsiTheme="minorHAnsi"/>
          <w:sz w:val="22"/>
          <w:szCs w:val="22"/>
          <w:lang w:val="es-ES_tradnl"/>
        </w:rPr>
        <w:t xml:space="preserve">se traduzcan </w:t>
      </w:r>
      <w:r w:rsidRPr="009A4741">
        <w:rPr>
          <w:rFonts w:asciiTheme="minorHAnsi" w:hAnsiTheme="minorHAnsi"/>
          <w:sz w:val="22"/>
          <w:szCs w:val="22"/>
          <w:lang w:val="es-ES_tradnl"/>
        </w:rPr>
        <w:t xml:space="preserve">a todas las lenguas oficiales durante la COP13 </w:t>
      </w:r>
      <w:r w:rsidR="000824AF" w:rsidRPr="009A4741">
        <w:rPr>
          <w:rFonts w:asciiTheme="minorHAnsi" w:hAnsiTheme="minorHAnsi"/>
          <w:sz w:val="22"/>
          <w:szCs w:val="22"/>
          <w:lang w:val="es-ES_tradnl"/>
        </w:rPr>
        <w:t>de forma que todas las delegaciones puedan participar plena y eficazmente</w:t>
      </w:r>
      <w:r w:rsidRPr="009A4741">
        <w:rPr>
          <w:rFonts w:asciiTheme="minorHAnsi" w:hAnsiTheme="minorHAnsi"/>
          <w:sz w:val="22"/>
          <w:szCs w:val="22"/>
          <w:lang w:val="es-ES_tradnl"/>
        </w:rPr>
        <w:t>.</w:t>
      </w:r>
    </w:p>
    <w:p w14:paraId="19916EF6" w14:textId="77777777" w:rsidR="009A67CE" w:rsidRPr="009A4741" w:rsidRDefault="009A67CE" w:rsidP="00AE507F">
      <w:pPr>
        <w:rPr>
          <w:rFonts w:asciiTheme="minorHAnsi" w:hAnsiTheme="minorHAnsi"/>
          <w:lang w:val="es-ES_tradnl"/>
        </w:rPr>
      </w:pPr>
    </w:p>
    <w:p w14:paraId="7B5A9693" w14:textId="77777777" w:rsidR="00DA5CE4" w:rsidRPr="009A4741" w:rsidRDefault="00DA5CE4" w:rsidP="00AE507F">
      <w:pPr>
        <w:rPr>
          <w:rFonts w:asciiTheme="minorHAnsi" w:hAnsiTheme="minorHAnsi"/>
          <w:lang w:val="es-ES_tradnl"/>
        </w:rPr>
      </w:pPr>
    </w:p>
    <w:p w14:paraId="28DF8A2C" w14:textId="4E38D7A9" w:rsidR="00F07CDF" w:rsidRPr="00321121" w:rsidRDefault="00291D10" w:rsidP="00321121">
      <w:pPr>
        <w:ind w:left="1134" w:hanging="1134"/>
        <w:rPr>
          <w:rFonts w:asciiTheme="minorHAnsi" w:hAnsiTheme="minorHAnsi"/>
          <w:b/>
          <w:sz w:val="22"/>
          <w:szCs w:val="22"/>
          <w:lang w:val="es-ES_tradnl"/>
        </w:rPr>
      </w:pPr>
      <w:r w:rsidRPr="00321121">
        <w:rPr>
          <w:rFonts w:asciiTheme="minorHAnsi" w:hAnsiTheme="minorHAnsi"/>
          <w:b/>
          <w:sz w:val="22"/>
          <w:szCs w:val="22"/>
          <w:lang w:val="es-ES_tradnl"/>
        </w:rPr>
        <w:t>An</w:t>
      </w:r>
      <w:r w:rsidR="00C91050" w:rsidRPr="00321121">
        <w:rPr>
          <w:rFonts w:asciiTheme="minorHAnsi" w:hAnsiTheme="minorHAnsi"/>
          <w:b/>
          <w:sz w:val="22"/>
          <w:szCs w:val="22"/>
          <w:lang w:val="es-ES_tradnl"/>
        </w:rPr>
        <w:t>ex</w:t>
      </w:r>
      <w:r w:rsidRPr="00321121">
        <w:rPr>
          <w:rFonts w:asciiTheme="minorHAnsi" w:hAnsiTheme="minorHAnsi"/>
          <w:b/>
          <w:sz w:val="22"/>
          <w:szCs w:val="22"/>
          <w:lang w:val="es-ES_tradnl"/>
        </w:rPr>
        <w:t>o</w:t>
      </w:r>
      <w:r w:rsidR="009A4741" w:rsidRPr="00321121">
        <w:rPr>
          <w:rFonts w:asciiTheme="minorHAnsi" w:hAnsiTheme="minorHAnsi"/>
          <w:b/>
          <w:sz w:val="22"/>
          <w:szCs w:val="22"/>
          <w:lang w:val="es-ES_tradnl"/>
        </w:rPr>
        <w:t xml:space="preserve"> 1</w:t>
      </w:r>
      <w:r w:rsidR="00C91050" w:rsidRPr="00321121">
        <w:rPr>
          <w:rFonts w:asciiTheme="minorHAnsi" w:hAnsiTheme="minorHAnsi"/>
          <w:b/>
          <w:sz w:val="22"/>
          <w:szCs w:val="22"/>
          <w:lang w:val="es-ES_tradnl"/>
        </w:rPr>
        <w:tab/>
      </w:r>
      <w:r w:rsidR="00D820CA" w:rsidRPr="00321121">
        <w:rPr>
          <w:rFonts w:asciiTheme="minorHAnsi" w:hAnsiTheme="minorHAnsi"/>
          <w:b/>
          <w:sz w:val="22"/>
          <w:szCs w:val="22"/>
          <w:lang w:val="es-ES_tradnl"/>
        </w:rPr>
        <w:t>Presupuesto combinado para 2016-2018</w:t>
      </w:r>
    </w:p>
    <w:p w14:paraId="386DF888" w14:textId="6CB01BD9" w:rsidR="001F0CE3" w:rsidRPr="00321121" w:rsidRDefault="00291D10" w:rsidP="00321121">
      <w:pPr>
        <w:ind w:left="1134" w:hanging="1134"/>
        <w:rPr>
          <w:rFonts w:asciiTheme="minorHAnsi" w:hAnsiTheme="minorHAnsi"/>
          <w:b/>
          <w:sz w:val="22"/>
          <w:szCs w:val="22"/>
          <w:lang w:val="es-ES_tradnl"/>
        </w:rPr>
      </w:pPr>
      <w:r w:rsidRPr="00321121">
        <w:rPr>
          <w:rFonts w:asciiTheme="minorHAnsi" w:hAnsiTheme="minorHAnsi"/>
          <w:b/>
          <w:sz w:val="22"/>
          <w:szCs w:val="22"/>
          <w:lang w:val="es-ES_tradnl"/>
        </w:rPr>
        <w:t>An</w:t>
      </w:r>
      <w:r w:rsidR="001F0CE3" w:rsidRPr="00321121">
        <w:rPr>
          <w:rFonts w:asciiTheme="minorHAnsi" w:hAnsiTheme="minorHAnsi"/>
          <w:b/>
          <w:sz w:val="22"/>
          <w:szCs w:val="22"/>
          <w:lang w:val="es-ES_tradnl"/>
        </w:rPr>
        <w:t>ex</w:t>
      </w:r>
      <w:r w:rsidRPr="00321121">
        <w:rPr>
          <w:rFonts w:asciiTheme="minorHAnsi" w:hAnsiTheme="minorHAnsi"/>
          <w:b/>
          <w:sz w:val="22"/>
          <w:szCs w:val="22"/>
          <w:lang w:val="es-ES_tradnl"/>
        </w:rPr>
        <w:t>o</w:t>
      </w:r>
      <w:r w:rsidR="009A4741" w:rsidRPr="00321121">
        <w:rPr>
          <w:rFonts w:asciiTheme="minorHAnsi" w:hAnsiTheme="minorHAnsi"/>
          <w:b/>
          <w:sz w:val="22"/>
          <w:szCs w:val="22"/>
          <w:lang w:val="es-ES_tradnl"/>
        </w:rPr>
        <w:t xml:space="preserve"> 2</w:t>
      </w:r>
      <w:r w:rsidR="001F0CE3" w:rsidRPr="00321121">
        <w:rPr>
          <w:rFonts w:asciiTheme="minorHAnsi" w:hAnsiTheme="minorHAnsi"/>
          <w:b/>
          <w:sz w:val="22"/>
          <w:szCs w:val="22"/>
          <w:lang w:val="es-ES_tradnl"/>
        </w:rPr>
        <w:tab/>
      </w:r>
      <w:r w:rsidR="00D820CA" w:rsidRPr="00321121">
        <w:rPr>
          <w:rFonts w:asciiTheme="minorHAnsi" w:hAnsiTheme="minorHAnsi"/>
          <w:b/>
          <w:sz w:val="22"/>
          <w:szCs w:val="22"/>
          <w:lang w:val="es-ES_tradnl"/>
        </w:rPr>
        <w:t>Contribuciones ilustrativas al presupuesto básico para 2016-2018, por Parte Contratante</w:t>
      </w:r>
    </w:p>
    <w:p w14:paraId="6DE44D66" w14:textId="39F46154" w:rsidR="00C91050" w:rsidRPr="00321121" w:rsidRDefault="00291D10" w:rsidP="00321121">
      <w:pPr>
        <w:ind w:left="1134" w:hanging="1134"/>
        <w:rPr>
          <w:rFonts w:asciiTheme="minorHAnsi" w:hAnsiTheme="minorHAnsi"/>
          <w:b/>
          <w:sz w:val="22"/>
          <w:szCs w:val="22"/>
          <w:lang w:val="es-ES_tradnl"/>
        </w:rPr>
      </w:pPr>
      <w:r w:rsidRPr="00321121">
        <w:rPr>
          <w:rFonts w:asciiTheme="minorHAnsi" w:hAnsiTheme="minorHAnsi"/>
          <w:b/>
          <w:sz w:val="22"/>
          <w:szCs w:val="22"/>
          <w:lang w:val="es-ES_tradnl"/>
        </w:rPr>
        <w:t>An</w:t>
      </w:r>
      <w:r w:rsidR="00C91050" w:rsidRPr="00321121">
        <w:rPr>
          <w:rFonts w:asciiTheme="minorHAnsi" w:hAnsiTheme="minorHAnsi"/>
          <w:b/>
          <w:sz w:val="22"/>
          <w:szCs w:val="22"/>
          <w:lang w:val="es-ES_tradnl"/>
        </w:rPr>
        <w:t>ex</w:t>
      </w:r>
      <w:r w:rsidRPr="00321121">
        <w:rPr>
          <w:rFonts w:asciiTheme="minorHAnsi" w:hAnsiTheme="minorHAnsi"/>
          <w:b/>
          <w:sz w:val="22"/>
          <w:szCs w:val="22"/>
          <w:lang w:val="es-ES_tradnl"/>
        </w:rPr>
        <w:t>o</w:t>
      </w:r>
      <w:r w:rsidR="009A4741" w:rsidRPr="00321121">
        <w:rPr>
          <w:rFonts w:asciiTheme="minorHAnsi" w:hAnsiTheme="minorHAnsi"/>
          <w:b/>
          <w:sz w:val="22"/>
          <w:szCs w:val="22"/>
          <w:lang w:val="es-ES_tradnl"/>
        </w:rPr>
        <w:t xml:space="preserve"> 3</w:t>
      </w:r>
      <w:r w:rsidR="00C91050" w:rsidRPr="00321121">
        <w:rPr>
          <w:rFonts w:asciiTheme="minorHAnsi" w:hAnsiTheme="minorHAnsi"/>
          <w:b/>
          <w:sz w:val="22"/>
          <w:szCs w:val="22"/>
          <w:lang w:val="es-ES_tradnl"/>
        </w:rPr>
        <w:t xml:space="preserve"> </w:t>
      </w:r>
      <w:r w:rsidR="00C91050" w:rsidRPr="00321121">
        <w:rPr>
          <w:rFonts w:asciiTheme="minorHAnsi" w:hAnsiTheme="minorHAnsi"/>
          <w:b/>
          <w:sz w:val="22"/>
          <w:szCs w:val="22"/>
          <w:lang w:val="es-ES_tradnl"/>
        </w:rPr>
        <w:tab/>
      </w:r>
      <w:r w:rsidR="00D820CA" w:rsidRPr="00321121">
        <w:rPr>
          <w:rFonts w:asciiTheme="minorHAnsi" w:hAnsiTheme="minorHAnsi"/>
          <w:b/>
          <w:sz w:val="22"/>
          <w:szCs w:val="22"/>
          <w:lang w:val="es-ES_tradnl"/>
        </w:rPr>
        <w:t xml:space="preserve">Análisis de las partidas previstas no financiadas </w:t>
      </w:r>
      <w:r w:rsidR="009A4741" w:rsidRPr="00321121">
        <w:rPr>
          <w:rFonts w:asciiTheme="minorHAnsi" w:hAnsiTheme="minorHAnsi"/>
          <w:b/>
          <w:sz w:val="22"/>
          <w:szCs w:val="22"/>
          <w:lang w:val="es-ES_tradnl"/>
        </w:rPr>
        <w:t>con cargo al</w:t>
      </w:r>
      <w:r w:rsidR="00D820CA" w:rsidRPr="00321121">
        <w:rPr>
          <w:rFonts w:asciiTheme="minorHAnsi" w:hAnsiTheme="minorHAnsi"/>
          <w:b/>
          <w:sz w:val="22"/>
          <w:szCs w:val="22"/>
          <w:lang w:val="es-ES_tradnl"/>
        </w:rPr>
        <w:t xml:space="preserve"> presupuesto básico para 2016-2018, por orden de prioridad</w:t>
      </w:r>
    </w:p>
    <w:p w14:paraId="6A7A33A5" w14:textId="02928EF9" w:rsidR="00D820CA" w:rsidRPr="00321121" w:rsidRDefault="009A4741" w:rsidP="00321121">
      <w:pPr>
        <w:ind w:left="1134" w:hanging="1134"/>
        <w:rPr>
          <w:rFonts w:asciiTheme="minorHAnsi" w:hAnsiTheme="minorHAnsi"/>
          <w:b/>
          <w:sz w:val="22"/>
          <w:szCs w:val="22"/>
          <w:lang w:val="es-ES_tradnl"/>
        </w:rPr>
      </w:pPr>
      <w:r w:rsidRPr="00321121">
        <w:rPr>
          <w:rFonts w:asciiTheme="minorHAnsi" w:hAnsiTheme="minorHAnsi"/>
          <w:b/>
          <w:sz w:val="22"/>
          <w:szCs w:val="22"/>
          <w:lang w:val="es-ES_tradnl"/>
        </w:rPr>
        <w:t>Anexo 4</w:t>
      </w:r>
      <w:r w:rsidR="00D820CA" w:rsidRPr="00321121">
        <w:rPr>
          <w:rFonts w:asciiTheme="minorHAnsi" w:hAnsiTheme="minorHAnsi"/>
          <w:b/>
          <w:sz w:val="22"/>
          <w:szCs w:val="22"/>
          <w:lang w:val="es-ES_tradnl"/>
        </w:rPr>
        <w:tab/>
      </w:r>
      <w:r w:rsidR="00B97B7E" w:rsidRPr="00321121">
        <w:rPr>
          <w:rFonts w:asciiTheme="minorHAnsi" w:hAnsiTheme="minorHAnsi"/>
          <w:b/>
          <w:sz w:val="22"/>
          <w:szCs w:val="22"/>
          <w:lang w:val="es-ES_tradnl"/>
        </w:rPr>
        <w:t xml:space="preserve">Personal (básico) de la Secretaría aprobado para 2016-2018   </w:t>
      </w:r>
    </w:p>
    <w:p w14:paraId="6D1C28DD" w14:textId="77777777" w:rsidR="00C91050" w:rsidRPr="009A4741" w:rsidRDefault="00C91050" w:rsidP="00AE507F">
      <w:pPr>
        <w:rPr>
          <w:rFonts w:asciiTheme="minorHAnsi" w:hAnsiTheme="minorHAnsi"/>
          <w:lang w:val="es-ES_tradnl"/>
        </w:rPr>
      </w:pPr>
    </w:p>
    <w:p w14:paraId="6C58A403" w14:textId="77777777" w:rsidR="00CC6891" w:rsidRPr="009A4741" w:rsidRDefault="00CC6891">
      <w:pPr>
        <w:spacing w:after="200" w:line="276" w:lineRule="auto"/>
        <w:rPr>
          <w:rFonts w:asciiTheme="minorHAnsi" w:hAnsiTheme="minorHAnsi"/>
          <w:lang w:val="es-ES_tradnl"/>
        </w:rPr>
      </w:pPr>
      <w:r w:rsidRPr="009A4741">
        <w:rPr>
          <w:rFonts w:asciiTheme="minorHAnsi" w:hAnsiTheme="minorHAnsi"/>
          <w:lang w:val="es-ES_tradnl"/>
        </w:rPr>
        <w:br w:type="page"/>
      </w:r>
    </w:p>
    <w:p w14:paraId="1F98FF80" w14:textId="666AC8A1" w:rsidR="005A4E93" w:rsidRPr="009A4741" w:rsidRDefault="009A4741" w:rsidP="005A4E93">
      <w:pPr>
        <w:ind w:left="540" w:hanging="540"/>
        <w:rPr>
          <w:rFonts w:asciiTheme="minorHAnsi" w:hAnsiTheme="minorHAnsi"/>
          <w:b/>
          <w:sz w:val="28"/>
          <w:szCs w:val="28"/>
          <w:lang w:val="es-ES_tradnl"/>
        </w:rPr>
      </w:pPr>
      <w:r w:rsidRPr="009A4741">
        <w:rPr>
          <w:rFonts w:asciiTheme="minorHAnsi" w:hAnsiTheme="minorHAnsi"/>
          <w:b/>
          <w:sz w:val="28"/>
          <w:szCs w:val="28"/>
          <w:lang w:val="es-ES_tradnl"/>
        </w:rPr>
        <w:lastRenderedPageBreak/>
        <w:t>Anexo 1</w:t>
      </w:r>
    </w:p>
    <w:p w14:paraId="4B8EA771" w14:textId="77777777" w:rsidR="000E74F9" w:rsidRPr="009A4741" w:rsidRDefault="000E74F9" w:rsidP="000E74F9">
      <w:pPr>
        <w:ind w:left="540" w:hanging="540"/>
        <w:rPr>
          <w:rFonts w:asciiTheme="minorHAnsi" w:hAnsiTheme="minorHAnsi"/>
          <w:b/>
          <w:sz w:val="28"/>
          <w:szCs w:val="28"/>
          <w:lang w:val="es-ES_tradnl"/>
        </w:rPr>
      </w:pPr>
    </w:p>
    <w:p w14:paraId="3ABA8101" w14:textId="25CCCB53" w:rsidR="000E74F9" w:rsidRPr="009A4741" w:rsidRDefault="00B97B7E" w:rsidP="000E74F9">
      <w:pPr>
        <w:rPr>
          <w:rFonts w:asciiTheme="minorHAnsi" w:hAnsiTheme="minorHAnsi"/>
          <w:b/>
          <w:sz w:val="28"/>
          <w:szCs w:val="28"/>
          <w:lang w:val="es-ES_tradnl"/>
        </w:rPr>
      </w:pPr>
      <w:r w:rsidRPr="009A4741">
        <w:rPr>
          <w:rFonts w:asciiTheme="minorHAnsi" w:hAnsiTheme="minorHAnsi"/>
          <w:b/>
          <w:sz w:val="28"/>
          <w:szCs w:val="28"/>
          <w:lang w:val="es-ES_tradnl"/>
        </w:rPr>
        <w:t>Presupuesto combinado para 2016-2018</w:t>
      </w:r>
    </w:p>
    <w:p w14:paraId="670741C1" w14:textId="77777777" w:rsidR="000E74F9" w:rsidRPr="009A4741" w:rsidRDefault="000E74F9" w:rsidP="000E74F9">
      <w:pPr>
        <w:rPr>
          <w:rFonts w:asciiTheme="minorHAnsi" w:hAnsiTheme="minorHAnsi"/>
          <w:sz w:val="16"/>
          <w:szCs w:val="16"/>
          <w:lang w:val="es-ES_tradnl"/>
        </w:rPr>
      </w:pPr>
    </w:p>
    <w:p w14:paraId="1C72728A" w14:textId="013712C4" w:rsidR="005A4E93" w:rsidRPr="009A4741" w:rsidRDefault="00321121" w:rsidP="005A4E93">
      <w:pPr>
        <w:rPr>
          <w:rFonts w:asciiTheme="minorHAnsi" w:hAnsiTheme="minorHAnsi"/>
          <w:b/>
          <w:lang w:val="es-ES_tradnl"/>
        </w:rPr>
      </w:pPr>
      <w:r w:rsidRPr="00321121">
        <w:drawing>
          <wp:inline distT="0" distB="0" distL="0" distR="0" wp14:anchorId="5180631E" wp14:editId="223AE6C5">
            <wp:extent cx="5732145" cy="512876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5128761"/>
                    </a:xfrm>
                    <a:prstGeom prst="rect">
                      <a:avLst/>
                    </a:prstGeom>
                    <a:noFill/>
                    <a:ln>
                      <a:noFill/>
                    </a:ln>
                  </pic:spPr>
                </pic:pic>
              </a:graphicData>
            </a:graphic>
          </wp:inline>
        </w:drawing>
      </w:r>
    </w:p>
    <w:p w14:paraId="6DA0E169" w14:textId="77777777" w:rsidR="005A4E93" w:rsidRPr="009A4741" w:rsidRDefault="005A4E93" w:rsidP="005A4E93">
      <w:pPr>
        <w:ind w:left="540" w:hanging="540"/>
        <w:rPr>
          <w:rFonts w:asciiTheme="minorHAnsi" w:hAnsiTheme="minorHAnsi"/>
          <w:b/>
          <w:sz w:val="28"/>
          <w:szCs w:val="28"/>
          <w:lang w:val="es-ES_tradnl"/>
        </w:rPr>
      </w:pPr>
    </w:p>
    <w:p w14:paraId="4FF46BB6" w14:textId="77777777" w:rsidR="005A4E93" w:rsidRPr="009A4741" w:rsidRDefault="005A4E93" w:rsidP="005A4E93">
      <w:pPr>
        <w:rPr>
          <w:rFonts w:ascii="Calibri" w:hAnsi="Calibri" w:cs="Arial"/>
          <w:b/>
          <w:sz w:val="22"/>
          <w:szCs w:val="22"/>
          <w:lang w:val="es-ES_tradnl"/>
        </w:rPr>
      </w:pPr>
    </w:p>
    <w:p w14:paraId="6ED4F49D" w14:textId="77777777" w:rsidR="005A4E93" w:rsidRPr="009A4741" w:rsidRDefault="005A4E93" w:rsidP="005A4E93">
      <w:pPr>
        <w:spacing w:after="200" w:line="276" w:lineRule="auto"/>
        <w:rPr>
          <w:rFonts w:asciiTheme="minorHAnsi" w:hAnsiTheme="minorHAnsi"/>
          <w:b/>
          <w:sz w:val="28"/>
          <w:szCs w:val="28"/>
          <w:lang w:val="es-ES_tradnl"/>
        </w:rPr>
      </w:pPr>
      <w:r w:rsidRPr="009A4741">
        <w:rPr>
          <w:rFonts w:asciiTheme="minorHAnsi" w:hAnsiTheme="minorHAnsi"/>
          <w:b/>
          <w:sz w:val="28"/>
          <w:szCs w:val="28"/>
          <w:lang w:val="es-ES_tradnl"/>
        </w:rPr>
        <w:br w:type="page"/>
      </w:r>
    </w:p>
    <w:p w14:paraId="7AB92085" w14:textId="10651225" w:rsidR="005A4E93" w:rsidRPr="009A4741" w:rsidRDefault="005A4E93" w:rsidP="005A4E93">
      <w:pPr>
        <w:ind w:left="540" w:hanging="540"/>
        <w:rPr>
          <w:rFonts w:asciiTheme="minorHAnsi" w:hAnsiTheme="minorHAnsi"/>
          <w:b/>
          <w:sz w:val="28"/>
          <w:szCs w:val="28"/>
          <w:lang w:val="es-ES_tradnl"/>
        </w:rPr>
      </w:pPr>
      <w:r w:rsidRPr="009A4741">
        <w:rPr>
          <w:rFonts w:asciiTheme="minorHAnsi" w:hAnsiTheme="minorHAnsi"/>
          <w:b/>
          <w:sz w:val="28"/>
          <w:szCs w:val="28"/>
          <w:lang w:val="es-ES_tradnl"/>
        </w:rPr>
        <w:lastRenderedPageBreak/>
        <w:t xml:space="preserve">Anexo </w:t>
      </w:r>
      <w:r w:rsidR="009A4741" w:rsidRPr="009A4741">
        <w:rPr>
          <w:rFonts w:asciiTheme="minorHAnsi" w:hAnsiTheme="minorHAnsi"/>
          <w:b/>
          <w:sz w:val="28"/>
          <w:szCs w:val="28"/>
          <w:lang w:val="es-ES_tradnl"/>
        </w:rPr>
        <w:t>2</w:t>
      </w:r>
    </w:p>
    <w:p w14:paraId="2B218754" w14:textId="14AE755F" w:rsidR="005A4E93" w:rsidRPr="009A4741" w:rsidRDefault="005A4E93" w:rsidP="005A4E93">
      <w:pPr>
        <w:rPr>
          <w:rFonts w:asciiTheme="minorHAnsi" w:hAnsiTheme="minorHAnsi"/>
          <w:b/>
          <w:lang w:val="es-ES_tradnl"/>
        </w:rPr>
      </w:pPr>
      <w:r w:rsidRPr="009A4741">
        <w:rPr>
          <w:rFonts w:asciiTheme="minorHAnsi" w:hAnsiTheme="minorHAnsi"/>
          <w:b/>
          <w:lang w:val="es-ES_tradnl"/>
        </w:rPr>
        <w:t>Contribuciones ilustrativas al presupuesto básico para 2016-2018, por Parte Contratante</w:t>
      </w:r>
    </w:p>
    <w:p w14:paraId="14F5AD8B" w14:textId="77777777" w:rsidR="007163E6" w:rsidRPr="009A4741" w:rsidRDefault="007163E6" w:rsidP="005A4E93">
      <w:pPr>
        <w:rPr>
          <w:rFonts w:asciiTheme="minorHAnsi" w:hAnsiTheme="minorHAnsi"/>
          <w:b/>
          <w:lang w:val="es-ES_tradnl"/>
        </w:rPr>
      </w:pPr>
    </w:p>
    <w:p w14:paraId="3078F515" w14:textId="778EAEAC" w:rsidR="00321121" w:rsidRDefault="00D12187" w:rsidP="00321121">
      <w:pPr>
        <w:ind w:left="540" w:hanging="540"/>
        <w:rPr>
          <w:rFonts w:asciiTheme="minorHAnsi" w:hAnsiTheme="minorHAnsi"/>
          <w:b/>
          <w:sz w:val="22"/>
          <w:szCs w:val="22"/>
          <w:lang w:val="es-ES_tradnl"/>
        </w:rPr>
      </w:pPr>
      <w:r w:rsidRPr="00D12187">
        <w:drawing>
          <wp:inline distT="0" distB="0" distL="0" distR="0" wp14:anchorId="2DDD74E3" wp14:editId="0DE7254D">
            <wp:extent cx="4625340" cy="77406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340" cy="7740650"/>
                    </a:xfrm>
                    <a:prstGeom prst="rect">
                      <a:avLst/>
                    </a:prstGeom>
                    <a:noFill/>
                    <a:ln>
                      <a:noFill/>
                    </a:ln>
                  </pic:spPr>
                </pic:pic>
              </a:graphicData>
            </a:graphic>
          </wp:inline>
        </w:drawing>
      </w:r>
    </w:p>
    <w:p w14:paraId="37CFEE90" w14:textId="77777777" w:rsidR="00D12187" w:rsidRPr="00321121" w:rsidRDefault="00D12187" w:rsidP="00321121">
      <w:pPr>
        <w:ind w:left="540" w:hanging="540"/>
        <w:rPr>
          <w:rFonts w:asciiTheme="minorHAnsi" w:hAnsiTheme="minorHAnsi"/>
          <w:b/>
          <w:sz w:val="22"/>
          <w:szCs w:val="22"/>
          <w:lang w:val="es-ES_tradnl"/>
        </w:rPr>
      </w:pPr>
    </w:p>
    <w:p w14:paraId="2B5EF8FA" w14:textId="77777777" w:rsidR="00321121" w:rsidRPr="00321121" w:rsidRDefault="00321121" w:rsidP="00321121">
      <w:pPr>
        <w:rPr>
          <w:rFonts w:ascii="Calibri" w:hAnsi="Calibri" w:cs="Arial"/>
          <w:sz w:val="22"/>
          <w:szCs w:val="22"/>
          <w:lang w:val="es-ES_tradnl"/>
        </w:rPr>
      </w:pPr>
      <w:r w:rsidRPr="00321121">
        <w:rPr>
          <w:rFonts w:ascii="Calibri" w:hAnsi="Calibri" w:cs="Arial"/>
          <w:sz w:val="22"/>
          <w:szCs w:val="22"/>
          <w:lang w:val="es-ES_tradnl"/>
        </w:rPr>
        <w:t>* Se aplicará la escala revisada de las Naciones Unidas cuando esta se haya publicado.</w:t>
      </w:r>
    </w:p>
    <w:p w14:paraId="75825A32" w14:textId="77777777" w:rsidR="00321121" w:rsidRPr="00321121" w:rsidRDefault="00321121" w:rsidP="00321121">
      <w:pPr>
        <w:rPr>
          <w:rFonts w:ascii="Calibri" w:hAnsi="Calibri" w:cs="Arial"/>
          <w:sz w:val="22"/>
          <w:szCs w:val="22"/>
          <w:lang w:val="es-ES_tradnl"/>
        </w:rPr>
      </w:pPr>
      <w:r w:rsidRPr="00321121">
        <w:rPr>
          <w:rFonts w:ascii="Calibri" w:hAnsi="Calibri" w:cs="Arial"/>
          <w:sz w:val="22"/>
          <w:szCs w:val="22"/>
          <w:lang w:val="es-ES_tradnl"/>
        </w:rPr>
        <w:t>** Al igual que anteriormente, el 22 % de las contribuciones totales de las Partes.</w:t>
      </w:r>
    </w:p>
    <w:p w14:paraId="4A74429F" w14:textId="767E44F3" w:rsidR="005A4E93" w:rsidRPr="009A4741" w:rsidRDefault="003F6DF6" w:rsidP="005A4E93">
      <w:pPr>
        <w:ind w:left="540" w:hanging="540"/>
        <w:rPr>
          <w:rFonts w:asciiTheme="minorHAnsi" w:hAnsiTheme="minorHAnsi"/>
          <w:b/>
          <w:sz w:val="28"/>
          <w:szCs w:val="28"/>
          <w:lang w:val="es-ES_tradnl"/>
        </w:rPr>
      </w:pPr>
      <w:r w:rsidRPr="003F6DF6">
        <w:lastRenderedPageBreak/>
        <w:drawing>
          <wp:inline distT="0" distB="0" distL="0" distR="0" wp14:anchorId="4754C5E5" wp14:editId="03FC05FC">
            <wp:extent cx="4625340" cy="810196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5340" cy="8101965"/>
                    </a:xfrm>
                    <a:prstGeom prst="rect">
                      <a:avLst/>
                    </a:prstGeom>
                    <a:noFill/>
                    <a:ln>
                      <a:noFill/>
                    </a:ln>
                  </pic:spPr>
                </pic:pic>
              </a:graphicData>
            </a:graphic>
          </wp:inline>
        </w:drawing>
      </w:r>
    </w:p>
    <w:p w14:paraId="012BFBDA" w14:textId="77777777" w:rsidR="005166D5" w:rsidRPr="003F6DF6" w:rsidRDefault="005166D5" w:rsidP="005A4E93">
      <w:pPr>
        <w:ind w:left="540" w:hanging="540"/>
        <w:rPr>
          <w:rFonts w:asciiTheme="minorHAnsi" w:hAnsiTheme="minorHAnsi"/>
          <w:b/>
          <w:sz w:val="22"/>
          <w:szCs w:val="22"/>
          <w:lang w:val="es-ES_tradnl"/>
        </w:rPr>
      </w:pPr>
    </w:p>
    <w:p w14:paraId="22BFF780" w14:textId="77777777" w:rsidR="005166D5" w:rsidRPr="003F6DF6" w:rsidRDefault="005166D5" w:rsidP="005166D5">
      <w:pPr>
        <w:rPr>
          <w:rFonts w:ascii="Calibri" w:hAnsi="Calibri" w:cs="Arial"/>
          <w:sz w:val="22"/>
          <w:szCs w:val="22"/>
          <w:lang w:val="es-ES_tradnl"/>
        </w:rPr>
      </w:pPr>
      <w:r w:rsidRPr="003F6DF6">
        <w:rPr>
          <w:rFonts w:ascii="Calibri" w:hAnsi="Calibri" w:cs="Arial"/>
          <w:sz w:val="22"/>
          <w:szCs w:val="22"/>
          <w:lang w:val="es-ES_tradnl"/>
        </w:rPr>
        <w:t>* Se aplicará la escala revisada de las Naciones Unidas cuando esta se haya publicado.</w:t>
      </w:r>
    </w:p>
    <w:p w14:paraId="3986BDCC" w14:textId="7545AF50" w:rsidR="005166D5" w:rsidRPr="003F6DF6" w:rsidRDefault="005166D5" w:rsidP="005166D5">
      <w:pPr>
        <w:rPr>
          <w:rFonts w:ascii="Calibri" w:hAnsi="Calibri" w:cs="Arial"/>
          <w:sz w:val="22"/>
          <w:szCs w:val="22"/>
          <w:lang w:val="es-ES_tradnl"/>
        </w:rPr>
      </w:pPr>
      <w:r w:rsidRPr="003F6DF6">
        <w:rPr>
          <w:rFonts w:ascii="Calibri" w:hAnsi="Calibri" w:cs="Arial"/>
          <w:sz w:val="22"/>
          <w:szCs w:val="22"/>
          <w:lang w:val="es-ES_tradnl"/>
        </w:rPr>
        <w:t>** Al igual que anteriormente, el 22 % de las contribuciones totales de las Partes</w:t>
      </w:r>
      <w:r w:rsidR="009A4741" w:rsidRPr="003F6DF6">
        <w:rPr>
          <w:rFonts w:ascii="Calibri" w:hAnsi="Calibri" w:cs="Arial"/>
          <w:sz w:val="22"/>
          <w:szCs w:val="22"/>
          <w:lang w:val="es-ES_tradnl"/>
        </w:rPr>
        <w:t>.</w:t>
      </w:r>
    </w:p>
    <w:p w14:paraId="73C4527B" w14:textId="76D0F439" w:rsidR="005A4E93" w:rsidRDefault="005A4E93" w:rsidP="005A4E93">
      <w:pPr>
        <w:ind w:left="540" w:hanging="540"/>
        <w:rPr>
          <w:noProof/>
          <w:lang w:val="en-GB" w:eastAsia="en-GB"/>
        </w:rPr>
      </w:pPr>
    </w:p>
    <w:p w14:paraId="49363414" w14:textId="572C9E4A" w:rsidR="003F6DF6" w:rsidRPr="009A4741" w:rsidRDefault="003F6DF6" w:rsidP="005A4E93">
      <w:pPr>
        <w:ind w:left="540" w:hanging="540"/>
        <w:rPr>
          <w:rFonts w:asciiTheme="minorHAnsi" w:hAnsiTheme="minorHAnsi"/>
          <w:b/>
          <w:sz w:val="28"/>
          <w:szCs w:val="28"/>
          <w:lang w:val="es-ES_tradnl"/>
        </w:rPr>
      </w:pPr>
      <w:r w:rsidRPr="003F6DF6">
        <w:lastRenderedPageBreak/>
        <w:drawing>
          <wp:inline distT="0" distB="0" distL="0" distR="0" wp14:anchorId="3F806671" wp14:editId="7B0DB02D">
            <wp:extent cx="4625340" cy="7783195"/>
            <wp:effectExtent l="0" t="0" r="381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5340" cy="7783195"/>
                    </a:xfrm>
                    <a:prstGeom prst="rect">
                      <a:avLst/>
                    </a:prstGeom>
                    <a:noFill/>
                    <a:ln>
                      <a:noFill/>
                    </a:ln>
                  </pic:spPr>
                </pic:pic>
              </a:graphicData>
            </a:graphic>
          </wp:inline>
        </w:drawing>
      </w:r>
    </w:p>
    <w:p w14:paraId="1AF8120D" w14:textId="77777777" w:rsidR="005166D5" w:rsidRPr="003F6DF6" w:rsidRDefault="005166D5" w:rsidP="005A4E93">
      <w:pPr>
        <w:ind w:left="540" w:hanging="540"/>
        <w:rPr>
          <w:rFonts w:asciiTheme="minorHAnsi" w:hAnsiTheme="minorHAnsi"/>
          <w:b/>
          <w:sz w:val="22"/>
          <w:szCs w:val="22"/>
          <w:lang w:val="es-ES_tradnl"/>
        </w:rPr>
      </w:pPr>
    </w:p>
    <w:p w14:paraId="22228000" w14:textId="77777777" w:rsidR="005166D5" w:rsidRPr="003F6DF6" w:rsidRDefault="005166D5" w:rsidP="005166D5">
      <w:pPr>
        <w:rPr>
          <w:rFonts w:ascii="Calibri" w:hAnsi="Calibri" w:cs="Arial"/>
          <w:sz w:val="22"/>
          <w:szCs w:val="22"/>
          <w:lang w:val="es-ES_tradnl"/>
        </w:rPr>
      </w:pPr>
      <w:r w:rsidRPr="003F6DF6">
        <w:rPr>
          <w:rFonts w:ascii="Calibri" w:hAnsi="Calibri" w:cs="Arial"/>
          <w:sz w:val="22"/>
          <w:szCs w:val="22"/>
          <w:lang w:val="es-ES_tradnl"/>
        </w:rPr>
        <w:t>* Se aplicará la escala revisada de las Naciones Unidas cuando esta se haya publicado.</w:t>
      </w:r>
    </w:p>
    <w:p w14:paraId="20954EAD" w14:textId="0D6391FE" w:rsidR="005166D5" w:rsidRPr="003F6DF6" w:rsidRDefault="005166D5" w:rsidP="005166D5">
      <w:pPr>
        <w:rPr>
          <w:rFonts w:ascii="Calibri" w:hAnsi="Calibri" w:cs="Arial"/>
          <w:sz w:val="22"/>
          <w:szCs w:val="22"/>
          <w:lang w:val="es-ES_tradnl"/>
        </w:rPr>
      </w:pPr>
      <w:r w:rsidRPr="003F6DF6">
        <w:rPr>
          <w:rFonts w:ascii="Calibri" w:hAnsi="Calibri" w:cs="Arial"/>
          <w:sz w:val="22"/>
          <w:szCs w:val="22"/>
          <w:lang w:val="es-ES_tradnl"/>
        </w:rPr>
        <w:t>** Al igual que anteriormente, el 22 % de las contribuciones totales de las Partes</w:t>
      </w:r>
      <w:r w:rsidR="009A4741" w:rsidRPr="003F6DF6">
        <w:rPr>
          <w:rFonts w:ascii="Calibri" w:hAnsi="Calibri" w:cs="Arial"/>
          <w:sz w:val="22"/>
          <w:szCs w:val="22"/>
          <w:lang w:val="es-ES_tradnl"/>
        </w:rPr>
        <w:t>.</w:t>
      </w:r>
    </w:p>
    <w:p w14:paraId="393713FD" w14:textId="6BAD17F7" w:rsidR="005166D5" w:rsidRDefault="005166D5" w:rsidP="005A4E93">
      <w:pPr>
        <w:spacing w:after="200" w:line="276" w:lineRule="auto"/>
        <w:rPr>
          <w:noProof/>
          <w:lang w:val="en-GB" w:eastAsia="en-GB"/>
        </w:rPr>
      </w:pPr>
    </w:p>
    <w:p w14:paraId="65C1651B" w14:textId="218A5178" w:rsidR="003F6DF6" w:rsidRDefault="003F6DF6" w:rsidP="005A4E93">
      <w:pPr>
        <w:spacing w:after="200" w:line="276" w:lineRule="auto"/>
        <w:rPr>
          <w:noProof/>
          <w:lang w:val="en-GB" w:eastAsia="en-GB"/>
        </w:rPr>
      </w:pPr>
      <w:r w:rsidRPr="003F6DF6">
        <w:lastRenderedPageBreak/>
        <w:drawing>
          <wp:inline distT="0" distB="0" distL="0" distR="0" wp14:anchorId="724BC0AA" wp14:editId="1EF1139E">
            <wp:extent cx="4625340" cy="745363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5340" cy="7453630"/>
                    </a:xfrm>
                    <a:prstGeom prst="rect">
                      <a:avLst/>
                    </a:prstGeom>
                    <a:noFill/>
                    <a:ln>
                      <a:noFill/>
                    </a:ln>
                  </pic:spPr>
                </pic:pic>
              </a:graphicData>
            </a:graphic>
          </wp:inline>
        </w:drawing>
      </w:r>
    </w:p>
    <w:p w14:paraId="474A3F80" w14:textId="77777777" w:rsidR="005166D5" w:rsidRPr="003F6DF6" w:rsidRDefault="005166D5" w:rsidP="005166D5">
      <w:pPr>
        <w:rPr>
          <w:rFonts w:ascii="Calibri" w:hAnsi="Calibri" w:cs="Arial"/>
          <w:sz w:val="22"/>
          <w:szCs w:val="22"/>
          <w:lang w:val="es-ES_tradnl"/>
        </w:rPr>
      </w:pPr>
      <w:r w:rsidRPr="003F6DF6">
        <w:rPr>
          <w:rFonts w:ascii="Calibri" w:hAnsi="Calibri" w:cs="Arial"/>
          <w:sz w:val="22"/>
          <w:szCs w:val="22"/>
          <w:lang w:val="es-ES_tradnl"/>
        </w:rPr>
        <w:t>* Se aplicará la escala revisada de las Naciones Unidas cuando esta se haya publicado.</w:t>
      </w:r>
    </w:p>
    <w:p w14:paraId="0672ECC4" w14:textId="3FE46F8D" w:rsidR="005166D5" w:rsidRPr="003F6DF6" w:rsidRDefault="005166D5" w:rsidP="005166D5">
      <w:pPr>
        <w:rPr>
          <w:rFonts w:ascii="Calibri" w:hAnsi="Calibri" w:cs="Arial"/>
          <w:sz w:val="22"/>
          <w:szCs w:val="22"/>
          <w:lang w:val="es-ES_tradnl"/>
        </w:rPr>
      </w:pPr>
      <w:r w:rsidRPr="003F6DF6">
        <w:rPr>
          <w:rFonts w:ascii="Calibri" w:hAnsi="Calibri" w:cs="Arial"/>
          <w:sz w:val="22"/>
          <w:szCs w:val="22"/>
          <w:lang w:val="es-ES_tradnl"/>
        </w:rPr>
        <w:t>** Al igual que anteriormente, el 22 % de las contribuciones totales de las Partes</w:t>
      </w:r>
      <w:r w:rsidR="009A4741" w:rsidRPr="003F6DF6">
        <w:rPr>
          <w:rFonts w:ascii="Calibri" w:hAnsi="Calibri" w:cs="Arial"/>
          <w:sz w:val="22"/>
          <w:szCs w:val="22"/>
          <w:lang w:val="es-ES_tradnl"/>
        </w:rPr>
        <w:t>.</w:t>
      </w:r>
    </w:p>
    <w:p w14:paraId="2DE1DE25" w14:textId="1106A73B" w:rsidR="005A4E93" w:rsidRPr="009A4741" w:rsidRDefault="005A4E93" w:rsidP="005A4E93">
      <w:pPr>
        <w:spacing w:after="200" w:line="276" w:lineRule="auto"/>
        <w:rPr>
          <w:rFonts w:asciiTheme="minorHAnsi" w:hAnsiTheme="minorHAnsi"/>
          <w:b/>
          <w:sz w:val="28"/>
          <w:szCs w:val="28"/>
          <w:lang w:val="es-ES_tradnl"/>
        </w:rPr>
      </w:pPr>
      <w:r w:rsidRPr="009A4741">
        <w:rPr>
          <w:rFonts w:asciiTheme="minorHAnsi" w:hAnsiTheme="minorHAnsi"/>
          <w:b/>
          <w:sz w:val="28"/>
          <w:szCs w:val="28"/>
          <w:lang w:val="es-ES_tradnl"/>
        </w:rPr>
        <w:br w:type="page"/>
      </w:r>
    </w:p>
    <w:p w14:paraId="4D13EF8E" w14:textId="6CE952C9" w:rsidR="005A4E93" w:rsidRPr="009A4741" w:rsidRDefault="009A4741" w:rsidP="005A4E93">
      <w:pPr>
        <w:ind w:left="540" w:hanging="540"/>
        <w:rPr>
          <w:rFonts w:asciiTheme="minorHAnsi" w:hAnsiTheme="minorHAnsi"/>
          <w:b/>
          <w:sz w:val="28"/>
          <w:szCs w:val="28"/>
          <w:lang w:val="es-ES_tradnl"/>
        </w:rPr>
      </w:pPr>
      <w:r w:rsidRPr="009A4741">
        <w:rPr>
          <w:rFonts w:asciiTheme="minorHAnsi" w:hAnsiTheme="minorHAnsi"/>
          <w:b/>
          <w:sz w:val="28"/>
          <w:szCs w:val="28"/>
          <w:lang w:val="es-ES_tradnl"/>
        </w:rPr>
        <w:lastRenderedPageBreak/>
        <w:t>Anexo 3</w:t>
      </w:r>
    </w:p>
    <w:p w14:paraId="10DA0AAF" w14:textId="7DC60F9C" w:rsidR="005A4E93" w:rsidRPr="009A4741" w:rsidRDefault="00465CF8" w:rsidP="005A4E93">
      <w:pPr>
        <w:tabs>
          <w:tab w:val="left" w:pos="1701"/>
        </w:tabs>
        <w:rPr>
          <w:rFonts w:asciiTheme="minorHAnsi" w:hAnsiTheme="minorHAnsi"/>
          <w:b/>
          <w:lang w:val="es-ES_tradnl"/>
        </w:rPr>
      </w:pPr>
      <w:r w:rsidRPr="009A4741">
        <w:rPr>
          <w:rFonts w:asciiTheme="minorHAnsi" w:hAnsiTheme="minorHAnsi"/>
          <w:b/>
          <w:lang w:val="es-ES_tradnl"/>
        </w:rPr>
        <w:t>Análisis de las partidas previstas</w:t>
      </w:r>
      <w:r w:rsidR="009A4741" w:rsidRPr="009A4741">
        <w:rPr>
          <w:rFonts w:asciiTheme="minorHAnsi" w:hAnsiTheme="minorHAnsi"/>
          <w:b/>
          <w:lang w:val="es-ES_tradnl"/>
        </w:rPr>
        <w:t xml:space="preserve"> </w:t>
      </w:r>
      <w:r w:rsidRPr="009A4741">
        <w:rPr>
          <w:rFonts w:asciiTheme="minorHAnsi" w:hAnsiTheme="minorHAnsi"/>
          <w:b/>
          <w:lang w:val="es-ES_tradnl"/>
        </w:rPr>
        <w:t xml:space="preserve">no financiadas </w:t>
      </w:r>
      <w:r w:rsidR="009A4741" w:rsidRPr="009A4741">
        <w:rPr>
          <w:rFonts w:asciiTheme="minorHAnsi" w:hAnsiTheme="minorHAnsi"/>
          <w:b/>
          <w:lang w:val="es-ES_tradnl"/>
        </w:rPr>
        <w:t>con cargo al</w:t>
      </w:r>
      <w:r w:rsidRPr="009A4741">
        <w:rPr>
          <w:rFonts w:asciiTheme="minorHAnsi" w:hAnsiTheme="minorHAnsi"/>
          <w:b/>
          <w:lang w:val="es-ES_tradnl"/>
        </w:rPr>
        <w:t xml:space="preserve"> presupuesto básico para 2016-2018, por orden de prioridad</w:t>
      </w:r>
    </w:p>
    <w:p w14:paraId="17D884DD" w14:textId="77777777" w:rsidR="005A4E93" w:rsidRPr="009A4741" w:rsidRDefault="005A4E93" w:rsidP="005A4E93">
      <w:pPr>
        <w:tabs>
          <w:tab w:val="left" w:pos="1701"/>
        </w:tabs>
        <w:rPr>
          <w:rFonts w:asciiTheme="minorHAnsi" w:hAnsiTheme="minorHAnsi"/>
          <w:b/>
          <w:lang w:val="es-ES_tradnl"/>
        </w:rPr>
      </w:pPr>
    </w:p>
    <w:p w14:paraId="686DC8FB" w14:textId="118489FC" w:rsidR="005A4E93" w:rsidRPr="009A4741" w:rsidRDefault="00281681" w:rsidP="005A4E93">
      <w:pPr>
        <w:tabs>
          <w:tab w:val="left" w:pos="1701"/>
        </w:tabs>
        <w:rPr>
          <w:rFonts w:asciiTheme="minorHAnsi" w:hAnsiTheme="minorHAnsi"/>
          <w:b/>
          <w:lang w:val="es-ES_tradnl"/>
        </w:rPr>
      </w:pPr>
      <w:r w:rsidRPr="00281681">
        <w:drawing>
          <wp:inline distT="0" distB="0" distL="0" distR="0" wp14:anchorId="4650B882" wp14:editId="74587531">
            <wp:extent cx="5252484" cy="4171463"/>
            <wp:effectExtent l="0" t="0" r="571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2498" cy="4171474"/>
                    </a:xfrm>
                    <a:prstGeom prst="rect">
                      <a:avLst/>
                    </a:prstGeom>
                    <a:noFill/>
                    <a:ln>
                      <a:noFill/>
                    </a:ln>
                  </pic:spPr>
                </pic:pic>
              </a:graphicData>
            </a:graphic>
          </wp:inline>
        </w:drawing>
      </w:r>
    </w:p>
    <w:p w14:paraId="56C435F3" w14:textId="77777777" w:rsidR="005A4E93" w:rsidRPr="009A4741" w:rsidRDefault="005A4E93" w:rsidP="005A4E93">
      <w:pPr>
        <w:tabs>
          <w:tab w:val="left" w:pos="1701"/>
        </w:tabs>
        <w:rPr>
          <w:rFonts w:asciiTheme="minorHAnsi" w:hAnsiTheme="minorHAnsi"/>
          <w:b/>
          <w:lang w:val="es-ES_tradnl"/>
        </w:rPr>
      </w:pPr>
    </w:p>
    <w:p w14:paraId="40569347" w14:textId="77777777" w:rsidR="005A4E93" w:rsidRPr="009A4741" w:rsidRDefault="005A4E93" w:rsidP="005A4E93">
      <w:pPr>
        <w:tabs>
          <w:tab w:val="left" w:pos="1701"/>
        </w:tabs>
        <w:rPr>
          <w:rFonts w:asciiTheme="minorHAnsi" w:hAnsiTheme="minorHAnsi"/>
          <w:b/>
          <w:lang w:val="es-ES_tradnl"/>
        </w:rPr>
      </w:pPr>
    </w:p>
    <w:p w14:paraId="545CE920" w14:textId="77777777" w:rsidR="005A4E93" w:rsidRPr="009A4741" w:rsidRDefault="005A4E93" w:rsidP="005A4E93">
      <w:pPr>
        <w:spacing w:after="200" w:line="276" w:lineRule="auto"/>
        <w:rPr>
          <w:rFonts w:asciiTheme="minorHAnsi" w:hAnsiTheme="minorHAnsi"/>
          <w:b/>
          <w:lang w:val="es-ES_tradnl"/>
        </w:rPr>
      </w:pPr>
      <w:r w:rsidRPr="009A4741">
        <w:rPr>
          <w:rFonts w:asciiTheme="minorHAnsi" w:hAnsiTheme="minorHAnsi"/>
          <w:b/>
          <w:lang w:val="es-ES_tradnl"/>
        </w:rPr>
        <w:br w:type="page"/>
      </w:r>
    </w:p>
    <w:p w14:paraId="0F36231E" w14:textId="0A08D53B" w:rsidR="00171008" w:rsidRPr="009A4741" w:rsidRDefault="009A4741" w:rsidP="005A4E93">
      <w:pPr>
        <w:tabs>
          <w:tab w:val="left" w:pos="1701"/>
        </w:tabs>
        <w:rPr>
          <w:rFonts w:asciiTheme="minorHAnsi" w:hAnsiTheme="minorHAnsi"/>
          <w:b/>
          <w:lang w:val="es-ES_tradnl"/>
        </w:rPr>
      </w:pPr>
      <w:r w:rsidRPr="009A4741">
        <w:rPr>
          <w:rFonts w:asciiTheme="minorHAnsi" w:hAnsiTheme="minorHAnsi"/>
          <w:b/>
          <w:lang w:val="es-ES_tradnl"/>
        </w:rPr>
        <w:lastRenderedPageBreak/>
        <w:t>Anexo 4</w:t>
      </w:r>
    </w:p>
    <w:p w14:paraId="0B6864C4" w14:textId="2AEDE448" w:rsidR="005A4E93" w:rsidRPr="009A4741" w:rsidRDefault="00465CF8" w:rsidP="005A4E93">
      <w:pPr>
        <w:tabs>
          <w:tab w:val="left" w:pos="1701"/>
        </w:tabs>
        <w:rPr>
          <w:rFonts w:asciiTheme="minorHAnsi" w:hAnsiTheme="minorHAnsi"/>
          <w:b/>
          <w:lang w:val="es-ES_tradnl"/>
        </w:rPr>
      </w:pPr>
      <w:r w:rsidRPr="009A4741">
        <w:rPr>
          <w:rFonts w:asciiTheme="minorHAnsi" w:hAnsiTheme="minorHAnsi"/>
          <w:b/>
          <w:lang w:val="es-ES_tradnl"/>
        </w:rPr>
        <w:t xml:space="preserve">Personal (básico) de la Secretaría aprobado para 2016-2018   </w:t>
      </w:r>
    </w:p>
    <w:p w14:paraId="3EEE7B82" w14:textId="77777777" w:rsidR="00465CF8" w:rsidRPr="009A4741" w:rsidRDefault="00465CF8" w:rsidP="005A4E93">
      <w:pPr>
        <w:tabs>
          <w:tab w:val="left" w:pos="1701"/>
        </w:tabs>
        <w:rPr>
          <w:rFonts w:asciiTheme="minorHAnsi" w:hAnsiTheme="minorHAnsi"/>
          <w:b/>
          <w:lang w:val="es-ES_tradnl"/>
        </w:rPr>
      </w:pPr>
    </w:p>
    <w:p w14:paraId="5E050EEE" w14:textId="3DC3F39A" w:rsidR="005A4E93" w:rsidRDefault="00281681" w:rsidP="005A4E93">
      <w:pPr>
        <w:tabs>
          <w:tab w:val="left" w:pos="1701"/>
        </w:tabs>
      </w:pPr>
      <w:r w:rsidRPr="00281681">
        <w:drawing>
          <wp:inline distT="0" distB="0" distL="0" distR="0" wp14:anchorId="2F7A2962" wp14:editId="798E6BE4">
            <wp:extent cx="5732145" cy="1222193"/>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1222193"/>
                    </a:xfrm>
                    <a:prstGeom prst="rect">
                      <a:avLst/>
                    </a:prstGeom>
                    <a:noFill/>
                    <a:ln>
                      <a:noFill/>
                    </a:ln>
                  </pic:spPr>
                </pic:pic>
              </a:graphicData>
            </a:graphic>
          </wp:inline>
        </w:drawing>
      </w:r>
    </w:p>
    <w:p w14:paraId="349CBDB7" w14:textId="77777777" w:rsidR="00281681" w:rsidRPr="009A4741" w:rsidRDefault="00281681" w:rsidP="005A4E93">
      <w:pPr>
        <w:tabs>
          <w:tab w:val="left" w:pos="1701"/>
        </w:tabs>
        <w:rPr>
          <w:rFonts w:asciiTheme="minorHAnsi" w:hAnsiTheme="minorHAnsi"/>
          <w:b/>
          <w:lang w:val="es-ES_tradnl"/>
        </w:rPr>
      </w:pPr>
    </w:p>
    <w:p w14:paraId="031A9F19" w14:textId="065E17E7" w:rsidR="000E74F9" w:rsidRPr="009A4741" w:rsidRDefault="000824AF" w:rsidP="005A4E93">
      <w:pPr>
        <w:rPr>
          <w:rFonts w:asciiTheme="minorHAnsi" w:hAnsiTheme="minorHAnsi"/>
          <w:sz w:val="22"/>
          <w:szCs w:val="22"/>
          <w:lang w:val="es-ES_tradnl"/>
        </w:rPr>
      </w:pPr>
      <w:r w:rsidRPr="009A4741">
        <w:rPr>
          <w:rFonts w:asciiTheme="minorHAnsi" w:hAnsiTheme="minorHAnsi"/>
          <w:sz w:val="22"/>
          <w:szCs w:val="22"/>
          <w:lang w:val="es-ES_tradnl"/>
        </w:rPr>
        <w:t>*S</w:t>
      </w:r>
      <w:r w:rsidR="00465CF8" w:rsidRPr="009A4741">
        <w:rPr>
          <w:rFonts w:asciiTheme="minorHAnsi" w:hAnsiTheme="minorHAnsi"/>
          <w:sz w:val="22"/>
          <w:szCs w:val="22"/>
          <w:lang w:val="es-ES_tradnl"/>
        </w:rPr>
        <w:t xml:space="preserve">e indica el número de empleados </w:t>
      </w:r>
      <w:r w:rsidR="00281681">
        <w:rPr>
          <w:rFonts w:asciiTheme="minorHAnsi" w:hAnsiTheme="minorHAnsi"/>
          <w:sz w:val="22"/>
          <w:szCs w:val="22"/>
          <w:lang w:val="es-ES_tradnl"/>
        </w:rPr>
        <w:t xml:space="preserve">en 2015 </w:t>
      </w:r>
      <w:r w:rsidR="00465CF8" w:rsidRPr="009A4741">
        <w:rPr>
          <w:rFonts w:asciiTheme="minorHAnsi" w:hAnsiTheme="minorHAnsi"/>
          <w:sz w:val="22"/>
          <w:szCs w:val="22"/>
          <w:lang w:val="es-ES_tradnl"/>
        </w:rPr>
        <w:t xml:space="preserve">y los puestos que ocupan (conforme al Grupo de Función de los Recursos Humanos de la UICN) a modo de referencia  </w:t>
      </w:r>
    </w:p>
    <w:p w14:paraId="18E2F3D8" w14:textId="05F909B1" w:rsidR="003A504D" w:rsidRPr="009A4741" w:rsidRDefault="003A504D" w:rsidP="003A504D">
      <w:pPr>
        <w:tabs>
          <w:tab w:val="left" w:pos="1701"/>
        </w:tabs>
        <w:rPr>
          <w:rFonts w:asciiTheme="minorHAnsi" w:hAnsiTheme="minorHAnsi"/>
          <w:sz w:val="22"/>
          <w:szCs w:val="22"/>
          <w:lang w:val="es-ES_tradnl"/>
        </w:rPr>
      </w:pPr>
      <w:r w:rsidRPr="009A4741">
        <w:rPr>
          <w:rFonts w:asciiTheme="minorHAnsi" w:hAnsiTheme="minorHAnsi"/>
          <w:sz w:val="22"/>
          <w:szCs w:val="22"/>
          <w:lang w:val="es-ES_tradnl"/>
        </w:rPr>
        <w:t>**</w:t>
      </w:r>
      <w:r w:rsidR="001F20B5" w:rsidRPr="009A4741">
        <w:rPr>
          <w:rFonts w:asciiTheme="minorHAnsi" w:hAnsiTheme="minorHAnsi"/>
          <w:sz w:val="22"/>
          <w:szCs w:val="22"/>
          <w:lang w:val="es-ES_tradnl"/>
        </w:rPr>
        <w:t>Correspondencia entre los equipos y la categorización de lo</w:t>
      </w:r>
      <w:r w:rsidR="009A4741" w:rsidRPr="009A4741">
        <w:rPr>
          <w:rFonts w:asciiTheme="minorHAnsi" w:hAnsiTheme="minorHAnsi"/>
          <w:sz w:val="22"/>
          <w:szCs w:val="22"/>
          <w:lang w:val="es-ES_tradnl"/>
        </w:rPr>
        <w:t>s gastos detallada en el Anexo 1</w:t>
      </w:r>
      <w:r w:rsidRPr="009A4741">
        <w:rPr>
          <w:rFonts w:asciiTheme="minorHAnsi" w:hAnsiTheme="minorHAnsi"/>
          <w:sz w:val="22"/>
          <w:szCs w:val="22"/>
          <w:lang w:val="es-ES_tradnl"/>
        </w:rPr>
        <w:t xml:space="preserve">: </w:t>
      </w:r>
      <w:r w:rsidR="001F20B5" w:rsidRPr="009A4741">
        <w:rPr>
          <w:rFonts w:asciiTheme="minorHAnsi" w:hAnsiTheme="minorHAnsi"/>
          <w:sz w:val="22"/>
          <w:szCs w:val="22"/>
          <w:lang w:val="es-ES_tradnl"/>
        </w:rPr>
        <w:t xml:space="preserve">personal directivo de la Secretaría </w:t>
      </w:r>
      <w:r w:rsidRPr="009A4741">
        <w:rPr>
          <w:rFonts w:asciiTheme="minorHAnsi" w:hAnsiTheme="minorHAnsi"/>
          <w:sz w:val="22"/>
          <w:szCs w:val="22"/>
          <w:lang w:val="es-ES_tradnl"/>
        </w:rPr>
        <w:t xml:space="preserve">(ASMGT); </w:t>
      </w:r>
      <w:r w:rsidR="001F20B5" w:rsidRPr="009A4741">
        <w:rPr>
          <w:rFonts w:asciiTheme="minorHAnsi" w:hAnsiTheme="minorHAnsi"/>
          <w:sz w:val="22"/>
          <w:szCs w:val="22"/>
          <w:lang w:val="es-ES_tradnl"/>
        </w:rPr>
        <w:t>coordinador de asociaciones de colaboración</w:t>
      </w:r>
      <w:r w:rsidRPr="009A4741">
        <w:rPr>
          <w:rFonts w:asciiTheme="minorHAnsi" w:hAnsiTheme="minorHAnsi"/>
          <w:sz w:val="22"/>
          <w:szCs w:val="22"/>
          <w:lang w:val="es-ES_tradnl"/>
        </w:rPr>
        <w:t xml:space="preserve"> (BPART); </w:t>
      </w:r>
      <w:r w:rsidR="009158E5" w:rsidRPr="009A4741">
        <w:rPr>
          <w:rFonts w:asciiTheme="minorHAnsi" w:hAnsiTheme="minorHAnsi"/>
          <w:sz w:val="22"/>
          <w:szCs w:val="22"/>
          <w:lang w:val="es-ES_tradnl"/>
        </w:rPr>
        <w:t xml:space="preserve">asesoramiento y apoyo regional </w:t>
      </w:r>
      <w:r w:rsidRPr="009A4741">
        <w:rPr>
          <w:rFonts w:asciiTheme="minorHAnsi" w:hAnsiTheme="minorHAnsi"/>
          <w:sz w:val="22"/>
          <w:szCs w:val="22"/>
          <w:lang w:val="es-ES_tradnl"/>
        </w:rPr>
        <w:t xml:space="preserve">(CREGS); </w:t>
      </w:r>
      <w:r w:rsidR="009158E5" w:rsidRPr="009A4741">
        <w:rPr>
          <w:rFonts w:asciiTheme="minorHAnsi" w:hAnsiTheme="minorHAnsi"/>
          <w:sz w:val="22"/>
          <w:szCs w:val="22"/>
          <w:lang w:val="es-ES_tradnl"/>
        </w:rPr>
        <w:t>servicios científicos y técnicos</w:t>
      </w:r>
      <w:r w:rsidRPr="009A4741">
        <w:rPr>
          <w:rFonts w:asciiTheme="minorHAnsi" w:hAnsiTheme="minorHAnsi"/>
          <w:sz w:val="22"/>
          <w:szCs w:val="22"/>
          <w:lang w:val="es-ES_tradnl"/>
        </w:rPr>
        <w:t xml:space="preserve"> (ESTRP); </w:t>
      </w:r>
      <w:r w:rsidR="009158E5" w:rsidRPr="009A4741">
        <w:rPr>
          <w:rFonts w:asciiTheme="minorHAnsi" w:hAnsiTheme="minorHAnsi"/>
          <w:sz w:val="22"/>
          <w:szCs w:val="22"/>
          <w:lang w:val="es-ES_tradnl"/>
        </w:rPr>
        <w:t>comunicaciones (FCOMM); administración/SISR</w:t>
      </w:r>
      <w:r w:rsidRPr="009A4741">
        <w:rPr>
          <w:rFonts w:asciiTheme="minorHAnsi" w:hAnsiTheme="minorHAnsi"/>
          <w:sz w:val="22"/>
          <w:szCs w:val="22"/>
          <w:lang w:val="es-ES_tradnl"/>
        </w:rPr>
        <w:t>/Web (GADMI)</w:t>
      </w:r>
      <w:r w:rsidR="00352610">
        <w:rPr>
          <w:rFonts w:asciiTheme="minorHAnsi" w:hAnsiTheme="minorHAnsi"/>
          <w:sz w:val="22"/>
          <w:szCs w:val="22"/>
          <w:lang w:val="es-ES_tradnl"/>
        </w:rPr>
        <w:t>.</w:t>
      </w:r>
    </w:p>
    <w:p w14:paraId="2F56455E" w14:textId="77777777" w:rsidR="00465CF8" w:rsidRPr="009A4741" w:rsidRDefault="00465CF8" w:rsidP="005A4E93">
      <w:pPr>
        <w:rPr>
          <w:rFonts w:asciiTheme="minorHAnsi" w:hAnsiTheme="minorHAnsi"/>
          <w:b/>
          <w:sz w:val="28"/>
          <w:szCs w:val="28"/>
          <w:lang w:val="es-ES_tradnl"/>
        </w:rPr>
      </w:pPr>
    </w:p>
    <w:p w14:paraId="1BB00557" w14:textId="77777777" w:rsidR="00343CEC" w:rsidRPr="009A4741" w:rsidRDefault="00343CEC" w:rsidP="00830854">
      <w:pPr>
        <w:tabs>
          <w:tab w:val="left" w:pos="1701"/>
        </w:tabs>
        <w:rPr>
          <w:rFonts w:asciiTheme="minorHAnsi" w:hAnsiTheme="minorHAnsi"/>
          <w:b/>
          <w:lang w:val="es-ES_tradnl"/>
        </w:rPr>
      </w:pPr>
    </w:p>
    <w:sectPr w:rsidR="00343CEC" w:rsidRPr="009A4741" w:rsidSect="00E73F79">
      <w:footerReference w:type="default" r:id="rId17"/>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01DB" w14:textId="77777777" w:rsidR="001F20B5" w:rsidRDefault="001F20B5" w:rsidP="00650310">
      <w:r>
        <w:separator/>
      </w:r>
    </w:p>
  </w:endnote>
  <w:endnote w:type="continuationSeparator" w:id="0">
    <w:p w14:paraId="5D81ACF4" w14:textId="77777777" w:rsidR="001F20B5" w:rsidRDefault="001F20B5" w:rsidP="0065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E046" w14:textId="3D8DE881" w:rsidR="001F20B5" w:rsidRPr="00AE507F" w:rsidRDefault="00FA6A8F" w:rsidP="00DA5CE4">
    <w:pPr>
      <w:pStyle w:val="Header"/>
      <w:tabs>
        <w:tab w:val="right" w:pos="9072"/>
      </w:tabs>
      <w:rPr>
        <w:rFonts w:asciiTheme="minorHAnsi" w:hAnsiTheme="minorHAnsi"/>
        <w:sz w:val="20"/>
        <w:lang w:val="es-ES"/>
      </w:rPr>
    </w:pPr>
    <w:r w:rsidRPr="00AE507F">
      <w:rPr>
        <w:rFonts w:asciiTheme="minorHAnsi" w:hAnsiTheme="minorHAnsi"/>
        <w:sz w:val="20"/>
        <w:lang w:val="es-ES"/>
      </w:rPr>
      <w:t>Resolución XII.1 de la COP12 de Ramsar</w:t>
    </w:r>
    <w:r w:rsidR="001F20B5" w:rsidRPr="00AE507F">
      <w:rPr>
        <w:rFonts w:asciiTheme="minorHAnsi" w:hAnsiTheme="minorHAnsi"/>
        <w:sz w:val="20"/>
        <w:lang w:val="es-ES"/>
      </w:rPr>
      <w:tab/>
    </w:r>
    <w:r w:rsidR="001F20B5" w:rsidRPr="00AE507F">
      <w:rPr>
        <w:rFonts w:asciiTheme="minorHAnsi" w:hAnsiTheme="minorHAnsi"/>
        <w:sz w:val="20"/>
        <w:lang w:val="es-ES"/>
      </w:rPr>
      <w:tab/>
    </w:r>
    <w:r w:rsidR="001F20B5" w:rsidRPr="00841E85">
      <w:rPr>
        <w:rFonts w:asciiTheme="minorHAnsi" w:hAnsiTheme="minorHAnsi"/>
        <w:sz w:val="20"/>
      </w:rPr>
      <w:fldChar w:fldCharType="begin"/>
    </w:r>
    <w:r w:rsidR="001F20B5" w:rsidRPr="00AE507F">
      <w:rPr>
        <w:rFonts w:asciiTheme="minorHAnsi" w:hAnsiTheme="minorHAnsi"/>
        <w:sz w:val="20"/>
        <w:lang w:val="es-ES"/>
      </w:rPr>
      <w:instrText xml:space="preserve"> PAGE   \* MERGEFORMAT </w:instrText>
    </w:r>
    <w:r w:rsidR="001F20B5" w:rsidRPr="00841E85">
      <w:rPr>
        <w:rFonts w:asciiTheme="minorHAnsi" w:hAnsiTheme="minorHAnsi"/>
        <w:sz w:val="20"/>
      </w:rPr>
      <w:fldChar w:fldCharType="separate"/>
    </w:r>
    <w:r w:rsidR="00281681">
      <w:rPr>
        <w:rFonts w:asciiTheme="minorHAnsi" w:hAnsiTheme="minorHAnsi"/>
        <w:noProof/>
        <w:sz w:val="20"/>
        <w:lang w:val="es-ES"/>
      </w:rPr>
      <w:t>2</w:t>
    </w:r>
    <w:r w:rsidR="001F20B5" w:rsidRPr="00841E85">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6B13" w14:textId="77777777" w:rsidR="001F20B5" w:rsidRDefault="001F20B5" w:rsidP="00650310">
      <w:r>
        <w:separator/>
      </w:r>
    </w:p>
  </w:footnote>
  <w:footnote w:type="continuationSeparator" w:id="0">
    <w:p w14:paraId="471B6377" w14:textId="77777777" w:rsidR="001F20B5" w:rsidRDefault="001F20B5" w:rsidP="00650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430"/>
    <w:multiLevelType w:val="hybridMultilevel"/>
    <w:tmpl w:val="DD7218CC"/>
    <w:lvl w:ilvl="0" w:tplc="038E998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5326B"/>
    <w:multiLevelType w:val="hybridMultilevel"/>
    <w:tmpl w:val="02A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80E3F"/>
    <w:multiLevelType w:val="hybridMultilevel"/>
    <w:tmpl w:val="E29060BA"/>
    <w:lvl w:ilvl="0" w:tplc="4956BEC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
    <w:nsid w:val="22C222ED"/>
    <w:multiLevelType w:val="hybridMultilevel"/>
    <w:tmpl w:val="72EC5356"/>
    <w:lvl w:ilvl="0" w:tplc="3CA61DB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28C25EF6"/>
    <w:multiLevelType w:val="hybridMultilevel"/>
    <w:tmpl w:val="3432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B7B04"/>
    <w:multiLevelType w:val="hybridMultilevel"/>
    <w:tmpl w:val="36105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781E1F"/>
    <w:multiLevelType w:val="hybridMultilevel"/>
    <w:tmpl w:val="601C980A"/>
    <w:lvl w:ilvl="0" w:tplc="C9D69C6C">
      <w:start w:val="1"/>
      <w:numFmt w:val="lowerLetter"/>
      <w:lvlText w:val="%1)"/>
      <w:lvlJc w:val="left"/>
      <w:pPr>
        <w:ind w:left="624" w:hanging="24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A90BB1"/>
    <w:multiLevelType w:val="hybridMultilevel"/>
    <w:tmpl w:val="28DA9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D139F3"/>
    <w:multiLevelType w:val="hybridMultilevel"/>
    <w:tmpl w:val="AD0E8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26899"/>
    <w:multiLevelType w:val="hybridMultilevel"/>
    <w:tmpl w:val="2A6E2248"/>
    <w:lvl w:ilvl="0" w:tplc="B48C165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DE0745"/>
    <w:multiLevelType w:val="hybridMultilevel"/>
    <w:tmpl w:val="04F8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E463FB"/>
    <w:multiLevelType w:val="hybridMultilevel"/>
    <w:tmpl w:val="A3A4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3E24A8"/>
    <w:multiLevelType w:val="hybridMultilevel"/>
    <w:tmpl w:val="44A85C5A"/>
    <w:lvl w:ilvl="0" w:tplc="27C628D4">
      <w:start w:val="1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3DC4338"/>
    <w:multiLevelType w:val="hybridMultilevel"/>
    <w:tmpl w:val="F634C878"/>
    <w:lvl w:ilvl="0" w:tplc="89307C6C">
      <w:start w:val="1"/>
      <w:numFmt w:val="lowerLetter"/>
      <w:lvlText w:val="%1)"/>
      <w:lvlJc w:val="left"/>
      <w:pPr>
        <w:ind w:left="624" w:hanging="244"/>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5232E93"/>
    <w:multiLevelType w:val="hybridMultilevel"/>
    <w:tmpl w:val="EFB0F8FC"/>
    <w:lvl w:ilvl="0" w:tplc="58844B6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D2572"/>
    <w:multiLevelType w:val="hybridMultilevel"/>
    <w:tmpl w:val="905A4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B54299F"/>
    <w:multiLevelType w:val="hybridMultilevel"/>
    <w:tmpl w:val="028C24C2"/>
    <w:lvl w:ilvl="0" w:tplc="54FCBA4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9"/>
  </w:num>
  <w:num w:numId="5">
    <w:abstractNumId w:val="0"/>
  </w:num>
  <w:num w:numId="6">
    <w:abstractNumId w:val="7"/>
  </w:num>
  <w:num w:numId="7">
    <w:abstractNumId w:val="8"/>
  </w:num>
  <w:num w:numId="8">
    <w:abstractNumId w:val="12"/>
  </w:num>
  <w:num w:numId="9">
    <w:abstractNumId w:val="15"/>
  </w:num>
  <w:num w:numId="10">
    <w:abstractNumId w:val="10"/>
  </w:num>
  <w:num w:numId="11">
    <w:abstractNumId w:val="11"/>
  </w:num>
  <w:num w:numId="12">
    <w:abstractNumId w:val="5"/>
  </w:num>
  <w:num w:numId="13">
    <w:abstractNumId w:val="1"/>
  </w:num>
  <w:num w:numId="14">
    <w:abstractNumId w:val="2"/>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F6"/>
    <w:rsid w:val="0000098C"/>
    <w:rsid w:val="00002D40"/>
    <w:rsid w:val="0000744C"/>
    <w:rsid w:val="0001135A"/>
    <w:rsid w:val="00012537"/>
    <w:rsid w:val="00012828"/>
    <w:rsid w:val="00013B72"/>
    <w:rsid w:val="0001736C"/>
    <w:rsid w:val="00017D06"/>
    <w:rsid w:val="000207D5"/>
    <w:rsid w:val="000211F3"/>
    <w:rsid w:val="000230EF"/>
    <w:rsid w:val="00030114"/>
    <w:rsid w:val="000303B9"/>
    <w:rsid w:val="00030BE3"/>
    <w:rsid w:val="00031725"/>
    <w:rsid w:val="00031D94"/>
    <w:rsid w:val="00032B16"/>
    <w:rsid w:val="0003309E"/>
    <w:rsid w:val="000331C5"/>
    <w:rsid w:val="00033217"/>
    <w:rsid w:val="000339C6"/>
    <w:rsid w:val="000342B7"/>
    <w:rsid w:val="00036EAE"/>
    <w:rsid w:val="00040BD2"/>
    <w:rsid w:val="00040EF6"/>
    <w:rsid w:val="000414C7"/>
    <w:rsid w:val="000442FE"/>
    <w:rsid w:val="00045A04"/>
    <w:rsid w:val="00046F1A"/>
    <w:rsid w:val="00047647"/>
    <w:rsid w:val="000528FA"/>
    <w:rsid w:val="00054906"/>
    <w:rsid w:val="00054DA0"/>
    <w:rsid w:val="00062160"/>
    <w:rsid w:val="00063A48"/>
    <w:rsid w:val="00063B3F"/>
    <w:rsid w:val="00064F37"/>
    <w:rsid w:val="000661D8"/>
    <w:rsid w:val="000674C5"/>
    <w:rsid w:val="000709C1"/>
    <w:rsid w:val="000711CC"/>
    <w:rsid w:val="000739BA"/>
    <w:rsid w:val="000755A6"/>
    <w:rsid w:val="00075CC3"/>
    <w:rsid w:val="000763D9"/>
    <w:rsid w:val="00077664"/>
    <w:rsid w:val="000824AF"/>
    <w:rsid w:val="00083D79"/>
    <w:rsid w:val="00083F16"/>
    <w:rsid w:val="0008448B"/>
    <w:rsid w:val="00086CAB"/>
    <w:rsid w:val="000876C7"/>
    <w:rsid w:val="0009101A"/>
    <w:rsid w:val="00092F1E"/>
    <w:rsid w:val="00093118"/>
    <w:rsid w:val="0009664B"/>
    <w:rsid w:val="000A0771"/>
    <w:rsid w:val="000A582B"/>
    <w:rsid w:val="000B1686"/>
    <w:rsid w:val="000B1694"/>
    <w:rsid w:val="000B301B"/>
    <w:rsid w:val="000B43D8"/>
    <w:rsid w:val="000B7A27"/>
    <w:rsid w:val="000C0BB9"/>
    <w:rsid w:val="000C1043"/>
    <w:rsid w:val="000C154E"/>
    <w:rsid w:val="000C2055"/>
    <w:rsid w:val="000C2443"/>
    <w:rsid w:val="000C2B05"/>
    <w:rsid w:val="000C5AD0"/>
    <w:rsid w:val="000C6701"/>
    <w:rsid w:val="000C7A80"/>
    <w:rsid w:val="000C7E37"/>
    <w:rsid w:val="000D00AA"/>
    <w:rsid w:val="000D0B0F"/>
    <w:rsid w:val="000D1C79"/>
    <w:rsid w:val="000D2D66"/>
    <w:rsid w:val="000D3097"/>
    <w:rsid w:val="000D7CF1"/>
    <w:rsid w:val="000D7D6D"/>
    <w:rsid w:val="000E0551"/>
    <w:rsid w:val="000E0C0D"/>
    <w:rsid w:val="000E4369"/>
    <w:rsid w:val="000E5D53"/>
    <w:rsid w:val="000E65CA"/>
    <w:rsid w:val="000E6D1F"/>
    <w:rsid w:val="000E6FB7"/>
    <w:rsid w:val="000E7399"/>
    <w:rsid w:val="000E74F9"/>
    <w:rsid w:val="000E750C"/>
    <w:rsid w:val="000F4187"/>
    <w:rsid w:val="000F5CFF"/>
    <w:rsid w:val="000F608B"/>
    <w:rsid w:val="000F676C"/>
    <w:rsid w:val="000F6B82"/>
    <w:rsid w:val="000F7671"/>
    <w:rsid w:val="001064AA"/>
    <w:rsid w:val="001074D5"/>
    <w:rsid w:val="00107792"/>
    <w:rsid w:val="00107AAB"/>
    <w:rsid w:val="00110D85"/>
    <w:rsid w:val="00111923"/>
    <w:rsid w:val="00112516"/>
    <w:rsid w:val="00112DF4"/>
    <w:rsid w:val="00113F9D"/>
    <w:rsid w:val="00114540"/>
    <w:rsid w:val="001161C4"/>
    <w:rsid w:val="00120CBE"/>
    <w:rsid w:val="00124EF4"/>
    <w:rsid w:val="001250FD"/>
    <w:rsid w:val="00126B45"/>
    <w:rsid w:val="001271AF"/>
    <w:rsid w:val="0012728F"/>
    <w:rsid w:val="00131031"/>
    <w:rsid w:val="001331EB"/>
    <w:rsid w:val="00134599"/>
    <w:rsid w:val="001359F7"/>
    <w:rsid w:val="00136805"/>
    <w:rsid w:val="00137F31"/>
    <w:rsid w:val="0014079B"/>
    <w:rsid w:val="00141718"/>
    <w:rsid w:val="00141C37"/>
    <w:rsid w:val="00142317"/>
    <w:rsid w:val="001425F9"/>
    <w:rsid w:val="00143507"/>
    <w:rsid w:val="001472A8"/>
    <w:rsid w:val="00156778"/>
    <w:rsid w:val="00161AB9"/>
    <w:rsid w:val="00161D05"/>
    <w:rsid w:val="0016270D"/>
    <w:rsid w:val="001633CA"/>
    <w:rsid w:val="00166322"/>
    <w:rsid w:val="00167059"/>
    <w:rsid w:val="00171008"/>
    <w:rsid w:val="0017243B"/>
    <w:rsid w:val="00173006"/>
    <w:rsid w:val="0017328C"/>
    <w:rsid w:val="00173B97"/>
    <w:rsid w:val="00174527"/>
    <w:rsid w:val="00174AFC"/>
    <w:rsid w:val="00174DC1"/>
    <w:rsid w:val="001760C1"/>
    <w:rsid w:val="001778C4"/>
    <w:rsid w:val="001805A0"/>
    <w:rsid w:val="00181C11"/>
    <w:rsid w:val="00182333"/>
    <w:rsid w:val="00184A0A"/>
    <w:rsid w:val="00185FD4"/>
    <w:rsid w:val="00191760"/>
    <w:rsid w:val="00192290"/>
    <w:rsid w:val="001945AA"/>
    <w:rsid w:val="00196B36"/>
    <w:rsid w:val="001A1B45"/>
    <w:rsid w:val="001A226C"/>
    <w:rsid w:val="001A2FE3"/>
    <w:rsid w:val="001A4CEC"/>
    <w:rsid w:val="001A70D3"/>
    <w:rsid w:val="001A766E"/>
    <w:rsid w:val="001B0ECF"/>
    <w:rsid w:val="001B3677"/>
    <w:rsid w:val="001C005C"/>
    <w:rsid w:val="001C2B94"/>
    <w:rsid w:val="001C2EA9"/>
    <w:rsid w:val="001C3A58"/>
    <w:rsid w:val="001C5192"/>
    <w:rsid w:val="001C6804"/>
    <w:rsid w:val="001C7F6C"/>
    <w:rsid w:val="001D1B0C"/>
    <w:rsid w:val="001D48D7"/>
    <w:rsid w:val="001D6BB5"/>
    <w:rsid w:val="001D7463"/>
    <w:rsid w:val="001E26CB"/>
    <w:rsid w:val="001E2B38"/>
    <w:rsid w:val="001E2EC7"/>
    <w:rsid w:val="001E5DBE"/>
    <w:rsid w:val="001F0CE3"/>
    <w:rsid w:val="001F0DEF"/>
    <w:rsid w:val="001F1273"/>
    <w:rsid w:val="001F20B5"/>
    <w:rsid w:val="001F2842"/>
    <w:rsid w:val="001F2B24"/>
    <w:rsid w:val="001F3D66"/>
    <w:rsid w:val="001F40E1"/>
    <w:rsid w:val="001F717F"/>
    <w:rsid w:val="001F7D0B"/>
    <w:rsid w:val="00207B29"/>
    <w:rsid w:val="00211897"/>
    <w:rsid w:val="00211BF6"/>
    <w:rsid w:val="002155E2"/>
    <w:rsid w:val="00216085"/>
    <w:rsid w:val="00216D43"/>
    <w:rsid w:val="00224108"/>
    <w:rsid w:val="002250C9"/>
    <w:rsid w:val="0022651B"/>
    <w:rsid w:val="002341A6"/>
    <w:rsid w:val="00241724"/>
    <w:rsid w:val="00241F7D"/>
    <w:rsid w:val="00243E6C"/>
    <w:rsid w:val="00243FB6"/>
    <w:rsid w:val="002466F5"/>
    <w:rsid w:val="00250633"/>
    <w:rsid w:val="00250796"/>
    <w:rsid w:val="0025252F"/>
    <w:rsid w:val="00253673"/>
    <w:rsid w:val="00253966"/>
    <w:rsid w:val="00255BDF"/>
    <w:rsid w:val="00257E6B"/>
    <w:rsid w:val="00261B71"/>
    <w:rsid w:val="00263025"/>
    <w:rsid w:val="00263953"/>
    <w:rsid w:val="00264C44"/>
    <w:rsid w:val="0026560A"/>
    <w:rsid w:val="00271D0E"/>
    <w:rsid w:val="00272633"/>
    <w:rsid w:val="00274132"/>
    <w:rsid w:val="00275C85"/>
    <w:rsid w:val="00276C10"/>
    <w:rsid w:val="00281681"/>
    <w:rsid w:val="00283A46"/>
    <w:rsid w:val="00286D88"/>
    <w:rsid w:val="00286F83"/>
    <w:rsid w:val="00291D10"/>
    <w:rsid w:val="0029259A"/>
    <w:rsid w:val="00292E80"/>
    <w:rsid w:val="00296294"/>
    <w:rsid w:val="00297427"/>
    <w:rsid w:val="002A0A87"/>
    <w:rsid w:val="002A2571"/>
    <w:rsid w:val="002A4581"/>
    <w:rsid w:val="002A50F3"/>
    <w:rsid w:val="002B09C4"/>
    <w:rsid w:val="002B25E3"/>
    <w:rsid w:val="002B3403"/>
    <w:rsid w:val="002B491E"/>
    <w:rsid w:val="002B5735"/>
    <w:rsid w:val="002B7188"/>
    <w:rsid w:val="002C0090"/>
    <w:rsid w:val="002C0F8B"/>
    <w:rsid w:val="002C180A"/>
    <w:rsid w:val="002C58C3"/>
    <w:rsid w:val="002C7FA7"/>
    <w:rsid w:val="002D0EA1"/>
    <w:rsid w:val="002D0F06"/>
    <w:rsid w:val="002D76C0"/>
    <w:rsid w:val="002E1B28"/>
    <w:rsid w:val="002E4985"/>
    <w:rsid w:val="002E57AE"/>
    <w:rsid w:val="002E6000"/>
    <w:rsid w:val="002F0512"/>
    <w:rsid w:val="002F381C"/>
    <w:rsid w:val="003007B2"/>
    <w:rsid w:val="00300F31"/>
    <w:rsid w:val="00302314"/>
    <w:rsid w:val="003023E7"/>
    <w:rsid w:val="00302FD9"/>
    <w:rsid w:val="00306845"/>
    <w:rsid w:val="00306DB4"/>
    <w:rsid w:val="00307736"/>
    <w:rsid w:val="003112A8"/>
    <w:rsid w:val="00313A78"/>
    <w:rsid w:val="00315578"/>
    <w:rsid w:val="00315B41"/>
    <w:rsid w:val="00320407"/>
    <w:rsid w:val="00321121"/>
    <w:rsid w:val="00321781"/>
    <w:rsid w:val="00322084"/>
    <w:rsid w:val="00322996"/>
    <w:rsid w:val="00323AE0"/>
    <w:rsid w:val="00324885"/>
    <w:rsid w:val="0032644F"/>
    <w:rsid w:val="00327B92"/>
    <w:rsid w:val="00331EB8"/>
    <w:rsid w:val="0033349C"/>
    <w:rsid w:val="003357A9"/>
    <w:rsid w:val="00342946"/>
    <w:rsid w:val="00343CEC"/>
    <w:rsid w:val="003441C2"/>
    <w:rsid w:val="0034429D"/>
    <w:rsid w:val="00345053"/>
    <w:rsid w:val="003505DE"/>
    <w:rsid w:val="00352610"/>
    <w:rsid w:val="003538C2"/>
    <w:rsid w:val="0035470A"/>
    <w:rsid w:val="0035655B"/>
    <w:rsid w:val="0036059A"/>
    <w:rsid w:val="0036661A"/>
    <w:rsid w:val="00366E93"/>
    <w:rsid w:val="0036720F"/>
    <w:rsid w:val="0037146E"/>
    <w:rsid w:val="0037555D"/>
    <w:rsid w:val="003800FC"/>
    <w:rsid w:val="00380503"/>
    <w:rsid w:val="00383172"/>
    <w:rsid w:val="00385CA2"/>
    <w:rsid w:val="00386106"/>
    <w:rsid w:val="00390178"/>
    <w:rsid w:val="00390E5C"/>
    <w:rsid w:val="003914B6"/>
    <w:rsid w:val="003916FC"/>
    <w:rsid w:val="00394D25"/>
    <w:rsid w:val="00395DD1"/>
    <w:rsid w:val="003A1651"/>
    <w:rsid w:val="003A1E0A"/>
    <w:rsid w:val="003A27C5"/>
    <w:rsid w:val="003A361B"/>
    <w:rsid w:val="003A504D"/>
    <w:rsid w:val="003A6FAE"/>
    <w:rsid w:val="003A7F44"/>
    <w:rsid w:val="003B0569"/>
    <w:rsid w:val="003B0786"/>
    <w:rsid w:val="003B1AEA"/>
    <w:rsid w:val="003B396A"/>
    <w:rsid w:val="003B5DEF"/>
    <w:rsid w:val="003B7523"/>
    <w:rsid w:val="003C13D3"/>
    <w:rsid w:val="003C2236"/>
    <w:rsid w:val="003C349D"/>
    <w:rsid w:val="003C371B"/>
    <w:rsid w:val="003C4110"/>
    <w:rsid w:val="003C4198"/>
    <w:rsid w:val="003C6412"/>
    <w:rsid w:val="003D655A"/>
    <w:rsid w:val="003E0E35"/>
    <w:rsid w:val="003E3F9B"/>
    <w:rsid w:val="003E41CB"/>
    <w:rsid w:val="003F01C9"/>
    <w:rsid w:val="003F0B30"/>
    <w:rsid w:val="003F20E9"/>
    <w:rsid w:val="003F2534"/>
    <w:rsid w:val="003F4A90"/>
    <w:rsid w:val="003F6132"/>
    <w:rsid w:val="003F6DF6"/>
    <w:rsid w:val="00403B3A"/>
    <w:rsid w:val="00404E09"/>
    <w:rsid w:val="0040715E"/>
    <w:rsid w:val="0041161D"/>
    <w:rsid w:val="00411BB1"/>
    <w:rsid w:val="004140BC"/>
    <w:rsid w:val="00414F10"/>
    <w:rsid w:val="00416DF3"/>
    <w:rsid w:val="00417672"/>
    <w:rsid w:val="00417A93"/>
    <w:rsid w:val="0042642D"/>
    <w:rsid w:val="004267B9"/>
    <w:rsid w:val="004269C5"/>
    <w:rsid w:val="00426B21"/>
    <w:rsid w:val="00431E2F"/>
    <w:rsid w:val="00431E8C"/>
    <w:rsid w:val="00432D0F"/>
    <w:rsid w:val="004340A5"/>
    <w:rsid w:val="00436190"/>
    <w:rsid w:val="0044012B"/>
    <w:rsid w:val="004436FA"/>
    <w:rsid w:val="00445578"/>
    <w:rsid w:val="004501BA"/>
    <w:rsid w:val="00451878"/>
    <w:rsid w:val="00454DFF"/>
    <w:rsid w:val="0045519B"/>
    <w:rsid w:val="00455E06"/>
    <w:rsid w:val="004570C6"/>
    <w:rsid w:val="004574CD"/>
    <w:rsid w:val="00457DCE"/>
    <w:rsid w:val="00461047"/>
    <w:rsid w:val="0046176D"/>
    <w:rsid w:val="0046200F"/>
    <w:rsid w:val="00462F28"/>
    <w:rsid w:val="004634DB"/>
    <w:rsid w:val="00465482"/>
    <w:rsid w:val="00465CF8"/>
    <w:rsid w:val="004728D6"/>
    <w:rsid w:val="004729B9"/>
    <w:rsid w:val="004732C1"/>
    <w:rsid w:val="00474B87"/>
    <w:rsid w:val="00480719"/>
    <w:rsid w:val="00480F48"/>
    <w:rsid w:val="004810F2"/>
    <w:rsid w:val="0048316A"/>
    <w:rsid w:val="00483AB6"/>
    <w:rsid w:val="004848CF"/>
    <w:rsid w:val="00485219"/>
    <w:rsid w:val="004868DD"/>
    <w:rsid w:val="004908A3"/>
    <w:rsid w:val="0049618E"/>
    <w:rsid w:val="004966A1"/>
    <w:rsid w:val="00497740"/>
    <w:rsid w:val="004A1B26"/>
    <w:rsid w:val="004A6ABB"/>
    <w:rsid w:val="004A70CD"/>
    <w:rsid w:val="004B3903"/>
    <w:rsid w:val="004B5D6F"/>
    <w:rsid w:val="004B6CCB"/>
    <w:rsid w:val="004B6F5D"/>
    <w:rsid w:val="004C1CA2"/>
    <w:rsid w:val="004C2FB4"/>
    <w:rsid w:val="004C54AC"/>
    <w:rsid w:val="004C629F"/>
    <w:rsid w:val="004C6377"/>
    <w:rsid w:val="004C7082"/>
    <w:rsid w:val="004D02D0"/>
    <w:rsid w:val="004D1AED"/>
    <w:rsid w:val="004D3472"/>
    <w:rsid w:val="004E125F"/>
    <w:rsid w:val="004E1EF7"/>
    <w:rsid w:val="004E6693"/>
    <w:rsid w:val="004E7940"/>
    <w:rsid w:val="004E7ABB"/>
    <w:rsid w:val="004E7D07"/>
    <w:rsid w:val="004F087A"/>
    <w:rsid w:val="004F0AD5"/>
    <w:rsid w:val="004F2D61"/>
    <w:rsid w:val="004F3121"/>
    <w:rsid w:val="004F3485"/>
    <w:rsid w:val="004F3DCB"/>
    <w:rsid w:val="004F6CD7"/>
    <w:rsid w:val="004F70EF"/>
    <w:rsid w:val="005001A6"/>
    <w:rsid w:val="00500792"/>
    <w:rsid w:val="0050578F"/>
    <w:rsid w:val="00512A47"/>
    <w:rsid w:val="00513B77"/>
    <w:rsid w:val="0051433F"/>
    <w:rsid w:val="005154B4"/>
    <w:rsid w:val="0051641E"/>
    <w:rsid w:val="005166D5"/>
    <w:rsid w:val="005206D1"/>
    <w:rsid w:val="00521840"/>
    <w:rsid w:val="005244A4"/>
    <w:rsid w:val="0052666A"/>
    <w:rsid w:val="00526A47"/>
    <w:rsid w:val="00527C60"/>
    <w:rsid w:val="00532E81"/>
    <w:rsid w:val="00533D9D"/>
    <w:rsid w:val="005356D1"/>
    <w:rsid w:val="005363C2"/>
    <w:rsid w:val="00537103"/>
    <w:rsid w:val="00541A4F"/>
    <w:rsid w:val="005438A1"/>
    <w:rsid w:val="00543CC7"/>
    <w:rsid w:val="005559AB"/>
    <w:rsid w:val="00557BB6"/>
    <w:rsid w:val="00560A8F"/>
    <w:rsid w:val="00563486"/>
    <w:rsid w:val="00563B03"/>
    <w:rsid w:val="005650CB"/>
    <w:rsid w:val="00565391"/>
    <w:rsid w:val="0056687C"/>
    <w:rsid w:val="00566B37"/>
    <w:rsid w:val="00571510"/>
    <w:rsid w:val="00571E47"/>
    <w:rsid w:val="005761AC"/>
    <w:rsid w:val="0057657F"/>
    <w:rsid w:val="005800C1"/>
    <w:rsid w:val="00581A67"/>
    <w:rsid w:val="00582188"/>
    <w:rsid w:val="00584C11"/>
    <w:rsid w:val="00584E29"/>
    <w:rsid w:val="00586FDA"/>
    <w:rsid w:val="00594423"/>
    <w:rsid w:val="00596137"/>
    <w:rsid w:val="005975AB"/>
    <w:rsid w:val="005A0C49"/>
    <w:rsid w:val="005A1404"/>
    <w:rsid w:val="005A37CE"/>
    <w:rsid w:val="005A4E93"/>
    <w:rsid w:val="005A5036"/>
    <w:rsid w:val="005A731D"/>
    <w:rsid w:val="005A7505"/>
    <w:rsid w:val="005A7CD7"/>
    <w:rsid w:val="005B0C30"/>
    <w:rsid w:val="005B274A"/>
    <w:rsid w:val="005B3BED"/>
    <w:rsid w:val="005B562F"/>
    <w:rsid w:val="005B6670"/>
    <w:rsid w:val="005C098C"/>
    <w:rsid w:val="005D076B"/>
    <w:rsid w:val="005D21AE"/>
    <w:rsid w:val="005D36C6"/>
    <w:rsid w:val="005D3E21"/>
    <w:rsid w:val="005D46C3"/>
    <w:rsid w:val="005D58E2"/>
    <w:rsid w:val="005D7969"/>
    <w:rsid w:val="005E0461"/>
    <w:rsid w:val="005E1D3B"/>
    <w:rsid w:val="005E2717"/>
    <w:rsid w:val="005E4491"/>
    <w:rsid w:val="005E4ADA"/>
    <w:rsid w:val="005E5E89"/>
    <w:rsid w:val="005E784E"/>
    <w:rsid w:val="005F12E7"/>
    <w:rsid w:val="005F5C71"/>
    <w:rsid w:val="005F7929"/>
    <w:rsid w:val="005F794B"/>
    <w:rsid w:val="006001D8"/>
    <w:rsid w:val="006011D5"/>
    <w:rsid w:val="00602634"/>
    <w:rsid w:val="00603096"/>
    <w:rsid w:val="00604851"/>
    <w:rsid w:val="00604E00"/>
    <w:rsid w:val="00605F53"/>
    <w:rsid w:val="00606A0E"/>
    <w:rsid w:val="00610EB4"/>
    <w:rsid w:val="006146A9"/>
    <w:rsid w:val="00614AEB"/>
    <w:rsid w:val="00614DB4"/>
    <w:rsid w:val="00621600"/>
    <w:rsid w:val="00622897"/>
    <w:rsid w:val="00624FDE"/>
    <w:rsid w:val="00626641"/>
    <w:rsid w:val="00627B89"/>
    <w:rsid w:val="0063065A"/>
    <w:rsid w:val="00634285"/>
    <w:rsid w:val="0063451C"/>
    <w:rsid w:val="0063664B"/>
    <w:rsid w:val="00642184"/>
    <w:rsid w:val="006427DC"/>
    <w:rsid w:val="00643921"/>
    <w:rsid w:val="006446C6"/>
    <w:rsid w:val="00645507"/>
    <w:rsid w:val="0064748F"/>
    <w:rsid w:val="006479AC"/>
    <w:rsid w:val="00647DF1"/>
    <w:rsid w:val="00650310"/>
    <w:rsid w:val="00652B6A"/>
    <w:rsid w:val="00655B39"/>
    <w:rsid w:val="006601F8"/>
    <w:rsid w:val="00664536"/>
    <w:rsid w:val="0066468C"/>
    <w:rsid w:val="0066562F"/>
    <w:rsid w:val="006661EB"/>
    <w:rsid w:val="006714AC"/>
    <w:rsid w:val="00672EEF"/>
    <w:rsid w:val="00673139"/>
    <w:rsid w:val="006733A4"/>
    <w:rsid w:val="00673514"/>
    <w:rsid w:val="00673834"/>
    <w:rsid w:val="00674391"/>
    <w:rsid w:val="006757DE"/>
    <w:rsid w:val="0067694B"/>
    <w:rsid w:val="00677A1A"/>
    <w:rsid w:val="0068237E"/>
    <w:rsid w:val="00684125"/>
    <w:rsid w:val="0068474C"/>
    <w:rsid w:val="00685128"/>
    <w:rsid w:val="00686BA4"/>
    <w:rsid w:val="006870CD"/>
    <w:rsid w:val="006878BF"/>
    <w:rsid w:val="00691FCF"/>
    <w:rsid w:val="00693AEA"/>
    <w:rsid w:val="00695547"/>
    <w:rsid w:val="00695B85"/>
    <w:rsid w:val="006967CF"/>
    <w:rsid w:val="00696DBE"/>
    <w:rsid w:val="00697EE1"/>
    <w:rsid w:val="006A215D"/>
    <w:rsid w:val="006A2460"/>
    <w:rsid w:val="006A2DCE"/>
    <w:rsid w:val="006A4196"/>
    <w:rsid w:val="006A6727"/>
    <w:rsid w:val="006A70BC"/>
    <w:rsid w:val="006A772A"/>
    <w:rsid w:val="006B17A0"/>
    <w:rsid w:val="006B35FC"/>
    <w:rsid w:val="006B38AD"/>
    <w:rsid w:val="006B5DFC"/>
    <w:rsid w:val="006B6844"/>
    <w:rsid w:val="006B754C"/>
    <w:rsid w:val="006B7AA8"/>
    <w:rsid w:val="006C1DD8"/>
    <w:rsid w:val="006C2598"/>
    <w:rsid w:val="006C2AF8"/>
    <w:rsid w:val="006C58C9"/>
    <w:rsid w:val="006D11B7"/>
    <w:rsid w:val="006D127C"/>
    <w:rsid w:val="006D14EE"/>
    <w:rsid w:val="006D429C"/>
    <w:rsid w:val="006D4F00"/>
    <w:rsid w:val="006D65E9"/>
    <w:rsid w:val="006D6C5C"/>
    <w:rsid w:val="006E1099"/>
    <w:rsid w:val="006E1FDC"/>
    <w:rsid w:val="006E3D93"/>
    <w:rsid w:val="006E5898"/>
    <w:rsid w:val="006E673C"/>
    <w:rsid w:val="006E762C"/>
    <w:rsid w:val="006F185C"/>
    <w:rsid w:val="006F1F00"/>
    <w:rsid w:val="006F2240"/>
    <w:rsid w:val="006F330F"/>
    <w:rsid w:val="006F463F"/>
    <w:rsid w:val="006F4F21"/>
    <w:rsid w:val="0070202A"/>
    <w:rsid w:val="00702061"/>
    <w:rsid w:val="00703BF7"/>
    <w:rsid w:val="00704839"/>
    <w:rsid w:val="00705583"/>
    <w:rsid w:val="00705A29"/>
    <w:rsid w:val="00707A4B"/>
    <w:rsid w:val="00707BD2"/>
    <w:rsid w:val="00710B9B"/>
    <w:rsid w:val="007125C0"/>
    <w:rsid w:val="0071330E"/>
    <w:rsid w:val="00713A27"/>
    <w:rsid w:val="00713E17"/>
    <w:rsid w:val="00715639"/>
    <w:rsid w:val="00715C31"/>
    <w:rsid w:val="007163E6"/>
    <w:rsid w:val="00722A4C"/>
    <w:rsid w:val="00723E3F"/>
    <w:rsid w:val="00724819"/>
    <w:rsid w:val="0072564A"/>
    <w:rsid w:val="00726981"/>
    <w:rsid w:val="00727664"/>
    <w:rsid w:val="00727F14"/>
    <w:rsid w:val="00731386"/>
    <w:rsid w:val="00732641"/>
    <w:rsid w:val="00733BBF"/>
    <w:rsid w:val="007344D7"/>
    <w:rsid w:val="00734816"/>
    <w:rsid w:val="00736A6C"/>
    <w:rsid w:val="007373F6"/>
    <w:rsid w:val="00740ACD"/>
    <w:rsid w:val="00741BF1"/>
    <w:rsid w:val="0074590E"/>
    <w:rsid w:val="00745E7F"/>
    <w:rsid w:val="007512B3"/>
    <w:rsid w:val="00752E21"/>
    <w:rsid w:val="007530CE"/>
    <w:rsid w:val="007548FB"/>
    <w:rsid w:val="0075746B"/>
    <w:rsid w:val="007607E7"/>
    <w:rsid w:val="0076149F"/>
    <w:rsid w:val="007625FF"/>
    <w:rsid w:val="00766B84"/>
    <w:rsid w:val="007705EE"/>
    <w:rsid w:val="00774036"/>
    <w:rsid w:val="0077737B"/>
    <w:rsid w:val="0077738F"/>
    <w:rsid w:val="00780586"/>
    <w:rsid w:val="00780865"/>
    <w:rsid w:val="00782ADA"/>
    <w:rsid w:val="00782CED"/>
    <w:rsid w:val="007843E7"/>
    <w:rsid w:val="00784A2D"/>
    <w:rsid w:val="007858FA"/>
    <w:rsid w:val="00787B92"/>
    <w:rsid w:val="00787BEC"/>
    <w:rsid w:val="00790090"/>
    <w:rsid w:val="0079070A"/>
    <w:rsid w:val="007914B9"/>
    <w:rsid w:val="00791A68"/>
    <w:rsid w:val="0079386E"/>
    <w:rsid w:val="007942E8"/>
    <w:rsid w:val="00794895"/>
    <w:rsid w:val="007A0C76"/>
    <w:rsid w:val="007A11C4"/>
    <w:rsid w:val="007A1F3D"/>
    <w:rsid w:val="007A2CC1"/>
    <w:rsid w:val="007A37CE"/>
    <w:rsid w:val="007A3C23"/>
    <w:rsid w:val="007A46E5"/>
    <w:rsid w:val="007A486C"/>
    <w:rsid w:val="007A5332"/>
    <w:rsid w:val="007A6914"/>
    <w:rsid w:val="007A6C6B"/>
    <w:rsid w:val="007B473F"/>
    <w:rsid w:val="007B5D0D"/>
    <w:rsid w:val="007B616C"/>
    <w:rsid w:val="007B7214"/>
    <w:rsid w:val="007B7DCA"/>
    <w:rsid w:val="007C1B29"/>
    <w:rsid w:val="007C289E"/>
    <w:rsid w:val="007C50E4"/>
    <w:rsid w:val="007C5751"/>
    <w:rsid w:val="007D216A"/>
    <w:rsid w:val="007D256F"/>
    <w:rsid w:val="007D3429"/>
    <w:rsid w:val="007D5C29"/>
    <w:rsid w:val="007D7140"/>
    <w:rsid w:val="007E1E5E"/>
    <w:rsid w:val="007E41D4"/>
    <w:rsid w:val="007E4224"/>
    <w:rsid w:val="007E5129"/>
    <w:rsid w:val="007E618A"/>
    <w:rsid w:val="007E629A"/>
    <w:rsid w:val="007E6B05"/>
    <w:rsid w:val="007E7884"/>
    <w:rsid w:val="007F1160"/>
    <w:rsid w:val="007F1735"/>
    <w:rsid w:val="007F2873"/>
    <w:rsid w:val="007F358E"/>
    <w:rsid w:val="007F37B6"/>
    <w:rsid w:val="007F68FE"/>
    <w:rsid w:val="007F6BFF"/>
    <w:rsid w:val="00804D90"/>
    <w:rsid w:val="00810020"/>
    <w:rsid w:val="00812529"/>
    <w:rsid w:val="008129DE"/>
    <w:rsid w:val="00813315"/>
    <w:rsid w:val="00813B7B"/>
    <w:rsid w:val="00814B04"/>
    <w:rsid w:val="008163B6"/>
    <w:rsid w:val="00816EAC"/>
    <w:rsid w:val="00817E5B"/>
    <w:rsid w:val="008205D1"/>
    <w:rsid w:val="008215B2"/>
    <w:rsid w:val="0082316D"/>
    <w:rsid w:val="008236DA"/>
    <w:rsid w:val="0082548D"/>
    <w:rsid w:val="00830854"/>
    <w:rsid w:val="00831616"/>
    <w:rsid w:val="00832B34"/>
    <w:rsid w:val="00833822"/>
    <w:rsid w:val="00835836"/>
    <w:rsid w:val="00836FFA"/>
    <w:rsid w:val="00840047"/>
    <w:rsid w:val="00840328"/>
    <w:rsid w:val="0084108C"/>
    <w:rsid w:val="0084197D"/>
    <w:rsid w:val="00843DCF"/>
    <w:rsid w:val="008440BE"/>
    <w:rsid w:val="00844D01"/>
    <w:rsid w:val="0085129D"/>
    <w:rsid w:val="00852AD9"/>
    <w:rsid w:val="0085609A"/>
    <w:rsid w:val="00861A80"/>
    <w:rsid w:val="00861AA2"/>
    <w:rsid w:val="00861FD7"/>
    <w:rsid w:val="00863A79"/>
    <w:rsid w:val="00863AEC"/>
    <w:rsid w:val="00863DA6"/>
    <w:rsid w:val="0086507D"/>
    <w:rsid w:val="0086543D"/>
    <w:rsid w:val="00866232"/>
    <w:rsid w:val="00866F1D"/>
    <w:rsid w:val="008705D6"/>
    <w:rsid w:val="008721F6"/>
    <w:rsid w:val="008722EB"/>
    <w:rsid w:val="0087272B"/>
    <w:rsid w:val="00873D51"/>
    <w:rsid w:val="008753CD"/>
    <w:rsid w:val="008760CF"/>
    <w:rsid w:val="008765E9"/>
    <w:rsid w:val="0087775E"/>
    <w:rsid w:val="008815D5"/>
    <w:rsid w:val="008824C9"/>
    <w:rsid w:val="00883322"/>
    <w:rsid w:val="00884B74"/>
    <w:rsid w:val="0088572B"/>
    <w:rsid w:val="0088687B"/>
    <w:rsid w:val="008938BF"/>
    <w:rsid w:val="00893F55"/>
    <w:rsid w:val="008944FA"/>
    <w:rsid w:val="0089471A"/>
    <w:rsid w:val="00895E39"/>
    <w:rsid w:val="00897C9F"/>
    <w:rsid w:val="00897EC0"/>
    <w:rsid w:val="008A18AC"/>
    <w:rsid w:val="008A1AE8"/>
    <w:rsid w:val="008A2325"/>
    <w:rsid w:val="008A3F44"/>
    <w:rsid w:val="008A74D3"/>
    <w:rsid w:val="008A77F1"/>
    <w:rsid w:val="008B0AE0"/>
    <w:rsid w:val="008B17E2"/>
    <w:rsid w:val="008B26CE"/>
    <w:rsid w:val="008B3FCE"/>
    <w:rsid w:val="008B40E3"/>
    <w:rsid w:val="008C098D"/>
    <w:rsid w:val="008C1902"/>
    <w:rsid w:val="008C1BE1"/>
    <w:rsid w:val="008C1FFF"/>
    <w:rsid w:val="008C458D"/>
    <w:rsid w:val="008C5863"/>
    <w:rsid w:val="008D4703"/>
    <w:rsid w:val="008D497C"/>
    <w:rsid w:val="008E0508"/>
    <w:rsid w:val="008E101B"/>
    <w:rsid w:val="008E3238"/>
    <w:rsid w:val="008E3400"/>
    <w:rsid w:val="008E38D2"/>
    <w:rsid w:val="008E47A4"/>
    <w:rsid w:val="008E47E3"/>
    <w:rsid w:val="008E7C71"/>
    <w:rsid w:val="008F296F"/>
    <w:rsid w:val="008F46AE"/>
    <w:rsid w:val="008F66BD"/>
    <w:rsid w:val="008F6C20"/>
    <w:rsid w:val="008F7B09"/>
    <w:rsid w:val="00900423"/>
    <w:rsid w:val="00900786"/>
    <w:rsid w:val="00903910"/>
    <w:rsid w:val="00904802"/>
    <w:rsid w:val="00904ED0"/>
    <w:rsid w:val="0090652D"/>
    <w:rsid w:val="00906BF0"/>
    <w:rsid w:val="00910474"/>
    <w:rsid w:val="009108D9"/>
    <w:rsid w:val="00911718"/>
    <w:rsid w:val="00912CB8"/>
    <w:rsid w:val="00913CD1"/>
    <w:rsid w:val="009144C0"/>
    <w:rsid w:val="009158E5"/>
    <w:rsid w:val="00920215"/>
    <w:rsid w:val="00920540"/>
    <w:rsid w:val="00923CE9"/>
    <w:rsid w:val="00925AB6"/>
    <w:rsid w:val="00926863"/>
    <w:rsid w:val="00927336"/>
    <w:rsid w:val="00927834"/>
    <w:rsid w:val="00930043"/>
    <w:rsid w:val="00930505"/>
    <w:rsid w:val="00933ECD"/>
    <w:rsid w:val="009342F7"/>
    <w:rsid w:val="00935361"/>
    <w:rsid w:val="00936BFF"/>
    <w:rsid w:val="009377BE"/>
    <w:rsid w:val="00937ABD"/>
    <w:rsid w:val="0094190E"/>
    <w:rsid w:val="00944692"/>
    <w:rsid w:val="00946EF0"/>
    <w:rsid w:val="00947ACD"/>
    <w:rsid w:val="00952B18"/>
    <w:rsid w:val="00952F5B"/>
    <w:rsid w:val="00953DBE"/>
    <w:rsid w:val="00954D9C"/>
    <w:rsid w:val="00954F85"/>
    <w:rsid w:val="0095754C"/>
    <w:rsid w:val="00957A1B"/>
    <w:rsid w:val="00960ADB"/>
    <w:rsid w:val="00961F4A"/>
    <w:rsid w:val="00963F4F"/>
    <w:rsid w:val="00965B70"/>
    <w:rsid w:val="00967162"/>
    <w:rsid w:val="009674D2"/>
    <w:rsid w:val="00972139"/>
    <w:rsid w:val="00972BF8"/>
    <w:rsid w:val="0097332E"/>
    <w:rsid w:val="00975BAA"/>
    <w:rsid w:val="0098314C"/>
    <w:rsid w:val="009837C1"/>
    <w:rsid w:val="0098442A"/>
    <w:rsid w:val="00986F51"/>
    <w:rsid w:val="0099105E"/>
    <w:rsid w:val="00991F32"/>
    <w:rsid w:val="0099206F"/>
    <w:rsid w:val="009934E3"/>
    <w:rsid w:val="0099372C"/>
    <w:rsid w:val="00994C7E"/>
    <w:rsid w:val="009A2918"/>
    <w:rsid w:val="009A3502"/>
    <w:rsid w:val="009A4741"/>
    <w:rsid w:val="009A55C0"/>
    <w:rsid w:val="009A5E78"/>
    <w:rsid w:val="009A67CE"/>
    <w:rsid w:val="009A6E4F"/>
    <w:rsid w:val="009B2C63"/>
    <w:rsid w:val="009B3A10"/>
    <w:rsid w:val="009B4BEB"/>
    <w:rsid w:val="009B6EC9"/>
    <w:rsid w:val="009C3C17"/>
    <w:rsid w:val="009C4788"/>
    <w:rsid w:val="009C6966"/>
    <w:rsid w:val="009C7DB0"/>
    <w:rsid w:val="009D09E5"/>
    <w:rsid w:val="009D1153"/>
    <w:rsid w:val="009D2213"/>
    <w:rsid w:val="009D2ABE"/>
    <w:rsid w:val="009E02FD"/>
    <w:rsid w:val="009E337B"/>
    <w:rsid w:val="009E4E32"/>
    <w:rsid w:val="009E6539"/>
    <w:rsid w:val="009E757B"/>
    <w:rsid w:val="009F0C9B"/>
    <w:rsid w:val="009F217F"/>
    <w:rsid w:val="009F39BD"/>
    <w:rsid w:val="009F5AC6"/>
    <w:rsid w:val="009F7F78"/>
    <w:rsid w:val="00A01B39"/>
    <w:rsid w:val="00A0303A"/>
    <w:rsid w:val="00A03D8D"/>
    <w:rsid w:val="00A0452E"/>
    <w:rsid w:val="00A0483E"/>
    <w:rsid w:val="00A0496A"/>
    <w:rsid w:val="00A0635E"/>
    <w:rsid w:val="00A13455"/>
    <w:rsid w:val="00A14C8F"/>
    <w:rsid w:val="00A20028"/>
    <w:rsid w:val="00A20784"/>
    <w:rsid w:val="00A2094E"/>
    <w:rsid w:val="00A22651"/>
    <w:rsid w:val="00A2316A"/>
    <w:rsid w:val="00A23412"/>
    <w:rsid w:val="00A26FC2"/>
    <w:rsid w:val="00A272BC"/>
    <w:rsid w:val="00A30394"/>
    <w:rsid w:val="00A30FA4"/>
    <w:rsid w:val="00A31897"/>
    <w:rsid w:val="00A33D0E"/>
    <w:rsid w:val="00A345E1"/>
    <w:rsid w:val="00A35AEE"/>
    <w:rsid w:val="00A35F35"/>
    <w:rsid w:val="00A374AF"/>
    <w:rsid w:val="00A37739"/>
    <w:rsid w:val="00A37D74"/>
    <w:rsid w:val="00A4030B"/>
    <w:rsid w:val="00A41B98"/>
    <w:rsid w:val="00A42159"/>
    <w:rsid w:val="00A42BD2"/>
    <w:rsid w:val="00A42CAA"/>
    <w:rsid w:val="00A43BD8"/>
    <w:rsid w:val="00A43C3B"/>
    <w:rsid w:val="00A45B73"/>
    <w:rsid w:val="00A46B32"/>
    <w:rsid w:val="00A476B9"/>
    <w:rsid w:val="00A5053F"/>
    <w:rsid w:val="00A521B5"/>
    <w:rsid w:val="00A5226D"/>
    <w:rsid w:val="00A52270"/>
    <w:rsid w:val="00A52E83"/>
    <w:rsid w:val="00A53FEF"/>
    <w:rsid w:val="00A5450D"/>
    <w:rsid w:val="00A56604"/>
    <w:rsid w:val="00A60C55"/>
    <w:rsid w:val="00A62AA3"/>
    <w:rsid w:val="00A65A49"/>
    <w:rsid w:val="00A663C7"/>
    <w:rsid w:val="00A66CF8"/>
    <w:rsid w:val="00A7093B"/>
    <w:rsid w:val="00A732F7"/>
    <w:rsid w:val="00A7427A"/>
    <w:rsid w:val="00A753A3"/>
    <w:rsid w:val="00A776FB"/>
    <w:rsid w:val="00A77C2B"/>
    <w:rsid w:val="00A81083"/>
    <w:rsid w:val="00A8792E"/>
    <w:rsid w:val="00A95F0F"/>
    <w:rsid w:val="00A97B44"/>
    <w:rsid w:val="00AA00C6"/>
    <w:rsid w:val="00AA0D36"/>
    <w:rsid w:val="00AA0EBC"/>
    <w:rsid w:val="00AA0ED6"/>
    <w:rsid w:val="00AA1F7F"/>
    <w:rsid w:val="00AA2949"/>
    <w:rsid w:val="00AA50C0"/>
    <w:rsid w:val="00AA6FF7"/>
    <w:rsid w:val="00AB0F3D"/>
    <w:rsid w:val="00AB4594"/>
    <w:rsid w:val="00AB5D10"/>
    <w:rsid w:val="00AB729C"/>
    <w:rsid w:val="00AC10CE"/>
    <w:rsid w:val="00AC22D3"/>
    <w:rsid w:val="00AC369B"/>
    <w:rsid w:val="00AC6013"/>
    <w:rsid w:val="00AD10D0"/>
    <w:rsid w:val="00AD308C"/>
    <w:rsid w:val="00AD4D46"/>
    <w:rsid w:val="00AD55D6"/>
    <w:rsid w:val="00AE199E"/>
    <w:rsid w:val="00AE507F"/>
    <w:rsid w:val="00AE649A"/>
    <w:rsid w:val="00AE67C1"/>
    <w:rsid w:val="00AE77BA"/>
    <w:rsid w:val="00AE79D5"/>
    <w:rsid w:val="00AF3EEA"/>
    <w:rsid w:val="00AF5935"/>
    <w:rsid w:val="00AF6DF2"/>
    <w:rsid w:val="00AF736E"/>
    <w:rsid w:val="00B00594"/>
    <w:rsid w:val="00B007AC"/>
    <w:rsid w:val="00B0100F"/>
    <w:rsid w:val="00B03300"/>
    <w:rsid w:val="00B04E20"/>
    <w:rsid w:val="00B122DF"/>
    <w:rsid w:val="00B16047"/>
    <w:rsid w:val="00B1650F"/>
    <w:rsid w:val="00B215F0"/>
    <w:rsid w:val="00B21B27"/>
    <w:rsid w:val="00B22A52"/>
    <w:rsid w:val="00B23CDF"/>
    <w:rsid w:val="00B24009"/>
    <w:rsid w:val="00B2578B"/>
    <w:rsid w:val="00B25F33"/>
    <w:rsid w:val="00B27BE9"/>
    <w:rsid w:val="00B30D14"/>
    <w:rsid w:val="00B318F9"/>
    <w:rsid w:val="00B332D8"/>
    <w:rsid w:val="00B3518D"/>
    <w:rsid w:val="00B37ED1"/>
    <w:rsid w:val="00B40165"/>
    <w:rsid w:val="00B40BDF"/>
    <w:rsid w:val="00B41EFC"/>
    <w:rsid w:val="00B42B40"/>
    <w:rsid w:val="00B45215"/>
    <w:rsid w:val="00B46537"/>
    <w:rsid w:val="00B4710A"/>
    <w:rsid w:val="00B50F04"/>
    <w:rsid w:val="00B517CD"/>
    <w:rsid w:val="00B527F0"/>
    <w:rsid w:val="00B53D7B"/>
    <w:rsid w:val="00B54609"/>
    <w:rsid w:val="00B54C86"/>
    <w:rsid w:val="00B554EA"/>
    <w:rsid w:val="00B62E7F"/>
    <w:rsid w:val="00B64A0D"/>
    <w:rsid w:val="00B66E2B"/>
    <w:rsid w:val="00B66E8B"/>
    <w:rsid w:val="00B675A2"/>
    <w:rsid w:val="00B72E88"/>
    <w:rsid w:val="00B73EA1"/>
    <w:rsid w:val="00B73F2A"/>
    <w:rsid w:val="00B762E2"/>
    <w:rsid w:val="00B806D7"/>
    <w:rsid w:val="00B81CDA"/>
    <w:rsid w:val="00B81EBB"/>
    <w:rsid w:val="00B85035"/>
    <w:rsid w:val="00B85D26"/>
    <w:rsid w:val="00B91093"/>
    <w:rsid w:val="00B9395C"/>
    <w:rsid w:val="00B93BEE"/>
    <w:rsid w:val="00B969C6"/>
    <w:rsid w:val="00B97313"/>
    <w:rsid w:val="00B97B7E"/>
    <w:rsid w:val="00B97DFC"/>
    <w:rsid w:val="00BA023A"/>
    <w:rsid w:val="00BA0712"/>
    <w:rsid w:val="00BA5BAB"/>
    <w:rsid w:val="00BA5D99"/>
    <w:rsid w:val="00BA6559"/>
    <w:rsid w:val="00BB361C"/>
    <w:rsid w:val="00BB4586"/>
    <w:rsid w:val="00BC0A40"/>
    <w:rsid w:val="00BC2CF4"/>
    <w:rsid w:val="00BC3F2A"/>
    <w:rsid w:val="00BC405B"/>
    <w:rsid w:val="00BC45C0"/>
    <w:rsid w:val="00BC5BC2"/>
    <w:rsid w:val="00BC71AF"/>
    <w:rsid w:val="00BD08E0"/>
    <w:rsid w:val="00BD25C0"/>
    <w:rsid w:val="00BD40DE"/>
    <w:rsid w:val="00BD5401"/>
    <w:rsid w:val="00BD6BB2"/>
    <w:rsid w:val="00BD7597"/>
    <w:rsid w:val="00BD7978"/>
    <w:rsid w:val="00BE044D"/>
    <w:rsid w:val="00BE2F53"/>
    <w:rsid w:val="00BE3A6D"/>
    <w:rsid w:val="00BF1A0D"/>
    <w:rsid w:val="00BF2718"/>
    <w:rsid w:val="00BF633F"/>
    <w:rsid w:val="00BF6D9E"/>
    <w:rsid w:val="00C001B7"/>
    <w:rsid w:val="00C01E16"/>
    <w:rsid w:val="00C02B99"/>
    <w:rsid w:val="00C02C55"/>
    <w:rsid w:val="00C031A9"/>
    <w:rsid w:val="00C13462"/>
    <w:rsid w:val="00C13F0A"/>
    <w:rsid w:val="00C14A48"/>
    <w:rsid w:val="00C22818"/>
    <w:rsid w:val="00C22A64"/>
    <w:rsid w:val="00C22C92"/>
    <w:rsid w:val="00C243EE"/>
    <w:rsid w:val="00C254AF"/>
    <w:rsid w:val="00C25C40"/>
    <w:rsid w:val="00C25D35"/>
    <w:rsid w:val="00C2601E"/>
    <w:rsid w:val="00C26037"/>
    <w:rsid w:val="00C31ACD"/>
    <w:rsid w:val="00C31DFF"/>
    <w:rsid w:val="00C34133"/>
    <w:rsid w:val="00C34CAA"/>
    <w:rsid w:val="00C362B3"/>
    <w:rsid w:val="00C36EEA"/>
    <w:rsid w:val="00C37BD4"/>
    <w:rsid w:val="00C42145"/>
    <w:rsid w:val="00C43564"/>
    <w:rsid w:val="00C43DF3"/>
    <w:rsid w:val="00C441E7"/>
    <w:rsid w:val="00C46F39"/>
    <w:rsid w:val="00C471F6"/>
    <w:rsid w:val="00C476D2"/>
    <w:rsid w:val="00C50BD3"/>
    <w:rsid w:val="00C52AD1"/>
    <w:rsid w:val="00C53323"/>
    <w:rsid w:val="00C535DB"/>
    <w:rsid w:val="00C571A0"/>
    <w:rsid w:val="00C6434A"/>
    <w:rsid w:val="00C664B9"/>
    <w:rsid w:val="00C70712"/>
    <w:rsid w:val="00C72DBD"/>
    <w:rsid w:val="00C75621"/>
    <w:rsid w:val="00C80075"/>
    <w:rsid w:val="00C80213"/>
    <w:rsid w:val="00C80BCD"/>
    <w:rsid w:val="00C81294"/>
    <w:rsid w:val="00C825BA"/>
    <w:rsid w:val="00C83193"/>
    <w:rsid w:val="00C83633"/>
    <w:rsid w:val="00C849DB"/>
    <w:rsid w:val="00C902FC"/>
    <w:rsid w:val="00C91050"/>
    <w:rsid w:val="00C970CD"/>
    <w:rsid w:val="00C97643"/>
    <w:rsid w:val="00C97F35"/>
    <w:rsid w:val="00CA159D"/>
    <w:rsid w:val="00CA26F6"/>
    <w:rsid w:val="00CA3BAE"/>
    <w:rsid w:val="00CA6781"/>
    <w:rsid w:val="00CA787C"/>
    <w:rsid w:val="00CB0B52"/>
    <w:rsid w:val="00CB1065"/>
    <w:rsid w:val="00CB13E8"/>
    <w:rsid w:val="00CB18C9"/>
    <w:rsid w:val="00CB2A4F"/>
    <w:rsid w:val="00CB43B8"/>
    <w:rsid w:val="00CB5F8E"/>
    <w:rsid w:val="00CB64C3"/>
    <w:rsid w:val="00CB679B"/>
    <w:rsid w:val="00CB754F"/>
    <w:rsid w:val="00CB7FFA"/>
    <w:rsid w:val="00CC58BC"/>
    <w:rsid w:val="00CC6571"/>
    <w:rsid w:val="00CC6891"/>
    <w:rsid w:val="00CD3B25"/>
    <w:rsid w:val="00CD428E"/>
    <w:rsid w:val="00CE0797"/>
    <w:rsid w:val="00CE10FB"/>
    <w:rsid w:val="00CE22C5"/>
    <w:rsid w:val="00CE31E7"/>
    <w:rsid w:val="00CE695A"/>
    <w:rsid w:val="00CE69EC"/>
    <w:rsid w:val="00CF2223"/>
    <w:rsid w:val="00CF6C30"/>
    <w:rsid w:val="00CF75E5"/>
    <w:rsid w:val="00CF7DF1"/>
    <w:rsid w:val="00D000F4"/>
    <w:rsid w:val="00D01A42"/>
    <w:rsid w:val="00D03C05"/>
    <w:rsid w:val="00D05ACD"/>
    <w:rsid w:val="00D06377"/>
    <w:rsid w:val="00D064B7"/>
    <w:rsid w:val="00D07FE7"/>
    <w:rsid w:val="00D112F9"/>
    <w:rsid w:val="00D11E00"/>
    <w:rsid w:val="00D12187"/>
    <w:rsid w:val="00D1335B"/>
    <w:rsid w:val="00D13C5E"/>
    <w:rsid w:val="00D15998"/>
    <w:rsid w:val="00D167EC"/>
    <w:rsid w:val="00D20E7B"/>
    <w:rsid w:val="00D20FAF"/>
    <w:rsid w:val="00D213E1"/>
    <w:rsid w:val="00D23386"/>
    <w:rsid w:val="00D2642D"/>
    <w:rsid w:val="00D26849"/>
    <w:rsid w:val="00D27C96"/>
    <w:rsid w:val="00D32A21"/>
    <w:rsid w:val="00D34195"/>
    <w:rsid w:val="00D35E7B"/>
    <w:rsid w:val="00D37698"/>
    <w:rsid w:val="00D41361"/>
    <w:rsid w:val="00D42079"/>
    <w:rsid w:val="00D4384A"/>
    <w:rsid w:val="00D43BEB"/>
    <w:rsid w:val="00D459A7"/>
    <w:rsid w:val="00D47A45"/>
    <w:rsid w:val="00D50759"/>
    <w:rsid w:val="00D523D3"/>
    <w:rsid w:val="00D537C7"/>
    <w:rsid w:val="00D63F69"/>
    <w:rsid w:val="00D65957"/>
    <w:rsid w:val="00D70683"/>
    <w:rsid w:val="00D70960"/>
    <w:rsid w:val="00D71026"/>
    <w:rsid w:val="00D72BF5"/>
    <w:rsid w:val="00D75B11"/>
    <w:rsid w:val="00D7665C"/>
    <w:rsid w:val="00D7767A"/>
    <w:rsid w:val="00D776A7"/>
    <w:rsid w:val="00D80F38"/>
    <w:rsid w:val="00D81FB7"/>
    <w:rsid w:val="00D820CA"/>
    <w:rsid w:val="00D82225"/>
    <w:rsid w:val="00D82697"/>
    <w:rsid w:val="00D84D0B"/>
    <w:rsid w:val="00D84F93"/>
    <w:rsid w:val="00D85386"/>
    <w:rsid w:val="00D85BFE"/>
    <w:rsid w:val="00D85CCF"/>
    <w:rsid w:val="00D86939"/>
    <w:rsid w:val="00D872CB"/>
    <w:rsid w:val="00D915C6"/>
    <w:rsid w:val="00D92EBA"/>
    <w:rsid w:val="00D935DF"/>
    <w:rsid w:val="00D94A62"/>
    <w:rsid w:val="00D95043"/>
    <w:rsid w:val="00D97206"/>
    <w:rsid w:val="00DA392E"/>
    <w:rsid w:val="00DA5CE4"/>
    <w:rsid w:val="00DA7CA4"/>
    <w:rsid w:val="00DB16FF"/>
    <w:rsid w:val="00DB2C11"/>
    <w:rsid w:val="00DB354F"/>
    <w:rsid w:val="00DB4EC1"/>
    <w:rsid w:val="00DB4FDE"/>
    <w:rsid w:val="00DB51F0"/>
    <w:rsid w:val="00DB53B7"/>
    <w:rsid w:val="00DB5A68"/>
    <w:rsid w:val="00DC231D"/>
    <w:rsid w:val="00DC2F0C"/>
    <w:rsid w:val="00DC3E53"/>
    <w:rsid w:val="00DC46DA"/>
    <w:rsid w:val="00DC5D52"/>
    <w:rsid w:val="00DC5EB8"/>
    <w:rsid w:val="00DC6168"/>
    <w:rsid w:val="00DC715A"/>
    <w:rsid w:val="00DD0308"/>
    <w:rsid w:val="00DD0A3A"/>
    <w:rsid w:val="00DD3900"/>
    <w:rsid w:val="00DE084D"/>
    <w:rsid w:val="00DE0E6F"/>
    <w:rsid w:val="00DE1715"/>
    <w:rsid w:val="00DE563D"/>
    <w:rsid w:val="00DE6070"/>
    <w:rsid w:val="00DE69BB"/>
    <w:rsid w:val="00DE79BC"/>
    <w:rsid w:val="00DF3EA9"/>
    <w:rsid w:val="00DF52CE"/>
    <w:rsid w:val="00DF66B9"/>
    <w:rsid w:val="00DF6817"/>
    <w:rsid w:val="00DF68B1"/>
    <w:rsid w:val="00E01D86"/>
    <w:rsid w:val="00E02876"/>
    <w:rsid w:val="00E055A2"/>
    <w:rsid w:val="00E0738C"/>
    <w:rsid w:val="00E07DA7"/>
    <w:rsid w:val="00E10BB4"/>
    <w:rsid w:val="00E11150"/>
    <w:rsid w:val="00E11E41"/>
    <w:rsid w:val="00E1245E"/>
    <w:rsid w:val="00E153EF"/>
    <w:rsid w:val="00E15E1B"/>
    <w:rsid w:val="00E24F0D"/>
    <w:rsid w:val="00E25FC7"/>
    <w:rsid w:val="00E26446"/>
    <w:rsid w:val="00E270B7"/>
    <w:rsid w:val="00E27BEB"/>
    <w:rsid w:val="00E31A60"/>
    <w:rsid w:val="00E3560F"/>
    <w:rsid w:val="00E35DE5"/>
    <w:rsid w:val="00E35F5A"/>
    <w:rsid w:val="00E36334"/>
    <w:rsid w:val="00E42AD3"/>
    <w:rsid w:val="00E44873"/>
    <w:rsid w:val="00E45C25"/>
    <w:rsid w:val="00E50F5E"/>
    <w:rsid w:val="00E5188F"/>
    <w:rsid w:val="00E528E6"/>
    <w:rsid w:val="00E55073"/>
    <w:rsid w:val="00E5571E"/>
    <w:rsid w:val="00E61061"/>
    <w:rsid w:val="00E61620"/>
    <w:rsid w:val="00E616A7"/>
    <w:rsid w:val="00E65758"/>
    <w:rsid w:val="00E661E7"/>
    <w:rsid w:val="00E66BA4"/>
    <w:rsid w:val="00E71B57"/>
    <w:rsid w:val="00E71B65"/>
    <w:rsid w:val="00E73F79"/>
    <w:rsid w:val="00E76E7B"/>
    <w:rsid w:val="00E812FF"/>
    <w:rsid w:val="00E82F6C"/>
    <w:rsid w:val="00E83060"/>
    <w:rsid w:val="00E855C8"/>
    <w:rsid w:val="00E86C0C"/>
    <w:rsid w:val="00E9094A"/>
    <w:rsid w:val="00E9172B"/>
    <w:rsid w:val="00E92453"/>
    <w:rsid w:val="00E93EF5"/>
    <w:rsid w:val="00E957AA"/>
    <w:rsid w:val="00E97B02"/>
    <w:rsid w:val="00EA0531"/>
    <w:rsid w:val="00EA0538"/>
    <w:rsid w:val="00EA1AED"/>
    <w:rsid w:val="00EA3D17"/>
    <w:rsid w:val="00EA776F"/>
    <w:rsid w:val="00EB1863"/>
    <w:rsid w:val="00EB2238"/>
    <w:rsid w:val="00EB3CB9"/>
    <w:rsid w:val="00EB5001"/>
    <w:rsid w:val="00EB63BB"/>
    <w:rsid w:val="00EB7CA6"/>
    <w:rsid w:val="00EC0651"/>
    <w:rsid w:val="00EC2160"/>
    <w:rsid w:val="00EC27C7"/>
    <w:rsid w:val="00EC2E04"/>
    <w:rsid w:val="00ED176A"/>
    <w:rsid w:val="00ED3361"/>
    <w:rsid w:val="00ED6D1D"/>
    <w:rsid w:val="00EE2653"/>
    <w:rsid w:val="00EE343C"/>
    <w:rsid w:val="00EE4C10"/>
    <w:rsid w:val="00EE5559"/>
    <w:rsid w:val="00EE783D"/>
    <w:rsid w:val="00EF0329"/>
    <w:rsid w:val="00EF0BE0"/>
    <w:rsid w:val="00EF0FF7"/>
    <w:rsid w:val="00EF2603"/>
    <w:rsid w:val="00EF2B4D"/>
    <w:rsid w:val="00EF32C2"/>
    <w:rsid w:val="00EF5D92"/>
    <w:rsid w:val="00EF7136"/>
    <w:rsid w:val="00F04FB5"/>
    <w:rsid w:val="00F05194"/>
    <w:rsid w:val="00F07CDF"/>
    <w:rsid w:val="00F10137"/>
    <w:rsid w:val="00F11FE8"/>
    <w:rsid w:val="00F12815"/>
    <w:rsid w:val="00F12D17"/>
    <w:rsid w:val="00F131CA"/>
    <w:rsid w:val="00F15CBD"/>
    <w:rsid w:val="00F16BFC"/>
    <w:rsid w:val="00F21BEB"/>
    <w:rsid w:val="00F2379B"/>
    <w:rsid w:val="00F239C2"/>
    <w:rsid w:val="00F23D12"/>
    <w:rsid w:val="00F262D6"/>
    <w:rsid w:val="00F27C73"/>
    <w:rsid w:val="00F311C9"/>
    <w:rsid w:val="00F33DB1"/>
    <w:rsid w:val="00F34D4E"/>
    <w:rsid w:val="00F352DF"/>
    <w:rsid w:val="00F377C6"/>
    <w:rsid w:val="00F40AE8"/>
    <w:rsid w:val="00F42683"/>
    <w:rsid w:val="00F45446"/>
    <w:rsid w:val="00F4610D"/>
    <w:rsid w:val="00F46901"/>
    <w:rsid w:val="00F53D93"/>
    <w:rsid w:val="00F53F78"/>
    <w:rsid w:val="00F54AB0"/>
    <w:rsid w:val="00F55867"/>
    <w:rsid w:val="00F5756B"/>
    <w:rsid w:val="00F62909"/>
    <w:rsid w:val="00F649C9"/>
    <w:rsid w:val="00F65150"/>
    <w:rsid w:val="00F67D6A"/>
    <w:rsid w:val="00F719E5"/>
    <w:rsid w:val="00F739BE"/>
    <w:rsid w:val="00F7694E"/>
    <w:rsid w:val="00F77618"/>
    <w:rsid w:val="00F85C05"/>
    <w:rsid w:val="00F93DF7"/>
    <w:rsid w:val="00F952A2"/>
    <w:rsid w:val="00F96AF8"/>
    <w:rsid w:val="00FA091E"/>
    <w:rsid w:val="00FA0CF4"/>
    <w:rsid w:val="00FA186B"/>
    <w:rsid w:val="00FA3B09"/>
    <w:rsid w:val="00FA3ECE"/>
    <w:rsid w:val="00FA4061"/>
    <w:rsid w:val="00FA4B32"/>
    <w:rsid w:val="00FA5585"/>
    <w:rsid w:val="00FA6A8F"/>
    <w:rsid w:val="00FA7892"/>
    <w:rsid w:val="00FA7D22"/>
    <w:rsid w:val="00FB1011"/>
    <w:rsid w:val="00FB13AF"/>
    <w:rsid w:val="00FB2905"/>
    <w:rsid w:val="00FB4DCC"/>
    <w:rsid w:val="00FB5FBB"/>
    <w:rsid w:val="00FC5118"/>
    <w:rsid w:val="00FD335A"/>
    <w:rsid w:val="00FD4D7F"/>
    <w:rsid w:val="00FD5D2A"/>
    <w:rsid w:val="00FE1172"/>
    <w:rsid w:val="00FE524E"/>
    <w:rsid w:val="00FF2FC7"/>
    <w:rsid w:val="00FF34DF"/>
    <w:rsid w:val="00FF44C7"/>
    <w:rsid w:val="00FF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3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paragraph" w:styleId="ListParagraph">
    <w:name w:val="List Paragraph"/>
    <w:basedOn w:val="Normal"/>
    <w:uiPriority w:val="34"/>
    <w:qFormat/>
    <w:rsid w:val="009A67CE"/>
    <w:pPr>
      <w:ind w:left="720"/>
    </w:pPr>
    <w:rPr>
      <w:rFonts w:eastAsia="Batang"/>
      <w:szCs w:val="24"/>
    </w:rPr>
  </w:style>
  <w:style w:type="paragraph" w:customStyle="1" w:styleId="Default">
    <w:name w:val="Default"/>
    <w:rsid w:val="00CB1065"/>
    <w:pPr>
      <w:autoSpaceDE w:val="0"/>
      <w:autoSpaceDN w:val="0"/>
      <w:adjustRightInd w:val="0"/>
      <w:spacing w:after="0" w:line="240" w:lineRule="auto"/>
    </w:pPr>
    <w:rPr>
      <w:rFonts w:ascii="Arial" w:hAnsi="Arial" w:cs="Arial"/>
      <w:color w:val="000000"/>
      <w:sz w:val="24"/>
      <w:szCs w:val="24"/>
      <w:lang w:val="en-GB"/>
    </w:rPr>
  </w:style>
  <w:style w:type="paragraph" w:customStyle="1" w:styleId="MGfulltext">
    <w:name w:val="MG_fulltext"/>
    <w:basedOn w:val="Normal"/>
    <w:link w:val="MGfulltextChar"/>
    <w:qFormat/>
    <w:rsid w:val="0051433F"/>
    <w:pPr>
      <w:spacing w:after="120"/>
    </w:pPr>
    <w:rPr>
      <w:rFonts w:ascii="Arial" w:hAnsi="Arial" w:cs="Arial"/>
      <w:szCs w:val="24"/>
    </w:rPr>
  </w:style>
  <w:style w:type="character" w:customStyle="1" w:styleId="MGfulltextChar">
    <w:name w:val="MG_fulltext Char"/>
    <w:basedOn w:val="DefaultParagraphFont"/>
    <w:link w:val="MGfulltext"/>
    <w:rsid w:val="0051433F"/>
    <w:rPr>
      <w:rFonts w:ascii="Arial" w:eastAsia="Times New Roman" w:hAnsi="Arial" w:cs="Arial"/>
      <w:sz w:val="24"/>
      <w:szCs w:val="24"/>
    </w:rPr>
  </w:style>
  <w:style w:type="paragraph" w:styleId="FootnoteText">
    <w:name w:val="footnote text"/>
    <w:basedOn w:val="Normal"/>
    <w:link w:val="FootnoteTextChar"/>
    <w:semiHidden/>
    <w:rsid w:val="0051433F"/>
    <w:rPr>
      <w:rFonts w:eastAsia="Batang"/>
      <w:sz w:val="20"/>
    </w:rPr>
  </w:style>
  <w:style w:type="character" w:customStyle="1" w:styleId="FootnoteTextChar">
    <w:name w:val="Footnote Text Char"/>
    <w:basedOn w:val="DefaultParagraphFont"/>
    <w:link w:val="FootnoteText"/>
    <w:semiHidden/>
    <w:rsid w:val="0051433F"/>
    <w:rPr>
      <w:rFonts w:ascii="Times New Roman" w:eastAsia="Batang" w:hAnsi="Times New Roman" w:cs="Times New Roman"/>
      <w:sz w:val="20"/>
      <w:szCs w:val="20"/>
    </w:rPr>
  </w:style>
  <w:style w:type="character" w:styleId="FootnoteReference">
    <w:name w:val="footnote reference"/>
    <w:basedOn w:val="DefaultParagraphFont"/>
    <w:semiHidden/>
    <w:rsid w:val="0051433F"/>
    <w:rPr>
      <w:vertAlign w:val="superscript"/>
    </w:rPr>
  </w:style>
  <w:style w:type="paragraph" w:styleId="Header">
    <w:name w:val="header"/>
    <w:basedOn w:val="Normal"/>
    <w:link w:val="HeaderChar"/>
    <w:unhideWhenUsed/>
    <w:rsid w:val="00994C7E"/>
    <w:pPr>
      <w:tabs>
        <w:tab w:val="center" w:pos="4680"/>
        <w:tab w:val="right" w:pos="9360"/>
      </w:tabs>
    </w:pPr>
  </w:style>
  <w:style w:type="character" w:customStyle="1" w:styleId="HeaderChar">
    <w:name w:val="Header Char"/>
    <w:basedOn w:val="DefaultParagraphFont"/>
    <w:link w:val="Header"/>
    <w:uiPriority w:val="99"/>
    <w:semiHidden/>
    <w:rsid w:val="00994C7E"/>
    <w:rPr>
      <w:rFonts w:ascii="Times New Roman" w:eastAsia="Times New Roman" w:hAnsi="Times New Roman" w:cs="Times New Roman"/>
      <w:sz w:val="24"/>
      <w:szCs w:val="20"/>
    </w:rPr>
  </w:style>
  <w:style w:type="paragraph" w:styleId="Footer">
    <w:name w:val="footer"/>
    <w:basedOn w:val="Normal"/>
    <w:link w:val="FooterChar"/>
    <w:unhideWhenUsed/>
    <w:rsid w:val="00994C7E"/>
    <w:pPr>
      <w:tabs>
        <w:tab w:val="center" w:pos="4680"/>
        <w:tab w:val="right" w:pos="9360"/>
      </w:tabs>
    </w:pPr>
  </w:style>
  <w:style w:type="character" w:customStyle="1" w:styleId="FooterChar">
    <w:name w:val="Footer Char"/>
    <w:basedOn w:val="DefaultParagraphFont"/>
    <w:link w:val="Footer"/>
    <w:uiPriority w:val="99"/>
    <w:semiHidden/>
    <w:rsid w:val="00994C7E"/>
    <w:rPr>
      <w:rFonts w:ascii="Times New Roman" w:eastAsia="Times New Roman" w:hAnsi="Times New Roman" w:cs="Times New Roman"/>
      <w:sz w:val="24"/>
      <w:szCs w:val="20"/>
    </w:rPr>
  </w:style>
  <w:style w:type="character" w:styleId="PageNumber">
    <w:name w:val="page number"/>
    <w:basedOn w:val="DefaultParagraphFont"/>
    <w:rsid w:val="0051433F"/>
  </w:style>
  <w:style w:type="character" w:styleId="CommentReference">
    <w:name w:val="annotation reference"/>
    <w:basedOn w:val="DefaultParagraphFont"/>
    <w:uiPriority w:val="99"/>
    <w:semiHidden/>
    <w:unhideWhenUsed/>
    <w:rsid w:val="00E82F6C"/>
    <w:rPr>
      <w:sz w:val="18"/>
      <w:szCs w:val="18"/>
    </w:rPr>
  </w:style>
  <w:style w:type="paragraph" w:styleId="CommentText">
    <w:name w:val="annotation text"/>
    <w:basedOn w:val="Normal"/>
    <w:link w:val="CommentTextChar"/>
    <w:uiPriority w:val="99"/>
    <w:semiHidden/>
    <w:unhideWhenUsed/>
    <w:rsid w:val="00E82F6C"/>
    <w:rPr>
      <w:szCs w:val="24"/>
    </w:rPr>
  </w:style>
  <w:style w:type="character" w:customStyle="1" w:styleId="CommentTextChar">
    <w:name w:val="Comment Text Char"/>
    <w:basedOn w:val="DefaultParagraphFont"/>
    <w:link w:val="CommentText"/>
    <w:uiPriority w:val="99"/>
    <w:semiHidden/>
    <w:rsid w:val="00E82F6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82F6C"/>
    <w:rPr>
      <w:b/>
      <w:bCs/>
      <w:sz w:val="20"/>
      <w:szCs w:val="20"/>
    </w:rPr>
  </w:style>
  <w:style w:type="character" w:customStyle="1" w:styleId="CommentSubjectChar">
    <w:name w:val="Comment Subject Char"/>
    <w:basedOn w:val="CommentTextChar"/>
    <w:link w:val="CommentSubject"/>
    <w:uiPriority w:val="99"/>
    <w:semiHidden/>
    <w:rsid w:val="00E82F6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paragraph" w:styleId="ListParagraph">
    <w:name w:val="List Paragraph"/>
    <w:basedOn w:val="Normal"/>
    <w:uiPriority w:val="34"/>
    <w:qFormat/>
    <w:rsid w:val="009A67CE"/>
    <w:pPr>
      <w:ind w:left="720"/>
    </w:pPr>
    <w:rPr>
      <w:rFonts w:eastAsia="Batang"/>
      <w:szCs w:val="24"/>
    </w:rPr>
  </w:style>
  <w:style w:type="paragraph" w:customStyle="1" w:styleId="Default">
    <w:name w:val="Default"/>
    <w:rsid w:val="00CB1065"/>
    <w:pPr>
      <w:autoSpaceDE w:val="0"/>
      <w:autoSpaceDN w:val="0"/>
      <w:adjustRightInd w:val="0"/>
      <w:spacing w:after="0" w:line="240" w:lineRule="auto"/>
    </w:pPr>
    <w:rPr>
      <w:rFonts w:ascii="Arial" w:hAnsi="Arial" w:cs="Arial"/>
      <w:color w:val="000000"/>
      <w:sz w:val="24"/>
      <w:szCs w:val="24"/>
      <w:lang w:val="en-GB"/>
    </w:rPr>
  </w:style>
  <w:style w:type="paragraph" w:customStyle="1" w:styleId="MGfulltext">
    <w:name w:val="MG_fulltext"/>
    <w:basedOn w:val="Normal"/>
    <w:link w:val="MGfulltextChar"/>
    <w:qFormat/>
    <w:rsid w:val="0051433F"/>
    <w:pPr>
      <w:spacing w:after="120"/>
    </w:pPr>
    <w:rPr>
      <w:rFonts w:ascii="Arial" w:hAnsi="Arial" w:cs="Arial"/>
      <w:szCs w:val="24"/>
    </w:rPr>
  </w:style>
  <w:style w:type="character" w:customStyle="1" w:styleId="MGfulltextChar">
    <w:name w:val="MG_fulltext Char"/>
    <w:basedOn w:val="DefaultParagraphFont"/>
    <w:link w:val="MGfulltext"/>
    <w:rsid w:val="0051433F"/>
    <w:rPr>
      <w:rFonts w:ascii="Arial" w:eastAsia="Times New Roman" w:hAnsi="Arial" w:cs="Arial"/>
      <w:sz w:val="24"/>
      <w:szCs w:val="24"/>
    </w:rPr>
  </w:style>
  <w:style w:type="paragraph" w:styleId="FootnoteText">
    <w:name w:val="footnote text"/>
    <w:basedOn w:val="Normal"/>
    <w:link w:val="FootnoteTextChar"/>
    <w:semiHidden/>
    <w:rsid w:val="0051433F"/>
    <w:rPr>
      <w:rFonts w:eastAsia="Batang"/>
      <w:sz w:val="20"/>
    </w:rPr>
  </w:style>
  <w:style w:type="character" w:customStyle="1" w:styleId="FootnoteTextChar">
    <w:name w:val="Footnote Text Char"/>
    <w:basedOn w:val="DefaultParagraphFont"/>
    <w:link w:val="FootnoteText"/>
    <w:semiHidden/>
    <w:rsid w:val="0051433F"/>
    <w:rPr>
      <w:rFonts w:ascii="Times New Roman" w:eastAsia="Batang" w:hAnsi="Times New Roman" w:cs="Times New Roman"/>
      <w:sz w:val="20"/>
      <w:szCs w:val="20"/>
    </w:rPr>
  </w:style>
  <w:style w:type="character" w:styleId="FootnoteReference">
    <w:name w:val="footnote reference"/>
    <w:basedOn w:val="DefaultParagraphFont"/>
    <w:semiHidden/>
    <w:rsid w:val="0051433F"/>
    <w:rPr>
      <w:vertAlign w:val="superscript"/>
    </w:rPr>
  </w:style>
  <w:style w:type="paragraph" w:styleId="Header">
    <w:name w:val="header"/>
    <w:basedOn w:val="Normal"/>
    <w:link w:val="HeaderChar"/>
    <w:unhideWhenUsed/>
    <w:rsid w:val="00994C7E"/>
    <w:pPr>
      <w:tabs>
        <w:tab w:val="center" w:pos="4680"/>
        <w:tab w:val="right" w:pos="9360"/>
      </w:tabs>
    </w:pPr>
  </w:style>
  <w:style w:type="character" w:customStyle="1" w:styleId="HeaderChar">
    <w:name w:val="Header Char"/>
    <w:basedOn w:val="DefaultParagraphFont"/>
    <w:link w:val="Header"/>
    <w:uiPriority w:val="99"/>
    <w:semiHidden/>
    <w:rsid w:val="00994C7E"/>
    <w:rPr>
      <w:rFonts w:ascii="Times New Roman" w:eastAsia="Times New Roman" w:hAnsi="Times New Roman" w:cs="Times New Roman"/>
      <w:sz w:val="24"/>
      <w:szCs w:val="20"/>
    </w:rPr>
  </w:style>
  <w:style w:type="paragraph" w:styleId="Footer">
    <w:name w:val="footer"/>
    <w:basedOn w:val="Normal"/>
    <w:link w:val="FooterChar"/>
    <w:unhideWhenUsed/>
    <w:rsid w:val="00994C7E"/>
    <w:pPr>
      <w:tabs>
        <w:tab w:val="center" w:pos="4680"/>
        <w:tab w:val="right" w:pos="9360"/>
      </w:tabs>
    </w:pPr>
  </w:style>
  <w:style w:type="character" w:customStyle="1" w:styleId="FooterChar">
    <w:name w:val="Footer Char"/>
    <w:basedOn w:val="DefaultParagraphFont"/>
    <w:link w:val="Footer"/>
    <w:uiPriority w:val="99"/>
    <w:semiHidden/>
    <w:rsid w:val="00994C7E"/>
    <w:rPr>
      <w:rFonts w:ascii="Times New Roman" w:eastAsia="Times New Roman" w:hAnsi="Times New Roman" w:cs="Times New Roman"/>
      <w:sz w:val="24"/>
      <w:szCs w:val="20"/>
    </w:rPr>
  </w:style>
  <w:style w:type="character" w:styleId="PageNumber">
    <w:name w:val="page number"/>
    <w:basedOn w:val="DefaultParagraphFont"/>
    <w:rsid w:val="0051433F"/>
  </w:style>
  <w:style w:type="character" w:styleId="CommentReference">
    <w:name w:val="annotation reference"/>
    <w:basedOn w:val="DefaultParagraphFont"/>
    <w:uiPriority w:val="99"/>
    <w:semiHidden/>
    <w:unhideWhenUsed/>
    <w:rsid w:val="00E82F6C"/>
    <w:rPr>
      <w:sz w:val="18"/>
      <w:szCs w:val="18"/>
    </w:rPr>
  </w:style>
  <w:style w:type="paragraph" w:styleId="CommentText">
    <w:name w:val="annotation text"/>
    <w:basedOn w:val="Normal"/>
    <w:link w:val="CommentTextChar"/>
    <w:uiPriority w:val="99"/>
    <w:semiHidden/>
    <w:unhideWhenUsed/>
    <w:rsid w:val="00E82F6C"/>
    <w:rPr>
      <w:szCs w:val="24"/>
    </w:rPr>
  </w:style>
  <w:style w:type="character" w:customStyle="1" w:styleId="CommentTextChar">
    <w:name w:val="Comment Text Char"/>
    <w:basedOn w:val="DefaultParagraphFont"/>
    <w:link w:val="CommentText"/>
    <w:uiPriority w:val="99"/>
    <w:semiHidden/>
    <w:rsid w:val="00E82F6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82F6C"/>
    <w:rPr>
      <w:b/>
      <w:bCs/>
      <w:sz w:val="20"/>
      <w:szCs w:val="20"/>
    </w:rPr>
  </w:style>
  <w:style w:type="character" w:customStyle="1" w:styleId="CommentSubjectChar">
    <w:name w:val="Comment Subject Char"/>
    <w:basedOn w:val="CommentTextChar"/>
    <w:link w:val="CommentSubject"/>
    <w:uiPriority w:val="99"/>
    <w:semiHidden/>
    <w:rsid w:val="00E82F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7075">
      <w:bodyDiv w:val="1"/>
      <w:marLeft w:val="0"/>
      <w:marRight w:val="0"/>
      <w:marTop w:val="0"/>
      <w:marBottom w:val="0"/>
      <w:divBdr>
        <w:top w:val="none" w:sz="0" w:space="0" w:color="auto"/>
        <w:left w:val="none" w:sz="0" w:space="0" w:color="auto"/>
        <w:bottom w:val="none" w:sz="0" w:space="0" w:color="auto"/>
        <w:right w:val="none" w:sz="0" w:space="0" w:color="auto"/>
      </w:divBdr>
    </w:div>
    <w:div w:id="646857542">
      <w:bodyDiv w:val="1"/>
      <w:marLeft w:val="0"/>
      <w:marRight w:val="0"/>
      <w:marTop w:val="0"/>
      <w:marBottom w:val="0"/>
      <w:divBdr>
        <w:top w:val="none" w:sz="0" w:space="0" w:color="auto"/>
        <w:left w:val="none" w:sz="0" w:space="0" w:color="auto"/>
        <w:bottom w:val="none" w:sz="0" w:space="0" w:color="auto"/>
        <w:right w:val="none" w:sz="0" w:space="0" w:color="auto"/>
      </w:divBdr>
    </w:div>
    <w:div w:id="764695430">
      <w:bodyDiv w:val="1"/>
      <w:marLeft w:val="0"/>
      <w:marRight w:val="0"/>
      <w:marTop w:val="0"/>
      <w:marBottom w:val="0"/>
      <w:divBdr>
        <w:top w:val="none" w:sz="0" w:space="0" w:color="auto"/>
        <w:left w:val="none" w:sz="0" w:space="0" w:color="auto"/>
        <w:bottom w:val="none" w:sz="0" w:space="0" w:color="auto"/>
        <w:right w:val="none" w:sz="0" w:space="0" w:color="auto"/>
      </w:divBdr>
    </w:div>
    <w:div w:id="769853362">
      <w:bodyDiv w:val="1"/>
      <w:marLeft w:val="0"/>
      <w:marRight w:val="0"/>
      <w:marTop w:val="0"/>
      <w:marBottom w:val="0"/>
      <w:divBdr>
        <w:top w:val="none" w:sz="0" w:space="0" w:color="auto"/>
        <w:left w:val="none" w:sz="0" w:space="0" w:color="auto"/>
        <w:bottom w:val="none" w:sz="0" w:space="0" w:color="auto"/>
        <w:right w:val="none" w:sz="0" w:space="0" w:color="auto"/>
      </w:divBdr>
    </w:div>
    <w:div w:id="770734951">
      <w:bodyDiv w:val="1"/>
      <w:marLeft w:val="0"/>
      <w:marRight w:val="0"/>
      <w:marTop w:val="0"/>
      <w:marBottom w:val="0"/>
      <w:divBdr>
        <w:top w:val="none" w:sz="0" w:space="0" w:color="auto"/>
        <w:left w:val="none" w:sz="0" w:space="0" w:color="auto"/>
        <w:bottom w:val="none" w:sz="0" w:space="0" w:color="auto"/>
        <w:right w:val="none" w:sz="0" w:space="0" w:color="auto"/>
      </w:divBdr>
    </w:div>
    <w:div w:id="808742636">
      <w:bodyDiv w:val="1"/>
      <w:marLeft w:val="0"/>
      <w:marRight w:val="0"/>
      <w:marTop w:val="0"/>
      <w:marBottom w:val="0"/>
      <w:divBdr>
        <w:top w:val="none" w:sz="0" w:space="0" w:color="auto"/>
        <w:left w:val="none" w:sz="0" w:space="0" w:color="auto"/>
        <w:bottom w:val="none" w:sz="0" w:space="0" w:color="auto"/>
        <w:right w:val="none" w:sz="0" w:space="0" w:color="auto"/>
      </w:divBdr>
    </w:div>
    <w:div w:id="983704592">
      <w:bodyDiv w:val="1"/>
      <w:marLeft w:val="0"/>
      <w:marRight w:val="0"/>
      <w:marTop w:val="0"/>
      <w:marBottom w:val="0"/>
      <w:divBdr>
        <w:top w:val="none" w:sz="0" w:space="0" w:color="auto"/>
        <w:left w:val="none" w:sz="0" w:space="0" w:color="auto"/>
        <w:bottom w:val="none" w:sz="0" w:space="0" w:color="auto"/>
        <w:right w:val="none" w:sz="0" w:space="0" w:color="auto"/>
      </w:divBdr>
    </w:div>
    <w:div w:id="1803843260">
      <w:bodyDiv w:val="1"/>
      <w:marLeft w:val="0"/>
      <w:marRight w:val="0"/>
      <w:marTop w:val="0"/>
      <w:marBottom w:val="0"/>
      <w:divBdr>
        <w:top w:val="none" w:sz="0" w:space="0" w:color="auto"/>
        <w:left w:val="none" w:sz="0" w:space="0" w:color="auto"/>
        <w:bottom w:val="none" w:sz="0" w:space="0" w:color="auto"/>
        <w:right w:val="none" w:sz="0" w:space="0" w:color="auto"/>
      </w:divBdr>
    </w:div>
    <w:div w:id="2025979982">
      <w:bodyDiv w:val="1"/>
      <w:marLeft w:val="0"/>
      <w:marRight w:val="0"/>
      <w:marTop w:val="0"/>
      <w:marBottom w:val="0"/>
      <w:divBdr>
        <w:top w:val="none" w:sz="0" w:space="0" w:color="auto"/>
        <w:left w:val="none" w:sz="0" w:space="0" w:color="auto"/>
        <w:bottom w:val="none" w:sz="0" w:space="0" w:color="auto"/>
        <w:right w:val="none" w:sz="0" w:space="0" w:color="auto"/>
      </w:divBdr>
    </w:div>
    <w:div w:id="20331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0EB9-D5E1-400E-87E6-47D9B6BB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1952</Words>
  <Characters>11128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Ramsar\BarsinO</dc:creator>
  <cp:lastModifiedBy>Ramsar\JenningsE</cp:lastModifiedBy>
  <cp:revision>2</cp:revision>
  <cp:lastPrinted>2015-07-15T13:44:00Z</cp:lastPrinted>
  <dcterms:created xsi:type="dcterms:W3CDTF">2015-07-15T13:48:00Z</dcterms:created>
  <dcterms:modified xsi:type="dcterms:W3CDTF">2015-07-15T13:48:00Z</dcterms:modified>
</cp:coreProperties>
</file>