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86" w:rsidRPr="00334186" w:rsidRDefault="00334186" w:rsidP="0033418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5"/>
          <w:szCs w:val="25"/>
          <w:lang w:val="es-ES_tradnl" w:eastAsia="en-GB"/>
        </w:rPr>
      </w:pPr>
      <w:r w:rsidRPr="00334186">
        <w:rPr>
          <w:rFonts w:ascii="Calibri" w:eastAsia="Times New Roman" w:hAnsi="Calibri" w:cs="Times New Roman"/>
          <w:noProof/>
          <w:sz w:val="25"/>
          <w:szCs w:val="25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9B3F580" wp14:editId="27DDEF57">
            <wp:simplePos x="0" y="0"/>
            <wp:positionH relativeFrom="margin">
              <wp:posOffset>-172085</wp:posOffset>
            </wp:positionH>
            <wp:positionV relativeFrom="margin">
              <wp:posOffset>-170815</wp:posOffset>
            </wp:positionV>
            <wp:extent cx="2219325" cy="962025"/>
            <wp:effectExtent l="19050" t="0" r="9525" b="0"/>
            <wp:wrapSquare wrapText="bothSides"/>
            <wp:docPr id="1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4186">
        <w:rPr>
          <w:rFonts w:ascii="Calibri" w:eastAsia="Times New Roman" w:hAnsi="Calibri" w:cs="Times New Roman"/>
          <w:b/>
          <w:sz w:val="25"/>
          <w:szCs w:val="25"/>
          <w:lang w:val="es-ES_tradnl" w:eastAsia="en-GB"/>
        </w:rPr>
        <w:t>12</w:t>
      </w:r>
      <w:r w:rsidRPr="00334186">
        <w:rPr>
          <w:rFonts w:ascii="Calibri" w:eastAsia="Times New Roman" w:hAnsi="Calibri" w:cs="Times New Roman"/>
          <w:b/>
          <w:sz w:val="25"/>
          <w:szCs w:val="25"/>
          <w:vertAlign w:val="superscript"/>
          <w:lang w:val="es-ES_tradnl" w:eastAsia="en-GB"/>
        </w:rPr>
        <w:t xml:space="preserve">ª </w:t>
      </w:r>
      <w:r w:rsidRPr="00334186">
        <w:rPr>
          <w:rFonts w:ascii="Calibri" w:eastAsia="Times New Roman" w:hAnsi="Calibri" w:cs="Times New Roman"/>
          <w:b/>
          <w:sz w:val="25"/>
          <w:szCs w:val="25"/>
          <w:lang w:val="es-ES_tradnl" w:eastAsia="en-GB"/>
        </w:rPr>
        <w:t>Reunión de la Conferencia de las Partes en la Convención sobre los Humedales (Ramsar, Irán, 1971)</w:t>
      </w:r>
    </w:p>
    <w:p w:rsidR="00334186" w:rsidRPr="00334186" w:rsidRDefault="00334186" w:rsidP="00334186">
      <w:pPr>
        <w:spacing w:after="0" w:line="240" w:lineRule="auto"/>
        <w:jc w:val="center"/>
        <w:rPr>
          <w:rFonts w:ascii="Calibri" w:eastAsia="Times New Roman" w:hAnsi="Calibri" w:cs="Times New Roman"/>
          <w:sz w:val="25"/>
          <w:szCs w:val="25"/>
          <w:lang w:val="es-ES_tradnl" w:eastAsia="en-GB"/>
        </w:rPr>
      </w:pPr>
    </w:p>
    <w:p w:rsidR="00334186" w:rsidRPr="00334186" w:rsidRDefault="00334186" w:rsidP="00334186">
      <w:pPr>
        <w:tabs>
          <w:tab w:val="left" w:pos="382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5"/>
          <w:szCs w:val="25"/>
          <w:lang w:val="es-ES_tradnl" w:eastAsia="en-GB"/>
        </w:rPr>
      </w:pPr>
      <w:r w:rsidRPr="00334186">
        <w:rPr>
          <w:rFonts w:ascii="Calibri" w:eastAsia="Times New Roman" w:hAnsi="Calibri" w:cs="Times New Roman"/>
          <w:b/>
          <w:sz w:val="25"/>
          <w:szCs w:val="25"/>
          <w:lang w:val="es-ES_tradnl" w:eastAsia="en-GB"/>
        </w:rPr>
        <w:t>Punta del Este, Uruguay, 1 al 9 de junio de 2015</w:t>
      </w:r>
    </w:p>
    <w:p w:rsidR="00334186" w:rsidRPr="00334186" w:rsidRDefault="00334186" w:rsidP="0033418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n-GB"/>
        </w:rPr>
      </w:pPr>
    </w:p>
    <w:p w:rsidR="00334186" w:rsidRPr="00334186" w:rsidRDefault="00334186" w:rsidP="0033418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n-GB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249"/>
        <w:gridCol w:w="4368"/>
      </w:tblGrid>
      <w:tr w:rsidR="00334186" w:rsidRPr="00334186" w:rsidTr="007D6F3A">
        <w:tc>
          <w:tcPr>
            <w:tcW w:w="4528" w:type="dxa"/>
          </w:tcPr>
          <w:p w:rsidR="00334186" w:rsidRPr="00334186" w:rsidRDefault="00334186" w:rsidP="003341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5"/>
                <w:szCs w:val="25"/>
                <w:lang w:val="es-ES_tradnl" w:eastAsia="en-GB"/>
              </w:rPr>
            </w:pPr>
          </w:p>
        </w:tc>
        <w:tc>
          <w:tcPr>
            <w:tcW w:w="4602" w:type="dxa"/>
          </w:tcPr>
          <w:p w:rsidR="00334186" w:rsidRDefault="00334186" w:rsidP="00334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5"/>
                <w:szCs w:val="25"/>
                <w:lang w:val="es-ES_tradnl" w:eastAsia="en-GB"/>
              </w:rPr>
            </w:pPr>
            <w:r w:rsidRPr="00334186">
              <w:rPr>
                <w:rFonts w:ascii="Calibri" w:eastAsia="Times New Roman" w:hAnsi="Calibri" w:cs="Times New Roman"/>
                <w:b/>
                <w:sz w:val="25"/>
                <w:szCs w:val="25"/>
                <w:lang w:val="es-ES_tradnl" w:eastAsia="en-GB"/>
              </w:rPr>
              <w:t>Ramsar COP12 DR16</w:t>
            </w:r>
            <w:r w:rsidR="00F152D7">
              <w:rPr>
                <w:rFonts w:ascii="Calibri" w:eastAsia="Times New Roman" w:hAnsi="Calibri" w:cs="Times New Roman"/>
                <w:b/>
                <w:sz w:val="25"/>
                <w:szCs w:val="25"/>
                <w:lang w:val="es-ES_tradnl" w:eastAsia="en-GB"/>
              </w:rPr>
              <w:t>, Rev. 1</w:t>
            </w:r>
          </w:p>
          <w:p w:rsidR="00F152D7" w:rsidRPr="00334186" w:rsidRDefault="00F152D7" w:rsidP="00334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5"/>
                <w:szCs w:val="25"/>
                <w:lang w:val="es-ES_tradnl" w:eastAsia="en-GB"/>
              </w:rPr>
            </w:pPr>
            <w:r>
              <w:rPr>
                <w:rFonts w:ascii="Calibri" w:eastAsia="Times New Roman" w:hAnsi="Calibri" w:cs="Times New Roman"/>
                <w:b/>
                <w:sz w:val="25"/>
                <w:szCs w:val="25"/>
                <w:lang w:val="es-ES_tradnl" w:eastAsia="en-GB"/>
              </w:rPr>
              <w:t>16:00, 9 de Junio</w:t>
            </w:r>
          </w:p>
        </w:tc>
      </w:tr>
    </w:tbl>
    <w:p w:rsidR="00334186" w:rsidRPr="00334186" w:rsidRDefault="00334186" w:rsidP="00334186">
      <w:pPr>
        <w:keepNext/>
        <w:tabs>
          <w:tab w:val="left" w:pos="8264"/>
        </w:tabs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  <w:lang w:val="es-ES_tradnl" w:eastAsia="en-GB"/>
        </w:rPr>
      </w:pPr>
      <w:r w:rsidRPr="00334186">
        <w:rPr>
          <w:rFonts w:ascii="Calibri" w:eastAsia="Times New Roman" w:hAnsi="Calibri" w:cs="Times New Roman"/>
          <w:b/>
          <w:sz w:val="28"/>
          <w:szCs w:val="28"/>
          <w:lang w:val="es-ES_tradnl" w:eastAsia="en-GB"/>
        </w:rPr>
        <w:tab/>
      </w:r>
    </w:p>
    <w:p w:rsidR="00334186" w:rsidRPr="00334186" w:rsidRDefault="00334186" w:rsidP="00334186">
      <w:pPr>
        <w:spacing w:after="0" w:line="240" w:lineRule="auto"/>
        <w:ind w:right="17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s-ES_tradnl" w:eastAsia="el-GR"/>
        </w:rPr>
      </w:pPr>
      <w:bookmarkStart w:id="0" w:name="_GoBack"/>
      <w:r w:rsidRPr="00334186">
        <w:rPr>
          <w:rFonts w:ascii="Calibri" w:eastAsia="Times New Roman" w:hAnsi="Calibri" w:cs="Times New Roman"/>
          <w:b/>
          <w:bCs/>
          <w:sz w:val="28"/>
          <w:szCs w:val="28"/>
          <w:lang w:val="es-ES_tradnl" w:eastAsia="el-GR"/>
        </w:rPr>
        <w:t>Proyecto de Resolución XII.16</w:t>
      </w:r>
      <w:r w:rsidR="00491AE3">
        <w:rPr>
          <w:rFonts w:ascii="Calibri" w:eastAsia="Times New Roman" w:hAnsi="Calibri" w:cs="Times New Roman"/>
          <w:b/>
          <w:bCs/>
          <w:sz w:val="28"/>
          <w:szCs w:val="28"/>
          <w:lang w:val="es-ES_tradnl" w:eastAsia="el-GR"/>
        </w:rPr>
        <w:t xml:space="preserve"> </w:t>
      </w:r>
    </w:p>
    <w:p w:rsidR="00334186" w:rsidRPr="00334186" w:rsidRDefault="00334186" w:rsidP="0033418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es-ES_tradnl" w:eastAsia="en-GB"/>
        </w:rPr>
      </w:pPr>
    </w:p>
    <w:p w:rsidR="00334186" w:rsidRPr="00334186" w:rsidRDefault="00334186" w:rsidP="00334186">
      <w:pPr>
        <w:spacing w:after="0" w:line="240" w:lineRule="auto"/>
        <w:jc w:val="center"/>
        <w:rPr>
          <w:rFonts w:ascii="Calibri" w:eastAsia="SimSun" w:hAnsi="Calibri" w:cs="Times New Roman"/>
          <w:b/>
          <w:color w:val="000000"/>
          <w:sz w:val="28"/>
          <w:szCs w:val="28"/>
          <w:lang w:val="es-ES_tradnl" w:eastAsia="zh-CN"/>
        </w:rPr>
      </w:pPr>
      <w:r w:rsidRPr="00334186">
        <w:rPr>
          <w:rFonts w:ascii="Calibri" w:eastAsia="SimSun" w:hAnsi="Calibri" w:cs="Times New Roman"/>
          <w:b/>
          <w:color w:val="000000"/>
          <w:sz w:val="28"/>
          <w:szCs w:val="28"/>
          <w:lang w:val="es-ES_tradnl" w:eastAsia="zh-CN"/>
        </w:rPr>
        <w:t>Agradecimiento al país anfitrión (Uruguay) y “Declaración de Punta del Este”</w:t>
      </w:r>
    </w:p>
    <w:bookmarkEnd w:id="0"/>
    <w:p w:rsidR="00334186" w:rsidRPr="00334186" w:rsidRDefault="00334186" w:rsidP="00491AE3">
      <w:p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Times New Roman"/>
          <w:i/>
          <w:lang w:val="es-ES_tradnl"/>
        </w:rPr>
      </w:pP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  <w:r w:rsidRPr="00334186">
        <w:rPr>
          <w:rFonts w:ascii="Calibri" w:eastAsia="SimSun" w:hAnsi="Calibri" w:cs="Times New Roman"/>
          <w:color w:val="000000"/>
          <w:lang w:val="es-ES_tradnl" w:eastAsia="zh-CN"/>
        </w:rPr>
        <w:t>1.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ab/>
        <w:t>HABIÉNDOSE REUNIDO por primera vez en América del Sur en Punta del Este (Uruguay);</w:t>
      </w: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  <w:r w:rsidRPr="00334186">
        <w:rPr>
          <w:rFonts w:ascii="Calibri" w:eastAsia="SimSun" w:hAnsi="Calibri" w:cs="Times New Roman"/>
          <w:color w:val="000000"/>
          <w:lang w:val="es-ES_tradnl" w:eastAsia="zh-CN"/>
        </w:rPr>
        <w:t>2.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ab/>
        <w:t>PLENAMENTE CONSCIENTE del importante esfuerzo que requiere la organización de una reunión de la Conferencia de las Partes Contratantes (COP), con más de 800 participantes y delegaciones de 1</w:t>
      </w:r>
      <w:r w:rsidR="00491AE3">
        <w:rPr>
          <w:rFonts w:ascii="Calibri" w:eastAsia="SimSun" w:hAnsi="Calibri" w:cs="Times New Roman"/>
          <w:color w:val="000000"/>
          <w:lang w:val="es-ES_tradnl" w:eastAsia="zh-CN"/>
        </w:rPr>
        <w:t>41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 xml:space="preserve"> Partes Contratantes</w:t>
      </w:r>
      <w:r w:rsidR="00491AE3">
        <w:rPr>
          <w:rFonts w:ascii="Calibri" w:eastAsia="SimSun" w:hAnsi="Calibri" w:cs="Times New Roman"/>
          <w:color w:val="000000"/>
          <w:lang w:val="es-ES_tradnl" w:eastAsia="zh-CN"/>
        </w:rPr>
        <w:t>,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 xml:space="preserve"> así como dos Estados observadores en esta ocasión;</w:t>
      </w: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</w:p>
    <w:p w:rsidR="00334186" w:rsidRPr="00334186" w:rsidRDefault="00334186" w:rsidP="00F21E0D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  <w:r w:rsidRPr="00334186">
        <w:rPr>
          <w:rFonts w:ascii="Calibri" w:eastAsia="SimSun" w:hAnsi="Calibri" w:cs="Times New Roman"/>
          <w:color w:val="000000"/>
          <w:lang w:val="es-ES_tradnl" w:eastAsia="zh-CN"/>
        </w:rPr>
        <w:t>3.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ab/>
        <w:t xml:space="preserve">RECONOCIENDO el largo compromiso del Uruguay hacia la conservación y el uso racional de los humedales a través de </w:t>
      </w:r>
      <w:r w:rsidR="00491AE3">
        <w:rPr>
          <w:rFonts w:ascii="Calibri" w:eastAsia="SimSun" w:hAnsi="Calibri" w:cs="Times New Roman"/>
          <w:color w:val="000000"/>
          <w:lang w:val="es-ES_tradnl" w:eastAsia="zh-CN"/>
        </w:rPr>
        <w:t>sus acciones de implementación de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 xml:space="preserve"> la Convención de Ramsar, </w:t>
      </w:r>
      <w:r w:rsidR="00F21E0D">
        <w:rPr>
          <w:rFonts w:ascii="Calibri" w:eastAsia="SimSun" w:hAnsi="Calibri" w:cs="Times New Roman"/>
          <w:color w:val="000000"/>
          <w:lang w:val="es-ES_tradnl" w:eastAsia="zh-CN"/>
        </w:rPr>
        <w:t xml:space="preserve">incluyendo 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 xml:space="preserve">esfuerzos recientes </w:t>
      </w:r>
      <w:r w:rsidR="00F21E0D">
        <w:rPr>
          <w:rFonts w:ascii="Calibri" w:eastAsia="SimSun" w:hAnsi="Calibri" w:cs="Times New Roman"/>
          <w:color w:val="000000"/>
          <w:lang w:val="es-ES_tradnl" w:eastAsia="zh-CN"/>
        </w:rPr>
        <w:t>como por ejemplo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>:</w:t>
      </w:r>
    </w:p>
    <w:p w:rsidR="00334186" w:rsidRPr="00334186" w:rsidRDefault="00334186" w:rsidP="00491AE3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val="es-ES_tradnl"/>
        </w:rPr>
      </w:pPr>
    </w:p>
    <w:p w:rsidR="00334186" w:rsidRPr="00334186" w:rsidRDefault="00334186" w:rsidP="00491AE3">
      <w:pPr>
        <w:numPr>
          <w:ilvl w:val="0"/>
          <w:numId w:val="1"/>
        </w:numPr>
        <w:spacing w:after="0" w:line="240" w:lineRule="auto"/>
        <w:ind w:left="851" w:hanging="426"/>
        <w:contextualSpacing/>
        <w:jc w:val="both"/>
        <w:rPr>
          <w:rFonts w:ascii="Calibri" w:eastAsia="Calibri" w:hAnsi="Calibri" w:cs="Times New Roman"/>
          <w:lang w:val="es-ES_tradnl"/>
        </w:rPr>
      </w:pPr>
      <w:r w:rsidRPr="00334186">
        <w:rPr>
          <w:rFonts w:ascii="Calibri" w:eastAsia="Calibri" w:hAnsi="Calibri" w:cs="Times New Roman"/>
          <w:lang w:val="es-ES_tradnl"/>
        </w:rPr>
        <w:t>Eliminar Bañados del Este y Franja Costera del registro de Montreux;</w:t>
      </w:r>
    </w:p>
    <w:p w:rsidR="00334186" w:rsidRPr="00334186" w:rsidRDefault="00334186" w:rsidP="00491AE3">
      <w:pPr>
        <w:numPr>
          <w:ilvl w:val="0"/>
          <w:numId w:val="1"/>
        </w:numPr>
        <w:spacing w:after="0" w:line="240" w:lineRule="auto"/>
        <w:ind w:left="851" w:hanging="426"/>
        <w:contextualSpacing/>
        <w:jc w:val="both"/>
        <w:rPr>
          <w:rFonts w:ascii="Calibri" w:eastAsia="Calibri" w:hAnsi="Calibri" w:cs="Times New Roman"/>
          <w:lang w:val="es-ES_tradnl"/>
        </w:rPr>
      </w:pPr>
      <w:r w:rsidRPr="00334186">
        <w:rPr>
          <w:rFonts w:ascii="Calibri" w:eastAsia="Calibri" w:hAnsi="Calibri" w:cs="Times New Roman"/>
          <w:lang w:val="es-ES_tradnl"/>
        </w:rPr>
        <w:t>Completar el Inventario Nacional de Humedales a fin de permitir la elaboración de políticas ambientales adicionales encaminadas a proteger los humedales, otros ecosistemas conexos y los recursos acuáticos en general; e</w:t>
      </w:r>
    </w:p>
    <w:p w:rsidR="00334186" w:rsidRPr="00334186" w:rsidRDefault="00334186" w:rsidP="00491AE3">
      <w:pPr>
        <w:numPr>
          <w:ilvl w:val="0"/>
          <w:numId w:val="1"/>
        </w:numPr>
        <w:spacing w:after="0" w:line="240" w:lineRule="auto"/>
        <w:ind w:left="851" w:hanging="426"/>
        <w:contextualSpacing/>
        <w:jc w:val="both"/>
        <w:rPr>
          <w:rFonts w:ascii="Calibri" w:eastAsia="Calibri" w:hAnsi="Calibri" w:cs="Times New Roman"/>
          <w:lang w:val="es-ES_tradnl"/>
        </w:rPr>
      </w:pPr>
      <w:r w:rsidRPr="00334186">
        <w:rPr>
          <w:rFonts w:ascii="Calibri" w:eastAsia="Calibri" w:hAnsi="Calibri" w:cs="Times New Roman"/>
          <w:lang w:val="es-ES_tradnl"/>
        </w:rPr>
        <w:t>Integrar los conocimientos científicos y técnicos en los planes de manejo de los humedales, con el fin de lograr un equilibrio adecuado entre su necesaria protección y su uso productivo;</w:t>
      </w: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val="es-ES_tradnl" w:eastAsia="en-GB"/>
        </w:rPr>
      </w:pPr>
    </w:p>
    <w:p w:rsid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  <w:r w:rsidRPr="00334186">
        <w:rPr>
          <w:rFonts w:ascii="Calibri" w:eastAsia="Times New Roman" w:hAnsi="Calibri" w:cs="Times New Roman"/>
          <w:lang w:val="es-ES_tradnl" w:eastAsia="en-GB"/>
        </w:rPr>
        <w:t>4.</w:t>
      </w:r>
      <w:r w:rsidRPr="00334186">
        <w:rPr>
          <w:rFonts w:ascii="Calibri" w:eastAsia="Times New Roman" w:hAnsi="Calibri" w:cs="Times New Roman"/>
          <w:lang w:val="es-ES_tradnl" w:eastAsia="en-GB"/>
        </w:rPr>
        <w:tab/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>OBSERVANDO la solicitud de designar la Laguna de Rocha como nuevo sitio Ramsar uruguayo;</w:t>
      </w:r>
    </w:p>
    <w:p w:rsidR="00427C86" w:rsidRDefault="00427C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</w:p>
    <w:p w:rsidR="00427C86" w:rsidRPr="00427C86" w:rsidRDefault="00427C86" w:rsidP="00427C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  <w:r>
        <w:rPr>
          <w:rFonts w:ascii="Calibri" w:eastAsia="SimSun" w:hAnsi="Calibri" w:cs="Times New Roman"/>
          <w:color w:val="000000"/>
          <w:lang w:val="es-ES_tradnl" w:eastAsia="zh-CN"/>
        </w:rPr>
        <w:t>OBSERVANDO CON SATISFACCIÓN que todas las resoluciones consideradas en esta Conferencia de las Partes, han sido aprobadas por consenso;</w:t>
      </w: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</w:p>
    <w:p w:rsidR="00334186" w:rsidRPr="00427C86" w:rsidRDefault="00427C86" w:rsidP="00427C86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  <w:r w:rsidRPr="00427C86">
        <w:rPr>
          <w:rFonts w:ascii="Calibri" w:eastAsia="Times New Roman" w:hAnsi="Calibri" w:cs="Times New Roman"/>
          <w:lang w:val="es-ES" w:eastAsia="en-GB"/>
        </w:rPr>
        <w:t>6.</w:t>
      </w:r>
      <w:r>
        <w:rPr>
          <w:rFonts w:ascii="Calibri" w:eastAsia="Times New Roman" w:hAnsi="Calibri" w:cs="Times New Roman"/>
          <w:lang w:val="es-ES" w:eastAsia="en-GB"/>
        </w:rPr>
        <w:t xml:space="preserve"> </w:t>
      </w:r>
      <w:r w:rsidR="00334186" w:rsidRPr="00427C86">
        <w:rPr>
          <w:rFonts w:ascii="Calibri" w:eastAsia="Times New Roman" w:hAnsi="Calibri" w:cs="Times New Roman"/>
          <w:lang w:val="es-ES" w:eastAsia="en-GB"/>
        </w:rPr>
        <w:tab/>
        <w:t>CELEBRANDO y RECONOCIENDO la iniciativa del Gobierno de la República Oriental del Uruguay de preparar la “</w:t>
      </w:r>
      <w:r w:rsidR="00334186" w:rsidRPr="00427C86">
        <w:rPr>
          <w:rFonts w:ascii="Calibri" w:eastAsia="Times New Roman" w:hAnsi="Calibri" w:cs="Times New Roman"/>
          <w:b/>
          <w:i/>
          <w:lang w:val="es-ES" w:eastAsia="en-GB"/>
        </w:rPr>
        <w:t>Declaración de Punta del Este</w:t>
      </w:r>
      <w:r w:rsidR="00334186" w:rsidRPr="00427C86">
        <w:rPr>
          <w:rFonts w:ascii="Calibri" w:eastAsia="Times New Roman" w:hAnsi="Calibri" w:cs="Times New Roman"/>
          <w:lang w:val="es-ES" w:eastAsia="en-GB"/>
        </w:rPr>
        <w:t>”</w:t>
      </w:r>
      <w:r>
        <w:rPr>
          <w:rFonts w:ascii="Calibri" w:eastAsia="Times New Roman" w:hAnsi="Calibri" w:cs="Times New Roman"/>
          <w:lang w:val="es-ES" w:eastAsia="en-GB"/>
        </w:rPr>
        <w:t>,</w:t>
      </w:r>
      <w:r w:rsidR="00334186" w:rsidRPr="00427C86">
        <w:rPr>
          <w:rFonts w:ascii="Calibri" w:eastAsia="Times New Roman" w:hAnsi="Calibri" w:cs="Times New Roman"/>
          <w:lang w:val="es-ES" w:eastAsia="en-GB"/>
        </w:rPr>
        <w:t xml:space="preserve"> adjunta a la presente Resolución como Anexo 1;</w:t>
      </w: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val="es-ES_tradnl" w:eastAsia="en-GB"/>
        </w:rPr>
      </w:pPr>
    </w:p>
    <w:p w:rsidR="00334186" w:rsidRPr="00334186" w:rsidRDefault="00334186" w:rsidP="00427C86">
      <w:pPr>
        <w:spacing w:after="0" w:line="240" w:lineRule="auto"/>
        <w:ind w:left="426" w:hanging="426"/>
        <w:jc w:val="center"/>
        <w:rPr>
          <w:rFonts w:ascii="Calibri" w:eastAsia="SimSun" w:hAnsi="Calibri" w:cs="Times New Roman"/>
          <w:color w:val="000000"/>
          <w:lang w:val="es-ES_tradnl" w:eastAsia="zh-CN"/>
        </w:rPr>
      </w:pPr>
      <w:r w:rsidRPr="00334186">
        <w:rPr>
          <w:rFonts w:ascii="Calibri" w:eastAsia="SimSun" w:hAnsi="Calibri" w:cs="Times New Roman"/>
          <w:color w:val="000000"/>
          <w:lang w:val="es-ES_tradnl" w:eastAsia="zh-CN"/>
        </w:rPr>
        <w:t>LA CONFERENCIA DE LAS PARTES CONTRATANES</w:t>
      </w: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  <w:r w:rsidRPr="00334186">
        <w:rPr>
          <w:rFonts w:ascii="Calibri" w:eastAsia="SimSun" w:hAnsi="Calibri" w:cs="Times New Roman"/>
          <w:color w:val="000000"/>
          <w:lang w:val="es-ES_tradnl" w:eastAsia="zh-CN"/>
        </w:rPr>
        <w:lastRenderedPageBreak/>
        <w:t>6.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ab/>
        <w:t>FELICITA al Uruguay por el éxito de la COP12 y DEJA CONSTANCIA de su agradecimiento al Presidente, al Presidente Suplente y a los Vicepresidentes de la COP</w:t>
      </w:r>
      <w:r w:rsidR="00427C86">
        <w:rPr>
          <w:rFonts w:ascii="Calibri" w:eastAsia="SimSun" w:hAnsi="Calibri" w:cs="Times New Roman"/>
          <w:color w:val="000000"/>
          <w:lang w:val="es-ES_tradnl" w:eastAsia="zh-CN"/>
        </w:rPr>
        <w:t xml:space="preserve"> 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 xml:space="preserve"> por su compromiso hacia el desarrollo eficiente y efectivo de las sesiones plenarias;</w:t>
      </w: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  <w:r w:rsidRPr="00334186">
        <w:rPr>
          <w:rFonts w:ascii="Calibri" w:eastAsia="SimSun" w:hAnsi="Calibri" w:cs="Times New Roman"/>
          <w:color w:val="000000"/>
          <w:lang w:val="es-ES_tradnl" w:eastAsia="zh-CN"/>
        </w:rPr>
        <w:t>7.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ab/>
        <w:t>EXPRESA su agradecimiento y reconocimiento al Uruguay y en particular al Ministerio de Vivienda, Ordenamiento Territorial y Medio Ambiente y al Ministerio de Relaciones Exteriores por sus eficientes, exhaustivos y minuciosos preparativos, que han garantizado el buen transcurso de la COP y de todas sus actividades conexas;</w:t>
      </w: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  <w:r w:rsidRPr="00334186">
        <w:rPr>
          <w:rFonts w:ascii="Calibri" w:eastAsia="SimSun" w:hAnsi="Calibri" w:cs="Times New Roman"/>
          <w:color w:val="000000"/>
          <w:lang w:val="es-ES_tradnl" w:eastAsia="zh-CN"/>
        </w:rPr>
        <w:t>8.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ab/>
        <w:t>EXPRESA ASIMISMO su más profundo agradecimiento al pueblo uruguayo por su cálida y amable bienvenida y su hospitalidad;</w:t>
      </w: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  <w:r w:rsidRPr="00334186">
        <w:rPr>
          <w:rFonts w:ascii="Calibri" w:eastAsia="SimSun" w:hAnsi="Calibri" w:cs="Times New Roman"/>
          <w:color w:val="000000"/>
          <w:lang w:val="es-ES_tradnl" w:eastAsia="zh-CN"/>
        </w:rPr>
        <w:t>9.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ab/>
        <w:t>EXPRESA su reconocimiento por el papel fundamental desempeñado por los voluntarios de la COP12, que han contribuido a tantos aspectos del éxito de la Conferencia;</w:t>
      </w: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  <w:r w:rsidRPr="00334186">
        <w:rPr>
          <w:rFonts w:ascii="Calibri" w:eastAsia="SimSun" w:hAnsi="Calibri" w:cs="Times New Roman"/>
          <w:color w:val="000000"/>
          <w:lang w:val="es-ES_tradnl" w:eastAsia="zh-CN"/>
        </w:rPr>
        <w:t>10.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ab/>
        <w:t>VALORA SOBREMANERA los numerosos eventos paralelos y las actividades culturales que han brindado una maravillosa oportunidad de realizar intercambios técnicos y culturales entre los delegados y los ciudadanos uruguayos;</w:t>
      </w: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  <w:r w:rsidRPr="00334186">
        <w:rPr>
          <w:rFonts w:ascii="Calibri" w:eastAsia="SimSun" w:hAnsi="Calibri" w:cs="Times New Roman"/>
          <w:color w:val="000000"/>
          <w:lang w:val="es-ES_tradnl" w:eastAsia="zh-CN"/>
        </w:rPr>
        <w:t>11.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ab/>
        <w:t>ESPERA CON INTERÉS colaborar aún más estrechamente con el Gobierno y el pueblo del Uruguay para aprovechar el interés y la energía generados por la COP12 en beneficio de la conservación de los humedales en los planos local, nacional, regional e internacional;</w:t>
      </w: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  <w:r w:rsidRPr="00334186">
        <w:rPr>
          <w:rFonts w:ascii="Calibri" w:eastAsia="SimSun" w:hAnsi="Calibri" w:cs="Times New Roman"/>
          <w:color w:val="000000"/>
          <w:lang w:val="es-ES_tradnl" w:eastAsia="zh-CN"/>
        </w:rPr>
        <w:t xml:space="preserve">12. 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ab/>
        <w:t>RECONOCIENDO que la “</w:t>
      </w:r>
      <w:r w:rsidRPr="00334186">
        <w:rPr>
          <w:rFonts w:ascii="Calibri" w:eastAsia="SimSun" w:hAnsi="Calibri" w:cs="Times New Roman"/>
          <w:b/>
          <w:i/>
          <w:color w:val="000000"/>
          <w:lang w:val="es-ES_tradnl" w:eastAsia="zh-CN"/>
        </w:rPr>
        <w:t>Declaración de Punta del Este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>” aumentará la visibilidad de la Convención y de l</w:t>
      </w:r>
      <w:r w:rsidR="00427C86">
        <w:rPr>
          <w:rFonts w:ascii="Calibri" w:eastAsia="SimSun" w:hAnsi="Calibri" w:cs="Times New Roman"/>
          <w:color w:val="000000"/>
          <w:lang w:val="es-ES_tradnl" w:eastAsia="zh-CN"/>
        </w:rPr>
        <w:t>os avances alcanzados durante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 xml:space="preserve"> 12ª Conferencia de las Partes, mostrando el firme compromiso de las Partes con el Plan Estratégico de Ramsar para </w:t>
      </w:r>
      <w:r w:rsidR="00427C86">
        <w:rPr>
          <w:rFonts w:ascii="Calibri" w:eastAsia="SimSun" w:hAnsi="Calibri" w:cs="Times New Roman"/>
          <w:color w:val="000000"/>
          <w:lang w:val="es-ES_tradnl" w:eastAsia="zh-CN"/>
        </w:rPr>
        <w:t>2016-2024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>, la estrecha relación entre los humedales y otras cuestiones ambientales, y la necesidad de reforzar la asociación de colaboración entre la Convención y otros instrumentos, organismos e interesados;</w:t>
      </w: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lang w:val="es-ES_tradnl" w:eastAsia="zh-CN"/>
        </w:rPr>
      </w:pPr>
      <w:r w:rsidRPr="00334186">
        <w:rPr>
          <w:rFonts w:ascii="Calibri" w:eastAsia="SimSun" w:hAnsi="Calibri" w:cs="Times New Roman"/>
          <w:color w:val="000000"/>
          <w:lang w:val="es-ES_tradnl" w:eastAsia="zh-CN"/>
        </w:rPr>
        <w:t xml:space="preserve">13. 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ab/>
      </w:r>
      <w:r w:rsidRPr="00334186">
        <w:rPr>
          <w:rFonts w:ascii="Calibri" w:eastAsia="SimSun" w:hAnsi="Calibri" w:cs="Times New Roman"/>
          <w:lang w:val="es-ES_tradnl" w:eastAsia="zh-CN"/>
        </w:rPr>
        <w:t>PONE DE RELIEVE la “</w:t>
      </w:r>
      <w:r w:rsidRPr="00334186">
        <w:rPr>
          <w:rFonts w:ascii="Calibri" w:eastAsia="SimSun" w:hAnsi="Calibri" w:cs="Times New Roman"/>
          <w:i/>
          <w:lang w:val="es-ES_tradnl" w:eastAsia="zh-CN"/>
        </w:rPr>
        <w:t>Declaración de Punta del Este”</w:t>
      </w:r>
      <w:r w:rsidRPr="00334186">
        <w:rPr>
          <w:rFonts w:ascii="Calibri" w:eastAsia="SimSun" w:hAnsi="Calibri" w:cs="Times New Roman"/>
          <w:lang w:val="es-ES_tradnl" w:eastAsia="zh-CN"/>
        </w:rPr>
        <w:t xml:space="preserve"> emanada de la COP12, que figura en el Anexo 1; y</w:t>
      </w: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lang w:val="es-ES_tradnl" w:eastAsia="zh-CN"/>
        </w:rPr>
      </w:pP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  <w:r w:rsidRPr="00334186">
        <w:rPr>
          <w:rFonts w:ascii="Calibri" w:eastAsia="SimSun" w:hAnsi="Calibri" w:cs="Times New Roman"/>
          <w:lang w:val="es-ES_tradnl" w:eastAsia="zh-CN"/>
        </w:rPr>
        <w:t>14.</w:t>
      </w:r>
      <w:r w:rsidRPr="00334186">
        <w:rPr>
          <w:rFonts w:ascii="Calibri" w:eastAsia="SimSun" w:hAnsi="Calibri" w:cs="Times New Roman"/>
          <w:lang w:val="es-ES_tradnl" w:eastAsia="zh-CN"/>
        </w:rPr>
        <w:tab/>
        <w:t>RECOMIENDA que el Gobierno de la República Oriental</w:t>
      </w:r>
      <w:r w:rsidRPr="00334186">
        <w:rPr>
          <w:rFonts w:ascii="Calibri" w:eastAsia="SimSun" w:hAnsi="Calibri" w:cs="Times New Roman"/>
          <w:color w:val="000000"/>
          <w:lang w:val="es-ES_tradnl" w:eastAsia="zh-CN"/>
        </w:rPr>
        <w:t xml:space="preserve"> del Uruguay, en nombre de todas las Partes Contratantes, presente la declaración a todos los miembros y observadores de las Naciones Unidas para su examen;</w:t>
      </w: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</w:p>
    <w:p w:rsidR="00CA7B0D" w:rsidRDefault="00CA7B0D">
      <w:pPr>
        <w:rPr>
          <w:rFonts w:ascii="Calibri" w:eastAsia="SimSun" w:hAnsi="Calibri" w:cs="Times New Roman"/>
          <w:color w:val="000000"/>
          <w:lang w:val="es-ES_tradnl" w:eastAsia="zh-CN"/>
        </w:rPr>
      </w:pPr>
      <w:r>
        <w:rPr>
          <w:rFonts w:ascii="Calibri" w:eastAsia="SimSun" w:hAnsi="Calibri" w:cs="Times New Roman"/>
          <w:color w:val="000000"/>
          <w:lang w:val="es-ES_tradnl" w:eastAsia="zh-CN"/>
        </w:rPr>
        <w:br w:type="page"/>
      </w:r>
    </w:p>
    <w:p w:rsidR="00334186" w:rsidRPr="00334186" w:rsidRDefault="00334186" w:rsidP="00491AE3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</w:p>
    <w:p w:rsidR="004B52E5" w:rsidRPr="004B52E5" w:rsidRDefault="00CA7B0D" w:rsidP="00CA7B0D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b/>
          <w:color w:val="000000"/>
          <w:sz w:val="24"/>
          <w:szCs w:val="24"/>
          <w:lang w:val="es-ES_tradnl" w:eastAsia="zh-CN"/>
        </w:rPr>
      </w:pPr>
      <w:r>
        <w:rPr>
          <w:rFonts w:ascii="Calibri" w:eastAsia="SimSun" w:hAnsi="Calibri" w:cs="Times New Roman"/>
          <w:b/>
          <w:color w:val="000000"/>
          <w:sz w:val="24"/>
          <w:szCs w:val="24"/>
          <w:lang w:val="es-ES_tradnl" w:eastAsia="zh-CN"/>
        </w:rPr>
        <w:t xml:space="preserve">ANEXO </w:t>
      </w:r>
    </w:p>
    <w:p w:rsidR="004B52E5" w:rsidRPr="004B52E5" w:rsidRDefault="004B52E5" w:rsidP="00CA7B0D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b/>
          <w:color w:val="000000"/>
          <w:sz w:val="24"/>
          <w:szCs w:val="24"/>
          <w:lang w:val="es-ES_tradnl" w:eastAsia="zh-CN"/>
        </w:rPr>
      </w:pPr>
    </w:p>
    <w:p w:rsidR="004B52E5" w:rsidRPr="004B52E5" w:rsidRDefault="004B52E5" w:rsidP="00CA7B0D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b/>
          <w:color w:val="000000"/>
          <w:sz w:val="24"/>
          <w:szCs w:val="24"/>
          <w:lang w:val="es-ES_tradnl" w:eastAsia="zh-CN"/>
        </w:rPr>
      </w:pPr>
      <w:r w:rsidRPr="004B52E5">
        <w:rPr>
          <w:rFonts w:ascii="Calibri" w:eastAsia="SimSun" w:hAnsi="Calibri" w:cs="Times New Roman"/>
          <w:b/>
          <w:color w:val="000000"/>
          <w:sz w:val="24"/>
          <w:szCs w:val="24"/>
          <w:lang w:val="es-ES_tradnl" w:eastAsia="zh-CN"/>
        </w:rPr>
        <w:t>“Declaración de Punta del Este”</w:t>
      </w:r>
    </w:p>
    <w:p w:rsidR="004B52E5" w:rsidRPr="004B52E5" w:rsidRDefault="004B52E5" w:rsidP="00CA7B0D">
      <w:pPr>
        <w:spacing w:after="0" w:line="240" w:lineRule="auto"/>
        <w:ind w:left="426" w:hanging="426"/>
        <w:jc w:val="both"/>
        <w:rPr>
          <w:rFonts w:ascii="Calibri" w:eastAsia="SimSun" w:hAnsi="Calibri" w:cs="Times New Roman"/>
          <w:color w:val="000000"/>
          <w:lang w:val="es-ES_tradnl" w:eastAsia="zh-CN"/>
        </w:rPr>
      </w:pPr>
    </w:p>
    <w:p w:rsidR="004B52E5" w:rsidRPr="004B52E5" w:rsidRDefault="007240A2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>NOSOTROS, l</w:t>
      </w:r>
      <w:r w:rsidR="004B52E5" w:rsidRPr="004B52E5">
        <w:rPr>
          <w:rFonts w:ascii="Calibri" w:eastAsia="Calibri" w:hAnsi="Calibri" w:cs="Times New Roman"/>
          <w:lang w:val="es-ES_tradnl"/>
        </w:rPr>
        <w:t xml:space="preserve">as Partes Contratantes en la </w:t>
      </w:r>
      <w:r w:rsidR="004B52E5" w:rsidRPr="004B52E5">
        <w:rPr>
          <w:rFonts w:ascii="Calibri" w:eastAsia="Calibri" w:hAnsi="Calibri" w:cs="Calibri"/>
          <w:color w:val="000000"/>
          <w:lang w:val="es-ES_tradnl"/>
        </w:rPr>
        <w:t>Convención relativa a los Humedales de Importancia Internacional especialmente como Hábitat de Aves Acuáticas (Ramsar, Irán, 1971)</w:t>
      </w:r>
      <w:r w:rsidR="004B52E5" w:rsidRPr="004B52E5">
        <w:rPr>
          <w:rFonts w:ascii="Calibri" w:eastAsia="Calibri" w:hAnsi="Calibri" w:cs="Times New Roman"/>
          <w:lang w:val="es-ES_tradnl"/>
        </w:rPr>
        <w:t>, reunidas en Punta del Este (Uruguay) del 1</w:t>
      </w:r>
      <w:r>
        <w:rPr>
          <w:rFonts w:ascii="Calibri" w:eastAsia="Calibri" w:hAnsi="Calibri" w:cs="Times New Roman"/>
          <w:lang w:val="es-ES_tradnl"/>
        </w:rPr>
        <w:t>°</w:t>
      </w:r>
      <w:r w:rsidR="004B52E5" w:rsidRPr="004B52E5">
        <w:rPr>
          <w:rFonts w:ascii="Calibri" w:eastAsia="Calibri" w:hAnsi="Calibri" w:cs="Times New Roman"/>
          <w:lang w:val="es-ES_tradnl"/>
        </w:rPr>
        <w:t xml:space="preserve"> al 9</w:t>
      </w:r>
      <w:r w:rsidR="004B52E5" w:rsidRPr="004B52E5">
        <w:rPr>
          <w:rFonts w:ascii="Calibri" w:eastAsia="Calibri" w:hAnsi="Calibri" w:cs="Times New Roman"/>
          <w:vertAlign w:val="superscript"/>
          <w:lang w:val="es-ES_tradnl"/>
        </w:rPr>
        <w:t xml:space="preserve"> </w:t>
      </w:r>
      <w:r w:rsidR="004B52E5" w:rsidRPr="004B52E5">
        <w:rPr>
          <w:rFonts w:ascii="Calibri" w:eastAsia="Calibri" w:hAnsi="Calibri" w:cs="Times New Roman"/>
          <w:lang w:val="es-ES_tradnl"/>
        </w:rPr>
        <w:t>de junio de 2015 con motivo de la 12ª Conferencia de las Partes Contratantes con el lema “Humedales para nuestro futuro”;</w:t>
      </w:r>
    </w:p>
    <w:p w:rsidR="004B52E5" w:rsidRPr="004B52E5" w:rsidRDefault="004B52E5" w:rsidP="00F152D7">
      <w:pPr>
        <w:spacing w:after="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:rsidR="004B52E5" w:rsidRPr="004B52E5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4B52E5">
        <w:rPr>
          <w:rFonts w:ascii="Calibri" w:eastAsia="Times New Roman" w:hAnsi="Calibri" w:cs="Times New Roman"/>
          <w:lang w:val="es-ES_tradnl" w:eastAsia="en-GB"/>
        </w:rPr>
        <w:t xml:space="preserve">ENFATIZANDO </w:t>
      </w:r>
      <w:r w:rsidR="007240A2">
        <w:rPr>
          <w:rFonts w:ascii="Calibri" w:eastAsia="Times New Roman" w:hAnsi="Calibri" w:cs="Times New Roman"/>
          <w:lang w:val="es-ES_tradnl" w:eastAsia="en-GB"/>
        </w:rPr>
        <w:t>las funciones y los servicios</w:t>
      </w:r>
      <w:r w:rsidRPr="004B52E5">
        <w:rPr>
          <w:rFonts w:ascii="Calibri" w:eastAsia="Times New Roman" w:hAnsi="Calibri" w:cs="Times New Roman"/>
          <w:lang w:val="es-ES_tradnl" w:eastAsia="en-GB"/>
        </w:rPr>
        <w:t xml:space="preserve"> ecosistémicos vitales que </w:t>
      </w:r>
      <w:r w:rsidR="007240A2">
        <w:rPr>
          <w:rFonts w:ascii="Calibri" w:eastAsia="Times New Roman" w:hAnsi="Calibri" w:cs="Times New Roman"/>
          <w:lang w:val="es-ES_tradnl" w:eastAsia="en-GB"/>
        </w:rPr>
        <w:t xml:space="preserve">todos </w:t>
      </w:r>
      <w:r w:rsidRPr="004B52E5">
        <w:rPr>
          <w:rFonts w:ascii="Calibri" w:eastAsia="Times New Roman" w:hAnsi="Calibri" w:cs="Times New Roman"/>
          <w:lang w:val="es-ES_tradnl" w:eastAsia="en-GB"/>
        </w:rPr>
        <w:t xml:space="preserve">los humedales proporcionan a las personas y </w:t>
      </w:r>
      <w:r w:rsidR="007240A2">
        <w:rPr>
          <w:rFonts w:ascii="Calibri" w:eastAsia="Times New Roman" w:hAnsi="Calibri" w:cs="Times New Roman"/>
          <w:lang w:val="es-ES_tradnl" w:eastAsia="en-GB"/>
        </w:rPr>
        <w:t xml:space="preserve">a </w:t>
      </w:r>
      <w:r w:rsidRPr="004B52E5">
        <w:rPr>
          <w:rFonts w:ascii="Calibri" w:eastAsia="Times New Roman" w:hAnsi="Calibri" w:cs="Times New Roman"/>
          <w:lang w:val="es-ES_tradnl" w:eastAsia="en-GB"/>
        </w:rPr>
        <w:t>la naturaleza, tales como abastecimiento de agua, depuración del agua, regulación del clima y de las inundaciones y protección del litoral, así como los servicios espirituales, culturales y de turismo</w:t>
      </w:r>
      <w:r w:rsidRPr="004B52E5">
        <w:rPr>
          <w:rFonts w:ascii="Calibri" w:eastAsia="Calibri" w:hAnsi="Calibri" w:cs="Times New Roman"/>
          <w:lang w:val="es-ES_tradnl"/>
        </w:rPr>
        <w:t>;</w:t>
      </w:r>
    </w:p>
    <w:p w:rsidR="004B52E5" w:rsidRPr="004B52E5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:rsidR="004B52E5" w:rsidRPr="004B52E5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4B52E5">
        <w:rPr>
          <w:rFonts w:ascii="Calibri" w:eastAsia="Times New Roman" w:hAnsi="Calibri" w:cs="Times New Roman"/>
          <w:lang w:val="es-ES_tradnl" w:eastAsia="en-GB"/>
        </w:rPr>
        <w:t>RECORDANDO con preocupación que desde 1900 se ha destruido más del 64 % de los humedales del planeta, lo que representa una reducción en el acceso al agua dulce para dos mil millones de personas</w:t>
      </w:r>
      <w:r w:rsidR="007240A2">
        <w:rPr>
          <w:rFonts w:ascii="Calibri" w:eastAsia="Times New Roman" w:hAnsi="Calibri" w:cs="Times New Roman"/>
          <w:lang w:val="es-ES_tradnl" w:eastAsia="en-GB"/>
        </w:rPr>
        <w:t>,</w:t>
      </w:r>
      <w:r w:rsidRPr="004B52E5">
        <w:rPr>
          <w:rFonts w:ascii="Calibri" w:eastAsia="Times New Roman" w:hAnsi="Calibri" w:cs="Times New Roman"/>
          <w:lang w:val="es-ES_tradnl" w:eastAsia="en-GB"/>
        </w:rPr>
        <w:t xml:space="preserve"> así como una amenaza real </w:t>
      </w:r>
      <w:r w:rsidR="007240A2">
        <w:rPr>
          <w:rFonts w:ascii="Calibri" w:eastAsia="Times New Roman" w:hAnsi="Calibri" w:cs="Times New Roman"/>
          <w:lang w:val="es-ES_tradnl" w:eastAsia="en-GB"/>
        </w:rPr>
        <w:t xml:space="preserve">a la preservación de las funciones y  </w:t>
      </w:r>
      <w:r w:rsidRPr="004B52E5">
        <w:rPr>
          <w:rFonts w:ascii="Calibri" w:eastAsia="Times New Roman" w:hAnsi="Calibri" w:cs="Times New Roman"/>
          <w:lang w:val="es-ES_tradnl" w:eastAsia="en-GB"/>
        </w:rPr>
        <w:t xml:space="preserve">servicios ecosistémicos </w:t>
      </w:r>
      <w:r w:rsidR="007240A2">
        <w:rPr>
          <w:rFonts w:ascii="Calibri" w:eastAsia="Times New Roman" w:hAnsi="Calibri" w:cs="Times New Roman"/>
          <w:lang w:val="es-ES_tradnl" w:eastAsia="en-GB"/>
        </w:rPr>
        <w:t>anteriormente mencionados</w:t>
      </w:r>
      <w:r w:rsidRPr="004B52E5">
        <w:rPr>
          <w:rFonts w:ascii="Calibri" w:eastAsia="Calibri" w:hAnsi="Calibri" w:cs="Times New Roman"/>
          <w:lang w:val="es-ES_tradnl"/>
        </w:rPr>
        <w:t>;</w:t>
      </w:r>
    </w:p>
    <w:p w:rsidR="004B52E5" w:rsidRPr="004B52E5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:rsidR="004B52E5" w:rsidRPr="004B52E5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4B52E5">
        <w:rPr>
          <w:rFonts w:ascii="Calibri" w:eastAsia="Times New Roman" w:hAnsi="Calibri" w:cs="Times New Roman"/>
          <w:lang w:val="es-ES_tradnl" w:eastAsia="en-GB"/>
        </w:rPr>
        <w:t>RECONOCIENDO los progresos realizados en la ejecución del Tercer Plan Estratégico de Ramsar (2009-2015), adoptado por la Resolución X.1</w:t>
      </w:r>
      <w:r w:rsidRPr="004B52E5">
        <w:rPr>
          <w:rFonts w:ascii="Calibri" w:eastAsia="Calibri" w:hAnsi="Calibri" w:cs="Times New Roman"/>
          <w:lang w:val="es-ES_tradnl"/>
        </w:rPr>
        <w:t>;</w:t>
      </w:r>
    </w:p>
    <w:p w:rsidR="004B52E5" w:rsidRPr="004B52E5" w:rsidRDefault="004B52E5" w:rsidP="00F152D7">
      <w:pPr>
        <w:tabs>
          <w:tab w:val="left" w:pos="2300"/>
        </w:tabs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4B52E5">
        <w:rPr>
          <w:rFonts w:ascii="Calibri" w:eastAsia="Calibri" w:hAnsi="Calibri" w:cs="Times New Roman"/>
          <w:lang w:val="es-ES_tradnl"/>
        </w:rPr>
        <w:tab/>
      </w:r>
      <w:r w:rsidRPr="004B52E5">
        <w:rPr>
          <w:rFonts w:ascii="Calibri" w:eastAsia="Calibri" w:hAnsi="Calibri" w:cs="Times New Roman"/>
          <w:lang w:val="es-ES_tradnl"/>
        </w:rPr>
        <w:tab/>
      </w:r>
    </w:p>
    <w:p w:rsidR="004B52E5" w:rsidRPr="004B52E5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4B52E5">
        <w:rPr>
          <w:rFonts w:ascii="Calibri" w:eastAsia="Times New Roman" w:hAnsi="Calibri" w:cs="Times New Roman"/>
          <w:lang w:val="es-ES_tradnl" w:eastAsia="en-GB"/>
        </w:rPr>
        <w:t>RECORDANDO que la “Declaración de Changwon sobre el bienestar humano y los humedales” (Resolución X.3), aprobada con el propósito de complementar el Plan Estratégico para 2009-2015, sirve como base para los procesos de adopción de decisiones y las políticas nacionales de las Partes Contratantes, otros gobiernos y actores, y aborda la relación existente entre agua y humedales, cambio climático y humedales, medios de subsistencia de las personas y humedales y entre cambios en el uso de la tierra, biodiversidad y humedales</w:t>
      </w:r>
      <w:r w:rsidRPr="004B52E5">
        <w:rPr>
          <w:rFonts w:ascii="Calibri" w:eastAsia="Calibri" w:hAnsi="Calibri" w:cs="Times New Roman"/>
          <w:lang w:val="es-ES_tradnl"/>
        </w:rPr>
        <w:t>;</w:t>
      </w:r>
    </w:p>
    <w:p w:rsidR="004B52E5" w:rsidRPr="004B52E5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:rsidR="004B52E5" w:rsidRPr="004B52E5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4B52E5">
        <w:rPr>
          <w:rFonts w:ascii="Calibri" w:eastAsia="Calibri" w:hAnsi="Calibri" w:cs="Times New Roman"/>
          <w:lang w:val="es-ES_tradnl"/>
        </w:rPr>
        <w:t>CONSCIENTES del informe “</w:t>
      </w:r>
      <w:r w:rsidRPr="004B52E5">
        <w:rPr>
          <w:rFonts w:ascii="Calibri" w:eastAsia="Times New Roman" w:hAnsi="Calibri" w:cs="Times New Roman"/>
          <w:lang w:val="es-ES_tradnl" w:eastAsia="en-GB"/>
        </w:rPr>
        <w:t>La economía de los ecosistemas y la biodiversidad relativa al agua y los humedales</w:t>
      </w:r>
      <w:r w:rsidRPr="004B52E5">
        <w:rPr>
          <w:rFonts w:ascii="Calibri" w:eastAsia="Calibri" w:hAnsi="Calibri" w:cs="Times New Roman"/>
          <w:lang w:val="es-ES_tradnl"/>
        </w:rPr>
        <w:t xml:space="preserve">” (Ramsar, 2013), que </w:t>
      </w:r>
      <w:r w:rsidR="00211B6A">
        <w:rPr>
          <w:rFonts w:ascii="Calibri" w:eastAsia="Calibri" w:hAnsi="Calibri" w:cs="Times New Roman"/>
          <w:lang w:val="es-ES_tradnl"/>
        </w:rPr>
        <w:t>muestra</w:t>
      </w:r>
      <w:r w:rsidRPr="004B52E5">
        <w:rPr>
          <w:rFonts w:ascii="Calibri" w:eastAsia="Calibri" w:hAnsi="Calibri" w:cs="Times New Roman"/>
          <w:lang w:val="es-ES_tradnl"/>
        </w:rPr>
        <w:t xml:space="preserve"> los valores de los humedales y su papel crucial en la salvaguardia y la regulación de los recursos hídri</w:t>
      </w:r>
      <w:r w:rsidR="00211B6A">
        <w:rPr>
          <w:rFonts w:ascii="Calibri" w:eastAsia="Calibri" w:hAnsi="Calibri" w:cs="Times New Roman"/>
          <w:lang w:val="es-ES_tradnl"/>
        </w:rPr>
        <w:t xml:space="preserve">cos y particularmente el “nexo”: </w:t>
      </w:r>
      <w:r w:rsidRPr="004B52E5">
        <w:rPr>
          <w:rFonts w:ascii="Calibri" w:eastAsia="Calibri" w:hAnsi="Calibri" w:cs="Times New Roman"/>
          <w:lang w:val="es-ES_tradnl"/>
        </w:rPr>
        <w:t xml:space="preserve">entre el agua, la producción de alimentos y el sector energético, que constituye una de las relaciones </w:t>
      </w:r>
      <w:r w:rsidRPr="004B52E5">
        <w:rPr>
          <w:rFonts w:ascii="Calibri" w:eastAsia="Times New Roman" w:hAnsi="Calibri" w:cs="Times New Roman"/>
          <w:lang w:val="es-ES_tradnl" w:eastAsia="en-GB"/>
        </w:rPr>
        <w:t>fundamentales para la sociedad</w:t>
      </w:r>
      <w:r w:rsidR="00211B6A">
        <w:rPr>
          <w:rFonts w:ascii="Calibri" w:eastAsia="Times New Roman" w:hAnsi="Calibri" w:cs="Times New Roman"/>
          <w:lang w:val="es-ES_tradnl" w:eastAsia="en-GB"/>
        </w:rPr>
        <w:t>;</w:t>
      </w:r>
      <w:r w:rsidRPr="004B52E5">
        <w:rPr>
          <w:rFonts w:ascii="Calibri" w:eastAsia="Calibri" w:hAnsi="Calibri" w:cs="Times New Roman"/>
          <w:lang w:val="es-ES_tradnl"/>
        </w:rPr>
        <w:t xml:space="preserve"> y el hecho de que los humedales proporcionan un apoyo ecológico que apuntala el desarrollo sostenible y que su pérdida puede redundar en importantes repercusiones negativas sobre el bienestar humano, las comunidades, los países y las empresas;</w:t>
      </w:r>
    </w:p>
    <w:p w:rsidR="004B52E5" w:rsidRPr="004B52E5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:rsidR="004B52E5" w:rsidRPr="004B52E5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4B52E5">
        <w:rPr>
          <w:rFonts w:ascii="Calibri" w:eastAsia="Calibri" w:hAnsi="Calibri" w:cs="Times New Roman"/>
          <w:lang w:val="es-ES_tradnl"/>
        </w:rPr>
        <w:t>OBSERVANDO los resultados del Marco de Sendai para la Reducción del Riesgo de Desastres 2015-2030, en el que se reconoce la degradación de los humedales como una de las causas fundamentales del aumento de la frecuencia y las repercusiones de los desastres relacionados con el agua, y en el que se reconoce también que el manejo sostenible y la restauración de humedales es un medio de aumentar la resiliencia frente a los desastres;</w:t>
      </w:r>
    </w:p>
    <w:p w:rsidR="004B52E5" w:rsidRPr="004B52E5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:rsidR="004B52E5" w:rsidRPr="004B52E5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4B52E5">
        <w:rPr>
          <w:rFonts w:ascii="Calibri" w:eastAsia="Calibri" w:hAnsi="Calibri" w:cs="Times New Roman"/>
          <w:lang w:val="es-ES_tradnl"/>
        </w:rPr>
        <w:t>RE</w:t>
      </w:r>
      <w:r w:rsidR="00211B6A">
        <w:rPr>
          <w:rFonts w:ascii="Calibri" w:eastAsia="Calibri" w:hAnsi="Calibri" w:cs="Times New Roman"/>
          <w:lang w:val="es-ES_tradnl"/>
        </w:rPr>
        <w:t xml:space="preserve">CORDANDO también los principios establecidos en la Declaración de Río sobre Medio Ambiente y Desarrollo, y REAFIRMANDO </w:t>
      </w:r>
      <w:r w:rsidRPr="004B52E5">
        <w:rPr>
          <w:rFonts w:ascii="Calibri" w:eastAsia="Calibri" w:hAnsi="Calibri" w:cs="Times New Roman"/>
          <w:lang w:val="es-ES_tradnl"/>
        </w:rPr>
        <w:t>los compromisos asumidos en la Conferencia de las Naciones Unidas sobre el Desarrollo Sostenible (Río +20), reflejados en el documento final titulado “El futuro que queremos”;</w:t>
      </w:r>
    </w:p>
    <w:p w:rsidR="004B52E5" w:rsidRPr="004B52E5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:rsidR="004B52E5" w:rsidRPr="004B52E5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4B52E5">
        <w:rPr>
          <w:rFonts w:ascii="Calibri" w:eastAsia="Calibri" w:hAnsi="Calibri" w:cs="Times New Roman"/>
          <w:lang w:val="es-ES_tradnl"/>
        </w:rPr>
        <w:t xml:space="preserve">ACOGIENDO CON SATISFACCIÓN la propuesta del </w:t>
      </w:r>
      <w:r w:rsidRPr="004B52E5">
        <w:rPr>
          <w:rFonts w:ascii="Calibri" w:eastAsia="Times New Roman" w:hAnsi="Calibri" w:cs="Times New Roman"/>
          <w:lang w:val="es-ES_tradnl" w:eastAsia="en-GB"/>
        </w:rPr>
        <w:t>Grupo de Trabajo Abierto de la Asamblea General sobre los Objetivos de Desarrollo Sostenible</w:t>
      </w:r>
      <w:r w:rsidRPr="004B52E5">
        <w:rPr>
          <w:rFonts w:ascii="Calibri" w:eastAsia="Calibri" w:hAnsi="Calibri" w:cs="Times New Roman"/>
          <w:lang w:val="es-ES_tradnl"/>
        </w:rPr>
        <w:t xml:space="preserve">, </w:t>
      </w:r>
      <w:r w:rsidRPr="004B52E5">
        <w:rPr>
          <w:rFonts w:ascii="Calibri" w:eastAsia="Times New Roman" w:hAnsi="Calibri" w:cs="Times New Roman"/>
          <w:lang w:val="es-ES_tradnl" w:eastAsia="en-GB"/>
        </w:rPr>
        <w:t>especialmente aquellos vinculados  a la misión de la Convención de Ramsar</w:t>
      </w:r>
      <w:r w:rsidRPr="004B52E5">
        <w:rPr>
          <w:rFonts w:ascii="Calibri" w:eastAsia="Calibri" w:hAnsi="Calibri" w:cs="Times New Roman"/>
          <w:lang w:val="es-ES_tradnl"/>
        </w:rPr>
        <w:t>: O</w:t>
      </w:r>
      <w:r w:rsidR="00211B6A">
        <w:rPr>
          <w:rFonts w:ascii="Calibri" w:eastAsia="Calibri" w:hAnsi="Calibri" w:cs="Times New Roman"/>
          <w:lang w:val="es-ES_tradnl"/>
        </w:rPr>
        <w:t xml:space="preserve">bjetivo 2- </w:t>
      </w:r>
      <w:r w:rsidRPr="004B52E5">
        <w:rPr>
          <w:rFonts w:ascii="Calibri" w:eastAsia="Calibri" w:hAnsi="Calibri" w:cs="Times New Roman"/>
          <w:lang w:val="es-ES_tradnl"/>
        </w:rPr>
        <w:t xml:space="preserve">eliminar el hambre, </w:t>
      </w:r>
      <w:r w:rsidRPr="004B52E5">
        <w:rPr>
          <w:rFonts w:ascii="Calibri" w:eastAsia="Calibri" w:hAnsi="Calibri" w:cs="Verdana"/>
          <w:lang w:val="es-ES_tradnl"/>
        </w:rPr>
        <w:t>lograr la seguridad alimentaria y una mejor nutrición, y promover la agricultura sostenible</w:t>
      </w:r>
      <w:r w:rsidRPr="004B52E5">
        <w:rPr>
          <w:rFonts w:ascii="Calibri" w:eastAsia="Calibri" w:hAnsi="Calibri" w:cs="Times New Roman"/>
          <w:lang w:val="es-ES_tradnl"/>
        </w:rPr>
        <w:t xml:space="preserve">; Objetivo 6 – </w:t>
      </w:r>
      <w:r w:rsidRPr="004B52E5">
        <w:rPr>
          <w:rFonts w:ascii="Calibri" w:eastAsia="Calibri" w:hAnsi="Calibri" w:cs="Verdana"/>
          <w:lang w:val="es-ES_tradnl"/>
        </w:rPr>
        <w:t>garantizar la disponibilidad y el manejo sostenible del agua y el saneamiento para todos</w:t>
      </w:r>
      <w:r w:rsidRPr="004B52E5">
        <w:rPr>
          <w:rFonts w:ascii="Calibri" w:eastAsia="Calibri" w:hAnsi="Calibri" w:cs="Times New Roman"/>
          <w:lang w:val="es-ES_tradnl"/>
        </w:rPr>
        <w:t>; Objetivo 11 – h</w:t>
      </w:r>
      <w:r w:rsidRPr="004B52E5">
        <w:rPr>
          <w:rFonts w:ascii="Calibri" w:eastAsia="Calibri" w:hAnsi="Calibri" w:cs="Verdana"/>
          <w:lang w:val="es-ES_tradnl"/>
        </w:rPr>
        <w:t>acer que las ciudades y los asentamientos humanos sean incluyentes, seguros, resilientes y sostenibles</w:t>
      </w:r>
      <w:r w:rsidRPr="004B52E5">
        <w:rPr>
          <w:rFonts w:ascii="Calibri" w:eastAsia="Calibri" w:hAnsi="Calibri" w:cs="Times New Roman"/>
          <w:lang w:val="es-ES_tradnl"/>
        </w:rPr>
        <w:t>; Objetivo 12 – l</w:t>
      </w:r>
      <w:r w:rsidRPr="004B52E5">
        <w:rPr>
          <w:rFonts w:ascii="Calibri" w:eastAsia="Calibri" w:hAnsi="Calibri" w:cs="Verdana"/>
          <w:lang w:val="es-ES_tradnl"/>
        </w:rPr>
        <w:t>ograr patrones sostenibles de consumo y producción</w:t>
      </w:r>
      <w:r w:rsidRPr="004B52E5">
        <w:rPr>
          <w:rFonts w:ascii="Calibri" w:eastAsia="Calibri" w:hAnsi="Calibri" w:cs="Times New Roman"/>
          <w:lang w:val="es-ES_tradnl"/>
        </w:rPr>
        <w:t>; Objetivo 13 – t</w:t>
      </w:r>
      <w:r w:rsidRPr="004B52E5">
        <w:rPr>
          <w:rFonts w:ascii="Calibri" w:eastAsia="Calibri" w:hAnsi="Calibri" w:cs="Verdana"/>
          <w:lang w:val="es-ES_tradnl"/>
        </w:rPr>
        <w:t>omar medidas urgentes para combatir el cambio climático y sus efectos adversos</w:t>
      </w:r>
      <w:r w:rsidRPr="004B52E5">
        <w:rPr>
          <w:rFonts w:ascii="Calibri" w:eastAsia="Calibri" w:hAnsi="Calibri" w:cs="Times New Roman"/>
          <w:lang w:val="es-ES_tradnl"/>
        </w:rPr>
        <w:t xml:space="preserve">; Objetivo 14 – </w:t>
      </w:r>
      <w:r w:rsidRPr="004B52E5">
        <w:rPr>
          <w:rFonts w:ascii="Calibri" w:eastAsia="Calibri" w:hAnsi="Calibri" w:cs="Verdana"/>
          <w:lang w:val="es-ES_tradnl"/>
        </w:rPr>
        <w:t>conservar y utilizar de manera sostenible los océanos, los mares y los recursos marinos para el desarrollo sostenible</w:t>
      </w:r>
      <w:r w:rsidR="006A0093">
        <w:rPr>
          <w:rFonts w:ascii="Calibri" w:eastAsia="Calibri" w:hAnsi="Calibri" w:cs="Times New Roman"/>
          <w:lang w:val="es-ES_tradnl"/>
        </w:rPr>
        <w:t>;</w:t>
      </w:r>
      <w:r w:rsidRPr="004B52E5">
        <w:rPr>
          <w:rFonts w:ascii="Calibri" w:eastAsia="Calibri" w:hAnsi="Calibri" w:cs="Times New Roman"/>
          <w:lang w:val="es-ES_tradnl"/>
        </w:rPr>
        <w:t xml:space="preserve"> Objetivo 15 – p</w:t>
      </w:r>
      <w:r w:rsidRPr="004B52E5">
        <w:rPr>
          <w:rFonts w:ascii="Calibri" w:eastAsia="Calibri" w:hAnsi="Calibri" w:cs="Verdana"/>
          <w:lang w:val="es-ES_tradnl"/>
        </w:rPr>
        <w:t>roteger, restablecer y promover el uso sostenible de los ecosistemas terrestres, el manejo sostenible de los bosques, combatir la desertificación, detener y revertir la degradación del suelo y frenar la pérdida de la biodiversidad</w:t>
      </w:r>
      <w:r w:rsidRPr="004B52E5">
        <w:rPr>
          <w:rFonts w:ascii="Calibri" w:eastAsia="Calibri" w:hAnsi="Calibri" w:cs="Times New Roman"/>
          <w:lang w:val="es-ES_tradnl"/>
        </w:rPr>
        <w:t xml:space="preserve">; </w:t>
      </w:r>
    </w:p>
    <w:p w:rsidR="004B52E5" w:rsidRPr="004B52E5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:rsidR="004B52E5" w:rsidRPr="004B52E5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4B52E5">
        <w:rPr>
          <w:rFonts w:ascii="Calibri" w:eastAsia="Calibri" w:hAnsi="Calibri" w:cs="Times New Roman"/>
          <w:lang w:val="es-ES_tradnl"/>
        </w:rPr>
        <w:t>RECONOCIENDO la importancia de las orientaciones técnicas establecidas por la Convención de Ramsar, que son muy pertinentes para el logro de los Objetivos de Desarrollo Sostenible;</w:t>
      </w:r>
    </w:p>
    <w:p w:rsidR="004B52E5" w:rsidRPr="004B52E5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:rsidR="004B52E5" w:rsidRPr="004B52E5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4B52E5">
        <w:rPr>
          <w:rFonts w:ascii="Calibri" w:eastAsia="Times New Roman" w:hAnsi="Calibri" w:cs="Times New Roman"/>
          <w:lang w:val="es-ES_tradnl" w:eastAsia="en-GB"/>
        </w:rPr>
        <w:t>OBSERVANDO que todos los humedales, incluida la red de sitios Ramsar, tendrán una relevancia directa para el logro de cualquier Objetivo de Desarrollo Sostenible relacionado con la calidad y el abastecimiento de agua para los distintos usos, la seguridad alimentaria y del agua, la adaptación al cambio climático, el suministro de energía, la vida saludable, la biodiversidad y el uso sostenible de los ecosistemas, los asentamientos humanos sostenibles, la reducción de la pobreza, así como la innovación y el desarrollo de infraestructuras adecuadas</w:t>
      </w:r>
      <w:r w:rsidRPr="004B52E5">
        <w:rPr>
          <w:rFonts w:ascii="Calibri" w:eastAsia="Calibri" w:hAnsi="Calibri" w:cs="Times New Roman"/>
          <w:lang w:val="es-ES_tradnl"/>
        </w:rPr>
        <w:t>; y</w:t>
      </w:r>
    </w:p>
    <w:p w:rsidR="004B52E5" w:rsidRPr="004B52E5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:rsidR="004B52E5" w:rsidRPr="004B52E5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4B52E5">
        <w:rPr>
          <w:rFonts w:ascii="Calibri" w:eastAsia="Times New Roman" w:hAnsi="Calibri" w:cs="Times New Roman"/>
          <w:lang w:val="es-ES_tradnl" w:eastAsia="en-GB"/>
        </w:rPr>
        <w:t>OBSERVANDO que la adopción del Plan Estr</w:t>
      </w:r>
      <w:r w:rsidR="001D12C9">
        <w:rPr>
          <w:rFonts w:ascii="Calibri" w:eastAsia="Times New Roman" w:hAnsi="Calibri" w:cs="Times New Roman"/>
          <w:lang w:val="es-ES_tradnl" w:eastAsia="en-GB"/>
        </w:rPr>
        <w:t>atégico de Ramsar para 2016-2024</w:t>
      </w:r>
      <w:r w:rsidRPr="004B52E5">
        <w:rPr>
          <w:rFonts w:ascii="Calibri" w:eastAsia="Times New Roman" w:hAnsi="Calibri" w:cs="Times New Roman"/>
          <w:lang w:val="es-ES_tradnl" w:eastAsia="en-GB"/>
        </w:rPr>
        <w:t xml:space="preserve"> constituirá la base para la aplicación de la Convención de Ramsar por los próximos dos trienios para las Partes Contratantes, los órganos de la Convención y otros actores</w:t>
      </w:r>
      <w:r w:rsidRPr="004B52E5">
        <w:rPr>
          <w:rFonts w:ascii="Calibri" w:eastAsia="Calibri" w:hAnsi="Calibri" w:cs="Times New Roman"/>
          <w:lang w:val="es-ES_tradnl"/>
        </w:rPr>
        <w:t>;</w:t>
      </w:r>
    </w:p>
    <w:p w:rsidR="004B52E5" w:rsidRPr="004B52E5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:rsidR="004B52E5" w:rsidRPr="004B52E5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Times New Roman" w:hAnsi="Calibri" w:cs="Times New Roman"/>
          <w:lang w:val="es-ES_tradnl" w:eastAsia="en-GB"/>
        </w:rPr>
      </w:pPr>
      <w:r w:rsidRPr="004B52E5">
        <w:rPr>
          <w:rFonts w:ascii="Calibri" w:eastAsia="Times New Roman" w:hAnsi="Calibri" w:cs="Times New Roman"/>
          <w:lang w:val="es-ES_tradnl" w:eastAsia="en-GB"/>
        </w:rPr>
        <w:t>OBSERVANDO la Declaración Ministerial del séptimo Foro Mundial del Agua realizada en la República de Corea</w:t>
      </w:r>
      <w:r w:rsidR="001D12C9">
        <w:rPr>
          <w:rFonts w:ascii="Calibri" w:eastAsia="Times New Roman" w:hAnsi="Calibri" w:cs="Times New Roman"/>
          <w:lang w:val="es-ES_tradnl" w:eastAsia="en-GB"/>
        </w:rPr>
        <w:t>,</w:t>
      </w:r>
      <w:r w:rsidRPr="004B52E5">
        <w:rPr>
          <w:rFonts w:ascii="Calibri" w:eastAsia="Times New Roman" w:hAnsi="Calibri" w:cs="Times New Roman"/>
          <w:lang w:val="es-ES_tradnl" w:eastAsia="en-GB"/>
        </w:rPr>
        <w:t xml:space="preserve"> en abril de 2015.</w:t>
      </w:r>
    </w:p>
    <w:p w:rsidR="004B52E5" w:rsidRPr="004B52E5" w:rsidRDefault="004B52E5" w:rsidP="00F152D7">
      <w:pPr>
        <w:spacing w:after="0" w:line="240" w:lineRule="auto"/>
        <w:ind w:left="426" w:hanging="426"/>
        <w:rPr>
          <w:rFonts w:ascii="Calibri" w:eastAsia="Calibri" w:hAnsi="Calibri" w:cs="Times New Roman"/>
          <w:lang w:val="es-ES_tradnl"/>
        </w:rPr>
      </w:pPr>
    </w:p>
    <w:p w:rsidR="004B52E5" w:rsidRPr="004B52E5" w:rsidRDefault="004B52E5" w:rsidP="00F152D7">
      <w:pPr>
        <w:spacing w:after="0" w:line="240" w:lineRule="auto"/>
        <w:ind w:left="851" w:hanging="426"/>
        <w:rPr>
          <w:rFonts w:ascii="Calibri" w:eastAsia="Calibri" w:hAnsi="Calibri" w:cs="Times New Roman"/>
          <w:lang w:val="es-ES_tradnl"/>
        </w:rPr>
      </w:pPr>
      <w:r w:rsidRPr="004B52E5">
        <w:rPr>
          <w:rFonts w:ascii="Calibri" w:eastAsia="Calibri" w:hAnsi="Calibri" w:cs="Times New Roman"/>
          <w:lang w:val="es-ES_tradnl"/>
        </w:rPr>
        <w:t>DECLARA</w:t>
      </w:r>
      <w:r w:rsidR="001D12C9">
        <w:rPr>
          <w:rFonts w:ascii="Calibri" w:eastAsia="Calibri" w:hAnsi="Calibri" w:cs="Times New Roman"/>
          <w:lang w:val="es-ES_tradnl"/>
        </w:rPr>
        <w:t>MOS</w:t>
      </w:r>
      <w:r w:rsidRPr="004B52E5">
        <w:rPr>
          <w:rFonts w:ascii="Calibri" w:eastAsia="Calibri" w:hAnsi="Calibri" w:cs="Times New Roman"/>
          <w:lang w:val="es-ES_tradnl"/>
        </w:rPr>
        <w:t xml:space="preserve"> lo siguiente:</w:t>
      </w:r>
    </w:p>
    <w:p w:rsidR="004B52E5" w:rsidRPr="004B52E5" w:rsidRDefault="004B52E5" w:rsidP="00F152D7">
      <w:pPr>
        <w:spacing w:after="0" w:line="240" w:lineRule="auto"/>
        <w:ind w:left="426" w:hanging="426"/>
        <w:rPr>
          <w:rFonts w:ascii="Calibri" w:eastAsia="Calibri" w:hAnsi="Calibri" w:cs="Times New Roman"/>
          <w:lang w:val="es-ES_tradnl"/>
        </w:rPr>
      </w:pPr>
    </w:p>
    <w:p w:rsidR="004B52E5" w:rsidRPr="004B52E5" w:rsidRDefault="001D12C9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>
        <w:rPr>
          <w:rFonts w:ascii="Calibri" w:eastAsia="Times New Roman" w:hAnsi="Calibri" w:cs="Times New Roman"/>
          <w:lang w:val="es-ES_tradnl" w:eastAsia="en-GB"/>
        </w:rPr>
        <w:t>REAFIRMAMOS nuestro</w:t>
      </w:r>
      <w:r w:rsidR="004B52E5" w:rsidRPr="004B52E5">
        <w:rPr>
          <w:rFonts w:ascii="Calibri" w:eastAsia="Times New Roman" w:hAnsi="Calibri" w:cs="Times New Roman"/>
          <w:lang w:val="es-ES_tradnl" w:eastAsia="en-GB"/>
        </w:rPr>
        <w:t xml:space="preserve"> compromiso con el desarrollo sostenible, la conservación y el uso racional de todos los humedales y los de la red de Sitios Ramsar, por su relevancia directa con la calidad y el abastecimiento de agua, la seguridad alimentaria y del agua, la adaptación al cambio climático, el suministro de energía, la vida saludable, la biodiversidad y el uso sostenible de los ecosistemas, los asentamientos humanos sostenibles y la erradicación de la pobreza</w:t>
      </w:r>
      <w:r>
        <w:rPr>
          <w:rFonts w:ascii="Calibri" w:eastAsia="Calibri" w:hAnsi="Calibri" w:cs="Times New Roman"/>
          <w:lang w:val="es-ES_tradnl"/>
        </w:rPr>
        <w:t>.</w:t>
      </w:r>
    </w:p>
    <w:p w:rsidR="004B52E5" w:rsidRPr="004B52E5" w:rsidRDefault="004B52E5" w:rsidP="00F152D7">
      <w:pPr>
        <w:spacing w:after="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:rsidR="004B52E5" w:rsidRPr="004B52E5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4B52E5">
        <w:rPr>
          <w:rFonts w:ascii="Calibri" w:eastAsia="Times New Roman" w:hAnsi="Calibri" w:cs="Times New Roman"/>
          <w:lang w:val="es-ES_tradnl" w:eastAsia="en-GB"/>
        </w:rPr>
        <w:t>EXPRESAN su beneplácito por la adopción del Plan Estr</w:t>
      </w:r>
      <w:r w:rsidR="008179B6">
        <w:rPr>
          <w:rFonts w:ascii="Calibri" w:eastAsia="Times New Roman" w:hAnsi="Calibri" w:cs="Times New Roman"/>
          <w:lang w:val="es-ES_tradnl" w:eastAsia="en-GB"/>
        </w:rPr>
        <w:t>atégico de Ramsar para 2016-2024</w:t>
      </w:r>
      <w:r w:rsidRPr="004B52E5">
        <w:rPr>
          <w:rFonts w:ascii="Calibri" w:eastAsia="Times New Roman" w:hAnsi="Calibri" w:cs="Times New Roman"/>
          <w:lang w:val="es-ES_tradnl" w:eastAsia="en-GB"/>
        </w:rPr>
        <w:t xml:space="preserve">, basado en cuatro objetivos estratégicos prioritarios: hacer frente a los factores que impulsan la pérdida y </w:t>
      </w:r>
      <w:r w:rsidR="008179B6">
        <w:rPr>
          <w:rFonts w:ascii="Calibri" w:eastAsia="Times New Roman" w:hAnsi="Calibri" w:cs="Times New Roman"/>
          <w:lang w:val="es-ES_tradnl" w:eastAsia="en-GB"/>
        </w:rPr>
        <w:t xml:space="preserve">la </w:t>
      </w:r>
      <w:r w:rsidRPr="004B52E5">
        <w:rPr>
          <w:rFonts w:ascii="Calibri" w:eastAsia="Times New Roman" w:hAnsi="Calibri" w:cs="Times New Roman"/>
          <w:lang w:val="es-ES_tradnl" w:eastAsia="en-GB"/>
        </w:rPr>
        <w:t>degradación de los humedales, conservación y manejo efectivos de la red de sitios Ramsar, uso racional de todos los humedales, que incluye el manejo integrado de los recursos a escala de las cuencas hidrográficas, y mejorar la aplicación de la Convención</w:t>
      </w:r>
      <w:r w:rsidR="001D12C9">
        <w:rPr>
          <w:rFonts w:ascii="Calibri" w:eastAsia="Calibri" w:hAnsi="Calibri" w:cs="Times New Roman"/>
          <w:lang w:val="es-ES_tradnl"/>
        </w:rPr>
        <w:t>.</w:t>
      </w:r>
    </w:p>
    <w:p w:rsidR="004B52E5" w:rsidRPr="004B52E5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:rsidR="004B52E5" w:rsidRPr="004B52E5" w:rsidRDefault="008179B6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>
        <w:rPr>
          <w:rFonts w:ascii="Calibri" w:eastAsia="Times New Roman" w:hAnsi="Calibri" w:cs="Times New Roman"/>
          <w:lang w:val="es-ES_tradnl" w:eastAsia="en-GB"/>
        </w:rPr>
        <w:t>DECIDEN</w:t>
      </w:r>
      <w:r w:rsidR="004B52E5" w:rsidRPr="004B52E5">
        <w:rPr>
          <w:rFonts w:ascii="Calibri" w:eastAsia="Times New Roman" w:hAnsi="Calibri" w:cs="Times New Roman"/>
          <w:lang w:val="es-ES_tradnl" w:eastAsia="en-GB"/>
        </w:rPr>
        <w:t xml:space="preserve"> informar a sus asociados, actores y otros para que, a</w:t>
      </w:r>
      <w:r w:rsidR="004B52E5" w:rsidRPr="004B52E5">
        <w:rPr>
          <w:rFonts w:ascii="Calibri" w:eastAsia="Calibri" w:hAnsi="Calibri" w:cs="Times New Roman"/>
          <w:lang w:val="es-ES_tradnl"/>
        </w:rPr>
        <w:t>l</w:t>
      </w:r>
      <w:r w:rsidR="004B52E5" w:rsidRPr="004B52E5">
        <w:rPr>
          <w:rFonts w:ascii="Calibri" w:eastAsia="Times New Roman" w:hAnsi="Calibri" w:cs="Times New Roman"/>
          <w:lang w:val="es-ES_tradnl" w:eastAsia="en-GB"/>
        </w:rPr>
        <w:t xml:space="preserve"> concebir, planificar y ejecutar sus políticas, estrategias, planes de acción, proyectos y programas a nivel local, </w:t>
      </w:r>
      <w:r w:rsidR="004B52E5" w:rsidRPr="004B52E5">
        <w:rPr>
          <w:rFonts w:ascii="Calibri" w:eastAsia="Times New Roman" w:hAnsi="Calibri" w:cs="Times New Roman"/>
          <w:lang w:val="es-ES_tradnl" w:eastAsia="en-GB"/>
        </w:rPr>
        <w:lastRenderedPageBreak/>
        <w:t xml:space="preserve">nacional y regional vinculados directa o indirectamente a los humedales, tomen en cuenta los lineamientos del Cuarto Plan Estratégico, con la debida consideración a sus diferentes situaciones y capacidades, fijando las metas nacionales correspondientes y reforzando la cooperación </w:t>
      </w:r>
      <w:r w:rsidR="007B0221">
        <w:rPr>
          <w:rFonts w:ascii="Calibri" w:eastAsia="Times New Roman" w:hAnsi="Calibri" w:cs="Times New Roman"/>
          <w:lang w:val="es-ES_tradnl" w:eastAsia="en-GB"/>
        </w:rPr>
        <w:t xml:space="preserve">internacional </w:t>
      </w:r>
      <w:r w:rsidR="004B52E5" w:rsidRPr="004B52E5">
        <w:rPr>
          <w:rFonts w:ascii="Calibri" w:eastAsia="Times New Roman" w:hAnsi="Calibri" w:cs="Times New Roman"/>
          <w:lang w:val="es-ES_tradnl" w:eastAsia="en-GB"/>
        </w:rPr>
        <w:t>en el manejo de los ecosistemas de humedales y recursos hídricos compartidos</w:t>
      </w:r>
      <w:r w:rsidR="004B52E5" w:rsidRPr="004B52E5">
        <w:rPr>
          <w:rFonts w:ascii="Calibri" w:eastAsia="Calibri" w:hAnsi="Calibri" w:cs="Times New Roman"/>
          <w:lang w:val="es-ES_tradnl"/>
        </w:rPr>
        <w:t>; y</w:t>
      </w:r>
    </w:p>
    <w:p w:rsidR="004B52E5" w:rsidRPr="004B52E5" w:rsidRDefault="004B52E5" w:rsidP="00F152D7">
      <w:p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</w:p>
    <w:p w:rsidR="004B52E5" w:rsidRPr="004B52E5" w:rsidRDefault="004B52E5" w:rsidP="00F152D7">
      <w:pPr>
        <w:numPr>
          <w:ilvl w:val="0"/>
          <w:numId w:val="4"/>
        </w:numPr>
        <w:spacing w:after="200" w:line="240" w:lineRule="auto"/>
        <w:ind w:left="426" w:hanging="426"/>
        <w:contextualSpacing/>
        <w:rPr>
          <w:rFonts w:ascii="Calibri" w:eastAsia="Calibri" w:hAnsi="Calibri" w:cs="Times New Roman"/>
          <w:lang w:val="es-ES_tradnl"/>
        </w:rPr>
      </w:pPr>
      <w:r w:rsidRPr="004B52E5">
        <w:rPr>
          <w:rFonts w:ascii="Calibri" w:eastAsia="Times New Roman" w:hAnsi="Calibri" w:cs="Times New Roman"/>
          <w:lang w:val="es-ES_tradnl" w:eastAsia="en-GB"/>
        </w:rPr>
        <w:t xml:space="preserve">DESTACAN la necesidad e importancia de fortalecer las asociaciones de colaboración con </w:t>
      </w:r>
      <w:r w:rsidR="007B0221">
        <w:rPr>
          <w:rFonts w:ascii="Calibri" w:eastAsia="Times New Roman" w:hAnsi="Calibri" w:cs="Times New Roman"/>
          <w:lang w:val="es-ES_tradnl" w:eastAsia="en-GB"/>
        </w:rPr>
        <w:t>individuos y organizaciones,</w:t>
      </w:r>
      <w:r w:rsidRPr="004B52E5">
        <w:rPr>
          <w:rFonts w:ascii="Calibri" w:eastAsia="Times New Roman" w:hAnsi="Calibri" w:cs="Times New Roman"/>
          <w:lang w:val="es-ES_tradnl" w:eastAsia="en-GB"/>
        </w:rPr>
        <w:t xml:space="preserve"> más allá de los responsables del manejo de los sitios Ramsar y humedales importantes, especialmente a través del fortalecimiento de los vínculos existentes con Organizaciones Internacionales Asociadas, acuerdos multilaterales sobre el medio ambiente, el sistema de Naciones Unidas e iniciativas regionales</w:t>
      </w:r>
      <w:r w:rsidR="007B0221">
        <w:rPr>
          <w:rFonts w:ascii="Calibri" w:eastAsia="Times New Roman" w:hAnsi="Calibri" w:cs="Times New Roman"/>
          <w:lang w:val="es-ES_tradnl" w:eastAsia="en-GB"/>
        </w:rPr>
        <w:t xml:space="preserve"> y globales </w:t>
      </w:r>
      <w:r w:rsidRPr="004B52E5">
        <w:rPr>
          <w:rFonts w:ascii="Calibri" w:eastAsia="Times New Roman" w:hAnsi="Calibri" w:cs="Times New Roman"/>
          <w:lang w:val="es-ES_tradnl" w:eastAsia="en-GB"/>
        </w:rPr>
        <w:t xml:space="preserve"> y debates </w:t>
      </w:r>
      <w:r w:rsidR="007B0221">
        <w:rPr>
          <w:rFonts w:ascii="Calibri" w:eastAsia="Times New Roman" w:hAnsi="Calibri" w:cs="Times New Roman"/>
          <w:lang w:val="es-ES_tradnl" w:eastAsia="en-GB"/>
        </w:rPr>
        <w:t xml:space="preserve">sobre </w:t>
      </w:r>
      <w:r w:rsidRPr="004B52E5">
        <w:rPr>
          <w:rFonts w:ascii="Calibri" w:eastAsia="Times New Roman" w:hAnsi="Calibri" w:cs="Times New Roman"/>
          <w:lang w:val="es-ES_tradnl" w:eastAsia="en-GB"/>
        </w:rPr>
        <w:t>procesos relativos al desarrollo sostenible, tales como el agua, los medios de vida de las personas, la biodiversidad, la reducción del riesg</w:t>
      </w:r>
      <w:r w:rsidR="007B0221">
        <w:rPr>
          <w:rFonts w:ascii="Calibri" w:eastAsia="Times New Roman" w:hAnsi="Calibri" w:cs="Times New Roman"/>
          <w:lang w:val="es-ES_tradnl" w:eastAsia="en-GB"/>
        </w:rPr>
        <w:t>o de desastres, la resiliencia</w:t>
      </w:r>
      <w:r w:rsidRPr="004B52E5">
        <w:rPr>
          <w:rFonts w:ascii="Calibri" w:eastAsia="Times New Roman" w:hAnsi="Calibri" w:cs="Times New Roman"/>
          <w:lang w:val="es-ES_tradnl" w:eastAsia="en-GB"/>
        </w:rPr>
        <w:t>,</w:t>
      </w:r>
      <w:r w:rsidR="007B0221">
        <w:rPr>
          <w:rFonts w:ascii="Calibri" w:eastAsia="Times New Roman" w:hAnsi="Calibri" w:cs="Times New Roman"/>
          <w:lang w:val="es-ES_tradnl" w:eastAsia="en-GB"/>
        </w:rPr>
        <w:t xml:space="preserve"> y el cambio climático, </w:t>
      </w:r>
      <w:r w:rsidRPr="004B52E5">
        <w:rPr>
          <w:rFonts w:ascii="Calibri" w:eastAsia="Times New Roman" w:hAnsi="Calibri" w:cs="Times New Roman"/>
          <w:lang w:val="es-ES_tradnl" w:eastAsia="en-GB"/>
        </w:rPr>
        <w:t>como mecanismo para crear condiciones que permitirán y favorecerán la aplicación de la Convención</w:t>
      </w:r>
      <w:r w:rsidRPr="004B52E5">
        <w:rPr>
          <w:rFonts w:ascii="Calibri" w:eastAsia="Calibri" w:hAnsi="Calibri" w:cs="Times New Roman"/>
          <w:lang w:val="es-ES_tradnl"/>
        </w:rPr>
        <w:t>.</w:t>
      </w:r>
    </w:p>
    <w:p w:rsidR="004B52E5" w:rsidRDefault="004B52E5" w:rsidP="00CA7B0D">
      <w:pPr>
        <w:jc w:val="both"/>
        <w:rPr>
          <w:lang w:val="es-ES_tradnl"/>
        </w:rPr>
      </w:pPr>
    </w:p>
    <w:p w:rsidR="004B52E5" w:rsidRPr="00334186" w:rsidRDefault="004B52E5" w:rsidP="00CA7B0D">
      <w:pPr>
        <w:jc w:val="both"/>
        <w:rPr>
          <w:lang w:val="es-ES_tradnl"/>
        </w:rPr>
      </w:pPr>
    </w:p>
    <w:sectPr w:rsidR="004B52E5" w:rsidRPr="00334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4292"/>
    <w:multiLevelType w:val="hybridMultilevel"/>
    <w:tmpl w:val="552046A2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8871BA"/>
    <w:multiLevelType w:val="hybridMultilevel"/>
    <w:tmpl w:val="54D6F9DE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565239B"/>
    <w:multiLevelType w:val="hybridMultilevel"/>
    <w:tmpl w:val="2DAA5A9E"/>
    <w:lvl w:ilvl="0" w:tplc="3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874A6E"/>
    <w:multiLevelType w:val="hybridMultilevel"/>
    <w:tmpl w:val="40FEC2F0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86"/>
    <w:rsid w:val="000C71C8"/>
    <w:rsid w:val="00107C25"/>
    <w:rsid w:val="001C2DA9"/>
    <w:rsid w:val="001D12C9"/>
    <w:rsid w:val="001D6BC8"/>
    <w:rsid w:val="00211B6A"/>
    <w:rsid w:val="00334186"/>
    <w:rsid w:val="00427C86"/>
    <w:rsid w:val="00491AE3"/>
    <w:rsid w:val="004B52E5"/>
    <w:rsid w:val="006A0093"/>
    <w:rsid w:val="007240A2"/>
    <w:rsid w:val="007B0221"/>
    <w:rsid w:val="008179B6"/>
    <w:rsid w:val="00B45554"/>
    <w:rsid w:val="00BE1D67"/>
    <w:rsid w:val="00CA7B0D"/>
    <w:rsid w:val="00CB7FDE"/>
    <w:rsid w:val="00D75858"/>
    <w:rsid w:val="00ED393D"/>
    <w:rsid w:val="00F152D7"/>
    <w:rsid w:val="00F21E0D"/>
    <w:rsid w:val="00FA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pablo3</dc:creator>
  <cp:lastModifiedBy>Ramsar\JenningsE</cp:lastModifiedBy>
  <cp:revision>2</cp:revision>
  <dcterms:created xsi:type="dcterms:W3CDTF">2015-06-18T15:46:00Z</dcterms:created>
  <dcterms:modified xsi:type="dcterms:W3CDTF">2015-06-18T15:46:00Z</dcterms:modified>
</cp:coreProperties>
</file>