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F7" w:rsidRPr="00B81E3F" w:rsidRDefault="00F00AF7" w:rsidP="00F00AF7">
      <w:pPr>
        <w:spacing w:after="0" w:line="240" w:lineRule="auto"/>
        <w:jc w:val="center"/>
        <w:rPr>
          <w:rFonts w:asciiTheme="minorHAnsi" w:hAnsiTheme="minorHAnsi"/>
          <w:b/>
          <w:sz w:val="25"/>
          <w:szCs w:val="25"/>
          <w:lang w:val="es-ES_tradnl"/>
        </w:rPr>
      </w:pPr>
      <w:r w:rsidRPr="00B81E3F">
        <w:rPr>
          <w:rFonts w:asciiTheme="minorHAnsi" w:hAnsiTheme="minorHAnsi"/>
          <w:noProof/>
          <w:sz w:val="25"/>
          <w:szCs w:val="25"/>
          <w:lang w:val="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-186690</wp:posOffset>
            </wp:positionV>
            <wp:extent cx="2212975" cy="953135"/>
            <wp:effectExtent l="19050" t="0" r="0" b="0"/>
            <wp:wrapSquare wrapText="bothSides"/>
            <wp:docPr id="3"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7"/>
                    <a:stretch>
                      <a:fillRect/>
                    </a:stretch>
                  </pic:blipFill>
                  <pic:spPr bwMode="auto">
                    <a:xfrm>
                      <a:off x="0" y="0"/>
                      <a:ext cx="2212975" cy="953135"/>
                    </a:xfrm>
                    <a:prstGeom prst="rect">
                      <a:avLst/>
                    </a:prstGeom>
                    <a:noFill/>
                    <a:ln>
                      <a:noFill/>
                    </a:ln>
                  </pic:spPr>
                </pic:pic>
              </a:graphicData>
            </a:graphic>
          </wp:anchor>
        </w:drawing>
      </w:r>
      <w:r w:rsidR="004E0F6F" w:rsidRPr="00B81E3F">
        <w:rPr>
          <w:rFonts w:asciiTheme="minorHAnsi" w:hAnsiTheme="minorHAnsi"/>
          <w:b/>
          <w:sz w:val="25"/>
          <w:szCs w:val="25"/>
          <w:lang w:val="es-ES_tradnl"/>
        </w:rPr>
        <w:t>12ª Reunión de la Conferencia de las Partes en la Convención sobre los Humedales (Ramsar, Irán, 1971</w:t>
      </w:r>
      <w:r w:rsidRPr="00B81E3F">
        <w:rPr>
          <w:rFonts w:asciiTheme="minorHAnsi" w:hAnsiTheme="minorHAnsi"/>
          <w:b/>
          <w:sz w:val="25"/>
          <w:szCs w:val="25"/>
          <w:lang w:val="es-ES_tradnl"/>
        </w:rPr>
        <w:t>)</w:t>
      </w:r>
    </w:p>
    <w:p w:rsidR="00F00AF7" w:rsidRPr="00B81E3F" w:rsidRDefault="00F00AF7" w:rsidP="00F00AF7">
      <w:pPr>
        <w:spacing w:after="0" w:line="240" w:lineRule="auto"/>
        <w:jc w:val="center"/>
        <w:rPr>
          <w:rFonts w:asciiTheme="minorHAnsi" w:hAnsiTheme="minorHAnsi"/>
          <w:sz w:val="25"/>
          <w:szCs w:val="25"/>
          <w:lang w:val="es-ES_tradnl"/>
        </w:rPr>
      </w:pPr>
    </w:p>
    <w:p w:rsidR="00F00AF7" w:rsidRPr="00B81E3F" w:rsidRDefault="00F00AF7" w:rsidP="00F00AF7">
      <w:pPr>
        <w:tabs>
          <w:tab w:val="left" w:pos="3828"/>
        </w:tabs>
        <w:spacing w:after="0" w:line="240" w:lineRule="auto"/>
        <w:jc w:val="center"/>
        <w:rPr>
          <w:rFonts w:asciiTheme="minorHAnsi" w:hAnsiTheme="minorHAnsi"/>
          <w:b/>
          <w:sz w:val="25"/>
          <w:szCs w:val="25"/>
          <w:lang w:val="es-ES_tradnl"/>
        </w:rPr>
      </w:pPr>
      <w:r w:rsidRPr="00B81E3F">
        <w:rPr>
          <w:rFonts w:asciiTheme="minorHAnsi" w:hAnsiTheme="minorHAnsi"/>
          <w:b/>
          <w:sz w:val="25"/>
          <w:szCs w:val="25"/>
          <w:lang w:val="es-ES_tradnl"/>
        </w:rPr>
        <w:t xml:space="preserve">Punta del Este, Uruguay, </w:t>
      </w:r>
      <w:r w:rsidR="004E0F6F" w:rsidRPr="00B81E3F">
        <w:rPr>
          <w:rFonts w:asciiTheme="minorHAnsi" w:hAnsiTheme="minorHAnsi"/>
          <w:b/>
          <w:sz w:val="25"/>
          <w:szCs w:val="25"/>
          <w:lang w:val="es-ES_tradnl"/>
        </w:rPr>
        <w:t>1 al 9 de junio de 2015</w:t>
      </w:r>
    </w:p>
    <w:p w:rsidR="00F00AF7" w:rsidRPr="00B81E3F" w:rsidRDefault="00F00AF7" w:rsidP="00F00AF7">
      <w:pPr>
        <w:spacing w:after="0" w:line="240" w:lineRule="auto"/>
        <w:rPr>
          <w:rFonts w:asciiTheme="minorHAnsi" w:hAnsiTheme="minorHAnsi"/>
          <w:lang w:val="es-ES_tradnl"/>
        </w:rPr>
      </w:pPr>
    </w:p>
    <w:p w:rsidR="00F00AF7" w:rsidRPr="00B81E3F" w:rsidRDefault="00F00AF7" w:rsidP="00F00AF7">
      <w:pPr>
        <w:spacing w:after="0" w:line="240" w:lineRule="auto"/>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F00AF7" w:rsidRPr="00B81E3F" w:rsidTr="00F00AF7">
        <w:tc>
          <w:tcPr>
            <w:tcW w:w="4528" w:type="dxa"/>
          </w:tcPr>
          <w:p w:rsidR="00F00AF7" w:rsidRPr="00B81E3F" w:rsidRDefault="00F00AF7" w:rsidP="00F00AF7">
            <w:pPr>
              <w:spacing w:after="0" w:line="240" w:lineRule="auto"/>
              <w:rPr>
                <w:rFonts w:asciiTheme="minorHAnsi" w:hAnsiTheme="minorHAnsi"/>
                <w:b/>
                <w:sz w:val="25"/>
                <w:szCs w:val="25"/>
                <w:lang w:val="es-ES_tradnl"/>
              </w:rPr>
            </w:pPr>
          </w:p>
        </w:tc>
        <w:tc>
          <w:tcPr>
            <w:tcW w:w="4602" w:type="dxa"/>
          </w:tcPr>
          <w:p w:rsidR="00F00AF7" w:rsidRPr="00B81E3F" w:rsidRDefault="00F00AF7" w:rsidP="00F00AF7">
            <w:pPr>
              <w:spacing w:after="0" w:line="240" w:lineRule="auto"/>
              <w:jc w:val="right"/>
              <w:rPr>
                <w:rFonts w:asciiTheme="minorHAnsi" w:hAnsiTheme="minorHAnsi"/>
                <w:b/>
                <w:sz w:val="25"/>
                <w:szCs w:val="25"/>
                <w:lang w:val="es-ES_tradnl"/>
              </w:rPr>
            </w:pPr>
            <w:r w:rsidRPr="00B81E3F">
              <w:rPr>
                <w:rFonts w:asciiTheme="minorHAnsi" w:hAnsiTheme="minorHAnsi"/>
                <w:b/>
                <w:sz w:val="25"/>
                <w:szCs w:val="25"/>
                <w:lang w:val="es-ES_tradnl"/>
              </w:rPr>
              <w:t>Ramsar COP12 DR11</w:t>
            </w:r>
          </w:p>
        </w:tc>
      </w:tr>
    </w:tbl>
    <w:p w:rsidR="00635F20" w:rsidRPr="002D08C9" w:rsidRDefault="00635F20" w:rsidP="002D08C9">
      <w:pPr>
        <w:spacing w:after="0" w:line="240" w:lineRule="auto"/>
        <w:ind w:right="16"/>
        <w:jc w:val="center"/>
        <w:rPr>
          <w:rFonts w:asciiTheme="minorHAnsi" w:hAnsiTheme="minorHAnsi"/>
          <w:b/>
          <w:bCs/>
          <w:sz w:val="28"/>
          <w:szCs w:val="28"/>
          <w:lang w:val="es-ES_tradnl"/>
        </w:rPr>
      </w:pPr>
    </w:p>
    <w:p w:rsidR="00F00AF7" w:rsidRPr="002D08C9" w:rsidRDefault="004E0F6F" w:rsidP="002D08C9">
      <w:pPr>
        <w:spacing w:after="0" w:line="240" w:lineRule="auto"/>
        <w:jc w:val="center"/>
        <w:rPr>
          <w:rFonts w:asciiTheme="minorHAnsi" w:hAnsiTheme="minorHAnsi"/>
          <w:b/>
          <w:bCs/>
          <w:sz w:val="28"/>
          <w:szCs w:val="28"/>
          <w:lang w:val="es-ES_tradnl"/>
        </w:rPr>
      </w:pPr>
      <w:r w:rsidRPr="002D08C9">
        <w:rPr>
          <w:rFonts w:asciiTheme="minorHAnsi" w:hAnsiTheme="minorHAnsi"/>
          <w:b/>
          <w:bCs/>
          <w:sz w:val="28"/>
          <w:szCs w:val="28"/>
          <w:lang w:val="es-ES_tradnl"/>
        </w:rPr>
        <w:t xml:space="preserve">Proyecto de Resolución </w:t>
      </w:r>
      <w:r w:rsidR="00F00AF7" w:rsidRPr="002D08C9">
        <w:rPr>
          <w:rFonts w:asciiTheme="minorHAnsi" w:hAnsiTheme="minorHAnsi"/>
          <w:b/>
          <w:bCs/>
          <w:sz w:val="28"/>
          <w:szCs w:val="28"/>
          <w:lang w:val="es-ES_tradnl"/>
        </w:rPr>
        <w:t>XII.11</w:t>
      </w:r>
    </w:p>
    <w:p w:rsidR="00F00AF7" w:rsidRPr="002D08C9" w:rsidRDefault="00F00AF7" w:rsidP="002D08C9">
      <w:pPr>
        <w:spacing w:after="0" w:line="240" w:lineRule="auto"/>
        <w:jc w:val="center"/>
        <w:rPr>
          <w:rFonts w:asciiTheme="minorHAnsi" w:hAnsiTheme="minorHAnsi"/>
          <w:b/>
          <w:bCs/>
          <w:sz w:val="28"/>
          <w:szCs w:val="28"/>
          <w:lang w:val="es-ES_tradnl"/>
        </w:rPr>
      </w:pPr>
    </w:p>
    <w:p w:rsidR="004E0F6F" w:rsidRPr="002D08C9" w:rsidRDefault="004E0F6F" w:rsidP="002D08C9">
      <w:pPr>
        <w:pStyle w:val="Default"/>
        <w:jc w:val="center"/>
        <w:rPr>
          <w:rFonts w:asciiTheme="minorHAnsi" w:hAnsiTheme="minorHAnsi"/>
          <w:b/>
          <w:bCs/>
          <w:sz w:val="28"/>
          <w:szCs w:val="28"/>
          <w:lang w:val="es-ES_tradnl"/>
        </w:rPr>
      </w:pPr>
      <w:r w:rsidRPr="002D08C9">
        <w:rPr>
          <w:rFonts w:asciiTheme="minorHAnsi" w:hAnsiTheme="minorHAnsi"/>
          <w:b/>
          <w:bCs/>
          <w:sz w:val="28"/>
          <w:szCs w:val="28"/>
          <w:lang w:val="es-ES_tradnl"/>
        </w:rPr>
        <w:t xml:space="preserve">Las turberas, el cambio climático y el uso racional: </w:t>
      </w:r>
      <w:r w:rsidRPr="002D08C9">
        <w:rPr>
          <w:rFonts w:asciiTheme="minorHAnsi" w:hAnsiTheme="minorHAnsi"/>
          <w:b/>
          <w:bCs/>
          <w:color w:val="auto"/>
          <w:sz w:val="28"/>
          <w:szCs w:val="28"/>
          <w:lang w:val="es-ES_tradnl"/>
        </w:rPr>
        <w:t>i</w:t>
      </w:r>
      <w:r w:rsidRPr="002D08C9">
        <w:rPr>
          <w:rFonts w:asciiTheme="minorHAnsi" w:hAnsiTheme="minorHAnsi"/>
          <w:b/>
          <w:bCs/>
          <w:sz w:val="28"/>
          <w:szCs w:val="28"/>
          <w:lang w:val="es-ES_tradnl"/>
        </w:rPr>
        <w:t>mplicaciones para la Convención de Ramsar</w:t>
      </w:r>
    </w:p>
    <w:p w:rsidR="00635F20" w:rsidRPr="00B81E3F" w:rsidRDefault="00635F20" w:rsidP="00F00AF7">
      <w:pPr>
        <w:spacing w:after="0" w:line="240" w:lineRule="auto"/>
        <w:jc w:val="center"/>
        <w:rPr>
          <w:rFonts w:asciiTheme="minorHAnsi" w:hAnsiTheme="minorHAnsi"/>
          <w:b/>
          <w:bCs/>
          <w:sz w:val="28"/>
          <w:szCs w:val="28"/>
          <w:lang w:val="es-ES_tradnl"/>
        </w:rPr>
      </w:pPr>
    </w:p>
    <w:p w:rsidR="004E0F6F" w:rsidRPr="00B81E3F" w:rsidRDefault="0088304D" w:rsidP="00F00AF7">
      <w:pPr>
        <w:spacing w:after="0" w:line="240" w:lineRule="auto"/>
        <w:ind w:right="17"/>
        <w:rPr>
          <w:rFonts w:asciiTheme="minorHAnsi" w:hAnsiTheme="minorHAnsi"/>
          <w:i/>
          <w:lang w:val="es-ES_tradnl"/>
        </w:rPr>
      </w:pPr>
      <w:r w:rsidRPr="00B81E3F">
        <w:rPr>
          <w:rFonts w:asciiTheme="minorHAnsi" w:hAnsiTheme="minorHAnsi"/>
          <w:i/>
          <w:lang w:val="es-ES_tradnl"/>
        </w:rPr>
        <w:t>Presentado por Dinamarca y apoyado</w:t>
      </w:r>
      <w:r w:rsidR="004E0F6F" w:rsidRPr="00B81E3F">
        <w:rPr>
          <w:rFonts w:asciiTheme="minorHAnsi" w:hAnsiTheme="minorHAnsi"/>
          <w:i/>
          <w:lang w:val="es-ES_tradnl"/>
        </w:rPr>
        <w:t xml:space="preserve"> por Finlandia</w:t>
      </w:r>
    </w:p>
    <w:p w:rsidR="004E0F6F" w:rsidRPr="00B81E3F" w:rsidRDefault="004E0F6F" w:rsidP="004E0F6F">
      <w:pPr>
        <w:pStyle w:val="Default"/>
        <w:rPr>
          <w:rFonts w:asciiTheme="minorHAnsi" w:hAnsiTheme="minorHAnsi"/>
          <w:sz w:val="22"/>
          <w:szCs w:val="22"/>
          <w:lang w:val="es-ES_tradnl"/>
        </w:rPr>
      </w:pPr>
    </w:p>
    <w:p w:rsidR="00041D08" w:rsidRPr="00B81E3F" w:rsidRDefault="004E0F6F"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RECONOCIENDO que los servicios de los ecosistemas proporcionados por las turberas, que contribuyen al bienestar del ser humano, incluyendo la mitigación del cambio climático y la adaptación al mismo, pueden verse gravemente degradados si el ecosistema no es objeto de un manejo racional, y CONSCIENTE de que para hacer frente a esta amenaza puede ser necesaria una mayor atención por parte de la Convención de Ramsar</w:t>
      </w:r>
      <w:r w:rsidR="00041D08" w:rsidRPr="00B81E3F">
        <w:rPr>
          <w:rFonts w:asciiTheme="minorHAnsi" w:hAnsiTheme="minorHAnsi"/>
          <w:sz w:val="22"/>
          <w:szCs w:val="22"/>
          <w:lang w:val="es-ES_tradnl"/>
        </w:rPr>
        <w:t>;</w:t>
      </w:r>
    </w:p>
    <w:p w:rsidR="00041D08" w:rsidRPr="00B81E3F" w:rsidRDefault="00B81E3F" w:rsidP="00B81E3F">
      <w:pPr>
        <w:pStyle w:val="Default"/>
        <w:tabs>
          <w:tab w:val="left" w:pos="6599"/>
        </w:tabs>
        <w:ind w:left="426"/>
        <w:rPr>
          <w:rFonts w:asciiTheme="minorHAnsi" w:hAnsiTheme="minorHAnsi"/>
          <w:sz w:val="22"/>
          <w:szCs w:val="22"/>
          <w:lang w:val="es-ES_tradnl"/>
        </w:rPr>
      </w:pPr>
      <w:r>
        <w:rPr>
          <w:rFonts w:asciiTheme="minorHAnsi" w:hAnsiTheme="minorHAnsi"/>
          <w:sz w:val="22"/>
          <w:szCs w:val="22"/>
          <w:lang w:val="es-ES_tradnl"/>
        </w:rPr>
        <w:tab/>
      </w:r>
    </w:p>
    <w:p w:rsidR="00041D08" w:rsidRPr="00B81E3F" w:rsidRDefault="004E0F6F" w:rsidP="004E0F6F">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 xml:space="preserve">RECORDANDO que en el párrafo 13 de la Resolución XI.14 se reconoció que los informes </w:t>
      </w:r>
      <w:r w:rsidRPr="00B81E3F">
        <w:rPr>
          <w:rFonts w:asciiTheme="minorHAnsi" w:hAnsiTheme="minorHAnsi"/>
          <w:color w:val="auto"/>
          <w:sz w:val="22"/>
          <w:szCs w:val="22"/>
          <w:lang w:val="es-ES_tradnl"/>
        </w:rPr>
        <w:t>científicos indican que la continua</w:t>
      </w:r>
      <w:r w:rsidRPr="00B81E3F">
        <w:rPr>
          <w:rFonts w:asciiTheme="minorHAnsi" w:hAnsiTheme="minorHAnsi"/>
          <w:sz w:val="22"/>
          <w:szCs w:val="22"/>
          <w:lang w:val="es-ES_tradnl"/>
        </w:rPr>
        <w:t xml:space="preserve"> degradación y pérdida de muchos tipos de turberas causa la liberación de grandes cantidades de carbono almacenado y por lo tanto exacerba el cambio climático, y que, en algunas regiones, la designación y el manejo </w:t>
      </w:r>
      <w:r w:rsidRPr="00B81E3F">
        <w:rPr>
          <w:rFonts w:asciiTheme="minorHAnsi" w:hAnsiTheme="minorHAnsi"/>
          <w:color w:val="auto"/>
          <w:sz w:val="22"/>
          <w:szCs w:val="22"/>
          <w:lang w:val="es-ES_tradnl"/>
        </w:rPr>
        <w:t>efectivo</w:t>
      </w:r>
      <w:r w:rsidRPr="00B81E3F">
        <w:rPr>
          <w:rFonts w:asciiTheme="minorHAnsi" w:hAnsiTheme="minorHAnsi"/>
          <w:sz w:val="22"/>
          <w:szCs w:val="22"/>
          <w:lang w:val="es-ES_tradnl"/>
        </w:rPr>
        <w:t xml:space="preserve"> de sitios Ramsar puede desempeñar una función fundamental en el secuestro y almacenamiento de carbono y, por consiguiente, en la mitigación del cambio climático;</w:t>
      </w:r>
    </w:p>
    <w:p w:rsidR="00041D08" w:rsidRPr="00B81E3F" w:rsidRDefault="00041D08" w:rsidP="00041D08">
      <w:pPr>
        <w:pStyle w:val="Default"/>
        <w:rPr>
          <w:rFonts w:asciiTheme="minorHAnsi" w:hAnsiTheme="minorHAnsi"/>
          <w:sz w:val="22"/>
          <w:szCs w:val="22"/>
          <w:lang w:val="es-ES_tradnl"/>
        </w:rPr>
      </w:pPr>
    </w:p>
    <w:p w:rsidR="00041D08" w:rsidRPr="00B81E3F" w:rsidRDefault="004E0F6F"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 xml:space="preserve">RECORDANDO que en el párrafo 29 de la Resolución XI.14 se alentó a las Partes Contratantes y sus representantes a ponerse en contacto con sus homólogos de la Convención Marco de las Naciones Unidas sobre el Cambio Climático (CMNUCC) y sus órganos subsidiarios competentes para iniciar y promover un mayor intercambio de información sobre </w:t>
      </w:r>
      <w:r w:rsidR="0088304D" w:rsidRPr="00B81E3F">
        <w:rPr>
          <w:rFonts w:asciiTheme="minorHAnsi" w:hAnsiTheme="minorHAnsi"/>
          <w:sz w:val="22"/>
          <w:szCs w:val="22"/>
          <w:lang w:val="es-ES_tradnl"/>
        </w:rPr>
        <w:t>la función real</w:t>
      </w:r>
      <w:r w:rsidRPr="00B81E3F">
        <w:rPr>
          <w:rFonts w:asciiTheme="minorHAnsi" w:hAnsiTheme="minorHAnsi"/>
          <w:sz w:val="22"/>
          <w:szCs w:val="22"/>
          <w:lang w:val="es-ES_tradnl"/>
        </w:rPr>
        <w:t xml:space="preserve"> y potencial de las actividades de conservación, manejo y restauración de humedales en la implementación de estrategias pertinentes, según proceda, con el objeto de mitigar las emisiones de gases de efecto invernadero aumentando el secuestro y almacenamiento de carbono en los humedales;</w:t>
      </w:r>
    </w:p>
    <w:p w:rsidR="00041D08" w:rsidRPr="00B81E3F" w:rsidRDefault="00041D08" w:rsidP="00041D08">
      <w:pPr>
        <w:pStyle w:val="Default"/>
        <w:ind w:left="426"/>
        <w:rPr>
          <w:rFonts w:asciiTheme="minorHAnsi" w:hAnsiTheme="minorHAnsi"/>
          <w:sz w:val="22"/>
          <w:szCs w:val="22"/>
          <w:lang w:val="es-ES_tradnl"/>
        </w:rPr>
      </w:pPr>
    </w:p>
    <w:p w:rsidR="00041D08" w:rsidRPr="00B81E3F" w:rsidRDefault="004E0F6F"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RECORDANDO ADEMÁS el párrafo 35 de la Resolución X.24, en el que se pidió</w:t>
      </w:r>
      <w:r w:rsidR="0088304D" w:rsidRPr="00B81E3F">
        <w:rPr>
          <w:rFonts w:asciiTheme="minorHAnsi" w:hAnsiTheme="minorHAnsi"/>
          <w:sz w:val="22"/>
          <w:szCs w:val="22"/>
          <w:lang w:val="es-ES_tradnl"/>
        </w:rPr>
        <w:t xml:space="preserve"> </w:t>
      </w:r>
      <w:r w:rsidRPr="00B81E3F">
        <w:rPr>
          <w:rFonts w:asciiTheme="minorHAnsi" w:hAnsiTheme="minorHAnsi"/>
          <w:sz w:val="22"/>
          <w:szCs w:val="22"/>
          <w:lang w:val="es-ES_tradnl"/>
        </w:rPr>
        <w:t>a las Autoridades Administrativas de Ramsar que proporcionaran orientaciones y apoyo experto a sus respectivos centros de coordinación de la CMNUCC sobre políticas y medidas dirigidas a reducir las emisiones antropogénicas de gases de efecto invernadero de las turberas, y se instó a las Partes Contratantes pertinentes a reducir la degradación, promover la restauración y mejorar las prácticas de manejo de las turberas y otros tipos de humedales que son importantes sumideros de gases de efecto invernadero y a fomentar la ampliación de sitios de demostración sobre el manejo dirigido a la restauración y el uso racional de turberas en relación con el cambio climático; y se alentó a las Partes Contratantes a utilizar las turberas para mostrar actividades de comunicación, educación, concienciación y participación para la aplicación de la Convención en el contexto de los esfuerzos encaminados a la reducción de las emisiones de gases de efecto invernadero, la mitigación de los impactos del cambio cli</w:t>
      </w:r>
      <w:r w:rsidR="00041D08" w:rsidRPr="00B81E3F">
        <w:rPr>
          <w:rFonts w:asciiTheme="minorHAnsi" w:hAnsiTheme="minorHAnsi"/>
          <w:sz w:val="22"/>
          <w:szCs w:val="22"/>
          <w:lang w:val="es-ES_tradnl"/>
        </w:rPr>
        <w:t>mático y la adaptación al mismo;</w:t>
      </w:r>
    </w:p>
    <w:p w:rsidR="00041D08" w:rsidRPr="00B81E3F" w:rsidRDefault="004E0F6F"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lastRenderedPageBreak/>
        <w:t>RECORDANDO ASIMISMO que en el párrafo 4 de la Resolución VIII.17 se hizo hincapié en la importancia de las turberas para la biodiversidad mundial y para el almacenamiento del agua y del carbono que es fundamental pa</w:t>
      </w:r>
      <w:r w:rsidR="00041D08" w:rsidRPr="00B81E3F">
        <w:rPr>
          <w:rFonts w:asciiTheme="minorHAnsi" w:hAnsiTheme="minorHAnsi"/>
          <w:sz w:val="22"/>
          <w:szCs w:val="22"/>
          <w:lang w:val="es-ES_tradnl"/>
        </w:rPr>
        <w:t>ra el sistema climático mundial;</w:t>
      </w:r>
    </w:p>
    <w:p w:rsidR="00041D08" w:rsidRPr="00B81E3F" w:rsidRDefault="00041D08" w:rsidP="00041D08">
      <w:pPr>
        <w:pStyle w:val="Default"/>
        <w:ind w:left="426"/>
        <w:rPr>
          <w:rFonts w:asciiTheme="minorHAnsi" w:hAnsiTheme="minorHAnsi"/>
          <w:sz w:val="22"/>
          <w:szCs w:val="22"/>
          <w:lang w:val="es-ES_tradnl"/>
        </w:rPr>
      </w:pPr>
    </w:p>
    <w:p w:rsidR="00041D08" w:rsidRPr="00B81E3F" w:rsidRDefault="004E0F6F"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RECORDANDO que en el párrafo 3 de la Resolución VIII.3 se acogió con satisfacción la invitación de la Conferencia de las Partes en la CMNUCC en su octava sesión para compartir información;</w:t>
      </w:r>
    </w:p>
    <w:p w:rsidR="00041D08" w:rsidRPr="00B81E3F" w:rsidRDefault="00041D08" w:rsidP="00041D08">
      <w:pPr>
        <w:pStyle w:val="Default"/>
        <w:ind w:left="426"/>
        <w:rPr>
          <w:rFonts w:asciiTheme="minorHAnsi" w:hAnsiTheme="minorHAnsi"/>
          <w:sz w:val="22"/>
          <w:szCs w:val="22"/>
          <w:lang w:val="es-ES_tradnl"/>
        </w:rPr>
      </w:pPr>
    </w:p>
    <w:p w:rsidR="00041D08" w:rsidRPr="00B81E3F" w:rsidRDefault="00D443DC" w:rsidP="00041D08">
      <w:pPr>
        <w:pStyle w:val="Default"/>
        <w:numPr>
          <w:ilvl w:val="0"/>
          <w:numId w:val="21"/>
        </w:numPr>
        <w:ind w:left="426" w:hanging="426"/>
        <w:rPr>
          <w:rFonts w:asciiTheme="minorHAnsi" w:hAnsiTheme="minorHAnsi"/>
          <w:sz w:val="22"/>
          <w:szCs w:val="22"/>
          <w:lang w:val="es-ES_tradnl"/>
        </w:rPr>
      </w:pPr>
      <w:r>
        <w:rPr>
          <w:rFonts w:asciiTheme="minorHAnsi" w:hAnsiTheme="minorHAnsi"/>
          <w:sz w:val="22"/>
          <w:szCs w:val="22"/>
          <w:lang w:val="es-ES_tradnl"/>
        </w:rPr>
        <w:t>OBSERVANDO</w:t>
      </w:r>
      <w:r w:rsidR="004E0F6F" w:rsidRPr="00B81E3F">
        <w:rPr>
          <w:rFonts w:asciiTheme="minorHAnsi" w:hAnsiTheme="minorHAnsi"/>
          <w:sz w:val="22"/>
          <w:szCs w:val="22"/>
          <w:lang w:val="es-ES_tradnl"/>
        </w:rPr>
        <w:t xml:space="preserve"> </w:t>
      </w:r>
      <w:bookmarkStart w:id="0" w:name="_GoBack"/>
      <w:bookmarkEnd w:id="0"/>
      <w:r w:rsidR="004E0F6F" w:rsidRPr="00B81E3F">
        <w:rPr>
          <w:rFonts w:asciiTheme="minorHAnsi" w:hAnsiTheme="minorHAnsi"/>
          <w:sz w:val="22"/>
          <w:szCs w:val="22"/>
          <w:lang w:val="es-ES_tradnl"/>
        </w:rPr>
        <w:t>que en el párrafo 17 de la Resolución X.25 se alentó a las Partes Contratantes a contemplar el cultivo de biomasa en turberas reanegadas (paludicultura), y CONSCIENTE de que a partir de esta Resolución la rehumidificación de turberas manteniendo su uso productivo se ha reconocido ampliamente como una opción prometedora para mejorar la mitigación del cambio climático de las turberas;</w:t>
      </w:r>
    </w:p>
    <w:p w:rsidR="00041D08" w:rsidRPr="00B81E3F" w:rsidRDefault="00041D08" w:rsidP="00041D08">
      <w:pPr>
        <w:pStyle w:val="Default"/>
        <w:ind w:left="426"/>
        <w:rPr>
          <w:rFonts w:asciiTheme="minorHAnsi" w:hAnsiTheme="minorHAnsi"/>
          <w:sz w:val="22"/>
          <w:szCs w:val="22"/>
          <w:lang w:val="es-ES_tradnl"/>
        </w:rPr>
      </w:pPr>
    </w:p>
    <w:p w:rsidR="00041D08" w:rsidRPr="00B81E3F" w:rsidRDefault="00D443DC" w:rsidP="00041D08">
      <w:pPr>
        <w:pStyle w:val="Default"/>
        <w:numPr>
          <w:ilvl w:val="0"/>
          <w:numId w:val="21"/>
        </w:numPr>
        <w:ind w:left="426" w:hanging="426"/>
        <w:rPr>
          <w:rFonts w:asciiTheme="minorHAnsi" w:hAnsiTheme="minorHAnsi"/>
          <w:sz w:val="22"/>
          <w:szCs w:val="22"/>
          <w:lang w:val="es-ES_tradnl"/>
        </w:rPr>
      </w:pPr>
      <w:r>
        <w:rPr>
          <w:rFonts w:asciiTheme="minorHAnsi" w:hAnsiTheme="minorHAnsi"/>
          <w:sz w:val="22"/>
          <w:szCs w:val="22"/>
          <w:lang w:val="es-ES_tradnl"/>
        </w:rPr>
        <w:t>OBSERVANDO</w:t>
      </w:r>
      <w:r w:rsidR="004E0F6F" w:rsidRPr="00B81E3F">
        <w:rPr>
          <w:rFonts w:asciiTheme="minorHAnsi" w:hAnsiTheme="minorHAnsi"/>
          <w:sz w:val="22"/>
          <w:szCs w:val="22"/>
          <w:lang w:val="es-ES_tradnl"/>
        </w:rPr>
        <w:t xml:space="preserve"> ADEMÁS que, en su Quinto Informe de Evaluación, el Grupo Intergubernamental de Expertos sobre el Cambio Climático (IPCC) concluyó que la mayoría de las estimaciones globales no incluyen las emisiones derivadas de la combustión o la descomposición de turba después de un cambio de uso del suelo; y de que, en particular, la descomposición del carbono en humedales y turberas </w:t>
      </w:r>
      <w:r w:rsidR="0088304D" w:rsidRPr="00B81E3F">
        <w:rPr>
          <w:rFonts w:asciiTheme="minorHAnsi" w:hAnsiTheme="minorHAnsi"/>
          <w:sz w:val="22"/>
          <w:szCs w:val="22"/>
          <w:lang w:val="es-ES_tradnl"/>
        </w:rPr>
        <w:t>no está reflejada</w:t>
      </w:r>
      <w:r w:rsidR="004E0F6F" w:rsidRPr="00B81E3F">
        <w:rPr>
          <w:rFonts w:asciiTheme="minorHAnsi" w:hAnsiTheme="minorHAnsi"/>
          <w:sz w:val="22"/>
          <w:szCs w:val="22"/>
          <w:lang w:val="es-ES_tradnl"/>
        </w:rPr>
        <w:t xml:space="preserve"> en los modelos a pesar de la gran cantidad de carbono almacenado en estos ecosistemas y </w:t>
      </w:r>
      <w:r w:rsidR="00723751" w:rsidRPr="00B81E3F">
        <w:rPr>
          <w:rFonts w:asciiTheme="minorHAnsi" w:hAnsiTheme="minorHAnsi"/>
          <w:sz w:val="22"/>
          <w:szCs w:val="22"/>
          <w:lang w:val="es-ES_tradnl"/>
        </w:rPr>
        <w:t xml:space="preserve">de </w:t>
      </w:r>
      <w:r w:rsidR="004E0F6F" w:rsidRPr="00B81E3F">
        <w:rPr>
          <w:rFonts w:asciiTheme="minorHAnsi" w:hAnsiTheme="minorHAnsi"/>
          <w:sz w:val="22"/>
          <w:szCs w:val="22"/>
          <w:lang w:val="es-ES_tradnl"/>
        </w:rPr>
        <w:t>su vulnerabilidad al calentamiento y a los cambios en el uso del suelo; y</w:t>
      </w:r>
    </w:p>
    <w:p w:rsidR="00041D08" w:rsidRPr="00B81E3F" w:rsidRDefault="00041D08" w:rsidP="00041D08">
      <w:pPr>
        <w:pStyle w:val="Default"/>
        <w:ind w:left="426"/>
        <w:rPr>
          <w:rFonts w:asciiTheme="minorHAnsi" w:hAnsiTheme="minorHAnsi"/>
          <w:sz w:val="22"/>
          <w:szCs w:val="22"/>
          <w:lang w:val="es-ES_tradnl"/>
        </w:rPr>
      </w:pPr>
    </w:p>
    <w:p w:rsidR="00041D08" w:rsidRPr="00B81E3F" w:rsidRDefault="004E0F6F"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 xml:space="preserve">CONSCIENTE de que el IPCC ha completado el </w:t>
      </w:r>
      <w:r w:rsidRPr="00B81E3F">
        <w:rPr>
          <w:rFonts w:asciiTheme="minorHAnsi" w:hAnsiTheme="minorHAnsi"/>
          <w:i/>
          <w:sz w:val="22"/>
          <w:szCs w:val="22"/>
          <w:lang w:val="es-ES_tradnl"/>
        </w:rPr>
        <w:t>Suplemento de 2013 de las Directrices del IPCC de 2006 para los inventarios nacionales de gases de efecto invernadero dedicado a los humedales</w:t>
      </w:r>
      <w:r w:rsidRPr="00B81E3F">
        <w:rPr>
          <w:rFonts w:asciiTheme="minorHAnsi" w:hAnsiTheme="minorHAnsi"/>
          <w:sz w:val="22"/>
          <w:szCs w:val="22"/>
          <w:lang w:val="es-ES_tradnl"/>
        </w:rPr>
        <w:t xml:space="preserve"> y la </w:t>
      </w:r>
      <w:r w:rsidRPr="00B81E3F">
        <w:rPr>
          <w:rFonts w:asciiTheme="minorHAnsi" w:hAnsiTheme="minorHAnsi"/>
          <w:i/>
          <w:sz w:val="22"/>
          <w:szCs w:val="22"/>
          <w:lang w:val="es-ES_tradnl"/>
        </w:rPr>
        <w:t>Versión revisada de 2013 de los Métodos complementarios y orientación sobre las buenas prácticas que emanan del Protocolo de Kyoto</w:t>
      </w:r>
      <w:r w:rsidRPr="00B81E3F">
        <w:rPr>
          <w:rFonts w:asciiTheme="minorHAnsi" w:hAnsiTheme="minorHAnsi"/>
          <w:sz w:val="22"/>
          <w:szCs w:val="22"/>
          <w:lang w:val="es-ES_tradnl"/>
        </w:rPr>
        <w:t>, proporcionando orientaciones detalladas para la presentación de informes y la contabilización de las reducciones de emisiones de gases de efecto invernadero por la rehumidificación de turberas drenadas; y CONSCIENTE ADEMÁS de que el IPCC se refiere a la Convención de Ramsar como un recurso mundial y regional de datos para el desarrollo de un inventario de emisiones de gases de efecto invernadero y reducciones derivadas de humedales y suelos orgánicos;</w:t>
      </w:r>
    </w:p>
    <w:p w:rsidR="00041D08" w:rsidRPr="00B81E3F" w:rsidRDefault="00041D08" w:rsidP="00041D08">
      <w:pPr>
        <w:pStyle w:val="Default"/>
        <w:ind w:left="426"/>
        <w:rPr>
          <w:rFonts w:asciiTheme="minorHAnsi" w:hAnsiTheme="minorHAnsi"/>
          <w:sz w:val="22"/>
          <w:szCs w:val="22"/>
          <w:lang w:val="es-ES_tradnl"/>
        </w:rPr>
      </w:pPr>
    </w:p>
    <w:p w:rsidR="00041D08" w:rsidRPr="00B81E3F" w:rsidRDefault="004E0F6F"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CONSCIENTE de la adopción por parte de la CMNUCC a través de la Decisión 2/CMP.7 de una nueva actividad de “drenaje y rehumidificación de humedales” para un segundo período de compromisos del Protocolo de Kyoto, en virtud del cual las Partes incluidas en el Anexo I del Protocolo de Kyoto pueden contabilizar las reducciones de emisiones antropogénicas de gases de efecto invernadero resultantes de la rehumid</w:t>
      </w:r>
      <w:r w:rsidR="00041D08" w:rsidRPr="00B81E3F">
        <w:rPr>
          <w:rFonts w:asciiTheme="minorHAnsi" w:hAnsiTheme="minorHAnsi"/>
          <w:sz w:val="22"/>
          <w:szCs w:val="22"/>
          <w:lang w:val="es-ES_tradnl"/>
        </w:rPr>
        <w:t>ificación de turberas drenadas;</w:t>
      </w:r>
    </w:p>
    <w:p w:rsidR="00041D08" w:rsidRPr="00B81E3F" w:rsidRDefault="00041D08" w:rsidP="00041D08">
      <w:pPr>
        <w:pStyle w:val="Default"/>
        <w:ind w:left="426"/>
        <w:rPr>
          <w:rFonts w:asciiTheme="minorHAnsi" w:hAnsiTheme="minorHAnsi"/>
          <w:sz w:val="22"/>
          <w:szCs w:val="22"/>
          <w:lang w:val="es-ES_tradnl"/>
        </w:rPr>
      </w:pPr>
    </w:p>
    <w:p w:rsidR="00041D08" w:rsidRPr="00B81E3F" w:rsidRDefault="00D443DC" w:rsidP="00041D08">
      <w:pPr>
        <w:pStyle w:val="Default"/>
        <w:numPr>
          <w:ilvl w:val="0"/>
          <w:numId w:val="21"/>
        </w:numPr>
        <w:ind w:left="426" w:hanging="426"/>
        <w:rPr>
          <w:rFonts w:asciiTheme="minorHAnsi" w:hAnsiTheme="minorHAnsi"/>
          <w:sz w:val="22"/>
          <w:szCs w:val="22"/>
          <w:lang w:val="es-ES_tradnl"/>
        </w:rPr>
      </w:pPr>
      <w:r>
        <w:rPr>
          <w:rFonts w:asciiTheme="minorHAnsi" w:hAnsiTheme="minorHAnsi"/>
          <w:sz w:val="22"/>
          <w:szCs w:val="22"/>
          <w:lang w:val="es-ES_tradnl"/>
        </w:rPr>
        <w:t>OBSERVANDO</w:t>
      </w:r>
      <w:r w:rsidR="004E0F6F" w:rsidRPr="00B81E3F">
        <w:rPr>
          <w:rFonts w:asciiTheme="minorHAnsi" w:hAnsiTheme="minorHAnsi"/>
          <w:sz w:val="22"/>
          <w:szCs w:val="22"/>
          <w:lang w:val="es-ES_tradnl"/>
        </w:rPr>
        <w:t xml:space="preserve"> la Decisión 12CP.17 de la CMNUCC según la cual, en la Reducción de Emisiones por Deforestación y Degradación (REDD+) de los bosques en los países en desarrollo “no deben excluirse los reservorios significativos”, lo que incluye los suelos de turba en bosques pantanosos de turba;</w:t>
      </w:r>
    </w:p>
    <w:p w:rsidR="00041D08" w:rsidRPr="00B81E3F" w:rsidRDefault="00041D08" w:rsidP="00041D08">
      <w:pPr>
        <w:pStyle w:val="Default"/>
        <w:ind w:left="426"/>
        <w:rPr>
          <w:rFonts w:asciiTheme="minorHAnsi" w:hAnsiTheme="minorHAnsi"/>
          <w:sz w:val="22"/>
          <w:szCs w:val="22"/>
          <w:lang w:val="es-ES_tradnl"/>
        </w:rPr>
      </w:pPr>
    </w:p>
    <w:p w:rsidR="00041D08" w:rsidRPr="00B81E3F" w:rsidRDefault="00D443DC" w:rsidP="00041D08">
      <w:pPr>
        <w:pStyle w:val="Default"/>
        <w:numPr>
          <w:ilvl w:val="0"/>
          <w:numId w:val="21"/>
        </w:numPr>
        <w:ind w:left="426" w:hanging="426"/>
        <w:rPr>
          <w:rFonts w:asciiTheme="minorHAnsi" w:hAnsiTheme="minorHAnsi"/>
          <w:sz w:val="22"/>
          <w:szCs w:val="22"/>
          <w:lang w:val="es-ES_tradnl"/>
        </w:rPr>
      </w:pPr>
      <w:r>
        <w:rPr>
          <w:rFonts w:asciiTheme="minorHAnsi" w:hAnsiTheme="minorHAnsi"/>
          <w:sz w:val="22"/>
          <w:szCs w:val="22"/>
          <w:lang w:val="es-ES_tradnl"/>
        </w:rPr>
        <w:t>OBSERVANDO</w:t>
      </w:r>
      <w:r w:rsidR="004E0F6F" w:rsidRPr="00B81E3F">
        <w:rPr>
          <w:rFonts w:asciiTheme="minorHAnsi" w:hAnsiTheme="minorHAnsi"/>
          <w:sz w:val="22"/>
          <w:szCs w:val="22"/>
          <w:lang w:val="es-ES_tradnl"/>
        </w:rPr>
        <w:t xml:space="preserve"> que las emisiones desproporcionadamente grandes procedentes de turberas drenadas requiere una atención especial cuando se incluye al sector de la tierra en “un protocolo, otro instrumento jurídico o una conclusión acordada con fuerza legal en el marco de la Convención que sea aplicable a todas las Partes” (Decisión 1/CP.17 de la CMNUCC), que está desarrollando actualmente la CMNUCC;</w:t>
      </w:r>
    </w:p>
    <w:p w:rsidR="00041D08" w:rsidRPr="00B81E3F" w:rsidRDefault="00041D08" w:rsidP="00041D08">
      <w:pPr>
        <w:pStyle w:val="Default"/>
        <w:ind w:left="426"/>
        <w:rPr>
          <w:rFonts w:asciiTheme="minorHAnsi" w:hAnsiTheme="minorHAnsi"/>
          <w:sz w:val="22"/>
          <w:szCs w:val="22"/>
          <w:lang w:val="es-ES_tradnl"/>
        </w:rPr>
      </w:pPr>
    </w:p>
    <w:p w:rsidR="00041D08" w:rsidRPr="00B81E3F" w:rsidRDefault="004E0F6F"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 xml:space="preserve">CONSCIENTE de que el Estándar Verificado de Carbono ha aprobado la Restauración y Conservación de Humedales (WRC) en el marco del programa Agricultura, Silvicultura y Otros </w:t>
      </w:r>
      <w:r w:rsidRPr="00B81E3F">
        <w:rPr>
          <w:rFonts w:asciiTheme="minorHAnsi" w:hAnsiTheme="minorHAnsi"/>
          <w:sz w:val="22"/>
          <w:szCs w:val="22"/>
          <w:lang w:val="es-ES_tradnl"/>
        </w:rPr>
        <w:lastRenderedPageBreak/>
        <w:t>Usos del Suelo del Estándar Verificado de Carbono (VCS-AFOLU) para acreditar beneficios climáticos derivados de todas las zonas de hum</w:t>
      </w:r>
      <w:r w:rsidR="00041D08" w:rsidRPr="00B81E3F">
        <w:rPr>
          <w:rFonts w:asciiTheme="minorHAnsi" w:hAnsiTheme="minorHAnsi"/>
          <w:sz w:val="22"/>
          <w:szCs w:val="22"/>
          <w:lang w:val="es-ES_tradnl"/>
        </w:rPr>
        <w:t>edales, incluidas las turberas;</w:t>
      </w:r>
    </w:p>
    <w:p w:rsidR="00041D08" w:rsidRPr="00B81E3F" w:rsidRDefault="00041D08" w:rsidP="00041D08">
      <w:pPr>
        <w:pStyle w:val="Default"/>
        <w:ind w:left="426"/>
        <w:rPr>
          <w:rFonts w:asciiTheme="minorHAnsi" w:hAnsiTheme="minorHAnsi"/>
          <w:sz w:val="22"/>
          <w:szCs w:val="22"/>
          <w:lang w:val="es-ES_tradnl"/>
        </w:rPr>
      </w:pPr>
    </w:p>
    <w:p w:rsidR="00041D08" w:rsidRPr="00B81E3F" w:rsidRDefault="00D443DC" w:rsidP="00041D08">
      <w:pPr>
        <w:pStyle w:val="Default"/>
        <w:numPr>
          <w:ilvl w:val="0"/>
          <w:numId w:val="21"/>
        </w:numPr>
        <w:ind w:left="426" w:hanging="426"/>
        <w:rPr>
          <w:rFonts w:asciiTheme="minorHAnsi" w:hAnsiTheme="minorHAnsi"/>
          <w:sz w:val="22"/>
          <w:szCs w:val="22"/>
          <w:lang w:val="es-ES_tradnl"/>
        </w:rPr>
      </w:pPr>
      <w:r>
        <w:rPr>
          <w:rFonts w:asciiTheme="minorHAnsi" w:hAnsiTheme="minorHAnsi"/>
          <w:sz w:val="22"/>
          <w:szCs w:val="22"/>
          <w:lang w:val="es-ES_tradnl"/>
        </w:rPr>
        <w:t>OBSERVANDO</w:t>
      </w:r>
      <w:r w:rsidR="004E0F6F" w:rsidRPr="00B81E3F">
        <w:rPr>
          <w:rFonts w:asciiTheme="minorHAnsi" w:hAnsiTheme="minorHAnsi"/>
          <w:sz w:val="22"/>
          <w:szCs w:val="22"/>
          <w:lang w:val="es-ES_tradnl"/>
        </w:rPr>
        <w:t xml:space="preserve"> ASIMISMO la</w:t>
      </w:r>
      <w:r w:rsidR="00AA6F54" w:rsidRPr="00B81E3F">
        <w:rPr>
          <w:rFonts w:asciiTheme="minorHAnsi" w:hAnsiTheme="minorHAnsi"/>
          <w:sz w:val="22"/>
          <w:szCs w:val="22"/>
          <w:lang w:val="es-ES_tradnl"/>
        </w:rPr>
        <w:t xml:space="preserve"> Decisión X/2 adoptada por el Convenio sobre la Diversidad Biológica (CDB –</w:t>
      </w:r>
      <w:r w:rsidR="004E0F6F" w:rsidRPr="00B81E3F">
        <w:rPr>
          <w:rFonts w:asciiTheme="minorHAnsi" w:hAnsiTheme="minorHAnsi"/>
          <w:sz w:val="22"/>
          <w:szCs w:val="22"/>
          <w:lang w:val="es-ES_tradnl"/>
        </w:rPr>
        <w:t xml:space="preserve"> Meta 15 de Aichi</w:t>
      </w:r>
      <w:r w:rsidR="00AA6F54" w:rsidRPr="00B81E3F">
        <w:rPr>
          <w:rFonts w:asciiTheme="minorHAnsi" w:hAnsiTheme="minorHAnsi"/>
          <w:sz w:val="22"/>
          <w:szCs w:val="22"/>
          <w:lang w:val="es-ES_tradnl"/>
        </w:rPr>
        <w:t xml:space="preserve">): </w:t>
      </w:r>
      <w:r w:rsidR="004E0F6F" w:rsidRPr="00B81E3F">
        <w:rPr>
          <w:rFonts w:asciiTheme="minorHAnsi" w:hAnsiTheme="minorHAnsi"/>
          <w:sz w:val="22"/>
          <w:szCs w:val="22"/>
          <w:lang w:val="es-ES_tradnl"/>
        </w:rPr>
        <w:t>“Para 2020, se habrá incrementado la resiliencia de los ecosistemas y la contribución de la diversidad biológica a las reservas de carbono, mediante la conservación y la restauración, incluida la restauración de por lo menos el 15 por ciento de los ecosistemas degradados, contribuyendo así a la mitigación del cambio climático y a la adaptación a éste, así como a la lucha contra la desertificación”;</w:t>
      </w:r>
    </w:p>
    <w:p w:rsidR="00041D08" w:rsidRPr="00B81E3F" w:rsidRDefault="00041D08" w:rsidP="00041D08">
      <w:pPr>
        <w:pStyle w:val="Default"/>
        <w:ind w:left="426"/>
        <w:rPr>
          <w:rFonts w:asciiTheme="minorHAnsi" w:hAnsiTheme="minorHAnsi"/>
          <w:sz w:val="22"/>
          <w:szCs w:val="22"/>
          <w:lang w:val="es-ES_tradnl"/>
        </w:rPr>
      </w:pPr>
    </w:p>
    <w:p w:rsidR="00041D08" w:rsidRPr="00B81E3F" w:rsidRDefault="004E0F6F"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RECONOCIENDO que el drenaje de turberas puede conducir a una rápida degradación del suelo y a la pérdida de tierras productivas;</w:t>
      </w:r>
    </w:p>
    <w:p w:rsidR="00041D08" w:rsidRPr="00B81E3F" w:rsidRDefault="00041D08" w:rsidP="00041D08">
      <w:pPr>
        <w:pStyle w:val="Default"/>
        <w:ind w:left="426"/>
        <w:rPr>
          <w:rFonts w:asciiTheme="minorHAnsi" w:hAnsiTheme="minorHAnsi"/>
          <w:sz w:val="22"/>
          <w:szCs w:val="22"/>
          <w:lang w:val="es-ES_tradnl"/>
        </w:rPr>
      </w:pPr>
    </w:p>
    <w:p w:rsidR="00041D08" w:rsidRPr="00B81E3F" w:rsidRDefault="004E0F6F"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RECONOCIENDO que las turberas drenadas contribuyen de forma desproporcionada a las emisiones antropogénicas de CO2 a nivel mundial derivadas del uso del suelo y del cambio de uso del suelo y que la rehumidificación de turberas drenadas puede contribuir considerablemente a la reducción de estas emisiones; y CONSCIENTE de que el efecto climático de estas emisiones es independiente del lugar donde se producen las emisiones o las reducciones de emisiones debido a la rápida mezcla de gases en la atmósfera; y</w:t>
      </w:r>
    </w:p>
    <w:p w:rsidR="00041D08" w:rsidRPr="00B81E3F" w:rsidRDefault="00041D08" w:rsidP="00041D08">
      <w:pPr>
        <w:pStyle w:val="Default"/>
        <w:ind w:left="426"/>
        <w:rPr>
          <w:rFonts w:asciiTheme="minorHAnsi" w:hAnsiTheme="minorHAnsi"/>
          <w:sz w:val="22"/>
          <w:szCs w:val="22"/>
          <w:lang w:val="es-ES_tradnl"/>
        </w:rPr>
      </w:pPr>
    </w:p>
    <w:p w:rsidR="00041D08" w:rsidRPr="00B81E3F" w:rsidRDefault="004E0F6F"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 xml:space="preserve">CONSCIENTE ADEMÁS de que el reconocimiento de la “capacidad para regular los climas locales y regionales” de las turberas en el Párrafo 10 de la </w:t>
      </w:r>
      <w:r w:rsidRPr="00B81E3F">
        <w:rPr>
          <w:rFonts w:asciiTheme="minorHAnsi" w:hAnsiTheme="minorHAnsi"/>
          <w:i/>
          <w:sz w:val="22"/>
          <w:szCs w:val="22"/>
          <w:lang w:val="es-ES_tradnl"/>
        </w:rPr>
        <w:t>Orientación adicional para identificar y designar turberas, pastizales húmedos, manglares y arrecifes de coral como Humedales de Importancia Internacional</w:t>
      </w:r>
      <w:r w:rsidRPr="00B81E3F">
        <w:rPr>
          <w:rFonts w:asciiTheme="minorHAnsi" w:hAnsiTheme="minorHAnsi"/>
          <w:sz w:val="22"/>
          <w:szCs w:val="22"/>
          <w:lang w:val="es-ES_tradnl"/>
        </w:rPr>
        <w:t xml:space="preserve"> (Resolución VIII.11), véase también el Párrafo 139 del Manual de Ramsar 17: </w:t>
      </w:r>
      <w:r w:rsidRPr="00B81E3F">
        <w:rPr>
          <w:rFonts w:asciiTheme="minorHAnsi" w:hAnsiTheme="minorHAnsi"/>
          <w:i/>
          <w:sz w:val="22"/>
          <w:szCs w:val="22"/>
          <w:lang w:val="es-ES_tradnl"/>
        </w:rPr>
        <w:t>Designación de sitios Ramsar</w:t>
      </w:r>
      <w:r w:rsidRPr="00B81E3F">
        <w:rPr>
          <w:rFonts w:asciiTheme="minorHAnsi" w:hAnsiTheme="minorHAnsi"/>
          <w:sz w:val="22"/>
          <w:szCs w:val="22"/>
          <w:lang w:val="es-ES_tradnl"/>
        </w:rPr>
        <w:t xml:space="preserve"> (Manuales Ramsar, cuarta edición, 2010) se refiere a la función hidrológica de las turberas húmedas en la regulación del clima local y regional a través del enfriamiento por evapotranspiración</w:t>
      </w:r>
      <w:r w:rsidR="00041D08" w:rsidRPr="00B81E3F">
        <w:rPr>
          <w:rFonts w:asciiTheme="minorHAnsi" w:hAnsiTheme="minorHAnsi"/>
          <w:sz w:val="22"/>
          <w:szCs w:val="22"/>
          <w:lang w:val="es-ES_tradnl"/>
        </w:rPr>
        <w:t>;</w:t>
      </w:r>
    </w:p>
    <w:p w:rsidR="00041D08" w:rsidRPr="00B81E3F" w:rsidRDefault="00041D08" w:rsidP="00041D08">
      <w:pPr>
        <w:pStyle w:val="Default"/>
        <w:ind w:left="426"/>
        <w:rPr>
          <w:rFonts w:asciiTheme="minorHAnsi" w:hAnsiTheme="minorHAnsi"/>
          <w:sz w:val="22"/>
          <w:szCs w:val="22"/>
          <w:lang w:val="es-ES_tradnl"/>
        </w:rPr>
      </w:pPr>
    </w:p>
    <w:p w:rsidR="004E0F6F" w:rsidRPr="00B81E3F" w:rsidRDefault="004E0F6F" w:rsidP="00041D08">
      <w:pPr>
        <w:pStyle w:val="Default"/>
        <w:ind w:left="426"/>
        <w:jc w:val="center"/>
        <w:rPr>
          <w:rFonts w:asciiTheme="minorHAnsi" w:hAnsiTheme="minorHAnsi"/>
          <w:sz w:val="22"/>
          <w:szCs w:val="22"/>
          <w:lang w:val="es-ES_tradnl"/>
        </w:rPr>
      </w:pPr>
      <w:r w:rsidRPr="00B81E3F">
        <w:rPr>
          <w:rFonts w:asciiTheme="minorHAnsi" w:hAnsiTheme="minorHAnsi"/>
          <w:sz w:val="22"/>
          <w:szCs w:val="22"/>
          <w:lang w:val="es-ES_tradnl"/>
        </w:rPr>
        <w:t>LA CONFERENCIA DE LAS PARTES CONTRATANTES</w:t>
      </w:r>
    </w:p>
    <w:p w:rsidR="004E0F6F" w:rsidRPr="00B81E3F" w:rsidRDefault="004E0F6F" w:rsidP="00041D08">
      <w:pPr>
        <w:pStyle w:val="Default"/>
        <w:ind w:left="426"/>
        <w:rPr>
          <w:rFonts w:asciiTheme="minorHAnsi" w:hAnsiTheme="minorHAnsi"/>
          <w:sz w:val="22"/>
          <w:szCs w:val="22"/>
          <w:lang w:val="es-ES_tradnl"/>
        </w:rPr>
      </w:pPr>
    </w:p>
    <w:p w:rsidR="00041D08" w:rsidRPr="00B81E3F" w:rsidRDefault="004E0F6F" w:rsidP="005C4FF9">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RECONOCE los distintos mandatos</w:t>
      </w:r>
      <w:r w:rsidR="00AA6F54" w:rsidRPr="00B81E3F">
        <w:rPr>
          <w:rFonts w:asciiTheme="minorHAnsi" w:hAnsiTheme="minorHAnsi"/>
          <w:sz w:val="22"/>
          <w:szCs w:val="22"/>
          <w:lang w:val="es-ES_tradnl"/>
        </w:rPr>
        <w:t>, principios y disposiciones</w:t>
      </w:r>
      <w:r w:rsidRPr="00B81E3F">
        <w:rPr>
          <w:rFonts w:asciiTheme="minorHAnsi" w:hAnsiTheme="minorHAnsi"/>
          <w:sz w:val="22"/>
          <w:szCs w:val="22"/>
          <w:lang w:val="es-ES_tradnl"/>
        </w:rPr>
        <w:t xml:space="preserve"> y la condición jurídica independiente de las Convenciones y AFIRMA que la CMNUCC y el IPCC son las referencias clave para los términos </w:t>
      </w:r>
      <w:r w:rsidRPr="00B81E3F">
        <w:rPr>
          <w:rFonts w:asciiTheme="minorHAnsi" w:hAnsiTheme="minorHAnsi"/>
          <w:i/>
          <w:sz w:val="22"/>
          <w:szCs w:val="22"/>
          <w:lang w:val="es-ES_tradnl"/>
        </w:rPr>
        <w:t xml:space="preserve">mitigación, adaptación, secuestro de carbono, emisiones de gases de efecto invernadero </w:t>
      </w:r>
      <w:r w:rsidRPr="00B81E3F">
        <w:rPr>
          <w:rFonts w:asciiTheme="minorHAnsi" w:hAnsiTheme="minorHAnsi"/>
          <w:sz w:val="22"/>
          <w:szCs w:val="22"/>
          <w:lang w:val="es-ES_tradnl"/>
        </w:rPr>
        <w:t>y</w:t>
      </w:r>
      <w:r w:rsidRPr="00B81E3F">
        <w:rPr>
          <w:rFonts w:asciiTheme="minorHAnsi" w:hAnsiTheme="minorHAnsi"/>
          <w:i/>
          <w:sz w:val="22"/>
          <w:szCs w:val="22"/>
          <w:lang w:val="es-ES_tradnl"/>
        </w:rPr>
        <w:t xml:space="preserve"> almacenamiento de carbono</w:t>
      </w:r>
      <w:r w:rsidRPr="00B81E3F">
        <w:rPr>
          <w:rFonts w:asciiTheme="minorHAnsi" w:hAnsiTheme="minorHAnsi"/>
          <w:sz w:val="22"/>
          <w:szCs w:val="22"/>
          <w:lang w:val="es-ES_tradnl"/>
        </w:rPr>
        <w:t xml:space="preserve"> que se utilizan en la presente Resolución, ya que s</w:t>
      </w:r>
      <w:r w:rsidR="00AA6F54" w:rsidRPr="00B81E3F">
        <w:rPr>
          <w:rFonts w:asciiTheme="minorHAnsi" w:hAnsiTheme="minorHAnsi"/>
          <w:sz w:val="22"/>
          <w:szCs w:val="22"/>
          <w:lang w:val="es-ES_tradnl"/>
        </w:rPr>
        <w:t>e refieren al cambio climático;</w:t>
      </w:r>
    </w:p>
    <w:p w:rsidR="00041D08" w:rsidRPr="00B81E3F" w:rsidRDefault="00041D08" w:rsidP="00041D08">
      <w:pPr>
        <w:pStyle w:val="Default"/>
        <w:ind w:left="426"/>
        <w:rPr>
          <w:rFonts w:asciiTheme="minorHAnsi" w:hAnsiTheme="minorHAnsi"/>
          <w:sz w:val="22"/>
          <w:szCs w:val="22"/>
          <w:lang w:val="es-ES_tradnl"/>
        </w:rPr>
      </w:pPr>
    </w:p>
    <w:p w:rsidR="00496D65" w:rsidRPr="00B81E3F" w:rsidRDefault="00496D65"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 xml:space="preserve">REAFIRMA </w:t>
      </w:r>
      <w:r w:rsidR="00AA6F54" w:rsidRPr="00B81E3F">
        <w:rPr>
          <w:rFonts w:asciiTheme="minorHAnsi" w:hAnsiTheme="minorHAnsi"/>
          <w:sz w:val="22"/>
          <w:szCs w:val="22"/>
          <w:lang w:val="es-ES_tradnl"/>
        </w:rPr>
        <w:t>el mand</w:t>
      </w:r>
      <w:r w:rsidR="00723751" w:rsidRPr="00B81E3F">
        <w:rPr>
          <w:rFonts w:asciiTheme="minorHAnsi" w:hAnsiTheme="minorHAnsi"/>
          <w:sz w:val="22"/>
          <w:szCs w:val="22"/>
          <w:lang w:val="es-ES_tradnl"/>
        </w:rPr>
        <w:t>ato de la CMNUCC y del IPCC en cuestiones relativas a</w:t>
      </w:r>
      <w:r w:rsidR="00AA6F54" w:rsidRPr="00B81E3F">
        <w:rPr>
          <w:rFonts w:asciiTheme="minorHAnsi" w:hAnsiTheme="minorHAnsi"/>
          <w:sz w:val="22"/>
          <w:szCs w:val="22"/>
          <w:lang w:val="es-ES_tradnl"/>
        </w:rPr>
        <w:t>l cambio climático;</w:t>
      </w:r>
    </w:p>
    <w:p w:rsidR="00496D65" w:rsidRPr="00B81E3F" w:rsidRDefault="00496D65" w:rsidP="00041D08">
      <w:pPr>
        <w:pStyle w:val="Default"/>
        <w:ind w:left="426"/>
        <w:rPr>
          <w:rFonts w:asciiTheme="minorHAnsi" w:hAnsiTheme="minorHAnsi"/>
          <w:sz w:val="22"/>
          <w:szCs w:val="22"/>
          <w:lang w:val="es-ES_tradnl"/>
        </w:rPr>
      </w:pPr>
    </w:p>
    <w:p w:rsidR="00496D65" w:rsidRPr="00B81E3F" w:rsidRDefault="00AA6F54" w:rsidP="005C4FF9">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ALIENTA</w:t>
      </w:r>
      <w:r w:rsidR="004E0F6F" w:rsidRPr="00B81E3F">
        <w:rPr>
          <w:rFonts w:asciiTheme="minorHAnsi" w:hAnsiTheme="minorHAnsi"/>
          <w:sz w:val="22"/>
          <w:szCs w:val="22"/>
          <w:lang w:val="es-ES_tradnl"/>
        </w:rPr>
        <w:t xml:space="preserve"> a las Partes Contratantes</w:t>
      </w:r>
      <w:r w:rsidRPr="00B81E3F">
        <w:rPr>
          <w:rFonts w:asciiTheme="minorHAnsi" w:hAnsiTheme="minorHAnsi"/>
          <w:sz w:val="22"/>
          <w:szCs w:val="22"/>
          <w:lang w:val="es-ES_tradnl"/>
        </w:rPr>
        <w:t>, según proceda,</w:t>
      </w:r>
      <w:r w:rsidR="004E0F6F" w:rsidRPr="00B81E3F">
        <w:rPr>
          <w:rFonts w:asciiTheme="minorHAnsi" w:hAnsiTheme="minorHAnsi"/>
          <w:sz w:val="22"/>
          <w:szCs w:val="22"/>
          <w:lang w:val="es-ES_tradnl"/>
        </w:rPr>
        <w:t xml:space="preserve"> a designar como Humedales de Importancia Internacional al menos una zona de turberas que tenga una especial idoneidad para la comunicación, educación y concienciación del público acerca del impacto climático de las turberas y la necesidad de</w:t>
      </w:r>
      <w:r w:rsidRPr="00B81E3F">
        <w:rPr>
          <w:rFonts w:asciiTheme="minorHAnsi" w:hAnsiTheme="minorHAnsi"/>
          <w:sz w:val="22"/>
          <w:szCs w:val="22"/>
          <w:lang w:val="es-ES_tradnl"/>
        </w:rPr>
        <w:t xml:space="preserve"> </w:t>
      </w:r>
      <w:r w:rsidR="00496D65" w:rsidRPr="00B81E3F">
        <w:rPr>
          <w:rFonts w:asciiTheme="minorHAnsi" w:hAnsiTheme="minorHAnsi"/>
          <w:sz w:val="22"/>
          <w:szCs w:val="22"/>
          <w:lang w:val="es-ES_tradnl"/>
        </w:rPr>
        <w:t>su conservación y uso racional</w:t>
      </w:r>
      <w:r w:rsidR="00041D08" w:rsidRPr="00B81E3F">
        <w:rPr>
          <w:rFonts w:asciiTheme="minorHAnsi" w:hAnsiTheme="minorHAnsi"/>
          <w:sz w:val="22"/>
          <w:szCs w:val="22"/>
          <w:lang w:val="es-ES_tradnl"/>
        </w:rPr>
        <w:t>;</w:t>
      </w:r>
    </w:p>
    <w:p w:rsidR="00041D08" w:rsidRPr="00B81E3F" w:rsidRDefault="00041D08" w:rsidP="00041D08">
      <w:pPr>
        <w:pStyle w:val="Default"/>
        <w:ind w:left="426"/>
        <w:rPr>
          <w:rFonts w:asciiTheme="minorHAnsi" w:hAnsiTheme="minorHAnsi"/>
          <w:sz w:val="22"/>
          <w:szCs w:val="22"/>
          <w:lang w:val="es-ES_tradnl"/>
        </w:rPr>
      </w:pPr>
    </w:p>
    <w:p w:rsidR="005C4FF9" w:rsidRPr="00B81E3F" w:rsidRDefault="004E0F6F" w:rsidP="005C4FF9">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 xml:space="preserve">ALIENTA a las Partes, </w:t>
      </w:r>
      <w:r w:rsidR="00723751" w:rsidRPr="00B81E3F">
        <w:rPr>
          <w:rFonts w:asciiTheme="minorHAnsi" w:hAnsiTheme="minorHAnsi"/>
          <w:sz w:val="22"/>
          <w:szCs w:val="22"/>
          <w:lang w:val="es-ES_tradnl"/>
        </w:rPr>
        <w:t xml:space="preserve">a </w:t>
      </w:r>
      <w:r w:rsidRPr="00B81E3F">
        <w:rPr>
          <w:rFonts w:asciiTheme="minorHAnsi" w:hAnsiTheme="minorHAnsi"/>
          <w:sz w:val="22"/>
          <w:szCs w:val="22"/>
          <w:lang w:val="es-ES_tradnl"/>
        </w:rPr>
        <w:t>la Secretaría y</w:t>
      </w:r>
      <w:r w:rsidR="00723751" w:rsidRPr="00B81E3F">
        <w:rPr>
          <w:rFonts w:asciiTheme="minorHAnsi" w:hAnsiTheme="minorHAnsi"/>
          <w:sz w:val="22"/>
          <w:szCs w:val="22"/>
          <w:lang w:val="es-ES_tradnl"/>
        </w:rPr>
        <w:t xml:space="preserve"> a</w:t>
      </w:r>
      <w:r w:rsidRPr="00B81E3F">
        <w:rPr>
          <w:rFonts w:asciiTheme="minorHAnsi" w:hAnsiTheme="minorHAnsi"/>
          <w:sz w:val="22"/>
          <w:szCs w:val="22"/>
          <w:lang w:val="es-ES_tradnl"/>
        </w:rPr>
        <w:t xml:space="preserve"> otras organizaciones a facilitar el intercambio de información y la cooperación entre estos sitios;</w:t>
      </w:r>
    </w:p>
    <w:p w:rsidR="00041D08" w:rsidRPr="00B81E3F" w:rsidRDefault="00041D08" w:rsidP="00041D08">
      <w:pPr>
        <w:pStyle w:val="Default"/>
        <w:ind w:left="426"/>
        <w:rPr>
          <w:rFonts w:asciiTheme="minorHAnsi" w:hAnsiTheme="minorHAnsi"/>
          <w:sz w:val="22"/>
          <w:szCs w:val="22"/>
          <w:lang w:val="es-ES_tradnl"/>
        </w:rPr>
      </w:pPr>
    </w:p>
    <w:p w:rsidR="005C4FF9" w:rsidRPr="00B81E3F" w:rsidRDefault="004E0F6F" w:rsidP="005C4FF9">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 xml:space="preserve">SOLICITA que el Grupo de Examen Científico y Técnico (GECT), </w:t>
      </w:r>
      <w:r w:rsidR="00AA6F54" w:rsidRPr="00B81E3F">
        <w:rPr>
          <w:rFonts w:asciiTheme="minorHAnsi" w:hAnsiTheme="minorHAnsi"/>
          <w:sz w:val="22"/>
          <w:szCs w:val="22"/>
          <w:lang w:val="es-ES_tradnl"/>
        </w:rPr>
        <w:t>respe</w:t>
      </w:r>
      <w:r w:rsidR="00723751" w:rsidRPr="00B81E3F">
        <w:rPr>
          <w:rFonts w:asciiTheme="minorHAnsi" w:hAnsiTheme="minorHAnsi"/>
          <w:sz w:val="22"/>
          <w:szCs w:val="22"/>
          <w:lang w:val="es-ES_tradnl"/>
        </w:rPr>
        <w:t xml:space="preserve">cto de su plan de trabajo </w:t>
      </w:r>
      <w:r w:rsidR="00AA6F54" w:rsidRPr="00B81E3F">
        <w:rPr>
          <w:rFonts w:asciiTheme="minorHAnsi" w:hAnsiTheme="minorHAnsi"/>
          <w:sz w:val="22"/>
          <w:szCs w:val="22"/>
          <w:lang w:val="es-ES_tradnl"/>
        </w:rPr>
        <w:t xml:space="preserve">relacionado con el Cuarto Plan Estratégico (2016-2021), considere lo siguiente </w:t>
      </w:r>
      <w:r w:rsidRPr="00B81E3F">
        <w:rPr>
          <w:rFonts w:asciiTheme="minorHAnsi" w:hAnsiTheme="minorHAnsi"/>
          <w:sz w:val="22"/>
          <w:szCs w:val="22"/>
          <w:lang w:val="es-ES_tradnl"/>
        </w:rPr>
        <w:t xml:space="preserve">en colaboración con las Partes Contratantes y </w:t>
      </w:r>
      <w:r w:rsidR="00723751" w:rsidRPr="00B81E3F">
        <w:rPr>
          <w:rFonts w:asciiTheme="minorHAnsi" w:hAnsiTheme="minorHAnsi"/>
          <w:sz w:val="22"/>
          <w:szCs w:val="22"/>
          <w:lang w:val="es-ES_tradnl"/>
        </w:rPr>
        <w:t xml:space="preserve">las OIA de Ramsar </w:t>
      </w:r>
      <w:r w:rsidRPr="00B81E3F">
        <w:rPr>
          <w:rFonts w:asciiTheme="minorHAnsi" w:hAnsiTheme="minorHAnsi"/>
          <w:sz w:val="22"/>
          <w:szCs w:val="22"/>
          <w:lang w:val="es-ES_tradnl"/>
        </w:rPr>
        <w:t>interesadas</w:t>
      </w:r>
      <w:r w:rsidR="00AA6F54" w:rsidRPr="00B81E3F">
        <w:rPr>
          <w:rFonts w:asciiTheme="minorHAnsi" w:hAnsiTheme="minorHAnsi"/>
          <w:sz w:val="22"/>
          <w:szCs w:val="22"/>
          <w:lang w:val="es-ES_tradnl"/>
        </w:rPr>
        <w:t>:</w:t>
      </w:r>
      <w:r w:rsidR="005C4FF9" w:rsidRPr="00B81E3F">
        <w:rPr>
          <w:rFonts w:asciiTheme="minorHAnsi" w:hAnsiTheme="minorHAnsi"/>
          <w:sz w:val="22"/>
          <w:szCs w:val="22"/>
          <w:lang w:val="es-ES_tradnl"/>
        </w:rPr>
        <w:t xml:space="preserve"> </w:t>
      </w:r>
    </w:p>
    <w:p w:rsidR="005C4FF9" w:rsidRPr="00B81E3F" w:rsidRDefault="00B81E3F" w:rsidP="00B81E3F">
      <w:pPr>
        <w:pStyle w:val="Default"/>
        <w:numPr>
          <w:ilvl w:val="0"/>
          <w:numId w:val="33"/>
        </w:numPr>
        <w:rPr>
          <w:rFonts w:asciiTheme="minorHAnsi" w:hAnsiTheme="minorHAnsi"/>
          <w:sz w:val="22"/>
          <w:szCs w:val="22"/>
          <w:lang w:val="es-ES_tradnl"/>
        </w:rPr>
      </w:pPr>
      <w:r w:rsidRPr="00B81E3F">
        <w:rPr>
          <w:rFonts w:asciiTheme="minorHAnsi" w:hAnsiTheme="minorHAnsi"/>
          <w:sz w:val="22"/>
          <w:szCs w:val="22"/>
          <w:lang w:val="es-ES_tradnl"/>
        </w:rPr>
        <w:t>desarrollar</w:t>
      </w:r>
      <w:r w:rsidR="005C4FF9" w:rsidRPr="00B81E3F">
        <w:rPr>
          <w:rFonts w:asciiTheme="minorHAnsi" w:hAnsiTheme="minorHAnsi"/>
          <w:sz w:val="22"/>
          <w:szCs w:val="22"/>
          <w:lang w:val="es-ES_tradnl"/>
        </w:rPr>
        <w:t xml:space="preserve"> lineamientos para la designación de dichos</w:t>
      </w:r>
      <w:r w:rsidR="00496D65" w:rsidRPr="00B81E3F">
        <w:rPr>
          <w:rFonts w:asciiTheme="minorHAnsi" w:hAnsiTheme="minorHAnsi"/>
          <w:sz w:val="22"/>
          <w:szCs w:val="22"/>
          <w:lang w:val="es-ES_tradnl"/>
        </w:rPr>
        <w:t xml:space="preserve"> sitios de turberas </w:t>
      </w:r>
      <w:r w:rsidR="005C4FF9" w:rsidRPr="00B81E3F">
        <w:rPr>
          <w:rFonts w:asciiTheme="minorHAnsi" w:hAnsiTheme="minorHAnsi"/>
          <w:sz w:val="22"/>
          <w:szCs w:val="22"/>
          <w:lang w:val="es-ES_tradnl"/>
        </w:rPr>
        <w:t>como Humedale</w:t>
      </w:r>
      <w:r w:rsidRPr="00B81E3F">
        <w:rPr>
          <w:rFonts w:asciiTheme="minorHAnsi" w:hAnsiTheme="minorHAnsi"/>
          <w:sz w:val="22"/>
          <w:szCs w:val="22"/>
          <w:lang w:val="es-ES_tradnl"/>
        </w:rPr>
        <w:t>s de Importancia Internacional,</w:t>
      </w:r>
    </w:p>
    <w:p w:rsidR="005C4FF9" w:rsidRPr="00B81E3F" w:rsidRDefault="00B81E3F" w:rsidP="00B81E3F">
      <w:pPr>
        <w:pStyle w:val="Default"/>
        <w:numPr>
          <w:ilvl w:val="0"/>
          <w:numId w:val="33"/>
        </w:numPr>
        <w:rPr>
          <w:rFonts w:asciiTheme="minorHAnsi" w:hAnsiTheme="minorHAnsi"/>
          <w:sz w:val="22"/>
          <w:szCs w:val="22"/>
          <w:lang w:val="es-ES_tradnl"/>
        </w:rPr>
      </w:pPr>
      <w:r w:rsidRPr="00B81E3F">
        <w:rPr>
          <w:rFonts w:asciiTheme="minorHAnsi" w:hAnsiTheme="minorHAnsi"/>
          <w:sz w:val="22"/>
          <w:szCs w:val="22"/>
          <w:lang w:val="es-ES_tradnl"/>
        </w:rPr>
        <w:lastRenderedPageBreak/>
        <w:t>evaluar</w:t>
      </w:r>
      <w:r w:rsidR="005C4FF9" w:rsidRPr="00B81E3F">
        <w:rPr>
          <w:rFonts w:asciiTheme="minorHAnsi" w:hAnsiTheme="minorHAnsi"/>
          <w:sz w:val="22"/>
          <w:szCs w:val="22"/>
          <w:lang w:val="es-ES_tradnl"/>
        </w:rPr>
        <w:t xml:space="preserve"> los progresos realizados en la aplicación de </w:t>
      </w:r>
      <w:r w:rsidR="00496D65" w:rsidRPr="00B81E3F">
        <w:rPr>
          <w:rFonts w:asciiTheme="minorHAnsi" w:hAnsiTheme="minorHAnsi"/>
          <w:sz w:val="22"/>
          <w:szCs w:val="22"/>
          <w:lang w:val="es-ES_tradnl"/>
        </w:rPr>
        <w:t>los</w:t>
      </w:r>
      <w:r w:rsidR="005C4FF9" w:rsidRPr="00B81E3F">
        <w:rPr>
          <w:rFonts w:asciiTheme="minorHAnsi" w:hAnsiTheme="minorHAnsi"/>
          <w:sz w:val="22"/>
          <w:szCs w:val="22"/>
          <w:lang w:val="es-ES_tradnl"/>
        </w:rPr>
        <w:t xml:space="preserve"> “</w:t>
      </w:r>
      <w:r w:rsidR="00496D65" w:rsidRPr="00B81E3F">
        <w:rPr>
          <w:rFonts w:asciiTheme="minorHAnsi" w:hAnsiTheme="minorHAnsi"/>
          <w:sz w:val="22"/>
          <w:szCs w:val="22"/>
          <w:lang w:val="es-ES_tradnl"/>
        </w:rPr>
        <w:t>Lineamientos</w:t>
      </w:r>
      <w:r w:rsidR="005C4FF9" w:rsidRPr="00B81E3F">
        <w:rPr>
          <w:rFonts w:asciiTheme="minorHAnsi" w:hAnsiTheme="minorHAnsi"/>
          <w:sz w:val="22"/>
          <w:szCs w:val="22"/>
          <w:lang w:val="es-ES_tradnl"/>
        </w:rPr>
        <w:t xml:space="preserve"> para la acción mundial sobre las turberas” y</w:t>
      </w:r>
    </w:p>
    <w:p w:rsidR="005C4FF9" w:rsidRPr="00B81E3F" w:rsidRDefault="00B81E3F" w:rsidP="00B81E3F">
      <w:pPr>
        <w:pStyle w:val="Default"/>
        <w:numPr>
          <w:ilvl w:val="0"/>
          <w:numId w:val="33"/>
        </w:numPr>
        <w:rPr>
          <w:rFonts w:asciiTheme="minorHAnsi" w:hAnsiTheme="minorHAnsi"/>
          <w:sz w:val="22"/>
          <w:szCs w:val="22"/>
          <w:lang w:val="es-ES_tradnl"/>
        </w:rPr>
      </w:pPr>
      <w:r w:rsidRPr="00B81E3F">
        <w:rPr>
          <w:rFonts w:asciiTheme="minorHAnsi" w:hAnsiTheme="minorHAnsi"/>
          <w:sz w:val="22"/>
          <w:szCs w:val="22"/>
          <w:lang w:val="es-ES_tradnl"/>
        </w:rPr>
        <w:t>asesorar</w:t>
      </w:r>
      <w:r w:rsidR="005C4FF9" w:rsidRPr="00B81E3F">
        <w:rPr>
          <w:rFonts w:asciiTheme="minorHAnsi" w:hAnsiTheme="minorHAnsi"/>
          <w:sz w:val="22"/>
          <w:szCs w:val="22"/>
          <w:lang w:val="es-ES_tradnl"/>
        </w:rPr>
        <w:t xml:space="preserve"> a la 13ª reunión de la Conferencia de las Partes sobre las medidas adicionales que deben adoptarse para mejorar la función de la conservación y rehumidificación de las turberas en la mitigación del cambio climático y la adaptación al mismo, incluidas las implicaciones para los recursos hídricos;</w:t>
      </w:r>
    </w:p>
    <w:p w:rsidR="005C4FF9" w:rsidRPr="00B81E3F" w:rsidRDefault="005C4FF9" w:rsidP="00041D08">
      <w:pPr>
        <w:pStyle w:val="Default"/>
        <w:ind w:left="426"/>
        <w:rPr>
          <w:rFonts w:asciiTheme="minorHAnsi" w:hAnsiTheme="minorHAnsi"/>
          <w:sz w:val="22"/>
          <w:szCs w:val="22"/>
          <w:lang w:val="es-ES_tradnl"/>
        </w:rPr>
      </w:pPr>
    </w:p>
    <w:p w:rsidR="004E0F6F" w:rsidRPr="00B81E3F" w:rsidRDefault="004E0F6F"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IN</w:t>
      </w:r>
      <w:r w:rsidR="005C4FF9" w:rsidRPr="00B81E3F">
        <w:rPr>
          <w:rFonts w:asciiTheme="minorHAnsi" w:hAnsiTheme="minorHAnsi"/>
          <w:sz w:val="22"/>
          <w:szCs w:val="22"/>
          <w:lang w:val="es-ES_tradnl"/>
        </w:rPr>
        <w:t>VITA</w:t>
      </w:r>
      <w:r w:rsidRPr="00B81E3F">
        <w:rPr>
          <w:rFonts w:asciiTheme="minorHAnsi" w:hAnsiTheme="minorHAnsi"/>
          <w:sz w:val="22"/>
          <w:szCs w:val="22"/>
          <w:lang w:val="es-ES_tradnl"/>
        </w:rPr>
        <w:t xml:space="preserve"> a los Coordinadores Nacionales del GECT a participar y contribuir a esta labor del GECT a fin de proporcionar perspectivas nacionales y regionales y aportar experiencia a partir de sus redes nacionales de científicos especialistas en turberas y otros expertos; </w:t>
      </w:r>
    </w:p>
    <w:p w:rsidR="004E0F6F" w:rsidRPr="00B81E3F" w:rsidRDefault="004E0F6F" w:rsidP="00041D08">
      <w:pPr>
        <w:pStyle w:val="Default"/>
        <w:ind w:left="426"/>
        <w:rPr>
          <w:rFonts w:asciiTheme="minorHAnsi" w:hAnsiTheme="minorHAnsi"/>
          <w:sz w:val="22"/>
          <w:szCs w:val="22"/>
          <w:lang w:val="es-ES_tradnl"/>
        </w:rPr>
      </w:pPr>
    </w:p>
    <w:p w:rsidR="004E0F6F" w:rsidRPr="00B81E3F" w:rsidRDefault="005C4FF9"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 xml:space="preserve">SOLICITA ADEMÁS que los órganos de </w:t>
      </w:r>
      <w:r w:rsidR="004E0F6F" w:rsidRPr="00B81E3F">
        <w:rPr>
          <w:rFonts w:asciiTheme="minorHAnsi" w:hAnsiTheme="minorHAnsi"/>
          <w:sz w:val="22"/>
          <w:szCs w:val="22"/>
          <w:lang w:val="es-ES_tradnl"/>
        </w:rPr>
        <w:t xml:space="preserve">Ramsar colaboren con las convenciones y organizaciones internacionales pertinentes, </w:t>
      </w:r>
      <w:r w:rsidRPr="00B81E3F">
        <w:rPr>
          <w:rFonts w:asciiTheme="minorHAnsi" w:hAnsiTheme="minorHAnsi"/>
          <w:sz w:val="22"/>
          <w:szCs w:val="22"/>
          <w:lang w:val="es-ES_tradnl"/>
        </w:rPr>
        <w:t xml:space="preserve">incluidos los órganos de la CMNUCC, </w:t>
      </w:r>
      <w:r w:rsidR="004E0F6F" w:rsidRPr="00B81E3F">
        <w:rPr>
          <w:rFonts w:asciiTheme="minorHAnsi" w:hAnsiTheme="minorHAnsi"/>
          <w:sz w:val="22"/>
          <w:szCs w:val="22"/>
          <w:lang w:val="es-ES_tradnl"/>
        </w:rPr>
        <w:t>en el marco de sus respectivos mandatos, para seguir investigando sobre la posible contribución de los ecosistemas de turberas a la mitigación del cambio cli</w:t>
      </w:r>
      <w:r w:rsidRPr="00B81E3F">
        <w:rPr>
          <w:rFonts w:asciiTheme="minorHAnsi" w:hAnsiTheme="minorHAnsi"/>
          <w:sz w:val="22"/>
          <w:szCs w:val="22"/>
          <w:lang w:val="es-ES_tradnl"/>
        </w:rPr>
        <w:t>mático y la adaptación al mismo y para desarrollar</w:t>
      </w:r>
      <w:r w:rsidR="004E0F6F" w:rsidRPr="00B81E3F">
        <w:rPr>
          <w:rFonts w:asciiTheme="minorHAnsi" w:hAnsiTheme="minorHAnsi"/>
          <w:sz w:val="22"/>
          <w:szCs w:val="22"/>
          <w:lang w:val="es-ES_tradnl"/>
        </w:rPr>
        <w:t xml:space="preserve"> </w:t>
      </w:r>
      <w:r w:rsidRPr="00B81E3F">
        <w:rPr>
          <w:rFonts w:asciiTheme="minorHAnsi" w:hAnsiTheme="minorHAnsi"/>
          <w:sz w:val="22"/>
          <w:szCs w:val="22"/>
          <w:lang w:val="es-ES_tradnl"/>
        </w:rPr>
        <w:t>políticas y medidas dirigidas a reducir las emisiones antropogénicas de gases de efecto invernadero de las turberas; e</w:t>
      </w:r>
    </w:p>
    <w:p w:rsidR="004E0F6F" w:rsidRPr="00B81E3F" w:rsidRDefault="004E0F6F" w:rsidP="00041D08">
      <w:pPr>
        <w:pStyle w:val="Default"/>
        <w:ind w:left="426"/>
        <w:rPr>
          <w:rFonts w:asciiTheme="minorHAnsi" w:hAnsiTheme="minorHAnsi"/>
          <w:sz w:val="22"/>
          <w:szCs w:val="22"/>
          <w:lang w:val="es-ES_tradnl"/>
        </w:rPr>
      </w:pPr>
    </w:p>
    <w:p w:rsidR="005E16C2" w:rsidRPr="00B81E3F" w:rsidRDefault="004E0F6F" w:rsidP="00041D08">
      <w:pPr>
        <w:pStyle w:val="Default"/>
        <w:numPr>
          <w:ilvl w:val="0"/>
          <w:numId w:val="21"/>
        </w:numPr>
        <w:ind w:left="426" w:hanging="426"/>
        <w:rPr>
          <w:rFonts w:asciiTheme="minorHAnsi" w:hAnsiTheme="minorHAnsi"/>
          <w:sz w:val="22"/>
          <w:szCs w:val="22"/>
          <w:lang w:val="es-ES_tradnl"/>
        </w:rPr>
      </w:pPr>
      <w:r w:rsidRPr="00B81E3F">
        <w:rPr>
          <w:rFonts w:asciiTheme="minorHAnsi" w:hAnsiTheme="minorHAnsi"/>
          <w:sz w:val="22"/>
          <w:szCs w:val="22"/>
          <w:lang w:val="es-ES_tradnl"/>
        </w:rPr>
        <w:t xml:space="preserve">INVITA a las Autoridades Administrativas de Ramsar a señalar la presente Resolución a la atención de los puntos focales nacionales de otros acuerdos multilaterales sobre </w:t>
      </w:r>
      <w:r w:rsidR="00496D65" w:rsidRPr="00B81E3F">
        <w:rPr>
          <w:rFonts w:asciiTheme="minorHAnsi" w:hAnsiTheme="minorHAnsi"/>
          <w:sz w:val="22"/>
          <w:szCs w:val="22"/>
          <w:lang w:val="es-ES_tradnl"/>
        </w:rPr>
        <w:t xml:space="preserve">el </w:t>
      </w:r>
      <w:r w:rsidRPr="00B81E3F">
        <w:rPr>
          <w:rFonts w:asciiTheme="minorHAnsi" w:hAnsiTheme="minorHAnsi"/>
          <w:sz w:val="22"/>
          <w:szCs w:val="22"/>
          <w:lang w:val="es-ES_tradnl"/>
        </w:rPr>
        <w:t>medio ambiente (AMMA) y ALIENTA a las Partes Contratantes a promover la colaboración entre los puntos focales nacionales de estos AMMA en apoyo de su aplicación.</w:t>
      </w:r>
    </w:p>
    <w:sectPr w:rsidR="005E16C2" w:rsidRPr="00B81E3F" w:rsidSect="001E6F58">
      <w:footerReference w:type="default" r:id="rId8"/>
      <w:pgSz w:w="11906" w:h="16838" w:code="9"/>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B871E" w15:done="0"/>
  <w15:commentEx w15:paraId="40DB5799" w15:done="0"/>
  <w15:commentEx w15:paraId="39BC7049" w15:done="0"/>
  <w15:commentEx w15:paraId="3370D7CE" w15:paraIdParent="39BC7049" w15:done="0"/>
  <w15:commentEx w15:paraId="0D2C62FC" w15:done="0"/>
  <w15:commentEx w15:paraId="04D5740E" w15:paraIdParent="0D2C62FC" w15:done="0"/>
  <w15:commentEx w15:paraId="7ADE1571" w15:done="0"/>
  <w15:commentEx w15:paraId="1888C0BA" w15:paraIdParent="7ADE1571" w15:done="0"/>
  <w15:commentEx w15:paraId="34E97D39" w15:done="0"/>
  <w15:commentEx w15:paraId="03714A16" w15:done="0"/>
  <w15:commentEx w15:paraId="6FC9A9F4" w15:paraIdParent="03714A16" w15:done="0"/>
  <w15:commentEx w15:paraId="177F59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E3F" w:rsidRDefault="00B81E3F" w:rsidP="009030AC">
      <w:pPr>
        <w:spacing w:after="0" w:line="240" w:lineRule="auto"/>
      </w:pPr>
      <w:r>
        <w:separator/>
      </w:r>
    </w:p>
  </w:endnote>
  <w:endnote w:type="continuationSeparator" w:id="0">
    <w:p w:rsidR="00B81E3F" w:rsidRDefault="00B81E3F" w:rsidP="0090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3F" w:rsidRPr="001E6F58" w:rsidRDefault="00B81E3F" w:rsidP="00F00AF7">
    <w:pPr>
      <w:pStyle w:val="Footer"/>
      <w:tabs>
        <w:tab w:val="clear" w:pos="9026"/>
        <w:tab w:val="left" w:pos="1425"/>
        <w:tab w:val="right" w:pos="9072"/>
      </w:tabs>
      <w:rPr>
        <w:sz w:val="20"/>
        <w:szCs w:val="20"/>
      </w:rPr>
    </w:pPr>
    <w:r>
      <w:rPr>
        <w:rFonts w:asciiTheme="minorHAnsi" w:hAnsiTheme="minorHAnsi"/>
        <w:sz w:val="20"/>
        <w:szCs w:val="20"/>
        <w:lang w:val="en-GB"/>
      </w:rPr>
      <w:t>Ramsar COP12 DR11</w:t>
    </w:r>
    <w:r w:rsidRPr="009029C2">
      <w:rPr>
        <w:sz w:val="20"/>
        <w:szCs w:val="20"/>
      </w:rPr>
      <w:tab/>
    </w:r>
    <w:r>
      <w:rPr>
        <w:sz w:val="20"/>
        <w:szCs w:val="20"/>
      </w:rPr>
      <w:tab/>
    </w:r>
    <w:r w:rsidR="00FC110C" w:rsidRPr="009029C2">
      <w:rPr>
        <w:sz w:val="20"/>
        <w:szCs w:val="20"/>
      </w:rPr>
      <w:fldChar w:fldCharType="begin"/>
    </w:r>
    <w:r w:rsidRPr="009029C2">
      <w:rPr>
        <w:sz w:val="20"/>
        <w:szCs w:val="20"/>
      </w:rPr>
      <w:instrText xml:space="preserve"> PAGE   \* MERGEFORMAT </w:instrText>
    </w:r>
    <w:r w:rsidR="00FC110C" w:rsidRPr="009029C2">
      <w:rPr>
        <w:sz w:val="20"/>
        <w:szCs w:val="20"/>
      </w:rPr>
      <w:fldChar w:fldCharType="separate"/>
    </w:r>
    <w:r w:rsidR="008077FF">
      <w:rPr>
        <w:noProof/>
        <w:sz w:val="20"/>
        <w:szCs w:val="20"/>
      </w:rPr>
      <w:t>4</w:t>
    </w:r>
    <w:r w:rsidR="00FC110C" w:rsidRPr="009029C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E3F" w:rsidRDefault="00B81E3F" w:rsidP="009030AC">
      <w:pPr>
        <w:spacing w:after="0" w:line="240" w:lineRule="auto"/>
      </w:pPr>
      <w:r>
        <w:separator/>
      </w:r>
    </w:p>
  </w:footnote>
  <w:footnote w:type="continuationSeparator" w:id="0">
    <w:p w:rsidR="00B81E3F" w:rsidRDefault="00B81E3F" w:rsidP="00903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FFF"/>
    <w:multiLevelType w:val="hybridMultilevel"/>
    <w:tmpl w:val="8132C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4B30E8"/>
    <w:multiLevelType w:val="hybridMultilevel"/>
    <w:tmpl w:val="98B01C18"/>
    <w:lvl w:ilvl="0" w:tplc="986282AC">
      <w:start w:val="25"/>
      <w:numFmt w:val="bullet"/>
      <w:lvlText w:val="-"/>
      <w:lvlJc w:val="left"/>
      <w:pPr>
        <w:ind w:left="1065" w:hanging="705"/>
      </w:pPr>
      <w:rPr>
        <w:rFonts w:ascii="Garamond" w:eastAsia="Calibri" w:hAnsi="Garamond" w:cs="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7C259C"/>
    <w:multiLevelType w:val="hybridMultilevel"/>
    <w:tmpl w:val="191EFF80"/>
    <w:lvl w:ilvl="0" w:tplc="A5C02F1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412DF"/>
    <w:multiLevelType w:val="hybridMultilevel"/>
    <w:tmpl w:val="8F5AE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AE7DBF"/>
    <w:multiLevelType w:val="multilevel"/>
    <w:tmpl w:val="AD9E00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0D368B"/>
    <w:multiLevelType w:val="hybridMultilevel"/>
    <w:tmpl w:val="7820CAD8"/>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E0343D"/>
    <w:multiLevelType w:val="hybridMultilevel"/>
    <w:tmpl w:val="7DD005A2"/>
    <w:lvl w:ilvl="0" w:tplc="730032D4">
      <w:numFmt w:val="bullet"/>
      <w:lvlText w:val="-"/>
      <w:lvlJc w:val="left"/>
      <w:pPr>
        <w:ind w:left="720" w:hanging="360"/>
      </w:pPr>
      <w:rPr>
        <w:rFonts w:ascii="Calibri" w:eastAsia="Calibri" w:hAnsi="Calibri" w:cs="Garamond" w:hint="default"/>
      </w:rPr>
    </w:lvl>
    <w:lvl w:ilvl="1" w:tplc="0C0A0003" w:tentative="1">
      <w:start w:val="1"/>
      <w:numFmt w:val="bullet"/>
      <w:lvlText w:val="o"/>
      <w:lvlJc w:val="left"/>
      <w:pPr>
        <w:ind w:left="1374" w:hanging="360"/>
      </w:pPr>
      <w:rPr>
        <w:rFonts w:ascii="Courier New" w:hAnsi="Courier New" w:hint="default"/>
      </w:rPr>
    </w:lvl>
    <w:lvl w:ilvl="2" w:tplc="0C0A0005" w:tentative="1">
      <w:start w:val="1"/>
      <w:numFmt w:val="bullet"/>
      <w:lvlText w:val=""/>
      <w:lvlJc w:val="left"/>
      <w:pPr>
        <w:ind w:left="2094" w:hanging="360"/>
      </w:pPr>
      <w:rPr>
        <w:rFonts w:ascii="Wingdings" w:hAnsi="Wingdings" w:hint="default"/>
      </w:rPr>
    </w:lvl>
    <w:lvl w:ilvl="3" w:tplc="0C0A0001" w:tentative="1">
      <w:start w:val="1"/>
      <w:numFmt w:val="bullet"/>
      <w:lvlText w:val=""/>
      <w:lvlJc w:val="left"/>
      <w:pPr>
        <w:ind w:left="2814" w:hanging="360"/>
      </w:pPr>
      <w:rPr>
        <w:rFonts w:ascii="Symbol" w:hAnsi="Symbol" w:hint="default"/>
      </w:rPr>
    </w:lvl>
    <w:lvl w:ilvl="4" w:tplc="0C0A0003" w:tentative="1">
      <w:start w:val="1"/>
      <w:numFmt w:val="bullet"/>
      <w:lvlText w:val="o"/>
      <w:lvlJc w:val="left"/>
      <w:pPr>
        <w:ind w:left="3534" w:hanging="360"/>
      </w:pPr>
      <w:rPr>
        <w:rFonts w:ascii="Courier New" w:hAnsi="Courier New" w:hint="default"/>
      </w:rPr>
    </w:lvl>
    <w:lvl w:ilvl="5" w:tplc="0C0A0005" w:tentative="1">
      <w:start w:val="1"/>
      <w:numFmt w:val="bullet"/>
      <w:lvlText w:val=""/>
      <w:lvlJc w:val="left"/>
      <w:pPr>
        <w:ind w:left="4254" w:hanging="360"/>
      </w:pPr>
      <w:rPr>
        <w:rFonts w:ascii="Wingdings" w:hAnsi="Wingdings" w:hint="default"/>
      </w:rPr>
    </w:lvl>
    <w:lvl w:ilvl="6" w:tplc="0C0A0001" w:tentative="1">
      <w:start w:val="1"/>
      <w:numFmt w:val="bullet"/>
      <w:lvlText w:val=""/>
      <w:lvlJc w:val="left"/>
      <w:pPr>
        <w:ind w:left="4974" w:hanging="360"/>
      </w:pPr>
      <w:rPr>
        <w:rFonts w:ascii="Symbol" w:hAnsi="Symbol" w:hint="default"/>
      </w:rPr>
    </w:lvl>
    <w:lvl w:ilvl="7" w:tplc="0C0A0003" w:tentative="1">
      <w:start w:val="1"/>
      <w:numFmt w:val="bullet"/>
      <w:lvlText w:val="o"/>
      <w:lvlJc w:val="left"/>
      <w:pPr>
        <w:ind w:left="5694" w:hanging="360"/>
      </w:pPr>
      <w:rPr>
        <w:rFonts w:ascii="Courier New" w:hAnsi="Courier New" w:hint="default"/>
      </w:rPr>
    </w:lvl>
    <w:lvl w:ilvl="8" w:tplc="0C0A0005" w:tentative="1">
      <w:start w:val="1"/>
      <w:numFmt w:val="bullet"/>
      <w:lvlText w:val=""/>
      <w:lvlJc w:val="left"/>
      <w:pPr>
        <w:ind w:left="6414" w:hanging="360"/>
      </w:pPr>
      <w:rPr>
        <w:rFonts w:ascii="Wingdings" w:hAnsi="Wingdings" w:hint="default"/>
      </w:rPr>
    </w:lvl>
  </w:abstractNum>
  <w:abstractNum w:abstractNumId="7">
    <w:nsid w:val="24F6215D"/>
    <w:multiLevelType w:val="hybridMultilevel"/>
    <w:tmpl w:val="48E03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0C5E11"/>
    <w:multiLevelType w:val="hybridMultilevel"/>
    <w:tmpl w:val="5D04B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9140FB7"/>
    <w:multiLevelType w:val="multilevel"/>
    <w:tmpl w:val="3FB8D32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E22F95"/>
    <w:multiLevelType w:val="hybridMultilevel"/>
    <w:tmpl w:val="0F54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6657B0"/>
    <w:multiLevelType w:val="multilevel"/>
    <w:tmpl w:val="2E829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4525A"/>
    <w:multiLevelType w:val="multilevel"/>
    <w:tmpl w:val="C256D1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5D0AFA"/>
    <w:multiLevelType w:val="hybridMultilevel"/>
    <w:tmpl w:val="909AE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5F4748D"/>
    <w:multiLevelType w:val="hybridMultilevel"/>
    <w:tmpl w:val="0832CD98"/>
    <w:lvl w:ilvl="0" w:tplc="DB061DA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60CF0"/>
    <w:multiLevelType w:val="hybridMultilevel"/>
    <w:tmpl w:val="3078F518"/>
    <w:lvl w:ilvl="0" w:tplc="BF8C106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563E4"/>
    <w:multiLevelType w:val="multilevel"/>
    <w:tmpl w:val="67244406"/>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FE1417A"/>
    <w:multiLevelType w:val="hybridMultilevel"/>
    <w:tmpl w:val="471A2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7B04340"/>
    <w:multiLevelType w:val="hybridMultilevel"/>
    <w:tmpl w:val="49E42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A5D678A"/>
    <w:multiLevelType w:val="hybridMultilevel"/>
    <w:tmpl w:val="B8D8E6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B436AFC"/>
    <w:multiLevelType w:val="hybridMultilevel"/>
    <w:tmpl w:val="4840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D5396"/>
    <w:multiLevelType w:val="hybridMultilevel"/>
    <w:tmpl w:val="C0AAE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2064A67"/>
    <w:multiLevelType w:val="hybridMultilevel"/>
    <w:tmpl w:val="39A4C3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72307F8"/>
    <w:multiLevelType w:val="hybridMultilevel"/>
    <w:tmpl w:val="2E62C5CA"/>
    <w:lvl w:ilvl="0" w:tplc="B6B831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68E01559"/>
    <w:multiLevelType w:val="multilevel"/>
    <w:tmpl w:val="3FB8D32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7">
    <w:nsid w:val="72765B86"/>
    <w:multiLevelType w:val="hybridMultilevel"/>
    <w:tmpl w:val="B7BE9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65E5705"/>
    <w:multiLevelType w:val="hybridMultilevel"/>
    <w:tmpl w:val="C5863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89E220E"/>
    <w:multiLevelType w:val="hybridMultilevel"/>
    <w:tmpl w:val="7A6C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8F50ED5"/>
    <w:multiLevelType w:val="hybridMultilevel"/>
    <w:tmpl w:val="69BA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A76555A"/>
    <w:multiLevelType w:val="hybridMultilevel"/>
    <w:tmpl w:val="67244406"/>
    <w:lvl w:ilvl="0" w:tplc="53BEF7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70C4A"/>
    <w:multiLevelType w:val="hybridMultilevel"/>
    <w:tmpl w:val="E1122BD4"/>
    <w:lvl w:ilvl="0" w:tplc="041AD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18"/>
  </w:num>
  <w:num w:numId="4">
    <w:abstractNumId w:val="28"/>
  </w:num>
  <w:num w:numId="5">
    <w:abstractNumId w:val="7"/>
  </w:num>
  <w:num w:numId="6">
    <w:abstractNumId w:val="29"/>
  </w:num>
  <w:num w:numId="7">
    <w:abstractNumId w:val="1"/>
  </w:num>
  <w:num w:numId="8">
    <w:abstractNumId w:val="5"/>
  </w:num>
  <w:num w:numId="9">
    <w:abstractNumId w:val="0"/>
  </w:num>
  <w:num w:numId="10">
    <w:abstractNumId w:val="30"/>
  </w:num>
  <w:num w:numId="11">
    <w:abstractNumId w:val="20"/>
  </w:num>
  <w:num w:numId="12">
    <w:abstractNumId w:val="22"/>
  </w:num>
  <w:num w:numId="13">
    <w:abstractNumId w:val="19"/>
  </w:num>
  <w:num w:numId="14">
    <w:abstractNumId w:val="3"/>
  </w:num>
  <w:num w:numId="15">
    <w:abstractNumId w:val="8"/>
  </w:num>
  <w:num w:numId="16">
    <w:abstractNumId w:val="23"/>
  </w:num>
  <w:num w:numId="17">
    <w:abstractNumId w:val="24"/>
  </w:num>
  <w:num w:numId="18">
    <w:abstractNumId w:val="14"/>
  </w:num>
  <w:num w:numId="19">
    <w:abstractNumId w:val="12"/>
  </w:num>
  <w:num w:numId="20">
    <w:abstractNumId w:val="21"/>
  </w:num>
  <w:num w:numId="21">
    <w:abstractNumId w:val="32"/>
  </w:num>
  <w:num w:numId="22">
    <w:abstractNumId w:val="31"/>
  </w:num>
  <w:num w:numId="23">
    <w:abstractNumId w:val="16"/>
  </w:num>
  <w:num w:numId="24">
    <w:abstractNumId w:val="15"/>
  </w:num>
  <w:num w:numId="25">
    <w:abstractNumId w:val="2"/>
  </w:num>
  <w:num w:numId="26">
    <w:abstractNumId w:val="26"/>
  </w:num>
  <w:num w:numId="27">
    <w:abstractNumId w:val="4"/>
  </w:num>
  <w:num w:numId="28">
    <w:abstractNumId w:val="25"/>
  </w:num>
  <w:num w:numId="29">
    <w:abstractNumId w:val="13"/>
  </w:num>
  <w:num w:numId="30">
    <w:abstractNumId w:val="11"/>
  </w:num>
  <w:num w:numId="31">
    <w:abstractNumId w:val="17"/>
  </w:num>
  <w:num w:numId="32">
    <w:abstractNumId w:val="9"/>
  </w:num>
  <w:num w:numId="3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ebastian">
    <w15:presenceInfo w15:providerId="Windows Live" w15:userId="3be68e00b839f2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oNotTrackFormatting/>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E14A9"/>
    <w:rsid w:val="000003E5"/>
    <w:rsid w:val="00001785"/>
    <w:rsid w:val="00026C77"/>
    <w:rsid w:val="00041D08"/>
    <w:rsid w:val="00043EA3"/>
    <w:rsid w:val="0004775C"/>
    <w:rsid w:val="00047CFC"/>
    <w:rsid w:val="00050235"/>
    <w:rsid w:val="000526DC"/>
    <w:rsid w:val="0005378A"/>
    <w:rsid w:val="0008493A"/>
    <w:rsid w:val="000901B1"/>
    <w:rsid w:val="00091BCD"/>
    <w:rsid w:val="000A4A28"/>
    <w:rsid w:val="000B08A6"/>
    <w:rsid w:val="000C4A2D"/>
    <w:rsid w:val="000D13FD"/>
    <w:rsid w:val="000D3A8E"/>
    <w:rsid w:val="000D53D7"/>
    <w:rsid w:val="000E346F"/>
    <w:rsid w:val="000F2301"/>
    <w:rsid w:val="000F3D19"/>
    <w:rsid w:val="00111D43"/>
    <w:rsid w:val="00135BD4"/>
    <w:rsid w:val="00136F16"/>
    <w:rsid w:val="00141C22"/>
    <w:rsid w:val="00150659"/>
    <w:rsid w:val="00152AB8"/>
    <w:rsid w:val="00183703"/>
    <w:rsid w:val="00186F1F"/>
    <w:rsid w:val="001A23F8"/>
    <w:rsid w:val="001A24B5"/>
    <w:rsid w:val="001A4232"/>
    <w:rsid w:val="001B672C"/>
    <w:rsid w:val="001C7FFC"/>
    <w:rsid w:val="001D0216"/>
    <w:rsid w:val="001E1E00"/>
    <w:rsid w:val="001E5390"/>
    <w:rsid w:val="001E6F58"/>
    <w:rsid w:val="0021710E"/>
    <w:rsid w:val="00230541"/>
    <w:rsid w:val="00232E4B"/>
    <w:rsid w:val="00233E24"/>
    <w:rsid w:val="002358E2"/>
    <w:rsid w:val="00256372"/>
    <w:rsid w:val="00264D6B"/>
    <w:rsid w:val="00294990"/>
    <w:rsid w:val="002A0CE5"/>
    <w:rsid w:val="002A15C4"/>
    <w:rsid w:val="002C1E99"/>
    <w:rsid w:val="002D08C9"/>
    <w:rsid w:val="002D10C2"/>
    <w:rsid w:val="002D4A17"/>
    <w:rsid w:val="002F1245"/>
    <w:rsid w:val="00302F61"/>
    <w:rsid w:val="003030C7"/>
    <w:rsid w:val="00305420"/>
    <w:rsid w:val="00313CA1"/>
    <w:rsid w:val="003338CD"/>
    <w:rsid w:val="00340FA6"/>
    <w:rsid w:val="0034454A"/>
    <w:rsid w:val="00367F1E"/>
    <w:rsid w:val="0037773A"/>
    <w:rsid w:val="00382119"/>
    <w:rsid w:val="00392601"/>
    <w:rsid w:val="00395146"/>
    <w:rsid w:val="003A1EF4"/>
    <w:rsid w:val="003A559F"/>
    <w:rsid w:val="003C1274"/>
    <w:rsid w:val="003C36CB"/>
    <w:rsid w:val="003C3807"/>
    <w:rsid w:val="003E1E01"/>
    <w:rsid w:val="003F68E9"/>
    <w:rsid w:val="00403AFC"/>
    <w:rsid w:val="004078CC"/>
    <w:rsid w:val="00412A4A"/>
    <w:rsid w:val="004201A9"/>
    <w:rsid w:val="00436781"/>
    <w:rsid w:val="00436F63"/>
    <w:rsid w:val="004417F0"/>
    <w:rsid w:val="004459B9"/>
    <w:rsid w:val="004513B9"/>
    <w:rsid w:val="00455480"/>
    <w:rsid w:val="00466DE5"/>
    <w:rsid w:val="0047098A"/>
    <w:rsid w:val="00487463"/>
    <w:rsid w:val="00496D65"/>
    <w:rsid w:val="004B2379"/>
    <w:rsid w:val="004B463D"/>
    <w:rsid w:val="004C30E0"/>
    <w:rsid w:val="004C3D52"/>
    <w:rsid w:val="004C5A69"/>
    <w:rsid w:val="004D3199"/>
    <w:rsid w:val="004D3697"/>
    <w:rsid w:val="004E08D1"/>
    <w:rsid w:val="004E0F6F"/>
    <w:rsid w:val="004E14A9"/>
    <w:rsid w:val="004E5D40"/>
    <w:rsid w:val="004F0C81"/>
    <w:rsid w:val="004F0F15"/>
    <w:rsid w:val="004F3EEA"/>
    <w:rsid w:val="00502C36"/>
    <w:rsid w:val="00506108"/>
    <w:rsid w:val="00511CBA"/>
    <w:rsid w:val="00516E51"/>
    <w:rsid w:val="00523785"/>
    <w:rsid w:val="00534A83"/>
    <w:rsid w:val="005401DE"/>
    <w:rsid w:val="00542562"/>
    <w:rsid w:val="00542E08"/>
    <w:rsid w:val="005571B1"/>
    <w:rsid w:val="005838F3"/>
    <w:rsid w:val="00594904"/>
    <w:rsid w:val="005A53AB"/>
    <w:rsid w:val="005B045B"/>
    <w:rsid w:val="005B2C6C"/>
    <w:rsid w:val="005B787F"/>
    <w:rsid w:val="005C12FA"/>
    <w:rsid w:val="005C4FF9"/>
    <w:rsid w:val="005D28F2"/>
    <w:rsid w:val="005D31A1"/>
    <w:rsid w:val="005D3A7F"/>
    <w:rsid w:val="005D6AE6"/>
    <w:rsid w:val="005E16C2"/>
    <w:rsid w:val="005E1CA5"/>
    <w:rsid w:val="005F60B0"/>
    <w:rsid w:val="0060400B"/>
    <w:rsid w:val="0060581F"/>
    <w:rsid w:val="00611FE7"/>
    <w:rsid w:val="00635F20"/>
    <w:rsid w:val="00647CA0"/>
    <w:rsid w:val="006843F5"/>
    <w:rsid w:val="0068508F"/>
    <w:rsid w:val="006A08EA"/>
    <w:rsid w:val="006B27EE"/>
    <w:rsid w:val="006B5260"/>
    <w:rsid w:val="006B5A3A"/>
    <w:rsid w:val="006D409F"/>
    <w:rsid w:val="006D5509"/>
    <w:rsid w:val="006E0A8D"/>
    <w:rsid w:val="006E601C"/>
    <w:rsid w:val="006F2601"/>
    <w:rsid w:val="006F2D48"/>
    <w:rsid w:val="006F388C"/>
    <w:rsid w:val="00704A14"/>
    <w:rsid w:val="0071295F"/>
    <w:rsid w:val="00723751"/>
    <w:rsid w:val="00734EB9"/>
    <w:rsid w:val="00744939"/>
    <w:rsid w:val="007522BD"/>
    <w:rsid w:val="00756021"/>
    <w:rsid w:val="0076687E"/>
    <w:rsid w:val="007807DC"/>
    <w:rsid w:val="007905B7"/>
    <w:rsid w:val="007A0261"/>
    <w:rsid w:val="007A4679"/>
    <w:rsid w:val="007C1E59"/>
    <w:rsid w:val="007D2D3E"/>
    <w:rsid w:val="007E383B"/>
    <w:rsid w:val="007E7041"/>
    <w:rsid w:val="007F0A39"/>
    <w:rsid w:val="007F366C"/>
    <w:rsid w:val="00804D60"/>
    <w:rsid w:val="00806212"/>
    <w:rsid w:val="008077FF"/>
    <w:rsid w:val="00812DFB"/>
    <w:rsid w:val="0082335D"/>
    <w:rsid w:val="008248E7"/>
    <w:rsid w:val="0083460E"/>
    <w:rsid w:val="008522ED"/>
    <w:rsid w:val="0086342E"/>
    <w:rsid w:val="0086357C"/>
    <w:rsid w:val="008756FE"/>
    <w:rsid w:val="00880614"/>
    <w:rsid w:val="0088304D"/>
    <w:rsid w:val="008A48B1"/>
    <w:rsid w:val="008A6323"/>
    <w:rsid w:val="008B05DC"/>
    <w:rsid w:val="008C01EE"/>
    <w:rsid w:val="008C49A8"/>
    <w:rsid w:val="008E334C"/>
    <w:rsid w:val="008E46A9"/>
    <w:rsid w:val="008E4C4F"/>
    <w:rsid w:val="008F7D41"/>
    <w:rsid w:val="00901A45"/>
    <w:rsid w:val="009030AC"/>
    <w:rsid w:val="00910A6D"/>
    <w:rsid w:val="00914678"/>
    <w:rsid w:val="00916580"/>
    <w:rsid w:val="00920CE8"/>
    <w:rsid w:val="009332AF"/>
    <w:rsid w:val="00933BF5"/>
    <w:rsid w:val="00940321"/>
    <w:rsid w:val="00940FE1"/>
    <w:rsid w:val="00946F64"/>
    <w:rsid w:val="00956CAB"/>
    <w:rsid w:val="00975209"/>
    <w:rsid w:val="00995895"/>
    <w:rsid w:val="009A30D8"/>
    <w:rsid w:val="009A6D9D"/>
    <w:rsid w:val="009B07DF"/>
    <w:rsid w:val="009E771F"/>
    <w:rsid w:val="009F6BDD"/>
    <w:rsid w:val="00A013A6"/>
    <w:rsid w:val="00A15601"/>
    <w:rsid w:val="00A21A08"/>
    <w:rsid w:val="00A22892"/>
    <w:rsid w:val="00A30A2F"/>
    <w:rsid w:val="00A31A3C"/>
    <w:rsid w:val="00A32194"/>
    <w:rsid w:val="00A55A5F"/>
    <w:rsid w:val="00A72002"/>
    <w:rsid w:val="00A84722"/>
    <w:rsid w:val="00A93505"/>
    <w:rsid w:val="00AA5123"/>
    <w:rsid w:val="00AA6F54"/>
    <w:rsid w:val="00AB142D"/>
    <w:rsid w:val="00AB1609"/>
    <w:rsid w:val="00AB301C"/>
    <w:rsid w:val="00AD7449"/>
    <w:rsid w:val="00AD7657"/>
    <w:rsid w:val="00B05DE0"/>
    <w:rsid w:val="00B3071F"/>
    <w:rsid w:val="00B36048"/>
    <w:rsid w:val="00B4715B"/>
    <w:rsid w:val="00B60A0A"/>
    <w:rsid w:val="00B77EFB"/>
    <w:rsid w:val="00B81E3F"/>
    <w:rsid w:val="00B82C0E"/>
    <w:rsid w:val="00B832EC"/>
    <w:rsid w:val="00B868A6"/>
    <w:rsid w:val="00B93541"/>
    <w:rsid w:val="00BC53F4"/>
    <w:rsid w:val="00BC5753"/>
    <w:rsid w:val="00BD2249"/>
    <w:rsid w:val="00C03CA8"/>
    <w:rsid w:val="00C126BD"/>
    <w:rsid w:val="00C17349"/>
    <w:rsid w:val="00C4747A"/>
    <w:rsid w:val="00C53EA3"/>
    <w:rsid w:val="00C576AC"/>
    <w:rsid w:val="00C6786E"/>
    <w:rsid w:val="00C907C0"/>
    <w:rsid w:val="00C9461F"/>
    <w:rsid w:val="00C96370"/>
    <w:rsid w:val="00C974B7"/>
    <w:rsid w:val="00CA5C16"/>
    <w:rsid w:val="00CD48A9"/>
    <w:rsid w:val="00CD76CA"/>
    <w:rsid w:val="00CE15AE"/>
    <w:rsid w:val="00CE6E81"/>
    <w:rsid w:val="00CF1914"/>
    <w:rsid w:val="00D0451D"/>
    <w:rsid w:val="00D13CF6"/>
    <w:rsid w:val="00D27107"/>
    <w:rsid w:val="00D33819"/>
    <w:rsid w:val="00D35752"/>
    <w:rsid w:val="00D42982"/>
    <w:rsid w:val="00D443DC"/>
    <w:rsid w:val="00D578D9"/>
    <w:rsid w:val="00D626C2"/>
    <w:rsid w:val="00D66AD5"/>
    <w:rsid w:val="00D80B01"/>
    <w:rsid w:val="00D83653"/>
    <w:rsid w:val="00D83D8F"/>
    <w:rsid w:val="00D8693D"/>
    <w:rsid w:val="00DA3BE9"/>
    <w:rsid w:val="00DA7531"/>
    <w:rsid w:val="00DB216B"/>
    <w:rsid w:val="00DB5453"/>
    <w:rsid w:val="00DC56D4"/>
    <w:rsid w:val="00DD63BC"/>
    <w:rsid w:val="00DE6C25"/>
    <w:rsid w:val="00DE6DDF"/>
    <w:rsid w:val="00DF7B1D"/>
    <w:rsid w:val="00E13934"/>
    <w:rsid w:val="00E13F53"/>
    <w:rsid w:val="00E16DE7"/>
    <w:rsid w:val="00E37F4E"/>
    <w:rsid w:val="00E50CEF"/>
    <w:rsid w:val="00E520B2"/>
    <w:rsid w:val="00E5351E"/>
    <w:rsid w:val="00E822C3"/>
    <w:rsid w:val="00E83270"/>
    <w:rsid w:val="00E93AB6"/>
    <w:rsid w:val="00E94BCB"/>
    <w:rsid w:val="00EA1663"/>
    <w:rsid w:val="00EA738B"/>
    <w:rsid w:val="00EB513E"/>
    <w:rsid w:val="00EC7EA4"/>
    <w:rsid w:val="00ED165D"/>
    <w:rsid w:val="00ED247D"/>
    <w:rsid w:val="00ED58CB"/>
    <w:rsid w:val="00EE3A36"/>
    <w:rsid w:val="00EE5FCE"/>
    <w:rsid w:val="00EE64C9"/>
    <w:rsid w:val="00EE6D8A"/>
    <w:rsid w:val="00EE7395"/>
    <w:rsid w:val="00EE7A7C"/>
    <w:rsid w:val="00EF0176"/>
    <w:rsid w:val="00F00AF7"/>
    <w:rsid w:val="00F07F5A"/>
    <w:rsid w:val="00F15E97"/>
    <w:rsid w:val="00F16208"/>
    <w:rsid w:val="00F2471B"/>
    <w:rsid w:val="00F2675A"/>
    <w:rsid w:val="00F27B38"/>
    <w:rsid w:val="00F468DF"/>
    <w:rsid w:val="00F46ACC"/>
    <w:rsid w:val="00F53FD9"/>
    <w:rsid w:val="00F54303"/>
    <w:rsid w:val="00F5575D"/>
    <w:rsid w:val="00F56729"/>
    <w:rsid w:val="00F61E05"/>
    <w:rsid w:val="00F65971"/>
    <w:rsid w:val="00F7060B"/>
    <w:rsid w:val="00F72C60"/>
    <w:rsid w:val="00F906CC"/>
    <w:rsid w:val="00F93390"/>
    <w:rsid w:val="00FA0D5B"/>
    <w:rsid w:val="00FA4B66"/>
    <w:rsid w:val="00FB15B7"/>
    <w:rsid w:val="00FC110C"/>
    <w:rsid w:val="00FC1DE7"/>
    <w:rsid w:val="00FC2F84"/>
    <w:rsid w:val="00FD70B0"/>
    <w:rsid w:val="00FE0281"/>
    <w:rsid w:val="00FF21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EndnoteTextChar"/>
    <w:uiPriority w:val="99"/>
    <w:semiHidden/>
    <w:unhideWhenUsed/>
    <w:rsid w:val="00264D6B"/>
    <w:pPr>
      <w:spacing w:after="0" w:line="240" w:lineRule="auto"/>
    </w:pPr>
    <w:rPr>
      <w:sz w:val="20"/>
      <w:szCs w:val="20"/>
    </w:rPr>
  </w:style>
  <w:style w:type="character" w:customStyle="1" w:styleId="EndnoteTextChar">
    <w:name w:val="Endnote Text Char"/>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otnoteTextChar"/>
    <w:uiPriority w:val="99"/>
    <w:unhideWhenUsed/>
    <w:rsid w:val="00264D6B"/>
    <w:pPr>
      <w:spacing w:after="0" w:line="240" w:lineRule="auto"/>
    </w:pPr>
    <w:rPr>
      <w:sz w:val="20"/>
      <w:szCs w:val="20"/>
    </w:rPr>
  </w:style>
  <w:style w:type="character" w:customStyle="1" w:styleId="FootnoteTextChar">
    <w:name w:val="Footnote Text Char"/>
    <w:link w:val="FootnoteText"/>
    <w:uiPriority w:val="99"/>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CommentTextChar"/>
    <w:uiPriority w:val="99"/>
    <w:semiHidden/>
    <w:unhideWhenUsed/>
    <w:rsid w:val="00264D6B"/>
    <w:pPr>
      <w:spacing w:line="240" w:lineRule="auto"/>
    </w:pPr>
    <w:rPr>
      <w:sz w:val="20"/>
      <w:szCs w:val="20"/>
    </w:rPr>
  </w:style>
  <w:style w:type="character" w:customStyle="1" w:styleId="CommentTextChar">
    <w:name w:val="Comment Text Char"/>
    <w:link w:val="CommentText"/>
    <w:uiPriority w:val="99"/>
    <w:semiHidden/>
    <w:rsid w:val="004E5D40"/>
    <w:rPr>
      <w:sz w:val="20"/>
      <w:szCs w:val="20"/>
    </w:rPr>
  </w:style>
  <w:style w:type="paragraph" w:styleId="CommentSubject">
    <w:name w:val="annotation subject"/>
    <w:basedOn w:val="CommentText"/>
    <w:next w:val="CommentText"/>
    <w:link w:val="CommentSubjectChar"/>
    <w:uiPriority w:val="99"/>
    <w:semiHidden/>
    <w:unhideWhenUsed/>
    <w:rsid w:val="00264D6B"/>
    <w:rPr>
      <w:b/>
      <w:bCs/>
    </w:rPr>
  </w:style>
  <w:style w:type="character" w:customStyle="1" w:styleId="CommentSubjectChar">
    <w:name w:val="Comment Subject Char"/>
    <w:link w:val="CommentSubject"/>
    <w:uiPriority w:val="99"/>
    <w:semiHidden/>
    <w:rsid w:val="004E5D40"/>
    <w:rPr>
      <w:b/>
      <w:bCs/>
      <w:sz w:val="20"/>
      <w:szCs w:val="20"/>
    </w:rPr>
  </w:style>
  <w:style w:type="paragraph" w:styleId="BalloonText">
    <w:name w:val="Balloon Text"/>
    <w:basedOn w:val="Normal"/>
    <w:link w:val="BalloonTextChar"/>
    <w:uiPriority w:val="99"/>
    <w:semiHidden/>
    <w:unhideWhenUsed/>
    <w:rsid w:val="004E5D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5D40"/>
    <w:rPr>
      <w:rFonts w:ascii="Tahoma" w:hAnsi="Tahoma" w:cs="Tahoma"/>
      <w:sz w:val="16"/>
      <w:szCs w:val="16"/>
    </w:rPr>
  </w:style>
  <w:style w:type="paragraph" w:styleId="Header">
    <w:name w:val="header"/>
    <w:basedOn w:val="Normal"/>
    <w:link w:val="HeaderChar"/>
    <w:uiPriority w:val="99"/>
    <w:unhideWhenUsed/>
    <w:rsid w:val="002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7E"/>
  </w:style>
  <w:style w:type="paragraph" w:styleId="Footer">
    <w:name w:val="footer"/>
    <w:basedOn w:val="Normal"/>
    <w:link w:val="FooterChar"/>
    <w:uiPriority w:val="99"/>
    <w:unhideWhenUsed/>
    <w:rsid w:val="002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7E"/>
  </w:style>
  <w:style w:type="paragraph" w:styleId="Revision">
    <w:name w:val="Revision"/>
    <w:hidden/>
    <w:uiPriority w:val="99"/>
    <w:semiHidden/>
    <w:rsid w:val="00B832EC"/>
    <w:rPr>
      <w:sz w:val="22"/>
      <w:szCs w:val="22"/>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ipervnculo">
    <w:name w:val="Hyperlink"/>
    <w:uiPriority w:val="99"/>
    <w:unhideWhenUsed/>
    <w:rsid w:val="004B2379"/>
    <w:rPr>
      <w:color w:val="0000FF"/>
      <w:u w:val="single"/>
    </w:rPr>
  </w:style>
  <w:style w:type="paragraph" w:styleId="Textonotaalfinal">
    <w:name w:val="endnote text"/>
    <w:basedOn w:val="Normal"/>
    <w:link w:val="TextonotaalfinalCar"/>
    <w:uiPriority w:val="99"/>
    <w:semiHidden/>
    <w:unhideWhenUsed/>
    <w:rsid w:val="00264D6B"/>
    <w:pPr>
      <w:spacing w:after="0" w:line="240" w:lineRule="auto"/>
    </w:pPr>
    <w:rPr>
      <w:sz w:val="20"/>
      <w:szCs w:val="20"/>
    </w:rPr>
  </w:style>
  <w:style w:type="character" w:customStyle="1" w:styleId="TextonotaalfinalCar">
    <w:name w:val="Slutnotetekst Tegn"/>
    <w:link w:val="Textonotaalfinal"/>
    <w:uiPriority w:val="99"/>
    <w:semiHidden/>
    <w:rsid w:val="009030AC"/>
    <w:rPr>
      <w:sz w:val="20"/>
      <w:szCs w:val="20"/>
    </w:rPr>
  </w:style>
  <w:style w:type="character" w:styleId="Refdenotaalfinal">
    <w:name w:val="endnote reference"/>
    <w:uiPriority w:val="99"/>
    <w:semiHidden/>
    <w:unhideWhenUsed/>
    <w:rsid w:val="009030AC"/>
    <w:rPr>
      <w:vertAlign w:val="superscript"/>
    </w:rPr>
  </w:style>
  <w:style w:type="paragraph" w:styleId="Prrafodelista">
    <w:name w:val="List Paragraph"/>
    <w:basedOn w:val="Normal"/>
    <w:uiPriority w:val="34"/>
    <w:qFormat/>
    <w:rsid w:val="00264D6B"/>
    <w:pPr>
      <w:ind w:left="720"/>
      <w:contextualSpacing/>
    </w:pPr>
  </w:style>
  <w:style w:type="paragraph" w:styleId="Textonotapie">
    <w:name w:val="footnote text"/>
    <w:basedOn w:val="Normal"/>
    <w:link w:val="TextonotapieCar"/>
    <w:uiPriority w:val="99"/>
    <w:semiHidden/>
    <w:unhideWhenUsed/>
    <w:rsid w:val="00264D6B"/>
    <w:pPr>
      <w:spacing w:after="0" w:line="240" w:lineRule="auto"/>
    </w:pPr>
    <w:rPr>
      <w:sz w:val="20"/>
      <w:szCs w:val="20"/>
    </w:rPr>
  </w:style>
  <w:style w:type="character" w:customStyle="1" w:styleId="TextonotapieCar">
    <w:name w:val="Fodnotetekst Tegn"/>
    <w:link w:val="Textonotapie"/>
    <w:uiPriority w:val="99"/>
    <w:semiHidden/>
    <w:rsid w:val="00511CBA"/>
    <w:rPr>
      <w:sz w:val="20"/>
      <w:szCs w:val="20"/>
    </w:rPr>
  </w:style>
  <w:style w:type="character" w:styleId="Refdenotaalpie">
    <w:name w:val="footnote reference"/>
    <w:uiPriority w:val="99"/>
    <w:semiHidden/>
    <w:unhideWhenUsed/>
    <w:rsid w:val="00511CBA"/>
    <w:rPr>
      <w:vertAlign w:val="superscript"/>
    </w:rPr>
  </w:style>
  <w:style w:type="character" w:styleId="Refdecomentario">
    <w:name w:val="annotation reference"/>
    <w:uiPriority w:val="99"/>
    <w:semiHidden/>
    <w:unhideWhenUsed/>
    <w:rsid w:val="004E5D40"/>
    <w:rPr>
      <w:sz w:val="16"/>
      <w:szCs w:val="16"/>
    </w:rPr>
  </w:style>
  <w:style w:type="paragraph" w:styleId="Textocomentario">
    <w:name w:val="annotation text"/>
    <w:basedOn w:val="Normal"/>
    <w:link w:val="TextocomentarioCar"/>
    <w:uiPriority w:val="99"/>
    <w:semiHidden/>
    <w:unhideWhenUsed/>
    <w:rsid w:val="00264D6B"/>
    <w:pPr>
      <w:spacing w:line="240" w:lineRule="auto"/>
    </w:pPr>
    <w:rPr>
      <w:sz w:val="20"/>
      <w:szCs w:val="20"/>
    </w:rPr>
  </w:style>
  <w:style w:type="character" w:customStyle="1" w:styleId="TextocomentarioCar">
    <w:name w:val="Kommentartekst Tegn"/>
    <w:link w:val="Textocomentario"/>
    <w:uiPriority w:val="99"/>
    <w:semiHidden/>
    <w:rsid w:val="004E5D40"/>
    <w:rPr>
      <w:sz w:val="20"/>
      <w:szCs w:val="20"/>
    </w:rPr>
  </w:style>
  <w:style w:type="paragraph" w:styleId="Asuntodelcomentario">
    <w:name w:val="annotation subject"/>
    <w:basedOn w:val="Textocomentario"/>
    <w:next w:val="Textocomentario"/>
    <w:link w:val="AsuntodelcomentarioCar"/>
    <w:uiPriority w:val="99"/>
    <w:semiHidden/>
    <w:unhideWhenUsed/>
    <w:rsid w:val="00264D6B"/>
    <w:rPr>
      <w:b/>
      <w:bCs/>
    </w:rPr>
  </w:style>
  <w:style w:type="character" w:customStyle="1" w:styleId="AsuntodelcomentarioCar">
    <w:name w:val="Kommentaremne Tegn"/>
    <w:link w:val="Asuntodelcomentario"/>
    <w:uiPriority w:val="99"/>
    <w:semiHidden/>
    <w:rsid w:val="004E5D40"/>
    <w:rPr>
      <w:b/>
      <w:bCs/>
      <w:sz w:val="20"/>
      <w:szCs w:val="20"/>
    </w:rPr>
  </w:style>
  <w:style w:type="paragraph" w:styleId="Textodeglobo">
    <w:name w:val="Balloon Text"/>
    <w:basedOn w:val="Normal"/>
    <w:link w:val="TextodegloboCar"/>
    <w:uiPriority w:val="99"/>
    <w:semiHidden/>
    <w:unhideWhenUsed/>
    <w:rsid w:val="004E5D40"/>
    <w:pPr>
      <w:spacing w:after="0" w:line="240" w:lineRule="auto"/>
    </w:pPr>
    <w:rPr>
      <w:rFonts w:ascii="Tahoma" w:hAnsi="Tahoma"/>
      <w:sz w:val="16"/>
      <w:szCs w:val="16"/>
    </w:rPr>
  </w:style>
  <w:style w:type="character" w:customStyle="1" w:styleId="TextodegloboCar">
    <w:name w:val="Markeringsbobletekst Tegn"/>
    <w:link w:val="Textodeglobo"/>
    <w:uiPriority w:val="99"/>
    <w:semiHidden/>
    <w:rsid w:val="004E5D40"/>
    <w:rPr>
      <w:rFonts w:ascii="Tahoma" w:hAnsi="Tahoma" w:cs="Tahoma"/>
      <w:sz w:val="16"/>
      <w:szCs w:val="16"/>
    </w:rPr>
  </w:style>
  <w:style w:type="paragraph" w:styleId="Encabezado">
    <w:name w:val="header"/>
    <w:basedOn w:val="Normal"/>
    <w:link w:val="EncabezadoCar"/>
    <w:uiPriority w:val="99"/>
    <w:unhideWhenUsed/>
    <w:rsid w:val="00264D6B"/>
    <w:pPr>
      <w:tabs>
        <w:tab w:val="center" w:pos="4513"/>
        <w:tab w:val="right" w:pos="9026"/>
      </w:tabs>
      <w:spacing w:after="0" w:line="240" w:lineRule="auto"/>
    </w:pPr>
  </w:style>
  <w:style w:type="character" w:customStyle="1" w:styleId="EncabezadoCar">
    <w:name w:val="Sidehoved Tegn"/>
    <w:basedOn w:val="Fuentedeprrafopredeter"/>
    <w:link w:val="Encabezado"/>
    <w:uiPriority w:val="99"/>
    <w:rsid w:val="0076687E"/>
  </w:style>
  <w:style w:type="paragraph" w:styleId="Piedepgina">
    <w:name w:val="footer"/>
    <w:basedOn w:val="Normal"/>
    <w:link w:val="PiedepginaCar"/>
    <w:uiPriority w:val="99"/>
    <w:unhideWhenUsed/>
    <w:rsid w:val="00264D6B"/>
    <w:pPr>
      <w:tabs>
        <w:tab w:val="center" w:pos="4513"/>
        <w:tab w:val="right" w:pos="9026"/>
      </w:tabs>
      <w:spacing w:after="0" w:line="240" w:lineRule="auto"/>
    </w:pPr>
  </w:style>
  <w:style w:type="character" w:customStyle="1" w:styleId="PiedepginaCar">
    <w:name w:val="Sidefod Tegn"/>
    <w:basedOn w:val="Fuentedeprrafopredeter"/>
    <w:link w:val="Piedepgina"/>
    <w:uiPriority w:val="99"/>
    <w:rsid w:val="0076687E"/>
  </w:style>
  <w:style w:type="paragraph" w:styleId="Revisin">
    <w:name w:val="Revision"/>
    <w:hidden/>
    <w:uiPriority w:val="99"/>
    <w:semiHidden/>
    <w:rsid w:val="00B832EC"/>
    <w:rPr>
      <w:sz w:val="22"/>
      <w:szCs w:val="22"/>
      <w:lang w:val="de-DE"/>
    </w:rPr>
  </w:style>
</w:styles>
</file>

<file path=word/webSettings.xml><?xml version="1.0" encoding="utf-8"?>
<w:webSettings xmlns:r="http://schemas.openxmlformats.org/officeDocument/2006/relationships" xmlns:w="http://schemas.openxmlformats.org/wordprocessingml/2006/main">
  <w:divs>
    <w:div w:id="144324582">
      <w:bodyDiv w:val="1"/>
      <w:marLeft w:val="0"/>
      <w:marRight w:val="0"/>
      <w:marTop w:val="0"/>
      <w:marBottom w:val="0"/>
      <w:divBdr>
        <w:top w:val="none" w:sz="0" w:space="0" w:color="auto"/>
        <w:left w:val="none" w:sz="0" w:space="0" w:color="auto"/>
        <w:bottom w:val="none" w:sz="0" w:space="0" w:color="auto"/>
        <w:right w:val="none" w:sz="0" w:space="0" w:color="auto"/>
      </w:divBdr>
      <w:divsChild>
        <w:div w:id="148525142">
          <w:marLeft w:val="0"/>
          <w:marRight w:val="0"/>
          <w:marTop w:val="0"/>
          <w:marBottom w:val="0"/>
          <w:divBdr>
            <w:top w:val="none" w:sz="0" w:space="0" w:color="auto"/>
            <w:left w:val="none" w:sz="0" w:space="0" w:color="auto"/>
            <w:bottom w:val="none" w:sz="0" w:space="0" w:color="auto"/>
            <w:right w:val="none" w:sz="0" w:space="0" w:color="auto"/>
          </w:divBdr>
        </w:div>
        <w:div w:id="264119267">
          <w:marLeft w:val="0"/>
          <w:marRight w:val="0"/>
          <w:marTop w:val="0"/>
          <w:marBottom w:val="0"/>
          <w:divBdr>
            <w:top w:val="none" w:sz="0" w:space="0" w:color="auto"/>
            <w:left w:val="none" w:sz="0" w:space="0" w:color="auto"/>
            <w:bottom w:val="none" w:sz="0" w:space="0" w:color="auto"/>
            <w:right w:val="none" w:sz="0" w:space="0" w:color="auto"/>
          </w:divBdr>
        </w:div>
        <w:div w:id="409813611">
          <w:marLeft w:val="0"/>
          <w:marRight w:val="0"/>
          <w:marTop w:val="0"/>
          <w:marBottom w:val="0"/>
          <w:divBdr>
            <w:top w:val="none" w:sz="0" w:space="0" w:color="auto"/>
            <w:left w:val="none" w:sz="0" w:space="0" w:color="auto"/>
            <w:bottom w:val="none" w:sz="0" w:space="0" w:color="auto"/>
            <w:right w:val="none" w:sz="0" w:space="0" w:color="auto"/>
          </w:divBdr>
        </w:div>
        <w:div w:id="583346869">
          <w:marLeft w:val="0"/>
          <w:marRight w:val="0"/>
          <w:marTop w:val="0"/>
          <w:marBottom w:val="0"/>
          <w:divBdr>
            <w:top w:val="none" w:sz="0" w:space="0" w:color="auto"/>
            <w:left w:val="none" w:sz="0" w:space="0" w:color="auto"/>
            <w:bottom w:val="none" w:sz="0" w:space="0" w:color="auto"/>
            <w:right w:val="none" w:sz="0" w:space="0" w:color="auto"/>
          </w:divBdr>
        </w:div>
        <w:div w:id="585921189">
          <w:marLeft w:val="0"/>
          <w:marRight w:val="0"/>
          <w:marTop w:val="0"/>
          <w:marBottom w:val="0"/>
          <w:divBdr>
            <w:top w:val="none" w:sz="0" w:space="0" w:color="auto"/>
            <w:left w:val="none" w:sz="0" w:space="0" w:color="auto"/>
            <w:bottom w:val="none" w:sz="0" w:space="0" w:color="auto"/>
            <w:right w:val="none" w:sz="0" w:space="0" w:color="auto"/>
          </w:divBdr>
        </w:div>
        <w:div w:id="1015231105">
          <w:marLeft w:val="0"/>
          <w:marRight w:val="0"/>
          <w:marTop w:val="0"/>
          <w:marBottom w:val="0"/>
          <w:divBdr>
            <w:top w:val="none" w:sz="0" w:space="0" w:color="auto"/>
            <w:left w:val="none" w:sz="0" w:space="0" w:color="auto"/>
            <w:bottom w:val="none" w:sz="0" w:space="0" w:color="auto"/>
            <w:right w:val="none" w:sz="0" w:space="0" w:color="auto"/>
          </w:divBdr>
        </w:div>
        <w:div w:id="1477408277">
          <w:marLeft w:val="0"/>
          <w:marRight w:val="0"/>
          <w:marTop w:val="0"/>
          <w:marBottom w:val="0"/>
          <w:divBdr>
            <w:top w:val="none" w:sz="0" w:space="0" w:color="auto"/>
            <w:left w:val="none" w:sz="0" w:space="0" w:color="auto"/>
            <w:bottom w:val="none" w:sz="0" w:space="0" w:color="auto"/>
            <w:right w:val="none" w:sz="0" w:space="0" w:color="auto"/>
          </w:divBdr>
        </w:div>
        <w:div w:id="1619331937">
          <w:marLeft w:val="0"/>
          <w:marRight w:val="0"/>
          <w:marTop w:val="0"/>
          <w:marBottom w:val="0"/>
          <w:divBdr>
            <w:top w:val="none" w:sz="0" w:space="0" w:color="auto"/>
            <w:left w:val="none" w:sz="0" w:space="0" w:color="auto"/>
            <w:bottom w:val="none" w:sz="0" w:space="0" w:color="auto"/>
            <w:right w:val="none" w:sz="0" w:space="0" w:color="auto"/>
          </w:divBdr>
        </w:div>
        <w:div w:id="1684623581">
          <w:marLeft w:val="0"/>
          <w:marRight w:val="0"/>
          <w:marTop w:val="0"/>
          <w:marBottom w:val="0"/>
          <w:divBdr>
            <w:top w:val="none" w:sz="0" w:space="0" w:color="auto"/>
            <w:left w:val="none" w:sz="0" w:space="0" w:color="auto"/>
            <w:bottom w:val="none" w:sz="0" w:space="0" w:color="auto"/>
            <w:right w:val="none" w:sz="0" w:space="0" w:color="auto"/>
          </w:divBdr>
        </w:div>
        <w:div w:id="1760641626">
          <w:marLeft w:val="0"/>
          <w:marRight w:val="0"/>
          <w:marTop w:val="0"/>
          <w:marBottom w:val="0"/>
          <w:divBdr>
            <w:top w:val="none" w:sz="0" w:space="0" w:color="auto"/>
            <w:left w:val="none" w:sz="0" w:space="0" w:color="auto"/>
            <w:bottom w:val="none" w:sz="0" w:space="0" w:color="auto"/>
            <w:right w:val="none" w:sz="0" w:space="0" w:color="auto"/>
          </w:divBdr>
        </w:div>
      </w:divsChild>
    </w:div>
    <w:div w:id="156848514">
      <w:bodyDiv w:val="1"/>
      <w:marLeft w:val="0"/>
      <w:marRight w:val="0"/>
      <w:marTop w:val="0"/>
      <w:marBottom w:val="0"/>
      <w:divBdr>
        <w:top w:val="none" w:sz="0" w:space="0" w:color="auto"/>
        <w:left w:val="none" w:sz="0" w:space="0" w:color="auto"/>
        <w:bottom w:val="none" w:sz="0" w:space="0" w:color="auto"/>
        <w:right w:val="none" w:sz="0" w:space="0" w:color="auto"/>
      </w:divBdr>
      <w:divsChild>
        <w:div w:id="781342487">
          <w:marLeft w:val="0"/>
          <w:marRight w:val="0"/>
          <w:marTop w:val="0"/>
          <w:marBottom w:val="0"/>
          <w:divBdr>
            <w:top w:val="none" w:sz="0" w:space="0" w:color="auto"/>
            <w:left w:val="none" w:sz="0" w:space="0" w:color="auto"/>
            <w:bottom w:val="none" w:sz="0" w:space="0" w:color="auto"/>
            <w:right w:val="none" w:sz="0" w:space="0" w:color="auto"/>
          </w:divBdr>
        </w:div>
        <w:div w:id="1103646993">
          <w:marLeft w:val="0"/>
          <w:marRight w:val="0"/>
          <w:marTop w:val="0"/>
          <w:marBottom w:val="0"/>
          <w:divBdr>
            <w:top w:val="none" w:sz="0" w:space="0" w:color="auto"/>
            <w:left w:val="none" w:sz="0" w:space="0" w:color="auto"/>
            <w:bottom w:val="none" w:sz="0" w:space="0" w:color="auto"/>
            <w:right w:val="none" w:sz="0" w:space="0" w:color="auto"/>
          </w:divBdr>
        </w:div>
      </w:divsChild>
    </w:div>
    <w:div w:id="582304372">
      <w:bodyDiv w:val="1"/>
      <w:marLeft w:val="0"/>
      <w:marRight w:val="0"/>
      <w:marTop w:val="0"/>
      <w:marBottom w:val="0"/>
      <w:divBdr>
        <w:top w:val="none" w:sz="0" w:space="0" w:color="auto"/>
        <w:left w:val="none" w:sz="0" w:space="0" w:color="auto"/>
        <w:bottom w:val="none" w:sz="0" w:space="0" w:color="auto"/>
        <w:right w:val="none" w:sz="0" w:space="0" w:color="auto"/>
      </w:divBdr>
      <w:divsChild>
        <w:div w:id="1074166229">
          <w:marLeft w:val="0"/>
          <w:marRight w:val="0"/>
          <w:marTop w:val="0"/>
          <w:marBottom w:val="0"/>
          <w:divBdr>
            <w:top w:val="none" w:sz="0" w:space="0" w:color="auto"/>
            <w:left w:val="none" w:sz="0" w:space="0" w:color="auto"/>
            <w:bottom w:val="none" w:sz="0" w:space="0" w:color="auto"/>
            <w:right w:val="none" w:sz="0" w:space="0" w:color="auto"/>
          </w:divBdr>
        </w:div>
        <w:div w:id="89619009">
          <w:marLeft w:val="0"/>
          <w:marRight w:val="0"/>
          <w:marTop w:val="0"/>
          <w:marBottom w:val="0"/>
          <w:divBdr>
            <w:top w:val="none" w:sz="0" w:space="0" w:color="auto"/>
            <w:left w:val="none" w:sz="0" w:space="0" w:color="auto"/>
            <w:bottom w:val="none" w:sz="0" w:space="0" w:color="auto"/>
            <w:right w:val="none" w:sz="0" w:space="0" w:color="auto"/>
          </w:divBdr>
        </w:div>
        <w:div w:id="912813818">
          <w:marLeft w:val="0"/>
          <w:marRight w:val="0"/>
          <w:marTop w:val="0"/>
          <w:marBottom w:val="0"/>
          <w:divBdr>
            <w:top w:val="none" w:sz="0" w:space="0" w:color="auto"/>
            <w:left w:val="none" w:sz="0" w:space="0" w:color="auto"/>
            <w:bottom w:val="none" w:sz="0" w:space="0" w:color="auto"/>
            <w:right w:val="none" w:sz="0" w:space="0" w:color="auto"/>
          </w:divBdr>
        </w:div>
      </w:divsChild>
    </w:div>
    <w:div w:id="1590431225">
      <w:bodyDiv w:val="1"/>
      <w:marLeft w:val="0"/>
      <w:marRight w:val="0"/>
      <w:marTop w:val="0"/>
      <w:marBottom w:val="0"/>
      <w:divBdr>
        <w:top w:val="none" w:sz="0" w:space="0" w:color="auto"/>
        <w:left w:val="none" w:sz="0" w:space="0" w:color="auto"/>
        <w:bottom w:val="none" w:sz="0" w:space="0" w:color="auto"/>
        <w:right w:val="none" w:sz="0" w:space="0" w:color="auto"/>
      </w:divBdr>
      <w:divsChild>
        <w:div w:id="1128351694">
          <w:marLeft w:val="0"/>
          <w:marRight w:val="0"/>
          <w:marTop w:val="0"/>
          <w:marBottom w:val="0"/>
          <w:divBdr>
            <w:top w:val="none" w:sz="0" w:space="0" w:color="auto"/>
            <w:left w:val="none" w:sz="0" w:space="0" w:color="auto"/>
            <w:bottom w:val="none" w:sz="0" w:space="0" w:color="auto"/>
            <w:right w:val="none" w:sz="0" w:space="0" w:color="auto"/>
          </w:divBdr>
        </w:div>
        <w:div w:id="1367872844">
          <w:marLeft w:val="0"/>
          <w:marRight w:val="0"/>
          <w:marTop w:val="0"/>
          <w:marBottom w:val="0"/>
          <w:divBdr>
            <w:top w:val="none" w:sz="0" w:space="0" w:color="auto"/>
            <w:left w:val="none" w:sz="0" w:space="0" w:color="auto"/>
            <w:bottom w:val="none" w:sz="0" w:space="0" w:color="auto"/>
            <w:right w:val="none" w:sz="0" w:space="0" w:color="auto"/>
          </w:divBdr>
        </w:div>
        <w:div w:id="51098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1690</Words>
  <Characters>9638</Characters>
  <Application>Microsoft Office Word</Application>
  <DocSecurity>0</DocSecurity>
  <Lines>80</Lines>
  <Paragraphs>22</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Universität Greifswald</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Joosten</dc:creator>
  <cp:lastModifiedBy>Ramsar\JenningsE</cp:lastModifiedBy>
  <cp:revision>3</cp:revision>
  <cp:lastPrinted>2015-02-12T13:14:00Z</cp:lastPrinted>
  <dcterms:created xsi:type="dcterms:W3CDTF">2015-02-24T17:01:00Z</dcterms:created>
  <dcterms:modified xsi:type="dcterms:W3CDTF">2015-02-27T12:36:00Z</dcterms:modified>
</cp:coreProperties>
</file>