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7E" w:rsidRPr="00837B0B" w:rsidRDefault="00994C7E" w:rsidP="00994C7E">
      <w:pPr>
        <w:jc w:val="center"/>
        <w:rPr>
          <w:rFonts w:asciiTheme="minorHAnsi" w:hAnsiTheme="minorHAnsi"/>
          <w:b/>
          <w:sz w:val="25"/>
          <w:szCs w:val="25"/>
        </w:rPr>
      </w:pPr>
      <w:r>
        <w:rPr>
          <w:noProof/>
          <w:sz w:val="25"/>
          <w:szCs w:val="25"/>
          <w:lang w:val="en-GB" w:eastAsia="en-GB"/>
        </w:rPr>
        <w:drawing>
          <wp:anchor distT="0" distB="0" distL="114300" distR="114300" simplePos="0" relativeHeight="251660288" behindDoc="0" locked="0" layoutInCell="1" allowOverlap="1">
            <wp:simplePos x="0" y="0"/>
            <wp:positionH relativeFrom="margin">
              <wp:posOffset>-172085</wp:posOffset>
            </wp:positionH>
            <wp:positionV relativeFrom="margin">
              <wp:posOffset>-170815</wp:posOffset>
            </wp:positionV>
            <wp:extent cx="2219325" cy="962025"/>
            <wp:effectExtent l="19050" t="0" r="9525" b="0"/>
            <wp:wrapSquare wrapText="bothSides"/>
            <wp:docPr id="11" name="Picture 5" descr="COP12-logo-e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12-logo-en_small"/>
                    <pic:cNvPicPr>
                      <a:picLocks noChangeAspect="1" noChangeArrowheads="1"/>
                    </pic:cNvPicPr>
                  </pic:nvPicPr>
                  <pic:blipFill>
                    <a:blip r:embed="rId9" cstate="print"/>
                    <a:srcRect/>
                    <a:stretch>
                      <a:fillRect/>
                    </a:stretch>
                  </pic:blipFill>
                  <pic:spPr bwMode="auto">
                    <a:xfrm>
                      <a:off x="0" y="0"/>
                      <a:ext cx="2219325" cy="962025"/>
                    </a:xfrm>
                    <a:prstGeom prst="rect">
                      <a:avLst/>
                    </a:prstGeom>
                    <a:noFill/>
                  </pic:spPr>
                </pic:pic>
              </a:graphicData>
            </a:graphic>
          </wp:anchor>
        </w:drawing>
      </w:r>
      <w:r w:rsidRPr="00837B0B">
        <w:rPr>
          <w:rFonts w:asciiTheme="minorHAnsi" w:hAnsiTheme="minorHAnsi"/>
          <w:b/>
          <w:sz w:val="25"/>
          <w:szCs w:val="25"/>
        </w:rPr>
        <w:t>12</w:t>
      </w:r>
      <w:r w:rsidRPr="00837B0B">
        <w:rPr>
          <w:rFonts w:asciiTheme="minorHAnsi" w:hAnsiTheme="minorHAnsi"/>
          <w:b/>
          <w:sz w:val="25"/>
          <w:szCs w:val="25"/>
          <w:vertAlign w:val="superscript"/>
        </w:rPr>
        <w:t>th</w:t>
      </w:r>
      <w:r w:rsidRPr="00837B0B">
        <w:rPr>
          <w:rFonts w:asciiTheme="minorHAnsi" w:hAnsiTheme="minorHAnsi"/>
          <w:b/>
          <w:sz w:val="25"/>
          <w:szCs w:val="25"/>
        </w:rPr>
        <w:t xml:space="preserve"> Meeting of the Conference of the Parties to </w:t>
      </w:r>
      <w:r w:rsidRPr="00837B0B">
        <w:rPr>
          <w:rFonts w:asciiTheme="minorHAnsi" w:hAnsiTheme="minorHAnsi"/>
          <w:b/>
          <w:sz w:val="25"/>
          <w:szCs w:val="25"/>
        </w:rPr>
        <w:br/>
        <w:t>the Convention on Wetlands (Ramsar, Iran, 1971)</w:t>
      </w:r>
    </w:p>
    <w:p w:rsidR="00994C7E" w:rsidRPr="00837B0B" w:rsidRDefault="00994C7E" w:rsidP="00994C7E">
      <w:pPr>
        <w:jc w:val="center"/>
        <w:rPr>
          <w:rFonts w:asciiTheme="minorHAnsi" w:hAnsiTheme="minorHAnsi"/>
          <w:sz w:val="25"/>
          <w:szCs w:val="25"/>
        </w:rPr>
      </w:pPr>
    </w:p>
    <w:p w:rsidR="00994C7E" w:rsidRPr="00A2064A" w:rsidRDefault="00994C7E" w:rsidP="00994C7E">
      <w:pPr>
        <w:tabs>
          <w:tab w:val="left" w:pos="3828"/>
        </w:tabs>
        <w:jc w:val="center"/>
        <w:rPr>
          <w:rFonts w:asciiTheme="minorHAnsi" w:hAnsiTheme="minorHAnsi"/>
          <w:b/>
          <w:sz w:val="25"/>
          <w:szCs w:val="25"/>
          <w:lang w:val="es-MX"/>
        </w:rPr>
      </w:pPr>
      <w:r w:rsidRPr="00A2064A">
        <w:rPr>
          <w:rFonts w:asciiTheme="minorHAnsi" w:hAnsiTheme="minorHAnsi"/>
          <w:b/>
          <w:sz w:val="25"/>
          <w:szCs w:val="25"/>
          <w:lang w:val="es-MX"/>
        </w:rPr>
        <w:t>Punta del Este, Uruguay, 1-9 June 2015</w:t>
      </w:r>
    </w:p>
    <w:p w:rsidR="00994C7E" w:rsidRPr="00A2064A" w:rsidRDefault="00994C7E" w:rsidP="00994C7E">
      <w:pPr>
        <w:rPr>
          <w:rFonts w:asciiTheme="minorHAnsi" w:hAnsiTheme="minorHAnsi"/>
          <w:lang w:val="es-MX"/>
        </w:rPr>
      </w:pPr>
    </w:p>
    <w:p w:rsidR="00994C7E" w:rsidRPr="00A2064A" w:rsidRDefault="00994C7E" w:rsidP="00994C7E">
      <w:pPr>
        <w:rPr>
          <w:rFonts w:asciiTheme="minorHAnsi" w:hAnsiTheme="minorHAnsi"/>
          <w:lang w:val="es-MX"/>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528"/>
        <w:gridCol w:w="4602"/>
      </w:tblGrid>
      <w:tr w:rsidR="00994C7E" w:rsidRPr="00837B0B" w:rsidTr="00F1757E">
        <w:tc>
          <w:tcPr>
            <w:tcW w:w="4528" w:type="dxa"/>
          </w:tcPr>
          <w:p w:rsidR="00994C7E" w:rsidRPr="00A2064A" w:rsidRDefault="00994C7E" w:rsidP="00841E85">
            <w:pPr>
              <w:rPr>
                <w:rFonts w:asciiTheme="minorHAnsi" w:hAnsiTheme="minorHAnsi"/>
                <w:b/>
                <w:sz w:val="25"/>
                <w:szCs w:val="25"/>
                <w:lang w:val="es-MX"/>
              </w:rPr>
            </w:pPr>
          </w:p>
        </w:tc>
        <w:tc>
          <w:tcPr>
            <w:tcW w:w="4602" w:type="dxa"/>
          </w:tcPr>
          <w:p w:rsidR="00241A70" w:rsidRDefault="00994C7E" w:rsidP="00241A70">
            <w:pPr>
              <w:jc w:val="right"/>
              <w:rPr>
                <w:rFonts w:asciiTheme="minorHAnsi" w:hAnsiTheme="minorHAnsi"/>
                <w:b/>
                <w:sz w:val="25"/>
                <w:szCs w:val="25"/>
              </w:rPr>
            </w:pPr>
            <w:r w:rsidRPr="00837B0B">
              <w:rPr>
                <w:rFonts w:asciiTheme="minorHAnsi" w:hAnsiTheme="minorHAnsi"/>
                <w:b/>
                <w:sz w:val="25"/>
                <w:szCs w:val="25"/>
              </w:rPr>
              <w:t xml:space="preserve">Ramsar COP12 </w:t>
            </w:r>
            <w:r>
              <w:rPr>
                <w:rFonts w:asciiTheme="minorHAnsi" w:hAnsiTheme="minorHAnsi"/>
                <w:b/>
                <w:sz w:val="25"/>
                <w:szCs w:val="25"/>
              </w:rPr>
              <w:t>DR1</w:t>
            </w:r>
            <w:r w:rsidR="00622905">
              <w:rPr>
                <w:rFonts w:asciiTheme="minorHAnsi" w:hAnsiTheme="minorHAnsi"/>
                <w:b/>
                <w:sz w:val="25"/>
                <w:szCs w:val="25"/>
              </w:rPr>
              <w:t>,</w:t>
            </w:r>
            <w:r w:rsidR="00F1757E">
              <w:rPr>
                <w:rFonts w:asciiTheme="minorHAnsi" w:hAnsiTheme="minorHAnsi"/>
                <w:b/>
                <w:sz w:val="25"/>
                <w:szCs w:val="25"/>
              </w:rPr>
              <w:t xml:space="preserve"> Rev</w:t>
            </w:r>
            <w:r w:rsidR="00241A70">
              <w:rPr>
                <w:rFonts w:asciiTheme="minorHAnsi" w:hAnsiTheme="minorHAnsi"/>
                <w:b/>
                <w:sz w:val="25"/>
                <w:szCs w:val="25"/>
              </w:rPr>
              <w:t>.</w:t>
            </w:r>
            <w:r w:rsidR="0071044B">
              <w:rPr>
                <w:rFonts w:asciiTheme="minorHAnsi" w:hAnsiTheme="minorHAnsi"/>
                <w:b/>
                <w:sz w:val="25"/>
                <w:szCs w:val="25"/>
              </w:rPr>
              <w:t>4</w:t>
            </w:r>
          </w:p>
          <w:p w:rsidR="00C440A0" w:rsidRPr="009379AB" w:rsidRDefault="0015127E" w:rsidP="0071044B">
            <w:pPr>
              <w:jc w:val="right"/>
              <w:rPr>
                <w:rFonts w:asciiTheme="minorHAnsi" w:hAnsiTheme="minorHAnsi"/>
                <w:b/>
                <w:sz w:val="25"/>
                <w:szCs w:val="25"/>
              </w:rPr>
            </w:pPr>
            <w:r>
              <w:rPr>
                <w:rFonts w:asciiTheme="minorHAnsi" w:hAnsiTheme="minorHAnsi"/>
                <w:b/>
                <w:sz w:val="25"/>
                <w:szCs w:val="25"/>
              </w:rPr>
              <w:t xml:space="preserve">12:15, </w:t>
            </w:r>
            <w:r w:rsidR="0071044B">
              <w:rPr>
                <w:rFonts w:asciiTheme="minorHAnsi" w:hAnsiTheme="minorHAnsi"/>
                <w:b/>
                <w:sz w:val="25"/>
                <w:szCs w:val="25"/>
              </w:rPr>
              <w:t>9</w:t>
            </w:r>
            <w:r w:rsidR="00241A70">
              <w:rPr>
                <w:rFonts w:asciiTheme="minorHAnsi" w:hAnsiTheme="minorHAnsi"/>
                <w:b/>
                <w:sz w:val="25"/>
                <w:szCs w:val="25"/>
              </w:rPr>
              <w:t xml:space="preserve"> June</w:t>
            </w:r>
          </w:p>
        </w:tc>
      </w:tr>
    </w:tbl>
    <w:p w:rsidR="00994C7E" w:rsidRDefault="00994C7E" w:rsidP="00994C7E">
      <w:pPr>
        <w:keepNext/>
        <w:tabs>
          <w:tab w:val="left" w:pos="8264"/>
        </w:tabs>
        <w:outlineLvl w:val="0"/>
        <w:rPr>
          <w:rFonts w:ascii="Calibri" w:hAnsi="Calibri"/>
          <w:b/>
          <w:sz w:val="28"/>
          <w:szCs w:val="28"/>
        </w:rPr>
      </w:pPr>
    </w:p>
    <w:p w:rsidR="00994C7E" w:rsidRPr="00A9376C" w:rsidRDefault="00994C7E" w:rsidP="00994C7E">
      <w:pPr>
        <w:jc w:val="center"/>
        <w:rPr>
          <w:rFonts w:asciiTheme="minorHAnsi" w:hAnsiTheme="minorHAnsi"/>
          <w:b/>
          <w:bCs/>
          <w:sz w:val="28"/>
          <w:szCs w:val="28"/>
          <w:lang w:eastAsia="el-GR"/>
        </w:rPr>
      </w:pPr>
      <w:r w:rsidRPr="00EA73BF">
        <w:rPr>
          <w:rFonts w:asciiTheme="minorHAnsi" w:hAnsiTheme="minorHAnsi"/>
          <w:b/>
          <w:bCs/>
          <w:sz w:val="28"/>
          <w:szCs w:val="28"/>
          <w:lang w:val="el-GR" w:eastAsia="el-GR"/>
        </w:rPr>
        <w:t>Draft Resolution XII.</w:t>
      </w:r>
      <w:r>
        <w:rPr>
          <w:rFonts w:asciiTheme="minorHAnsi" w:hAnsiTheme="minorHAnsi"/>
          <w:b/>
          <w:bCs/>
          <w:sz w:val="28"/>
          <w:szCs w:val="28"/>
          <w:lang w:eastAsia="el-GR"/>
        </w:rPr>
        <w:t>1</w:t>
      </w:r>
    </w:p>
    <w:p w:rsidR="00994C7E" w:rsidRPr="00A9376C" w:rsidRDefault="00994C7E" w:rsidP="00994C7E">
      <w:pPr>
        <w:suppressAutoHyphens/>
        <w:jc w:val="center"/>
        <w:rPr>
          <w:rFonts w:ascii="Calibri" w:hAnsi="Calibri"/>
          <w:b/>
          <w:bCs/>
          <w:sz w:val="28"/>
          <w:szCs w:val="28"/>
        </w:rPr>
      </w:pPr>
    </w:p>
    <w:p w:rsidR="009A67CE" w:rsidRPr="00994C7E" w:rsidRDefault="009A67CE" w:rsidP="00994C7E">
      <w:pPr>
        <w:suppressAutoHyphens/>
        <w:jc w:val="center"/>
        <w:rPr>
          <w:rFonts w:asciiTheme="minorHAnsi" w:eastAsiaTheme="minorHAnsi" w:hAnsiTheme="minorHAnsi" w:cs="Garamond"/>
          <w:b/>
          <w:color w:val="000000"/>
          <w:sz w:val="28"/>
          <w:szCs w:val="28"/>
        </w:rPr>
      </w:pPr>
      <w:r w:rsidRPr="00994C7E">
        <w:rPr>
          <w:rFonts w:asciiTheme="minorHAnsi" w:eastAsiaTheme="minorHAnsi" w:hAnsiTheme="minorHAnsi" w:cs="Garamond"/>
          <w:b/>
          <w:color w:val="000000"/>
          <w:sz w:val="28"/>
          <w:szCs w:val="28"/>
        </w:rPr>
        <w:t>Financial and budgetary matters</w:t>
      </w:r>
    </w:p>
    <w:p w:rsidR="009A67CE" w:rsidRPr="00994C7E" w:rsidRDefault="009A67CE" w:rsidP="00986591">
      <w:pPr>
        <w:rPr>
          <w:rFonts w:asciiTheme="minorHAnsi" w:hAnsiTheme="minorHAnsi"/>
          <w:b/>
          <w:sz w:val="28"/>
          <w:szCs w:val="28"/>
          <w:lang w:val="en-GB"/>
        </w:rPr>
      </w:pPr>
    </w:p>
    <w:p w:rsidR="009A67CE" w:rsidRPr="00C91050" w:rsidRDefault="009A67CE" w:rsidP="00C440A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RECALLING the budgetary provisions established by paragraphs 5 and 6 of Article 6 of the Convention on Wetlands;</w:t>
      </w:r>
    </w:p>
    <w:p w:rsidR="009A67CE" w:rsidRPr="00C91050" w:rsidRDefault="009A67CE" w:rsidP="00C440A0">
      <w:pPr>
        <w:ind w:left="426" w:hanging="426"/>
        <w:rPr>
          <w:rFonts w:asciiTheme="minorHAnsi" w:hAnsiTheme="minorHAnsi"/>
          <w:sz w:val="22"/>
          <w:szCs w:val="22"/>
          <w:lang w:val="en-GB"/>
        </w:rPr>
      </w:pPr>
    </w:p>
    <w:p w:rsidR="009A67CE" w:rsidRPr="00C91050" w:rsidRDefault="009A67CE" w:rsidP="00C440A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ACKNOWLEDGING WITH APPRECIATION the prompt payment by the majority of Contracting Parties of their contributions to the core budget of the Convention, but NOTING WITH CONCERN that a number of Parties still have significant outstanding contributions</w:t>
      </w:r>
      <w:r w:rsidR="007F1160">
        <w:rPr>
          <w:rFonts w:asciiTheme="minorHAnsi" w:hAnsiTheme="minorHAnsi"/>
          <w:sz w:val="22"/>
          <w:szCs w:val="22"/>
          <w:lang w:val="en-GB"/>
        </w:rPr>
        <w:t xml:space="preserve"> </w:t>
      </w:r>
      <w:r w:rsidRPr="00C91050">
        <w:rPr>
          <w:rFonts w:asciiTheme="minorHAnsi" w:hAnsiTheme="minorHAnsi"/>
          <w:sz w:val="22"/>
          <w:szCs w:val="22"/>
          <w:lang w:val="en-GB"/>
        </w:rPr>
        <w:t>(COP12 DOC</w:t>
      </w:r>
      <w:r w:rsidR="007F1160">
        <w:rPr>
          <w:rFonts w:asciiTheme="minorHAnsi" w:hAnsiTheme="minorHAnsi"/>
          <w:sz w:val="22"/>
          <w:szCs w:val="22"/>
          <w:lang w:val="en-GB"/>
        </w:rPr>
        <w:t>.15</w:t>
      </w:r>
      <w:r w:rsidR="000100AE">
        <w:rPr>
          <w:rFonts w:asciiTheme="minorHAnsi" w:hAnsiTheme="minorHAnsi"/>
          <w:sz w:val="22"/>
          <w:szCs w:val="22"/>
          <w:lang w:val="en-GB"/>
        </w:rPr>
        <w:t>Rev1</w:t>
      </w:r>
      <w:r w:rsidRPr="00C91050">
        <w:rPr>
          <w:rFonts w:asciiTheme="minorHAnsi" w:hAnsiTheme="minorHAnsi"/>
          <w:sz w:val="22"/>
          <w:szCs w:val="22"/>
          <w:lang w:val="en-GB"/>
        </w:rPr>
        <w:t xml:space="preserve">); </w:t>
      </w:r>
    </w:p>
    <w:p w:rsidR="009A67CE" w:rsidRPr="00C91050" w:rsidRDefault="009A67CE" w:rsidP="00C440A0">
      <w:pPr>
        <w:ind w:left="426" w:hanging="426"/>
        <w:rPr>
          <w:rFonts w:asciiTheme="minorHAnsi" w:hAnsiTheme="minorHAnsi"/>
          <w:sz w:val="22"/>
          <w:szCs w:val="22"/>
          <w:lang w:val="en-GB"/>
        </w:rPr>
      </w:pPr>
    </w:p>
    <w:p w:rsidR="009A67CE" w:rsidRPr="00C91050" w:rsidRDefault="009A67CE" w:rsidP="00C440A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 xml:space="preserve">NOTING WITH GRATITUDE the additional voluntary financial contributions made by many Contracting Parties through their Ramsar Administrative Authorities and other agencies, including some development assistance agencies, and also the contributions made by non-governmental organizations and private companies for activities undertaken by the Secretariat, but NOTING WITH CONCERN the continuing decline in such voluntary contributions; </w:t>
      </w:r>
    </w:p>
    <w:p w:rsidR="009A67CE" w:rsidRPr="00C91050" w:rsidRDefault="009A67CE" w:rsidP="00C440A0">
      <w:pPr>
        <w:ind w:left="426" w:hanging="426"/>
        <w:rPr>
          <w:rFonts w:asciiTheme="minorHAnsi" w:hAnsiTheme="minorHAnsi"/>
          <w:sz w:val="22"/>
          <w:szCs w:val="22"/>
          <w:lang w:val="en-GB"/>
        </w:rPr>
      </w:pPr>
    </w:p>
    <w:p w:rsidR="009A67CE" w:rsidRPr="00C91050" w:rsidRDefault="009A67CE" w:rsidP="00C440A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ACKNOWLEDGING WITH APPRECIATION the financial and administrative services provided to the Secretariat by IUCN, underpinned by the Services Agreement between Ramsar and IUCN revised in 2009;</w:t>
      </w:r>
    </w:p>
    <w:p w:rsidR="009A67CE" w:rsidRPr="00C91050" w:rsidRDefault="009A67CE" w:rsidP="00C440A0">
      <w:pPr>
        <w:ind w:left="426" w:hanging="426"/>
        <w:rPr>
          <w:rFonts w:asciiTheme="minorHAnsi" w:hAnsiTheme="minorHAnsi"/>
          <w:sz w:val="22"/>
          <w:szCs w:val="22"/>
          <w:lang w:val="en-GB"/>
        </w:rPr>
      </w:pPr>
    </w:p>
    <w:p w:rsidR="009A67CE" w:rsidRPr="00C91050" w:rsidRDefault="009A67CE" w:rsidP="00C440A0">
      <w:pPr>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 xml:space="preserve">NOTING that Contracting Parties have been kept informed of the financial situation of the Secretariat through the audited annual financial statements for the years from 2011 to 2014 and the reports of the Standing Committee meetings in 2012, 2013 and 2014; and </w:t>
      </w:r>
    </w:p>
    <w:p w:rsidR="009A67CE" w:rsidRPr="00C91050" w:rsidRDefault="009A67CE" w:rsidP="00C440A0">
      <w:pPr>
        <w:tabs>
          <w:tab w:val="num" w:pos="540"/>
        </w:tabs>
        <w:ind w:left="426" w:hanging="426"/>
        <w:rPr>
          <w:rFonts w:asciiTheme="minorHAnsi" w:hAnsiTheme="minorHAnsi"/>
          <w:sz w:val="22"/>
          <w:szCs w:val="22"/>
          <w:lang w:val="en-GB"/>
        </w:rPr>
      </w:pPr>
    </w:p>
    <w:p w:rsidR="009A67CE" w:rsidRPr="00C91050" w:rsidRDefault="009A67CE" w:rsidP="00C440A0">
      <w:pPr>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 xml:space="preserve">RECOGNIZING the need to continue to strengthen financial partnerships with relevant international organizations and other entities and to explore additional funding opportunities through their existing financial mechanisms; </w:t>
      </w:r>
    </w:p>
    <w:p w:rsidR="009A67CE" w:rsidRPr="00C91050" w:rsidRDefault="009A67CE" w:rsidP="00C440A0">
      <w:pPr>
        <w:ind w:left="426" w:hanging="426"/>
        <w:rPr>
          <w:rFonts w:asciiTheme="minorHAnsi" w:hAnsiTheme="minorHAnsi"/>
          <w:sz w:val="22"/>
          <w:szCs w:val="22"/>
          <w:lang w:val="en-GB"/>
        </w:rPr>
      </w:pPr>
    </w:p>
    <w:p w:rsidR="009A67CE" w:rsidRPr="00C91050" w:rsidRDefault="009A67CE" w:rsidP="00C440A0">
      <w:pPr>
        <w:ind w:left="426" w:hanging="426"/>
        <w:jc w:val="center"/>
        <w:rPr>
          <w:rFonts w:asciiTheme="minorHAnsi" w:hAnsiTheme="minorHAnsi"/>
          <w:sz w:val="22"/>
          <w:szCs w:val="22"/>
          <w:lang w:val="en-GB"/>
        </w:rPr>
      </w:pPr>
      <w:r w:rsidRPr="00C91050">
        <w:rPr>
          <w:rFonts w:asciiTheme="minorHAnsi" w:hAnsiTheme="minorHAnsi"/>
          <w:sz w:val="22"/>
          <w:szCs w:val="22"/>
          <w:lang w:val="en-GB"/>
        </w:rPr>
        <w:t>THE CONFERENCE OF THE CONTRACTING PARTIES</w:t>
      </w:r>
    </w:p>
    <w:p w:rsidR="009A67CE" w:rsidRPr="00C91050" w:rsidRDefault="009A67CE" w:rsidP="00C440A0">
      <w:pPr>
        <w:ind w:left="426" w:hanging="567"/>
        <w:rPr>
          <w:rFonts w:asciiTheme="minorHAnsi" w:hAnsiTheme="minorHAnsi"/>
          <w:lang w:val="en-GB"/>
        </w:rPr>
      </w:pPr>
    </w:p>
    <w:p w:rsidR="009A67CE" w:rsidRPr="00C91050" w:rsidRDefault="009A67CE" w:rsidP="00986591">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ACKNOWLEDGES that since the 11</w:t>
      </w:r>
      <w:r w:rsidRPr="00C91050">
        <w:rPr>
          <w:rFonts w:asciiTheme="minorHAnsi" w:hAnsiTheme="minorHAnsi"/>
          <w:sz w:val="22"/>
          <w:szCs w:val="22"/>
          <w:vertAlign w:val="superscript"/>
          <w:lang w:val="en-GB"/>
        </w:rPr>
        <w:t>th</w:t>
      </w:r>
      <w:r w:rsidRPr="00C91050">
        <w:rPr>
          <w:rFonts w:asciiTheme="minorHAnsi" w:hAnsiTheme="minorHAnsi"/>
          <w:sz w:val="22"/>
          <w:szCs w:val="22"/>
          <w:lang w:val="en-GB"/>
        </w:rPr>
        <w:t xml:space="preserve"> meeting of the Conference of the Contracting Parties in 2012 the Secretariat has managed the Convention’s funds prudently, efficiently and openly;</w:t>
      </w:r>
    </w:p>
    <w:p w:rsidR="009A67CE" w:rsidRPr="00C91050" w:rsidRDefault="009A67CE" w:rsidP="00C440A0">
      <w:pPr>
        <w:ind w:left="426" w:hanging="426"/>
        <w:rPr>
          <w:rFonts w:asciiTheme="minorHAnsi" w:hAnsiTheme="minorHAnsi"/>
          <w:sz w:val="22"/>
          <w:szCs w:val="22"/>
          <w:lang w:val="en-GB"/>
        </w:rPr>
      </w:pPr>
    </w:p>
    <w:p w:rsidR="009A67CE" w:rsidRPr="00C91050" w:rsidRDefault="009A67CE" w:rsidP="00C440A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 xml:space="preserve">EXPRESSES ITS GRATITUDE to the Contracting Parties that have served in the Subgroup on Finance of the Standing Committee during the past cycle, and in particular to Canada, which has acted as Chair of the Subgroup; </w:t>
      </w:r>
    </w:p>
    <w:p w:rsidR="009A67CE" w:rsidRPr="00C91050" w:rsidRDefault="009A67CE" w:rsidP="00C440A0">
      <w:pPr>
        <w:ind w:left="426" w:hanging="426"/>
        <w:rPr>
          <w:rFonts w:asciiTheme="minorHAnsi" w:hAnsiTheme="minorHAnsi"/>
          <w:sz w:val="22"/>
          <w:szCs w:val="22"/>
          <w:lang w:val="en-GB"/>
        </w:rPr>
      </w:pPr>
    </w:p>
    <w:p w:rsidR="009A67CE" w:rsidRPr="00C91050" w:rsidRDefault="009A67CE" w:rsidP="00C440A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lastRenderedPageBreak/>
        <w:t xml:space="preserve">DECIDES that the Terms of Reference for the Financial Administration of the Convention contained in Annex 3 to Resolution 5.2 (1993) shall be applied </w:t>
      </w:r>
      <w:r w:rsidRPr="00C91050">
        <w:rPr>
          <w:rFonts w:asciiTheme="minorHAnsi" w:hAnsiTheme="minorHAnsi"/>
          <w:i/>
          <w:sz w:val="22"/>
          <w:szCs w:val="22"/>
          <w:lang w:val="en-GB"/>
        </w:rPr>
        <w:t>in toto</w:t>
      </w:r>
      <w:r w:rsidRPr="00C91050">
        <w:rPr>
          <w:rFonts w:asciiTheme="minorHAnsi" w:hAnsiTheme="minorHAnsi"/>
          <w:sz w:val="22"/>
          <w:szCs w:val="22"/>
          <w:lang w:val="en-GB"/>
        </w:rPr>
        <w:t xml:space="preserve"> to the 2016-2018 cycle;</w:t>
      </w:r>
    </w:p>
    <w:p w:rsidR="009A67CE" w:rsidRPr="00C91050" w:rsidRDefault="009A67CE" w:rsidP="00C440A0">
      <w:pPr>
        <w:ind w:left="426" w:hanging="426"/>
        <w:rPr>
          <w:rFonts w:asciiTheme="minorHAnsi" w:hAnsiTheme="minorHAnsi"/>
          <w:sz w:val="22"/>
          <w:szCs w:val="22"/>
          <w:lang w:val="en-GB"/>
        </w:rPr>
      </w:pPr>
    </w:p>
    <w:p w:rsidR="009A67CE" w:rsidRPr="00C91050" w:rsidRDefault="009A67CE" w:rsidP="00C440A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FURTHER DECIDES that the Subgroup on Finance, as established by Resolution VI.17, is to</w:t>
      </w:r>
      <w:r w:rsidR="007F1160">
        <w:rPr>
          <w:rFonts w:asciiTheme="minorHAnsi" w:hAnsiTheme="minorHAnsi"/>
          <w:sz w:val="22"/>
          <w:szCs w:val="22"/>
          <w:lang w:val="en-GB"/>
        </w:rPr>
        <w:t xml:space="preserve"> </w:t>
      </w:r>
      <w:r w:rsidRPr="00C91050">
        <w:rPr>
          <w:rFonts w:asciiTheme="minorHAnsi" w:hAnsiTheme="minorHAnsi"/>
          <w:sz w:val="22"/>
          <w:szCs w:val="22"/>
          <w:lang w:val="en-GB"/>
        </w:rPr>
        <w:t>continue to operate under the aegis of the Standing Committee and with the roles and responsibilities specified in that Resolution;</w:t>
      </w:r>
    </w:p>
    <w:p w:rsidR="009A67CE" w:rsidRPr="00BC7DE0" w:rsidRDefault="009A67CE" w:rsidP="00241A70">
      <w:pPr>
        <w:ind w:left="426" w:hanging="426"/>
        <w:rPr>
          <w:rFonts w:asciiTheme="minorHAnsi" w:hAnsiTheme="minorHAnsi"/>
          <w:sz w:val="22"/>
          <w:szCs w:val="22"/>
          <w:lang w:val="en-GB"/>
        </w:rPr>
      </w:pPr>
    </w:p>
    <w:p w:rsidR="00325361" w:rsidRDefault="00BC7DE0" w:rsidP="00241A70">
      <w:pPr>
        <w:pStyle w:val="ListParagraph"/>
        <w:numPr>
          <w:ilvl w:val="0"/>
          <w:numId w:val="1"/>
        </w:numPr>
        <w:ind w:left="426" w:hanging="426"/>
        <w:rPr>
          <w:rFonts w:asciiTheme="minorHAnsi" w:hAnsiTheme="minorHAnsi"/>
          <w:sz w:val="22"/>
          <w:szCs w:val="22"/>
          <w:lang w:val="en-CA"/>
        </w:rPr>
      </w:pPr>
      <w:r w:rsidRPr="00841EF7">
        <w:rPr>
          <w:rFonts w:asciiTheme="minorHAnsi" w:hAnsiTheme="minorHAnsi"/>
          <w:sz w:val="22"/>
          <w:szCs w:val="22"/>
          <w:lang w:val="en-CA"/>
        </w:rPr>
        <w:t xml:space="preserve">NOTES that CHF 115,000 of </w:t>
      </w:r>
      <w:r w:rsidR="008B748F">
        <w:rPr>
          <w:rFonts w:asciiTheme="minorHAnsi" w:hAnsiTheme="minorHAnsi"/>
          <w:sz w:val="22"/>
          <w:szCs w:val="22"/>
          <w:lang w:val="en-CA"/>
        </w:rPr>
        <w:t xml:space="preserve">2013- 2015 </w:t>
      </w:r>
      <w:r w:rsidRPr="00841EF7">
        <w:rPr>
          <w:rFonts w:asciiTheme="minorHAnsi" w:hAnsiTheme="minorHAnsi"/>
          <w:sz w:val="22"/>
          <w:szCs w:val="22"/>
          <w:lang w:val="en-CA"/>
        </w:rPr>
        <w:t>reserve funds was u</w:t>
      </w:r>
      <w:r w:rsidRPr="00BC7DE0">
        <w:rPr>
          <w:rFonts w:asciiTheme="minorHAnsi" w:hAnsiTheme="minorHAnsi"/>
          <w:sz w:val="22"/>
          <w:szCs w:val="22"/>
          <w:lang w:val="en-CA"/>
        </w:rPr>
        <w:t xml:space="preserve">sed to sponsor </w:t>
      </w:r>
      <w:r w:rsidR="00502D8D">
        <w:rPr>
          <w:rFonts w:asciiTheme="minorHAnsi" w:hAnsiTheme="minorHAnsi"/>
          <w:sz w:val="22"/>
          <w:szCs w:val="22"/>
          <w:lang w:val="en-CA"/>
        </w:rPr>
        <w:t xml:space="preserve">eligible </w:t>
      </w:r>
      <w:r w:rsidRPr="00BC7DE0">
        <w:rPr>
          <w:rFonts w:asciiTheme="minorHAnsi" w:hAnsiTheme="minorHAnsi"/>
          <w:sz w:val="22"/>
          <w:szCs w:val="22"/>
          <w:lang w:val="en-CA"/>
        </w:rPr>
        <w:t xml:space="preserve">COP12 delegates </w:t>
      </w:r>
      <w:r>
        <w:rPr>
          <w:rFonts w:asciiTheme="minorHAnsi" w:hAnsiTheme="minorHAnsi"/>
          <w:sz w:val="22"/>
          <w:szCs w:val="22"/>
          <w:lang w:val="en-CA"/>
        </w:rPr>
        <w:t>in order to</w:t>
      </w:r>
      <w:r w:rsidRPr="00841EF7">
        <w:rPr>
          <w:rFonts w:asciiTheme="minorHAnsi" w:hAnsiTheme="minorHAnsi"/>
          <w:sz w:val="22"/>
          <w:szCs w:val="22"/>
          <w:lang w:val="en-CA"/>
        </w:rPr>
        <w:t xml:space="preserve"> ensure all parties could participate effectively. FURTHER NOTES this </w:t>
      </w:r>
      <w:r w:rsidR="00325361">
        <w:rPr>
          <w:rFonts w:asciiTheme="minorHAnsi" w:hAnsiTheme="minorHAnsi"/>
          <w:sz w:val="22"/>
          <w:szCs w:val="22"/>
          <w:lang w:val="en-CA"/>
        </w:rPr>
        <w:t>does not represent a p</w:t>
      </w:r>
      <w:r w:rsidRPr="00841EF7">
        <w:rPr>
          <w:rFonts w:asciiTheme="minorHAnsi" w:hAnsiTheme="minorHAnsi"/>
          <w:sz w:val="22"/>
          <w:szCs w:val="22"/>
          <w:lang w:val="en-CA"/>
        </w:rPr>
        <w:t>receden</w:t>
      </w:r>
      <w:r w:rsidR="00325361">
        <w:rPr>
          <w:rFonts w:asciiTheme="minorHAnsi" w:hAnsiTheme="minorHAnsi"/>
          <w:sz w:val="22"/>
          <w:szCs w:val="22"/>
          <w:lang w:val="en-CA"/>
        </w:rPr>
        <w:t xml:space="preserve">t </w:t>
      </w:r>
      <w:r w:rsidRPr="00841EF7">
        <w:rPr>
          <w:rFonts w:asciiTheme="minorHAnsi" w:hAnsiTheme="minorHAnsi"/>
          <w:sz w:val="22"/>
          <w:szCs w:val="22"/>
          <w:lang w:val="en-CA"/>
        </w:rPr>
        <w:t>for the Convention and</w:t>
      </w:r>
      <w:r w:rsidR="008B748F">
        <w:rPr>
          <w:rFonts w:asciiTheme="minorHAnsi" w:hAnsiTheme="minorHAnsi"/>
          <w:sz w:val="22"/>
          <w:szCs w:val="22"/>
          <w:lang w:val="en-CA"/>
        </w:rPr>
        <w:t xml:space="preserve"> is seen as an</w:t>
      </w:r>
      <w:r w:rsidR="008B748F" w:rsidRPr="00BA7850">
        <w:rPr>
          <w:rFonts w:asciiTheme="minorHAnsi" w:hAnsiTheme="minorHAnsi"/>
          <w:sz w:val="22"/>
          <w:szCs w:val="22"/>
          <w:lang w:val="en-CA"/>
        </w:rPr>
        <w:t xml:space="preserve"> one-time</w:t>
      </w:r>
      <w:r w:rsidR="00325361">
        <w:rPr>
          <w:rFonts w:asciiTheme="minorHAnsi" w:hAnsiTheme="minorHAnsi"/>
          <w:sz w:val="22"/>
          <w:szCs w:val="22"/>
          <w:lang w:val="en-CA"/>
        </w:rPr>
        <w:t xml:space="preserve"> special</w:t>
      </w:r>
      <w:r w:rsidR="008B748F" w:rsidRPr="00BA7850">
        <w:rPr>
          <w:rFonts w:asciiTheme="minorHAnsi" w:hAnsiTheme="minorHAnsi"/>
          <w:sz w:val="22"/>
          <w:szCs w:val="22"/>
          <w:lang w:val="en-CA"/>
        </w:rPr>
        <w:t xml:space="preserve"> exception to the normal practic</w:t>
      </w:r>
      <w:r w:rsidR="008B748F">
        <w:rPr>
          <w:rFonts w:asciiTheme="minorHAnsi" w:hAnsiTheme="minorHAnsi"/>
          <w:sz w:val="22"/>
          <w:szCs w:val="22"/>
          <w:lang w:val="en-CA"/>
        </w:rPr>
        <w:t>e</w:t>
      </w:r>
      <w:r w:rsidR="008B748F" w:rsidRPr="008B748F">
        <w:rPr>
          <w:rFonts w:asciiTheme="minorHAnsi" w:hAnsiTheme="minorHAnsi"/>
          <w:sz w:val="22"/>
          <w:szCs w:val="22"/>
          <w:lang w:val="en-CA"/>
        </w:rPr>
        <w:t xml:space="preserve"> </w:t>
      </w:r>
      <w:r w:rsidRPr="00841EF7">
        <w:rPr>
          <w:rFonts w:asciiTheme="minorHAnsi" w:hAnsiTheme="minorHAnsi"/>
          <w:sz w:val="22"/>
          <w:szCs w:val="22"/>
          <w:lang w:val="en-CA"/>
        </w:rPr>
        <w:t>given the global economic climate and the difficulty in securing voluntary funds from Contracting Parties and other external sources</w:t>
      </w:r>
    </w:p>
    <w:p w:rsidR="00325361" w:rsidRPr="00841EF7" w:rsidRDefault="00325361" w:rsidP="00241A70">
      <w:pPr>
        <w:pStyle w:val="ListParagraph"/>
        <w:ind w:left="426" w:hanging="426"/>
        <w:rPr>
          <w:rFonts w:asciiTheme="minorHAnsi" w:hAnsiTheme="minorHAnsi"/>
          <w:sz w:val="22"/>
          <w:szCs w:val="22"/>
          <w:lang w:val="en-CA"/>
        </w:rPr>
      </w:pPr>
    </w:p>
    <w:p w:rsidR="00BC7DE0" w:rsidRDefault="00502D8D" w:rsidP="00241A70">
      <w:pPr>
        <w:pStyle w:val="ListParagraph"/>
        <w:numPr>
          <w:ilvl w:val="0"/>
          <w:numId w:val="1"/>
        </w:numPr>
        <w:ind w:left="426" w:hanging="426"/>
        <w:rPr>
          <w:rFonts w:asciiTheme="minorHAnsi" w:hAnsiTheme="minorHAnsi"/>
          <w:sz w:val="22"/>
          <w:szCs w:val="22"/>
          <w:lang w:val="en-CA"/>
        </w:rPr>
      </w:pPr>
      <w:r>
        <w:rPr>
          <w:rFonts w:asciiTheme="minorHAnsi" w:hAnsiTheme="minorHAnsi"/>
          <w:sz w:val="22"/>
          <w:szCs w:val="22"/>
          <w:lang w:val="en-CA"/>
        </w:rPr>
        <w:t xml:space="preserve">REQUESTS the Secretary General </w:t>
      </w:r>
      <w:r w:rsidR="00325361">
        <w:rPr>
          <w:rFonts w:asciiTheme="minorHAnsi" w:hAnsiTheme="minorHAnsi"/>
          <w:sz w:val="22"/>
          <w:szCs w:val="22"/>
          <w:lang w:val="en-CA"/>
        </w:rPr>
        <w:t>to continue efforts to solicit external funds to repay the funds used from the reserve under these extraordinary circumstances and to report back at future meetings of the Subgroup on Finance meetings on progress in this regard; and FURTHER REQUESTS the Secretary General to</w:t>
      </w:r>
      <w:r>
        <w:rPr>
          <w:rFonts w:asciiTheme="minorHAnsi" w:hAnsiTheme="minorHAnsi"/>
          <w:sz w:val="22"/>
          <w:szCs w:val="22"/>
          <w:lang w:val="en-CA"/>
        </w:rPr>
        <w:t xml:space="preserve"> ensure COP13 delegate sponsoring is a priority for fund-raising to avoid this situation in the future. </w:t>
      </w:r>
      <w:r w:rsidR="00BC7DE0" w:rsidRPr="00BC7DE0">
        <w:rPr>
          <w:rFonts w:asciiTheme="minorHAnsi" w:hAnsiTheme="minorHAnsi"/>
          <w:sz w:val="22"/>
          <w:szCs w:val="22"/>
          <w:lang w:val="en-CA"/>
        </w:rPr>
        <w:t xml:space="preserve"> </w:t>
      </w:r>
    </w:p>
    <w:p w:rsidR="00BC7DE0" w:rsidRPr="00841EF7" w:rsidRDefault="00BC7DE0" w:rsidP="00241A70">
      <w:pPr>
        <w:pStyle w:val="ListParagraph"/>
        <w:ind w:left="426" w:hanging="426"/>
        <w:rPr>
          <w:rFonts w:asciiTheme="minorHAnsi" w:hAnsiTheme="minorHAnsi"/>
          <w:sz w:val="22"/>
          <w:szCs w:val="22"/>
          <w:lang w:val="en-CA"/>
        </w:rPr>
      </w:pPr>
    </w:p>
    <w:p w:rsidR="009A67CE" w:rsidRPr="00C91050" w:rsidRDefault="009A67CE" w:rsidP="00241A7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NOTES that the 2016-2018 budget includes a core element funded by contributions from Contracting Parties, prepared on the basis that there are no fundamental changes to the operation of the Secretariat during 2016-2018, and a non-core unfunded element to be financed by voluntary contributions, and APPROVES the combined budget for the 2016-2018 cycle as attached in Annex 1 to enable the implementation of the Strategic Plan of the Convention;</w:t>
      </w:r>
    </w:p>
    <w:p w:rsidR="009A67CE" w:rsidRPr="00C91050" w:rsidRDefault="009A67CE" w:rsidP="00241A70">
      <w:pPr>
        <w:ind w:left="426" w:hanging="426"/>
        <w:rPr>
          <w:rFonts w:asciiTheme="minorHAnsi" w:hAnsiTheme="minorHAnsi"/>
          <w:sz w:val="22"/>
          <w:szCs w:val="22"/>
          <w:lang w:val="en-GB"/>
        </w:rPr>
      </w:pPr>
    </w:p>
    <w:p w:rsidR="009A67CE" w:rsidRPr="00C91050" w:rsidRDefault="009A67CE" w:rsidP="00241A7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AUTHORIZES the Standing Committee, with the advice of its Subgroup on Finance, to revise core budgetary allocations between budget lines in the light of significant positive or negative changes during the cycle to costs, rates of inflation, interest and tax income projected in the budget, without increasing the contributions of Parties or increasing the charges paid to IUCN above the budgeted 13% maximum;</w:t>
      </w:r>
    </w:p>
    <w:p w:rsidR="009A67CE" w:rsidRPr="00C91050" w:rsidRDefault="009A67CE" w:rsidP="00241A70">
      <w:pPr>
        <w:ind w:left="426" w:hanging="426"/>
        <w:rPr>
          <w:rFonts w:asciiTheme="minorHAnsi" w:hAnsiTheme="minorHAnsi"/>
          <w:sz w:val="22"/>
          <w:szCs w:val="22"/>
          <w:lang w:val="en-GB"/>
        </w:rPr>
      </w:pPr>
    </w:p>
    <w:p w:rsidR="009A67CE" w:rsidRPr="00C91050" w:rsidRDefault="009A67CE" w:rsidP="00241A70">
      <w:pPr>
        <w:pStyle w:val="ListParagraph"/>
        <w:numPr>
          <w:ilvl w:val="0"/>
          <w:numId w:val="1"/>
        </w:numPr>
        <w:ind w:left="426" w:hanging="426"/>
        <w:rPr>
          <w:rFonts w:asciiTheme="minorHAnsi" w:hAnsiTheme="minorHAnsi"/>
          <w:sz w:val="22"/>
          <w:szCs w:val="22"/>
          <w:lang w:val="en-GB"/>
        </w:rPr>
      </w:pPr>
      <w:r w:rsidRPr="00C91050">
        <w:rPr>
          <w:rFonts w:asciiTheme="minorHAnsi" w:hAnsiTheme="minorHAnsi"/>
          <w:sz w:val="22"/>
          <w:szCs w:val="22"/>
          <w:lang w:val="en-GB"/>
        </w:rPr>
        <w:t>AUTHORIZES the Standing Committee, with the advice of its Subgroup on Finance, to revise non-core budgetary allocations and priorities depending upon the success of the Secretariat in securing voluntary funding for these activities;</w:t>
      </w:r>
    </w:p>
    <w:p w:rsidR="009A67CE" w:rsidRPr="00A62AA3" w:rsidRDefault="009A67CE" w:rsidP="00241A70">
      <w:pPr>
        <w:ind w:left="426" w:hanging="426"/>
        <w:rPr>
          <w:rFonts w:asciiTheme="minorHAnsi" w:hAnsiTheme="minorHAnsi"/>
          <w:sz w:val="22"/>
          <w:szCs w:val="22"/>
          <w:lang w:val="en-GB"/>
        </w:rPr>
      </w:pPr>
    </w:p>
    <w:p w:rsidR="009A67CE" w:rsidRPr="00A62AA3" w:rsidRDefault="009A67CE" w:rsidP="00241A70">
      <w:pPr>
        <w:pStyle w:val="ListParagraph"/>
        <w:numPr>
          <w:ilvl w:val="0"/>
          <w:numId w:val="1"/>
        </w:numPr>
        <w:ind w:left="426" w:hanging="426"/>
        <w:rPr>
          <w:rFonts w:asciiTheme="minorHAnsi" w:hAnsiTheme="minorHAnsi"/>
          <w:sz w:val="22"/>
          <w:szCs w:val="22"/>
          <w:lang w:val="en-GB"/>
        </w:rPr>
      </w:pPr>
      <w:r w:rsidRPr="00A62AA3">
        <w:rPr>
          <w:rFonts w:asciiTheme="minorHAnsi" w:hAnsiTheme="minorHAnsi"/>
          <w:sz w:val="22"/>
          <w:szCs w:val="22"/>
          <w:lang w:val="en-GB"/>
        </w:rPr>
        <w:t>DECIDES that the contribution of each Contracting Party to the core budget (other than those making only voluntary contributions) should be in accordance with the scale of assessments for the contributions of Member States to the United Nations budget as approved by the UN General Assembly, which for those only paying voluntary contributions is applied on an indicative basis, and except in the case of Contracting Parties which, in applying the UN scale, could make annual contributions to the Ramsar Convention Core budget of less than CHF 1,000, in which case the annual contribution will be that amount;</w:t>
      </w:r>
    </w:p>
    <w:p w:rsidR="009A67CE" w:rsidRPr="00C91050" w:rsidRDefault="009A67CE" w:rsidP="00241A70">
      <w:pPr>
        <w:ind w:left="426" w:hanging="426"/>
        <w:rPr>
          <w:rFonts w:asciiTheme="minorHAnsi" w:hAnsiTheme="minorHAnsi"/>
          <w:sz w:val="22"/>
          <w:szCs w:val="22"/>
          <w:lang w:val="en-GB"/>
        </w:rPr>
      </w:pPr>
    </w:p>
    <w:p w:rsidR="009A67CE" w:rsidRDefault="009A67CE" w:rsidP="004E76C8">
      <w:pPr>
        <w:pStyle w:val="ListParagraph"/>
        <w:numPr>
          <w:ilvl w:val="0"/>
          <w:numId w:val="1"/>
        </w:numPr>
        <w:rPr>
          <w:rFonts w:asciiTheme="minorHAnsi" w:hAnsiTheme="minorHAnsi"/>
          <w:sz w:val="22"/>
          <w:szCs w:val="22"/>
          <w:lang w:val="en-GB"/>
        </w:rPr>
      </w:pPr>
      <w:bookmarkStart w:id="0" w:name="OLE_LINK6"/>
      <w:r w:rsidRPr="00C91050">
        <w:rPr>
          <w:rFonts w:asciiTheme="minorHAnsi" w:hAnsiTheme="minorHAnsi"/>
          <w:sz w:val="22"/>
          <w:szCs w:val="22"/>
          <w:lang w:val="en-GB"/>
        </w:rPr>
        <w:t>URGES all Contracting Parties to pay their contributions promptly by 1 January of each year, or as soon thereafter as that country’s budget cycle will permit;</w:t>
      </w:r>
    </w:p>
    <w:p w:rsidR="00986591" w:rsidRPr="00C91050" w:rsidRDefault="00986591" w:rsidP="00241A70">
      <w:pPr>
        <w:pStyle w:val="ListParagraph"/>
        <w:ind w:left="426" w:hanging="426"/>
        <w:rPr>
          <w:rFonts w:asciiTheme="minorHAnsi" w:hAnsiTheme="minorHAnsi"/>
          <w:sz w:val="22"/>
          <w:szCs w:val="22"/>
          <w:lang w:val="en-GB"/>
        </w:rPr>
      </w:pPr>
    </w:p>
    <w:p w:rsidR="009A67CE" w:rsidRDefault="009A67CE" w:rsidP="004E76C8">
      <w:pPr>
        <w:pStyle w:val="ListParagraph"/>
        <w:numPr>
          <w:ilvl w:val="0"/>
          <w:numId w:val="1"/>
        </w:numPr>
        <w:rPr>
          <w:rFonts w:asciiTheme="minorHAnsi" w:hAnsiTheme="minorHAnsi"/>
          <w:sz w:val="22"/>
          <w:szCs w:val="22"/>
          <w:lang w:val="en-GB"/>
        </w:rPr>
      </w:pPr>
      <w:r w:rsidRPr="00C91050">
        <w:rPr>
          <w:rFonts w:asciiTheme="minorHAnsi" w:hAnsiTheme="minorHAnsi"/>
          <w:sz w:val="22"/>
          <w:szCs w:val="22"/>
          <w:lang w:val="en-GB"/>
        </w:rPr>
        <w:t xml:space="preserve">URGES Contracting Parties with outstanding contributions to make a renewed effort to settle them as expeditiously as possible to enhance the financial sustainability of the Convention through contributions by all Contracting Parties, and REQUESTS the Secretariat to contact Contracting Parties with outstanding contributions in excess of three years and work with them </w:t>
      </w:r>
      <w:r w:rsidRPr="00C91050">
        <w:rPr>
          <w:rFonts w:asciiTheme="minorHAnsi" w:hAnsiTheme="minorHAnsi"/>
          <w:sz w:val="22"/>
          <w:szCs w:val="22"/>
          <w:lang w:val="en-GB"/>
        </w:rPr>
        <w:lastRenderedPageBreak/>
        <w:t xml:space="preserve">to identify appropriate options and actions for addressing the situation and initiating a plan for making payment of contributions, and to report back to each Standing Committee meeting and meeting of the Conference of the Parties on activities taken in this regard and results achieved; </w:t>
      </w:r>
      <w:bookmarkEnd w:id="0"/>
    </w:p>
    <w:p w:rsidR="00986591" w:rsidRPr="00C440A0" w:rsidRDefault="00986591" w:rsidP="00241A70">
      <w:pPr>
        <w:ind w:left="426" w:hanging="426"/>
        <w:rPr>
          <w:rFonts w:asciiTheme="minorHAnsi" w:hAnsiTheme="minorHAnsi"/>
          <w:sz w:val="22"/>
          <w:szCs w:val="22"/>
          <w:lang w:val="en-GB"/>
        </w:rPr>
      </w:pPr>
    </w:p>
    <w:p w:rsidR="009A67CE" w:rsidRDefault="009A67CE" w:rsidP="009461B8">
      <w:pPr>
        <w:pStyle w:val="ListParagraph"/>
        <w:numPr>
          <w:ilvl w:val="0"/>
          <w:numId w:val="1"/>
        </w:numPr>
        <w:rPr>
          <w:rFonts w:asciiTheme="minorHAnsi" w:hAnsiTheme="minorHAnsi"/>
          <w:sz w:val="22"/>
          <w:szCs w:val="22"/>
          <w:lang w:val="en-GB"/>
        </w:rPr>
      </w:pPr>
      <w:r w:rsidRPr="00C91050">
        <w:rPr>
          <w:rFonts w:asciiTheme="minorHAnsi" w:hAnsiTheme="minorHAnsi"/>
          <w:sz w:val="22"/>
          <w:szCs w:val="22"/>
          <w:lang w:val="en-GB"/>
        </w:rPr>
        <w:t xml:space="preserve">NOTES with concern the continued </w:t>
      </w:r>
      <w:r w:rsidR="00325361">
        <w:rPr>
          <w:rFonts w:asciiTheme="minorHAnsi" w:hAnsiTheme="minorHAnsi"/>
          <w:sz w:val="22"/>
          <w:szCs w:val="22"/>
          <w:lang w:val="en-GB"/>
        </w:rPr>
        <w:t>decline</w:t>
      </w:r>
      <w:r w:rsidR="00325361" w:rsidRPr="00C91050">
        <w:rPr>
          <w:rFonts w:asciiTheme="minorHAnsi" w:hAnsiTheme="minorHAnsi"/>
          <w:sz w:val="22"/>
          <w:szCs w:val="22"/>
          <w:lang w:val="en-GB"/>
        </w:rPr>
        <w:t xml:space="preserve"> </w:t>
      </w:r>
      <w:r w:rsidRPr="00C91050">
        <w:rPr>
          <w:rFonts w:asciiTheme="minorHAnsi" w:hAnsiTheme="minorHAnsi"/>
          <w:sz w:val="22"/>
          <w:szCs w:val="22"/>
          <w:lang w:val="en-GB"/>
        </w:rPr>
        <w:t xml:space="preserve">in voluntary contributions from Contracting Parties and URGES Contracting Parties and others </w:t>
      </w:r>
      <w:r w:rsidR="00150190">
        <w:rPr>
          <w:rFonts w:asciiTheme="minorHAnsi" w:hAnsiTheme="minorHAnsi"/>
          <w:sz w:val="22"/>
          <w:szCs w:val="22"/>
          <w:lang w:val="en-GB"/>
        </w:rPr>
        <w:t xml:space="preserve">to </w:t>
      </w:r>
      <w:r w:rsidR="00325361">
        <w:rPr>
          <w:rFonts w:asciiTheme="minorHAnsi" w:hAnsiTheme="minorHAnsi"/>
          <w:sz w:val="22"/>
          <w:szCs w:val="22"/>
          <w:lang w:val="en-GB"/>
        </w:rPr>
        <w:t xml:space="preserve">seek </w:t>
      </w:r>
      <w:r w:rsidRPr="00C91050">
        <w:rPr>
          <w:rFonts w:asciiTheme="minorHAnsi" w:hAnsiTheme="minorHAnsi"/>
          <w:sz w:val="22"/>
          <w:szCs w:val="22"/>
          <w:lang w:val="en-GB"/>
        </w:rPr>
        <w:t>to reverse this trend in order to fund the importa</w:t>
      </w:r>
      <w:r w:rsidR="007F1160">
        <w:rPr>
          <w:rFonts w:asciiTheme="minorHAnsi" w:hAnsiTheme="minorHAnsi"/>
          <w:sz w:val="22"/>
          <w:szCs w:val="22"/>
          <w:lang w:val="en-GB"/>
        </w:rPr>
        <w:t>nt non-core element of the 2016</w:t>
      </w:r>
      <w:r w:rsidRPr="00C91050">
        <w:rPr>
          <w:rFonts w:asciiTheme="minorHAnsi" w:hAnsiTheme="minorHAnsi"/>
          <w:sz w:val="22"/>
          <w:szCs w:val="22"/>
          <w:lang w:val="en-GB"/>
        </w:rPr>
        <w:t>-2018 combined budget</w:t>
      </w:r>
      <w:r w:rsidR="009461B8">
        <w:rPr>
          <w:rFonts w:asciiTheme="minorHAnsi" w:hAnsiTheme="minorHAnsi"/>
          <w:sz w:val="22"/>
          <w:szCs w:val="22"/>
          <w:lang w:val="en-GB"/>
        </w:rPr>
        <w:t xml:space="preserve">, </w:t>
      </w:r>
      <w:r w:rsidR="009461B8" w:rsidRPr="009461B8">
        <w:rPr>
          <w:rFonts w:asciiTheme="minorHAnsi" w:hAnsiTheme="minorHAnsi"/>
          <w:sz w:val="22"/>
          <w:szCs w:val="22"/>
          <w:lang w:val="en-GB"/>
        </w:rPr>
        <w:t>and WELCOMES voluntary contributions from any donor for activities not mentioned in Annex III, but which support the implementation of  the Ramsar Strategic Plan 2016-2024</w:t>
      </w:r>
      <w:r w:rsidR="000F138D">
        <w:rPr>
          <w:rFonts w:asciiTheme="minorHAnsi" w:hAnsiTheme="minorHAnsi"/>
          <w:sz w:val="22"/>
          <w:szCs w:val="22"/>
          <w:lang w:val="en-GB"/>
        </w:rPr>
        <w:t>;</w:t>
      </w:r>
      <w:r w:rsidRPr="00C91050">
        <w:rPr>
          <w:rFonts w:asciiTheme="minorHAnsi" w:hAnsiTheme="minorHAnsi"/>
          <w:sz w:val="22"/>
          <w:szCs w:val="22"/>
          <w:lang w:val="en-GB"/>
        </w:rPr>
        <w:t xml:space="preserve"> </w:t>
      </w:r>
    </w:p>
    <w:p w:rsidR="00986591" w:rsidRPr="00C440A0" w:rsidRDefault="00986591" w:rsidP="00241A70">
      <w:pPr>
        <w:ind w:left="426" w:hanging="426"/>
        <w:rPr>
          <w:rFonts w:asciiTheme="minorHAnsi" w:hAnsiTheme="minorHAnsi"/>
          <w:sz w:val="22"/>
          <w:szCs w:val="22"/>
          <w:lang w:val="en-GB"/>
        </w:rPr>
      </w:pPr>
    </w:p>
    <w:p w:rsidR="009A67CE" w:rsidRPr="00C91050" w:rsidRDefault="009A67CE" w:rsidP="00946A3B">
      <w:pPr>
        <w:pStyle w:val="ListParagraph"/>
        <w:numPr>
          <w:ilvl w:val="0"/>
          <w:numId w:val="1"/>
        </w:numPr>
        <w:rPr>
          <w:rFonts w:asciiTheme="minorHAnsi" w:hAnsiTheme="minorHAnsi"/>
          <w:sz w:val="22"/>
          <w:szCs w:val="22"/>
          <w:lang w:val="en-GB"/>
        </w:rPr>
      </w:pPr>
      <w:r w:rsidRPr="00C91050">
        <w:rPr>
          <w:rFonts w:asciiTheme="minorHAnsi" w:hAnsiTheme="minorHAnsi"/>
          <w:sz w:val="22"/>
          <w:szCs w:val="22"/>
          <w:lang w:val="en-GB"/>
        </w:rPr>
        <w:t>REQUEST</w:t>
      </w:r>
      <w:r w:rsidR="007F1160">
        <w:rPr>
          <w:rFonts w:asciiTheme="minorHAnsi" w:hAnsiTheme="minorHAnsi"/>
          <w:sz w:val="22"/>
          <w:szCs w:val="22"/>
          <w:lang w:val="en-GB"/>
        </w:rPr>
        <w:t>S</w:t>
      </w:r>
      <w:r w:rsidRPr="00C91050">
        <w:rPr>
          <w:rFonts w:asciiTheme="minorHAnsi" w:hAnsiTheme="minorHAnsi"/>
          <w:sz w:val="22"/>
          <w:szCs w:val="22"/>
          <w:lang w:val="en-GB"/>
        </w:rPr>
        <w:t xml:space="preserve"> that the Secretariat continue to develop new approaches and tools, including signature initiatives, as appropriate, to secure voluntary financial support for </w:t>
      </w:r>
      <w:r w:rsidR="00325361">
        <w:rPr>
          <w:rFonts w:asciiTheme="minorHAnsi" w:hAnsiTheme="minorHAnsi"/>
          <w:sz w:val="22"/>
          <w:szCs w:val="22"/>
          <w:lang w:val="en-GB"/>
        </w:rPr>
        <w:t xml:space="preserve">currently unfunded </w:t>
      </w:r>
      <w:r w:rsidRPr="00C91050">
        <w:rPr>
          <w:rFonts w:asciiTheme="minorHAnsi" w:hAnsiTheme="minorHAnsi"/>
          <w:sz w:val="22"/>
          <w:szCs w:val="22"/>
          <w:lang w:val="en-GB"/>
        </w:rPr>
        <w:t>priority projects</w:t>
      </w:r>
      <w:r w:rsidR="00325361">
        <w:rPr>
          <w:rFonts w:asciiTheme="minorHAnsi" w:hAnsiTheme="minorHAnsi"/>
          <w:sz w:val="22"/>
          <w:szCs w:val="22"/>
          <w:lang w:val="en-GB"/>
        </w:rPr>
        <w:t>,</w:t>
      </w:r>
      <w:r w:rsidR="000F138D">
        <w:rPr>
          <w:rFonts w:asciiTheme="minorHAnsi" w:hAnsiTheme="minorHAnsi"/>
          <w:sz w:val="22"/>
          <w:szCs w:val="22"/>
          <w:lang w:val="en-GB"/>
        </w:rPr>
        <w:t xml:space="preserve"> as listed in Annex </w:t>
      </w:r>
      <w:r w:rsidR="000100AE">
        <w:rPr>
          <w:rFonts w:asciiTheme="minorHAnsi" w:hAnsiTheme="minorHAnsi"/>
          <w:sz w:val="22"/>
          <w:szCs w:val="22"/>
          <w:lang w:val="en-GB"/>
        </w:rPr>
        <w:t>III</w:t>
      </w:r>
      <w:r w:rsidRPr="00C91050">
        <w:rPr>
          <w:rFonts w:asciiTheme="minorHAnsi" w:hAnsiTheme="minorHAnsi"/>
          <w:sz w:val="22"/>
          <w:szCs w:val="22"/>
          <w:lang w:val="en-GB"/>
        </w:rPr>
        <w:t>;</w:t>
      </w:r>
    </w:p>
    <w:p w:rsidR="009A67CE" w:rsidRPr="00C91050" w:rsidRDefault="009A67CE" w:rsidP="00241A70">
      <w:pPr>
        <w:ind w:left="426" w:hanging="426"/>
        <w:rPr>
          <w:rFonts w:asciiTheme="minorHAnsi" w:hAnsiTheme="minorHAnsi"/>
          <w:sz w:val="22"/>
          <w:szCs w:val="22"/>
          <w:lang w:val="en-GB"/>
        </w:rPr>
      </w:pPr>
    </w:p>
    <w:p w:rsidR="009A67CE" w:rsidRDefault="009A67CE" w:rsidP="00946A3B">
      <w:pPr>
        <w:pStyle w:val="ListParagraph"/>
        <w:numPr>
          <w:ilvl w:val="0"/>
          <w:numId w:val="1"/>
        </w:numPr>
        <w:rPr>
          <w:rFonts w:asciiTheme="minorHAnsi" w:hAnsiTheme="minorHAnsi"/>
          <w:sz w:val="22"/>
          <w:szCs w:val="22"/>
          <w:lang w:val="en-GB"/>
        </w:rPr>
      </w:pPr>
      <w:r w:rsidRPr="00C91050">
        <w:rPr>
          <w:rFonts w:asciiTheme="minorHAnsi" w:hAnsiTheme="minorHAnsi"/>
          <w:sz w:val="22"/>
          <w:szCs w:val="22"/>
          <w:lang w:val="en-GB"/>
        </w:rPr>
        <w:t xml:space="preserve">REAFFIRMS its conviction that the Convention’s Small Grants Fund, </w:t>
      </w:r>
      <w:r w:rsidR="008B748F">
        <w:rPr>
          <w:rFonts w:asciiTheme="minorHAnsi" w:hAnsiTheme="minorHAnsi"/>
          <w:sz w:val="22"/>
          <w:szCs w:val="22"/>
          <w:lang w:val="en-GB"/>
        </w:rPr>
        <w:t>is</w:t>
      </w:r>
      <w:r w:rsidR="008B748F" w:rsidRPr="00C91050">
        <w:rPr>
          <w:rFonts w:asciiTheme="minorHAnsi" w:hAnsiTheme="minorHAnsi"/>
          <w:sz w:val="22"/>
          <w:szCs w:val="22"/>
          <w:lang w:val="en-GB"/>
        </w:rPr>
        <w:t xml:space="preserve"> </w:t>
      </w:r>
      <w:r w:rsidRPr="00C91050">
        <w:rPr>
          <w:rFonts w:asciiTheme="minorHAnsi" w:hAnsiTheme="minorHAnsi"/>
          <w:sz w:val="22"/>
          <w:szCs w:val="22"/>
          <w:lang w:val="en-GB"/>
        </w:rPr>
        <w:t xml:space="preserve">of great value in terms of the implementation of the Convention, and URGES Parties and others to find CHF </w:t>
      </w:r>
      <w:r w:rsidR="000F138D">
        <w:rPr>
          <w:rFonts w:asciiTheme="minorHAnsi" w:hAnsiTheme="minorHAnsi"/>
          <w:sz w:val="22"/>
          <w:szCs w:val="22"/>
          <w:lang w:val="en-GB"/>
        </w:rPr>
        <w:t>1</w:t>
      </w:r>
      <w:r w:rsidR="008B748F">
        <w:rPr>
          <w:rFonts w:asciiTheme="minorHAnsi" w:hAnsiTheme="minorHAnsi"/>
          <w:sz w:val="22"/>
          <w:szCs w:val="22"/>
          <w:lang w:val="en-GB"/>
        </w:rPr>
        <w:t>,</w:t>
      </w:r>
      <w:r w:rsidR="000F138D">
        <w:rPr>
          <w:rFonts w:asciiTheme="minorHAnsi" w:hAnsiTheme="minorHAnsi"/>
          <w:sz w:val="22"/>
          <w:szCs w:val="22"/>
          <w:lang w:val="en-GB"/>
        </w:rPr>
        <w:t>000</w:t>
      </w:r>
      <w:r w:rsidR="008B748F">
        <w:rPr>
          <w:rFonts w:asciiTheme="minorHAnsi" w:hAnsiTheme="minorHAnsi"/>
          <w:sz w:val="22"/>
          <w:szCs w:val="22"/>
          <w:lang w:val="en-GB"/>
        </w:rPr>
        <w:t>,</w:t>
      </w:r>
      <w:r w:rsidR="000F138D">
        <w:rPr>
          <w:rFonts w:asciiTheme="minorHAnsi" w:hAnsiTheme="minorHAnsi"/>
          <w:sz w:val="22"/>
          <w:szCs w:val="22"/>
          <w:lang w:val="en-GB"/>
        </w:rPr>
        <w:t xml:space="preserve">000 over the next triennium (Annex </w:t>
      </w:r>
      <w:r w:rsidR="000100AE">
        <w:rPr>
          <w:rFonts w:asciiTheme="minorHAnsi" w:hAnsiTheme="minorHAnsi"/>
          <w:sz w:val="22"/>
          <w:szCs w:val="22"/>
          <w:lang w:val="en-GB"/>
        </w:rPr>
        <w:t>III</w:t>
      </w:r>
      <w:r w:rsidR="000F138D">
        <w:rPr>
          <w:rFonts w:asciiTheme="minorHAnsi" w:hAnsiTheme="minorHAnsi"/>
          <w:sz w:val="22"/>
          <w:szCs w:val="22"/>
          <w:lang w:val="en-GB"/>
        </w:rPr>
        <w:t>)</w:t>
      </w:r>
      <w:r w:rsidRPr="00C91050">
        <w:rPr>
          <w:rFonts w:asciiTheme="minorHAnsi" w:hAnsiTheme="minorHAnsi"/>
          <w:sz w:val="22"/>
          <w:szCs w:val="22"/>
          <w:lang w:val="en-GB"/>
        </w:rPr>
        <w:t xml:space="preserve"> to secure the efficient operation of th</w:t>
      </w:r>
      <w:r w:rsidR="008B748F">
        <w:rPr>
          <w:rFonts w:asciiTheme="minorHAnsi" w:hAnsiTheme="minorHAnsi"/>
          <w:sz w:val="22"/>
          <w:szCs w:val="22"/>
          <w:lang w:val="en-GB"/>
        </w:rPr>
        <w:t xml:space="preserve">is </w:t>
      </w:r>
      <w:r w:rsidRPr="00C91050">
        <w:rPr>
          <w:rFonts w:asciiTheme="minorHAnsi" w:hAnsiTheme="minorHAnsi"/>
          <w:sz w:val="22"/>
          <w:szCs w:val="22"/>
          <w:lang w:val="en-GB"/>
        </w:rPr>
        <w:t>programme</w:t>
      </w:r>
      <w:r w:rsidR="000F138D">
        <w:rPr>
          <w:rFonts w:asciiTheme="minorHAnsi" w:hAnsiTheme="minorHAnsi"/>
          <w:sz w:val="22"/>
          <w:szCs w:val="22"/>
          <w:lang w:val="en-GB"/>
        </w:rPr>
        <w:t>;</w:t>
      </w:r>
      <w:r w:rsidRPr="00C91050">
        <w:rPr>
          <w:rFonts w:asciiTheme="minorHAnsi" w:hAnsiTheme="minorHAnsi"/>
          <w:sz w:val="22"/>
          <w:szCs w:val="22"/>
          <w:lang w:val="en-GB"/>
        </w:rPr>
        <w:t xml:space="preserve"> </w:t>
      </w:r>
    </w:p>
    <w:p w:rsidR="00F3206B" w:rsidRPr="00C440A0" w:rsidRDefault="00F3206B" w:rsidP="00241A70">
      <w:pPr>
        <w:ind w:left="426" w:hanging="426"/>
        <w:rPr>
          <w:rFonts w:asciiTheme="minorHAnsi" w:hAnsiTheme="minorHAnsi"/>
          <w:sz w:val="22"/>
          <w:szCs w:val="22"/>
          <w:lang w:val="en-GB"/>
        </w:rPr>
      </w:pPr>
    </w:p>
    <w:p w:rsidR="00F3206B" w:rsidRDefault="009A67CE" w:rsidP="00946A3B">
      <w:pPr>
        <w:pStyle w:val="ListParagraph"/>
        <w:numPr>
          <w:ilvl w:val="0"/>
          <w:numId w:val="1"/>
        </w:numPr>
        <w:rPr>
          <w:rFonts w:asciiTheme="minorHAnsi" w:hAnsiTheme="minorHAnsi"/>
          <w:sz w:val="22"/>
          <w:szCs w:val="22"/>
          <w:lang w:val="en-GB"/>
        </w:rPr>
      </w:pPr>
      <w:r w:rsidRPr="00C91050">
        <w:rPr>
          <w:rFonts w:asciiTheme="minorHAnsi" w:hAnsiTheme="minorHAnsi"/>
          <w:sz w:val="22"/>
          <w:szCs w:val="22"/>
          <w:lang w:val="en-GB"/>
        </w:rPr>
        <w:t>REQUEST</w:t>
      </w:r>
      <w:r w:rsidR="007F1160">
        <w:rPr>
          <w:rFonts w:asciiTheme="minorHAnsi" w:hAnsiTheme="minorHAnsi"/>
          <w:sz w:val="22"/>
          <w:szCs w:val="22"/>
          <w:lang w:val="en-GB"/>
        </w:rPr>
        <w:t>S</w:t>
      </w:r>
      <w:r w:rsidRPr="00C91050">
        <w:rPr>
          <w:rFonts w:asciiTheme="minorHAnsi" w:hAnsiTheme="minorHAnsi"/>
          <w:sz w:val="22"/>
          <w:szCs w:val="22"/>
          <w:lang w:val="en-GB"/>
        </w:rPr>
        <w:t xml:space="preserve"> that the Standing Committee review the operation of the programme during the triennium and definitively conclude whether the Parties should continue or cease the Small Grants Fund for the consideration of the 13</w:t>
      </w:r>
      <w:r w:rsidRPr="00C91050">
        <w:rPr>
          <w:rFonts w:asciiTheme="minorHAnsi" w:hAnsiTheme="minorHAnsi"/>
          <w:sz w:val="22"/>
          <w:szCs w:val="22"/>
          <w:vertAlign w:val="superscript"/>
          <w:lang w:val="en-GB"/>
        </w:rPr>
        <w:t>th</w:t>
      </w:r>
      <w:r w:rsidRPr="00C91050">
        <w:rPr>
          <w:rFonts w:asciiTheme="minorHAnsi" w:hAnsiTheme="minorHAnsi"/>
          <w:sz w:val="22"/>
          <w:szCs w:val="22"/>
          <w:lang w:val="en-GB"/>
        </w:rPr>
        <w:t xml:space="preserve"> meeting of the Conference of the Contracting Parties;</w:t>
      </w:r>
    </w:p>
    <w:p w:rsidR="00502D8D" w:rsidRDefault="00502D8D" w:rsidP="00241A70">
      <w:pPr>
        <w:pStyle w:val="ListParagraph"/>
        <w:ind w:left="426" w:hanging="426"/>
        <w:rPr>
          <w:rFonts w:asciiTheme="minorHAnsi" w:hAnsiTheme="minorHAnsi"/>
          <w:sz w:val="22"/>
          <w:szCs w:val="22"/>
          <w:lang w:val="en-GB"/>
        </w:rPr>
      </w:pPr>
    </w:p>
    <w:p w:rsidR="00502D8D" w:rsidRPr="00C91050" w:rsidRDefault="00502D8D" w:rsidP="00946A3B">
      <w:pPr>
        <w:pStyle w:val="ListParagraph"/>
        <w:numPr>
          <w:ilvl w:val="0"/>
          <w:numId w:val="1"/>
        </w:numPr>
        <w:rPr>
          <w:rFonts w:asciiTheme="minorHAnsi" w:hAnsiTheme="minorHAnsi"/>
          <w:sz w:val="22"/>
          <w:szCs w:val="22"/>
          <w:lang w:val="en-GB"/>
        </w:rPr>
      </w:pPr>
      <w:r>
        <w:rPr>
          <w:rFonts w:asciiTheme="minorHAnsi" w:hAnsiTheme="minorHAnsi"/>
          <w:sz w:val="22"/>
          <w:szCs w:val="22"/>
          <w:lang w:val="en-GB"/>
        </w:rPr>
        <w:t>EXPRESSES GRATITUDE</w:t>
      </w:r>
      <w:r w:rsidR="00A66D36">
        <w:rPr>
          <w:rFonts w:asciiTheme="minorHAnsi" w:hAnsiTheme="minorHAnsi"/>
          <w:sz w:val="22"/>
          <w:szCs w:val="22"/>
          <w:lang w:val="en-GB"/>
        </w:rPr>
        <w:t xml:space="preserve"> to</w:t>
      </w:r>
      <w:r>
        <w:rPr>
          <w:rFonts w:asciiTheme="minorHAnsi" w:hAnsiTheme="minorHAnsi"/>
          <w:sz w:val="22"/>
          <w:szCs w:val="22"/>
          <w:lang w:val="en-GB"/>
        </w:rPr>
        <w:t xml:space="preserve"> </w:t>
      </w:r>
      <w:r w:rsidR="00325361">
        <w:rPr>
          <w:rFonts w:asciiTheme="minorHAnsi" w:hAnsiTheme="minorHAnsi"/>
          <w:sz w:val="22"/>
          <w:szCs w:val="22"/>
          <w:lang w:val="en-GB"/>
        </w:rPr>
        <w:t>the governments of Switzerland and the United States of America and the Danone and MAVA Foundations for their voluntary contributions to non-core activities of the Convention; namely,</w:t>
      </w:r>
      <w:r w:rsidR="000100AE">
        <w:rPr>
          <w:rFonts w:asciiTheme="minorHAnsi" w:hAnsiTheme="minorHAnsi"/>
          <w:sz w:val="22"/>
          <w:szCs w:val="22"/>
          <w:lang w:val="en-GB"/>
        </w:rPr>
        <w:t xml:space="preserve"> the</w:t>
      </w:r>
      <w:r w:rsidR="00325361">
        <w:rPr>
          <w:rFonts w:asciiTheme="minorHAnsi" w:hAnsiTheme="minorHAnsi"/>
          <w:sz w:val="22"/>
          <w:szCs w:val="22"/>
          <w:lang w:val="en-GB"/>
        </w:rPr>
        <w:t xml:space="preserve"> Swiss Grant for Africa, Wetlands for the Future, World Wetlands Day, and the Ramsar Culture Network, respectively</w:t>
      </w:r>
      <w:r>
        <w:rPr>
          <w:rFonts w:asciiTheme="minorHAnsi" w:hAnsiTheme="minorHAnsi"/>
          <w:sz w:val="22"/>
          <w:szCs w:val="22"/>
          <w:lang w:val="en-GB"/>
        </w:rPr>
        <w:t xml:space="preserve">. </w:t>
      </w:r>
    </w:p>
    <w:p w:rsidR="00F3206B" w:rsidRPr="008B748F" w:rsidRDefault="00F3206B" w:rsidP="00241A70">
      <w:pPr>
        <w:tabs>
          <w:tab w:val="left" w:pos="7620"/>
        </w:tabs>
        <w:ind w:left="426" w:hanging="426"/>
        <w:rPr>
          <w:rFonts w:asciiTheme="minorHAnsi" w:hAnsiTheme="minorHAnsi"/>
          <w:sz w:val="22"/>
          <w:szCs w:val="22"/>
          <w:lang w:val="en-GB"/>
        </w:rPr>
      </w:pPr>
    </w:p>
    <w:p w:rsidR="00F3206B" w:rsidRDefault="00502D8D" w:rsidP="00946A3B">
      <w:pPr>
        <w:pStyle w:val="Default"/>
        <w:numPr>
          <w:ilvl w:val="0"/>
          <w:numId w:val="1"/>
        </w:numPr>
        <w:rPr>
          <w:rFonts w:asciiTheme="minorHAnsi" w:hAnsiTheme="minorHAnsi"/>
          <w:color w:val="auto"/>
          <w:sz w:val="22"/>
          <w:szCs w:val="22"/>
        </w:rPr>
      </w:pPr>
      <w:r>
        <w:rPr>
          <w:rFonts w:asciiTheme="minorHAnsi" w:hAnsiTheme="minorHAnsi"/>
          <w:color w:val="auto"/>
          <w:sz w:val="22"/>
          <w:szCs w:val="22"/>
        </w:rPr>
        <w:t>REAFFIRMS the decision taken at COP1</w:t>
      </w:r>
      <w:r w:rsidR="006D39B8">
        <w:rPr>
          <w:rFonts w:asciiTheme="minorHAnsi" w:hAnsiTheme="minorHAnsi"/>
          <w:color w:val="auto"/>
          <w:sz w:val="22"/>
          <w:szCs w:val="22"/>
        </w:rPr>
        <w:t>1</w:t>
      </w:r>
      <w:r>
        <w:rPr>
          <w:rFonts w:asciiTheme="minorHAnsi" w:hAnsiTheme="minorHAnsi"/>
          <w:color w:val="auto"/>
          <w:sz w:val="22"/>
          <w:szCs w:val="22"/>
        </w:rPr>
        <w:t xml:space="preserve"> (Resolution X1.2)</w:t>
      </w:r>
      <w:r w:rsidR="00F3206B" w:rsidRPr="000C0148">
        <w:rPr>
          <w:rFonts w:asciiTheme="minorHAnsi" w:hAnsiTheme="minorHAnsi"/>
          <w:color w:val="auto"/>
          <w:sz w:val="22"/>
          <w:szCs w:val="22"/>
        </w:rPr>
        <w:t xml:space="preserve"> that the Reserve Fund: </w:t>
      </w:r>
    </w:p>
    <w:p w:rsidR="00986591" w:rsidRPr="000C0148" w:rsidRDefault="00986591" w:rsidP="00986591">
      <w:pPr>
        <w:pStyle w:val="Default"/>
        <w:rPr>
          <w:rFonts w:asciiTheme="minorHAnsi" w:hAnsiTheme="minorHAnsi"/>
          <w:sz w:val="22"/>
          <w:szCs w:val="22"/>
        </w:rPr>
      </w:pPr>
    </w:p>
    <w:p w:rsidR="00F3206B" w:rsidRPr="000C0148" w:rsidRDefault="00F3206B" w:rsidP="00C440A0">
      <w:pPr>
        <w:pStyle w:val="Default"/>
        <w:ind w:left="851" w:hanging="426"/>
        <w:rPr>
          <w:rFonts w:asciiTheme="minorHAnsi" w:hAnsiTheme="minorHAnsi"/>
          <w:sz w:val="22"/>
          <w:szCs w:val="22"/>
        </w:rPr>
      </w:pPr>
      <w:r w:rsidRPr="000C0148">
        <w:rPr>
          <w:rFonts w:asciiTheme="minorHAnsi" w:hAnsiTheme="minorHAnsi"/>
          <w:color w:val="auto"/>
          <w:sz w:val="22"/>
          <w:szCs w:val="22"/>
        </w:rPr>
        <w:t xml:space="preserve">a) </w:t>
      </w:r>
      <w:r w:rsidR="00986591">
        <w:rPr>
          <w:rFonts w:asciiTheme="minorHAnsi" w:hAnsiTheme="minorHAnsi"/>
          <w:color w:val="auto"/>
          <w:sz w:val="22"/>
          <w:szCs w:val="22"/>
        </w:rPr>
        <w:tab/>
      </w:r>
      <w:r w:rsidRPr="000C0148">
        <w:rPr>
          <w:rFonts w:asciiTheme="minorHAnsi" w:hAnsiTheme="minorHAnsi"/>
          <w:color w:val="auto"/>
          <w:sz w:val="22"/>
          <w:szCs w:val="22"/>
        </w:rPr>
        <w:t xml:space="preserve">provides for unforeseen and unavoidable expenditures; </w:t>
      </w:r>
    </w:p>
    <w:p w:rsidR="00F3206B" w:rsidRPr="00841EF7" w:rsidRDefault="00F3206B" w:rsidP="00C440A0">
      <w:pPr>
        <w:pStyle w:val="Default"/>
        <w:ind w:left="851" w:hanging="426"/>
        <w:rPr>
          <w:rFonts w:asciiTheme="minorHAnsi" w:hAnsiTheme="minorHAnsi"/>
          <w:sz w:val="22"/>
          <w:szCs w:val="22"/>
        </w:rPr>
      </w:pPr>
      <w:r w:rsidRPr="00841EF7">
        <w:rPr>
          <w:rFonts w:asciiTheme="minorHAnsi" w:hAnsiTheme="minorHAnsi"/>
          <w:color w:val="auto"/>
          <w:sz w:val="22"/>
          <w:szCs w:val="22"/>
        </w:rPr>
        <w:t xml:space="preserve">b) </w:t>
      </w:r>
      <w:r w:rsidR="00986591">
        <w:rPr>
          <w:rFonts w:asciiTheme="minorHAnsi" w:hAnsiTheme="minorHAnsi"/>
          <w:color w:val="auto"/>
          <w:sz w:val="22"/>
          <w:szCs w:val="22"/>
        </w:rPr>
        <w:tab/>
      </w:r>
      <w:r w:rsidRPr="00841EF7">
        <w:rPr>
          <w:rFonts w:asciiTheme="minorHAnsi" w:hAnsiTheme="minorHAnsi"/>
          <w:color w:val="auto"/>
          <w:sz w:val="22"/>
          <w:szCs w:val="22"/>
        </w:rPr>
        <w:t xml:space="preserve">receives realized core budget surpluses (or </w:t>
      </w:r>
      <w:r w:rsidR="00325361">
        <w:rPr>
          <w:rFonts w:asciiTheme="minorHAnsi" w:hAnsiTheme="minorHAnsi"/>
          <w:color w:val="auto"/>
          <w:sz w:val="22"/>
          <w:szCs w:val="22"/>
        </w:rPr>
        <w:t xml:space="preserve">is applied to </w:t>
      </w:r>
      <w:r w:rsidRPr="00841EF7">
        <w:rPr>
          <w:rFonts w:asciiTheme="minorHAnsi" w:hAnsiTheme="minorHAnsi"/>
          <w:color w:val="auto"/>
          <w:sz w:val="22"/>
          <w:szCs w:val="22"/>
        </w:rPr>
        <w:t>deficits);</w:t>
      </w:r>
    </w:p>
    <w:p w:rsidR="00F3206B" w:rsidRPr="00841EF7" w:rsidRDefault="00F3206B" w:rsidP="00C440A0">
      <w:pPr>
        <w:pStyle w:val="Default"/>
        <w:ind w:left="851" w:hanging="426"/>
        <w:rPr>
          <w:rFonts w:asciiTheme="minorHAnsi" w:hAnsiTheme="minorHAnsi"/>
          <w:sz w:val="22"/>
          <w:szCs w:val="22"/>
        </w:rPr>
      </w:pPr>
      <w:r w:rsidRPr="00841EF7">
        <w:rPr>
          <w:rFonts w:asciiTheme="minorHAnsi" w:hAnsiTheme="minorHAnsi"/>
          <w:color w:val="auto"/>
          <w:sz w:val="22"/>
          <w:szCs w:val="22"/>
        </w:rPr>
        <w:t xml:space="preserve">c) </w:t>
      </w:r>
      <w:r w:rsidR="00986591">
        <w:rPr>
          <w:rFonts w:asciiTheme="minorHAnsi" w:hAnsiTheme="minorHAnsi"/>
          <w:color w:val="auto"/>
          <w:sz w:val="22"/>
          <w:szCs w:val="22"/>
        </w:rPr>
        <w:tab/>
      </w:r>
      <w:r w:rsidRPr="00841EF7">
        <w:rPr>
          <w:rFonts w:asciiTheme="minorHAnsi" w:hAnsiTheme="minorHAnsi"/>
          <w:color w:val="auto"/>
          <w:sz w:val="22"/>
          <w:szCs w:val="22"/>
        </w:rPr>
        <w:t xml:space="preserve">should not be lower than 6% of the annual core budget of the Convention and not greater than 15%; </w:t>
      </w:r>
    </w:p>
    <w:p w:rsidR="00F3206B" w:rsidRPr="00841EF7" w:rsidRDefault="00F3206B" w:rsidP="00C440A0">
      <w:pPr>
        <w:pStyle w:val="Default"/>
        <w:ind w:left="851" w:hanging="426"/>
        <w:rPr>
          <w:rFonts w:asciiTheme="minorHAnsi" w:hAnsiTheme="minorHAnsi"/>
          <w:sz w:val="22"/>
          <w:szCs w:val="22"/>
        </w:rPr>
      </w:pPr>
      <w:r w:rsidRPr="00841EF7">
        <w:rPr>
          <w:rFonts w:asciiTheme="minorHAnsi" w:hAnsiTheme="minorHAnsi"/>
          <w:sz w:val="22"/>
          <w:szCs w:val="22"/>
        </w:rPr>
        <w:t xml:space="preserve">d) </w:t>
      </w:r>
      <w:r w:rsidR="00986591">
        <w:rPr>
          <w:rFonts w:asciiTheme="minorHAnsi" w:hAnsiTheme="minorHAnsi"/>
          <w:sz w:val="22"/>
          <w:szCs w:val="22"/>
        </w:rPr>
        <w:tab/>
      </w:r>
      <w:r w:rsidRPr="00841EF7">
        <w:rPr>
          <w:rFonts w:asciiTheme="minorHAnsi" w:hAnsiTheme="minorHAnsi"/>
          <w:sz w:val="22"/>
          <w:szCs w:val="22"/>
        </w:rPr>
        <w:t>should be administered by the Secretary General with the approval of the Subgroup on Finance as established by the Standing Committee</w:t>
      </w:r>
    </w:p>
    <w:p w:rsidR="009A67CE" w:rsidRPr="00841EF7" w:rsidRDefault="009A67CE" w:rsidP="00C440A0">
      <w:pPr>
        <w:ind w:left="720"/>
        <w:rPr>
          <w:rFonts w:asciiTheme="minorHAnsi" w:hAnsiTheme="minorHAnsi"/>
          <w:sz w:val="22"/>
          <w:szCs w:val="22"/>
          <w:lang w:val="en-GB"/>
        </w:rPr>
      </w:pPr>
      <w:r w:rsidRPr="00841EF7">
        <w:rPr>
          <w:rFonts w:asciiTheme="minorHAnsi" w:hAnsiTheme="minorHAnsi"/>
          <w:sz w:val="22"/>
          <w:szCs w:val="22"/>
          <w:lang w:val="en-GB"/>
        </w:rPr>
        <w:t xml:space="preserve"> </w:t>
      </w:r>
    </w:p>
    <w:p w:rsidR="00986591" w:rsidRDefault="009A67CE" w:rsidP="00946A3B">
      <w:pPr>
        <w:pStyle w:val="ListParagraph"/>
        <w:numPr>
          <w:ilvl w:val="0"/>
          <w:numId w:val="1"/>
        </w:numPr>
        <w:rPr>
          <w:rFonts w:asciiTheme="minorHAnsi" w:hAnsiTheme="minorHAnsi"/>
          <w:sz w:val="22"/>
          <w:szCs w:val="22"/>
          <w:lang w:val="en-GB"/>
        </w:rPr>
      </w:pPr>
      <w:r w:rsidRPr="00C91050">
        <w:rPr>
          <w:rFonts w:asciiTheme="minorHAnsi" w:hAnsiTheme="minorHAnsi"/>
          <w:sz w:val="22"/>
          <w:szCs w:val="22"/>
          <w:lang w:val="en-GB"/>
        </w:rPr>
        <w:t>REQUESTS the Secretariat to endeavo</w:t>
      </w:r>
      <w:r w:rsidR="00B137B8">
        <w:rPr>
          <w:rFonts w:asciiTheme="minorHAnsi" w:hAnsiTheme="minorHAnsi"/>
          <w:sz w:val="22"/>
          <w:szCs w:val="22"/>
          <w:lang w:val="en-GB"/>
        </w:rPr>
        <w:t>u</w:t>
      </w:r>
      <w:r w:rsidRPr="00C91050">
        <w:rPr>
          <w:rFonts w:asciiTheme="minorHAnsi" w:hAnsiTheme="minorHAnsi"/>
          <w:sz w:val="22"/>
          <w:szCs w:val="22"/>
          <w:lang w:val="en-GB"/>
        </w:rPr>
        <w:t>r to maintain the Reserve Fund over the 2016-2018 triennium in accordance with this budget and to report annually to the Standing Committee on the status and propose to its Subgroup on Finance for its concurrence prior to any uses of the Fund</w:t>
      </w:r>
      <w:r w:rsidR="00150190">
        <w:rPr>
          <w:rFonts w:asciiTheme="minorHAnsi" w:hAnsiTheme="minorHAnsi"/>
          <w:sz w:val="22"/>
          <w:szCs w:val="22"/>
          <w:lang w:val="en-GB"/>
        </w:rPr>
        <w:t>;</w:t>
      </w:r>
    </w:p>
    <w:p w:rsidR="00150190" w:rsidRPr="00C440A0" w:rsidRDefault="00150190" w:rsidP="00241A70">
      <w:pPr>
        <w:ind w:left="426" w:hanging="426"/>
        <w:rPr>
          <w:rFonts w:asciiTheme="minorHAnsi" w:hAnsiTheme="minorHAnsi"/>
          <w:sz w:val="22"/>
          <w:szCs w:val="22"/>
          <w:lang w:val="en-GB"/>
        </w:rPr>
      </w:pPr>
    </w:p>
    <w:p w:rsidR="00986591" w:rsidRPr="007D1CAD" w:rsidRDefault="00150190" w:rsidP="00946A3B">
      <w:pPr>
        <w:pStyle w:val="ListParagraph"/>
        <w:numPr>
          <w:ilvl w:val="0"/>
          <w:numId w:val="1"/>
        </w:numPr>
        <w:rPr>
          <w:rFonts w:asciiTheme="minorHAnsi" w:hAnsiTheme="minorHAnsi"/>
          <w:lang w:val="en-GB"/>
        </w:rPr>
      </w:pPr>
      <w:r w:rsidRPr="0026419D">
        <w:rPr>
          <w:rFonts w:asciiTheme="minorHAnsi" w:hAnsiTheme="minorHAnsi"/>
          <w:sz w:val="22"/>
          <w:szCs w:val="22"/>
          <w:lang w:val="en-GB"/>
        </w:rPr>
        <w:t xml:space="preserve">APPROVES the staffing table for the Secretariat in terms of </w:t>
      </w:r>
      <w:r w:rsidR="00D103D1" w:rsidRPr="007D0C20">
        <w:rPr>
          <w:rFonts w:asciiTheme="minorHAnsi" w:hAnsiTheme="minorHAnsi"/>
          <w:sz w:val="22"/>
          <w:szCs w:val="22"/>
          <w:lang w:val="en-GB"/>
        </w:rPr>
        <w:t xml:space="preserve">staff </w:t>
      </w:r>
      <w:r w:rsidRPr="007D0C20">
        <w:rPr>
          <w:rFonts w:asciiTheme="minorHAnsi" w:hAnsiTheme="minorHAnsi"/>
          <w:sz w:val="22"/>
          <w:szCs w:val="22"/>
          <w:lang w:val="en-GB"/>
        </w:rPr>
        <w:t xml:space="preserve">numbers and </w:t>
      </w:r>
      <w:r w:rsidR="00D103D1" w:rsidRPr="007D0C20">
        <w:rPr>
          <w:rFonts w:asciiTheme="minorHAnsi" w:hAnsiTheme="minorHAnsi"/>
          <w:sz w:val="22"/>
          <w:szCs w:val="22"/>
          <w:lang w:val="en-GB"/>
        </w:rPr>
        <w:t xml:space="preserve">position (according to the IUCN Human Resources </w:t>
      </w:r>
      <w:r w:rsidR="00D103D1" w:rsidRPr="0026419D">
        <w:rPr>
          <w:rFonts w:asciiTheme="minorHAnsi" w:hAnsiTheme="minorHAnsi"/>
          <w:sz w:val="22"/>
          <w:szCs w:val="22"/>
          <w:lang w:val="en-GB"/>
        </w:rPr>
        <w:t>Function Group)</w:t>
      </w:r>
      <w:r w:rsidRPr="0026419D">
        <w:rPr>
          <w:rFonts w:asciiTheme="minorHAnsi" w:hAnsiTheme="minorHAnsi"/>
          <w:sz w:val="22"/>
          <w:szCs w:val="22"/>
          <w:lang w:val="en-GB"/>
        </w:rPr>
        <w:t xml:space="preserve"> for the triennium, as contained in Annex IV</w:t>
      </w:r>
      <w:r w:rsidR="0026419D" w:rsidRPr="0026419D">
        <w:rPr>
          <w:rFonts w:asciiTheme="minorHAnsi" w:hAnsiTheme="minorHAnsi"/>
          <w:sz w:val="22"/>
          <w:szCs w:val="22"/>
          <w:lang w:val="en-GB"/>
        </w:rPr>
        <w:t>,</w:t>
      </w:r>
      <w:r w:rsidRPr="0026419D">
        <w:rPr>
          <w:rFonts w:asciiTheme="minorHAnsi" w:hAnsiTheme="minorHAnsi"/>
          <w:sz w:val="22"/>
          <w:szCs w:val="22"/>
          <w:lang w:val="en-GB"/>
        </w:rPr>
        <w:t xml:space="preserve"> </w:t>
      </w:r>
      <w:r w:rsidR="0026419D" w:rsidRPr="0026419D">
        <w:rPr>
          <w:rFonts w:asciiTheme="minorHAnsi" w:hAnsiTheme="minorHAnsi"/>
          <w:sz w:val="22"/>
          <w:szCs w:val="22"/>
          <w:lang w:val="en-GB"/>
        </w:rPr>
        <w:t>and NOTES</w:t>
      </w:r>
      <w:r w:rsidRPr="0026419D">
        <w:rPr>
          <w:rFonts w:asciiTheme="minorHAnsi" w:hAnsiTheme="minorHAnsi"/>
          <w:sz w:val="22"/>
          <w:szCs w:val="22"/>
          <w:lang w:val="en-GB"/>
        </w:rPr>
        <w:t xml:space="preserve"> that any requested changes to </w:t>
      </w:r>
      <w:r w:rsidR="00D103D1" w:rsidRPr="0026419D">
        <w:rPr>
          <w:rFonts w:asciiTheme="minorHAnsi" w:hAnsiTheme="minorHAnsi"/>
          <w:sz w:val="22"/>
          <w:szCs w:val="22"/>
          <w:lang w:val="en-GB"/>
        </w:rPr>
        <w:t xml:space="preserve">staff </w:t>
      </w:r>
      <w:r w:rsidRPr="0026419D">
        <w:rPr>
          <w:rFonts w:asciiTheme="minorHAnsi" w:hAnsiTheme="minorHAnsi"/>
          <w:sz w:val="22"/>
          <w:szCs w:val="22"/>
          <w:lang w:val="en-GB"/>
        </w:rPr>
        <w:t xml:space="preserve">numbers or </w:t>
      </w:r>
      <w:r w:rsidR="00D103D1" w:rsidRPr="0026419D">
        <w:rPr>
          <w:rFonts w:asciiTheme="minorHAnsi" w:hAnsiTheme="minorHAnsi"/>
          <w:sz w:val="22"/>
          <w:szCs w:val="22"/>
          <w:lang w:val="en-GB"/>
        </w:rPr>
        <w:t xml:space="preserve">function group </w:t>
      </w:r>
      <w:r w:rsidRPr="0026419D">
        <w:rPr>
          <w:rFonts w:asciiTheme="minorHAnsi" w:hAnsiTheme="minorHAnsi"/>
          <w:sz w:val="22"/>
          <w:szCs w:val="22"/>
          <w:lang w:val="en-GB"/>
        </w:rPr>
        <w:t xml:space="preserve">of staff is to be </w:t>
      </w:r>
      <w:r w:rsidR="007D0C20">
        <w:rPr>
          <w:rFonts w:asciiTheme="minorHAnsi" w:hAnsiTheme="minorHAnsi"/>
          <w:sz w:val="22"/>
          <w:szCs w:val="22"/>
          <w:lang w:val="en-GB"/>
        </w:rPr>
        <w:t>discussed with</w:t>
      </w:r>
      <w:r w:rsidRPr="007D0C20">
        <w:rPr>
          <w:rFonts w:asciiTheme="minorHAnsi" w:hAnsiTheme="minorHAnsi"/>
          <w:sz w:val="22"/>
          <w:szCs w:val="22"/>
          <w:lang w:val="en-GB"/>
        </w:rPr>
        <w:t xml:space="preserve"> the Executive Team for its concurrence.</w:t>
      </w:r>
    </w:p>
    <w:p w:rsidR="007D1CAD" w:rsidRDefault="007D1CAD" w:rsidP="00241A70">
      <w:pPr>
        <w:ind w:left="426" w:hanging="426"/>
        <w:rPr>
          <w:rFonts w:asciiTheme="minorHAnsi" w:hAnsiTheme="minorHAnsi"/>
          <w:lang w:val="en-GB"/>
        </w:rPr>
      </w:pPr>
    </w:p>
    <w:p w:rsidR="007D1CAD" w:rsidRPr="007D1CAD" w:rsidRDefault="0071044B" w:rsidP="00241A70">
      <w:pPr>
        <w:pStyle w:val="PlainText"/>
        <w:ind w:left="426" w:hanging="426"/>
        <w:rPr>
          <w:rFonts w:asciiTheme="minorHAnsi" w:hAnsiTheme="minorHAnsi"/>
          <w:sz w:val="22"/>
          <w:szCs w:val="22"/>
        </w:rPr>
      </w:pPr>
      <w:r>
        <w:rPr>
          <w:rFonts w:asciiTheme="minorHAnsi" w:hAnsiTheme="minorHAnsi"/>
          <w:sz w:val="22"/>
          <w:szCs w:val="22"/>
          <w:lang w:val="en-GB"/>
        </w:rPr>
        <w:t>27</w:t>
      </w:r>
      <w:r w:rsidR="00241A70">
        <w:rPr>
          <w:rFonts w:asciiTheme="minorHAnsi" w:hAnsiTheme="minorHAnsi"/>
          <w:sz w:val="22"/>
          <w:szCs w:val="22"/>
          <w:lang w:val="en-GB"/>
        </w:rPr>
        <w:t>.</w:t>
      </w:r>
      <w:r w:rsidR="007D1CAD" w:rsidRPr="007D1CAD">
        <w:rPr>
          <w:rFonts w:asciiTheme="minorHAnsi" w:hAnsiTheme="minorHAnsi"/>
          <w:sz w:val="22"/>
          <w:szCs w:val="22"/>
          <w:lang w:val="en-GB"/>
        </w:rPr>
        <w:t xml:space="preserve"> </w:t>
      </w:r>
      <w:r w:rsidR="00241A70">
        <w:rPr>
          <w:rFonts w:asciiTheme="minorHAnsi" w:hAnsiTheme="minorHAnsi"/>
          <w:sz w:val="22"/>
          <w:szCs w:val="22"/>
          <w:lang w:val="en-GB"/>
        </w:rPr>
        <w:tab/>
      </w:r>
      <w:r w:rsidR="007D1CAD" w:rsidRPr="007D1CAD">
        <w:rPr>
          <w:rFonts w:asciiTheme="minorHAnsi" w:hAnsiTheme="minorHAnsi"/>
          <w:sz w:val="22"/>
          <w:szCs w:val="22"/>
        </w:rPr>
        <w:t xml:space="preserve">REQUESTS that the Secretary General does not use consultants on a regular basis as </w:t>
      </w:r>
      <w:r w:rsidR="003F59EA">
        <w:rPr>
          <w:rFonts w:asciiTheme="minorHAnsi" w:hAnsiTheme="minorHAnsi"/>
          <w:sz w:val="22"/>
          <w:szCs w:val="22"/>
        </w:rPr>
        <w:t xml:space="preserve">a </w:t>
      </w:r>
      <w:r w:rsidR="007D1CAD" w:rsidRPr="007D1CAD">
        <w:rPr>
          <w:rFonts w:asciiTheme="minorHAnsi" w:hAnsiTheme="minorHAnsi"/>
          <w:sz w:val="22"/>
          <w:szCs w:val="22"/>
        </w:rPr>
        <w:t>way of delivering core Secretariat functions and that all consultants are used for very short-term, fixed tasks deemed necessary to deliver on the implementation of the Convention, and FURTHER REQUESTS that anything beyond this normal practice be discussed with the Executive Team.</w:t>
      </w:r>
    </w:p>
    <w:p w:rsidR="00986591" w:rsidRPr="00C440A0" w:rsidRDefault="00986591" w:rsidP="00241A70">
      <w:pPr>
        <w:ind w:left="426" w:hanging="426"/>
        <w:rPr>
          <w:rFonts w:asciiTheme="minorHAnsi" w:hAnsiTheme="minorHAnsi"/>
          <w:lang w:val="en-GB"/>
        </w:rPr>
      </w:pPr>
    </w:p>
    <w:p w:rsidR="00150190" w:rsidRDefault="00150190" w:rsidP="0071044B">
      <w:pPr>
        <w:pStyle w:val="ListParagraph"/>
        <w:numPr>
          <w:ilvl w:val="0"/>
          <w:numId w:val="16"/>
        </w:numPr>
        <w:rPr>
          <w:rFonts w:asciiTheme="minorHAnsi" w:hAnsiTheme="minorHAnsi"/>
          <w:sz w:val="22"/>
          <w:szCs w:val="22"/>
          <w:lang w:val="en-GB"/>
        </w:rPr>
      </w:pPr>
      <w:r w:rsidRPr="007D0C20">
        <w:rPr>
          <w:rFonts w:asciiTheme="minorHAnsi" w:hAnsiTheme="minorHAnsi"/>
          <w:sz w:val="22"/>
          <w:szCs w:val="22"/>
          <w:lang w:val="en-GB"/>
        </w:rPr>
        <w:t xml:space="preserve">REQUESTS the Secretariat to utilize the UN Conference on Trade and Development’s list of Small Island Developing States (SIDS) when determining eligibility for sponsorship for delegate travel and to consider SIDS as </w:t>
      </w:r>
      <w:r w:rsidRPr="0026419D">
        <w:rPr>
          <w:rFonts w:asciiTheme="minorHAnsi" w:hAnsiTheme="minorHAnsi"/>
          <w:sz w:val="22"/>
          <w:szCs w:val="22"/>
          <w:lang w:val="en-GB"/>
        </w:rPr>
        <w:t>eligible for support whether or not they are formally classified as such on economic grounds in the OECD Development Assistance Committee (DAC) list.</w:t>
      </w:r>
    </w:p>
    <w:p w:rsidR="0071044B" w:rsidRDefault="0071044B" w:rsidP="0071044B">
      <w:pPr>
        <w:pStyle w:val="ListParagraph"/>
        <w:ind w:left="360"/>
        <w:rPr>
          <w:rFonts w:asciiTheme="minorHAnsi" w:hAnsiTheme="minorHAnsi"/>
          <w:sz w:val="22"/>
          <w:szCs w:val="22"/>
          <w:lang w:val="en-GB"/>
        </w:rPr>
      </w:pPr>
    </w:p>
    <w:p w:rsidR="0071044B" w:rsidRPr="0071044B" w:rsidRDefault="0071044B" w:rsidP="0071044B">
      <w:pPr>
        <w:pStyle w:val="ListParagraph"/>
        <w:numPr>
          <w:ilvl w:val="0"/>
          <w:numId w:val="16"/>
        </w:numPr>
        <w:rPr>
          <w:rFonts w:asciiTheme="minorHAnsi" w:hAnsiTheme="minorHAnsi"/>
          <w:sz w:val="22"/>
          <w:szCs w:val="22"/>
          <w:lang w:val="en-GB"/>
        </w:rPr>
      </w:pPr>
      <w:r w:rsidRPr="0071044B">
        <w:rPr>
          <w:rFonts w:asciiTheme="minorHAnsi" w:hAnsiTheme="minorHAnsi"/>
          <w:sz w:val="22"/>
          <w:szCs w:val="22"/>
        </w:rPr>
        <w:t>INSTRUCTS the Secretariat to ensure that COP 13 is prepared in such a way to enable negotiations on the draft resolutions to commence as early as possible and no later than the afternoon of the first day of COP;</w:t>
      </w:r>
      <w:r>
        <w:rPr>
          <w:rFonts w:asciiTheme="minorHAnsi" w:hAnsiTheme="minorHAnsi"/>
          <w:sz w:val="22"/>
          <w:szCs w:val="22"/>
        </w:rPr>
        <w:t xml:space="preserve"> and</w:t>
      </w:r>
    </w:p>
    <w:p w:rsidR="0071044B" w:rsidRPr="0071044B" w:rsidRDefault="0071044B" w:rsidP="00E96C27">
      <w:pPr>
        <w:pStyle w:val="ListParagraph"/>
        <w:rPr>
          <w:rFonts w:asciiTheme="minorHAnsi" w:hAnsiTheme="minorHAnsi"/>
          <w:sz w:val="22"/>
          <w:szCs w:val="22"/>
          <w:lang w:val="en-GB"/>
        </w:rPr>
      </w:pPr>
    </w:p>
    <w:p w:rsidR="0071044B" w:rsidRPr="0071044B" w:rsidRDefault="0071044B" w:rsidP="0071044B">
      <w:pPr>
        <w:pStyle w:val="ListParagraph"/>
        <w:numPr>
          <w:ilvl w:val="0"/>
          <w:numId w:val="16"/>
        </w:numPr>
        <w:rPr>
          <w:rFonts w:asciiTheme="minorHAnsi" w:hAnsiTheme="minorHAnsi"/>
          <w:sz w:val="22"/>
          <w:szCs w:val="22"/>
          <w:lang w:val="en-GB"/>
        </w:rPr>
      </w:pPr>
      <w:r w:rsidRPr="0071044B">
        <w:rPr>
          <w:rFonts w:asciiTheme="minorHAnsi" w:hAnsiTheme="minorHAnsi"/>
          <w:sz w:val="22"/>
          <w:szCs w:val="22"/>
        </w:rPr>
        <w:t>FURTHER INSTRUCTS the Secretariat to make all efforts to ensure that revised draft resolutions are translated into all official languages during COP13 to enable full and effective participation by all delegations</w:t>
      </w:r>
    </w:p>
    <w:p w:rsidR="009A67CE" w:rsidRPr="001F0CE3" w:rsidRDefault="009A67CE">
      <w:pPr>
        <w:rPr>
          <w:rFonts w:asciiTheme="minorHAnsi" w:hAnsiTheme="minorHAnsi"/>
          <w:lang w:val="en-GB"/>
        </w:rPr>
      </w:pPr>
    </w:p>
    <w:p w:rsidR="00986591" w:rsidRDefault="00986591">
      <w:pPr>
        <w:spacing w:after="200" w:line="276" w:lineRule="auto"/>
        <w:rPr>
          <w:rFonts w:asciiTheme="minorHAnsi" w:hAnsiTheme="minorHAnsi"/>
          <w:b/>
        </w:rPr>
      </w:pPr>
    </w:p>
    <w:p w:rsidR="001A70D3" w:rsidRPr="001F0CE3" w:rsidRDefault="00C91050" w:rsidP="006C434D">
      <w:pPr>
        <w:tabs>
          <w:tab w:val="left" w:pos="1701"/>
        </w:tabs>
        <w:ind w:left="284"/>
        <w:rPr>
          <w:rFonts w:asciiTheme="minorHAnsi" w:hAnsiTheme="minorHAnsi"/>
          <w:b/>
        </w:rPr>
      </w:pPr>
      <w:r w:rsidRPr="001F0CE3">
        <w:rPr>
          <w:rFonts w:asciiTheme="minorHAnsi" w:hAnsiTheme="minorHAnsi"/>
          <w:b/>
        </w:rPr>
        <w:t>Annex I</w:t>
      </w:r>
      <w:r w:rsidRPr="001F0CE3">
        <w:rPr>
          <w:rFonts w:asciiTheme="minorHAnsi" w:hAnsiTheme="minorHAnsi"/>
          <w:b/>
        </w:rPr>
        <w:tab/>
      </w:r>
      <w:r w:rsidR="006C434D">
        <w:rPr>
          <w:rFonts w:asciiTheme="minorHAnsi" w:hAnsiTheme="minorHAnsi"/>
          <w:b/>
        </w:rPr>
        <w:t>Combined Budget for 2016-2018</w:t>
      </w:r>
    </w:p>
    <w:p w:rsidR="001F0CE3" w:rsidRPr="00841EF7" w:rsidRDefault="001F0CE3" w:rsidP="001A70D3">
      <w:pPr>
        <w:tabs>
          <w:tab w:val="left" w:pos="1701"/>
        </w:tabs>
        <w:ind w:left="284"/>
        <w:rPr>
          <w:rFonts w:asciiTheme="minorHAnsi" w:hAnsiTheme="minorHAnsi"/>
          <w:b/>
        </w:rPr>
      </w:pPr>
      <w:r w:rsidRPr="00841EF7">
        <w:rPr>
          <w:rFonts w:asciiTheme="minorHAnsi" w:hAnsiTheme="minorHAnsi"/>
          <w:b/>
        </w:rPr>
        <w:t>Annex II</w:t>
      </w:r>
      <w:r w:rsidRPr="00841EF7">
        <w:rPr>
          <w:rFonts w:asciiTheme="minorHAnsi" w:hAnsiTheme="minorHAnsi"/>
          <w:b/>
        </w:rPr>
        <w:tab/>
      </w:r>
      <w:r w:rsidR="00312709">
        <w:rPr>
          <w:rFonts w:asciiTheme="minorHAnsi" w:hAnsiTheme="minorHAnsi"/>
          <w:b/>
        </w:rPr>
        <w:t>Illustrative Core budget contributions by Contracting Party for 2016-2018</w:t>
      </w:r>
    </w:p>
    <w:p w:rsidR="00C91050" w:rsidRDefault="00C91050" w:rsidP="000F5CFF">
      <w:pPr>
        <w:tabs>
          <w:tab w:val="left" w:pos="1701"/>
        </w:tabs>
        <w:ind w:left="1694" w:hanging="1410"/>
        <w:rPr>
          <w:rFonts w:asciiTheme="minorHAnsi" w:hAnsiTheme="minorHAnsi"/>
          <w:b/>
        </w:rPr>
      </w:pPr>
      <w:r w:rsidRPr="000F138D">
        <w:rPr>
          <w:rFonts w:asciiTheme="minorHAnsi" w:hAnsiTheme="minorHAnsi"/>
          <w:b/>
        </w:rPr>
        <w:t xml:space="preserve">Annex III </w:t>
      </w:r>
      <w:r w:rsidRPr="000F138D">
        <w:rPr>
          <w:rFonts w:asciiTheme="minorHAnsi" w:hAnsiTheme="minorHAnsi"/>
          <w:b/>
        </w:rPr>
        <w:tab/>
      </w:r>
      <w:r w:rsidR="000F5CFF" w:rsidRPr="00BC7DE0">
        <w:rPr>
          <w:rFonts w:asciiTheme="minorHAnsi" w:hAnsiTheme="minorHAnsi"/>
          <w:b/>
        </w:rPr>
        <w:tab/>
      </w:r>
      <w:r w:rsidR="00502D8D">
        <w:rPr>
          <w:rFonts w:asciiTheme="minorHAnsi" w:hAnsiTheme="minorHAnsi"/>
          <w:b/>
        </w:rPr>
        <w:t xml:space="preserve">Analysis of </w:t>
      </w:r>
      <w:r w:rsidR="00312709" w:rsidRPr="000F138D">
        <w:rPr>
          <w:rFonts w:asciiTheme="minorHAnsi" w:hAnsiTheme="minorHAnsi"/>
          <w:b/>
        </w:rPr>
        <w:t xml:space="preserve">2016 </w:t>
      </w:r>
      <w:r w:rsidR="000F138D" w:rsidRPr="00841EF7">
        <w:rPr>
          <w:rFonts w:asciiTheme="minorHAnsi" w:hAnsiTheme="minorHAnsi"/>
          <w:b/>
        </w:rPr>
        <w:t>–</w:t>
      </w:r>
      <w:r w:rsidR="00312709" w:rsidRPr="000F138D">
        <w:rPr>
          <w:rFonts w:asciiTheme="minorHAnsi" w:hAnsiTheme="minorHAnsi"/>
          <w:b/>
        </w:rPr>
        <w:t xml:space="preserve"> 2018</w:t>
      </w:r>
      <w:r w:rsidR="00502D8D">
        <w:rPr>
          <w:rFonts w:asciiTheme="minorHAnsi" w:hAnsiTheme="minorHAnsi"/>
          <w:b/>
        </w:rPr>
        <w:t xml:space="preserve"> budgeted non-Core items,</w:t>
      </w:r>
      <w:r w:rsidR="000F138D" w:rsidRPr="00841EF7">
        <w:rPr>
          <w:rFonts w:asciiTheme="minorHAnsi" w:hAnsiTheme="minorHAnsi"/>
          <w:b/>
        </w:rPr>
        <w:t xml:space="preserve"> in order of priority</w:t>
      </w:r>
    </w:p>
    <w:p w:rsidR="00325361" w:rsidRPr="000F138D" w:rsidRDefault="00325361" w:rsidP="000F5CFF">
      <w:pPr>
        <w:tabs>
          <w:tab w:val="left" w:pos="1701"/>
        </w:tabs>
        <w:ind w:left="1694" w:hanging="1410"/>
        <w:rPr>
          <w:rFonts w:asciiTheme="minorHAnsi" w:hAnsiTheme="minorHAnsi"/>
          <w:b/>
        </w:rPr>
      </w:pPr>
      <w:r>
        <w:rPr>
          <w:rFonts w:asciiTheme="minorHAnsi" w:hAnsiTheme="minorHAnsi"/>
          <w:b/>
        </w:rPr>
        <w:t>Annex IV</w:t>
      </w:r>
      <w:r>
        <w:rPr>
          <w:rFonts w:asciiTheme="minorHAnsi" w:hAnsiTheme="minorHAnsi"/>
          <w:b/>
        </w:rPr>
        <w:tab/>
        <w:t>Approved Secretariat Staff</w:t>
      </w:r>
      <w:r w:rsidR="00D533DE">
        <w:rPr>
          <w:rFonts w:asciiTheme="minorHAnsi" w:hAnsiTheme="minorHAnsi"/>
          <w:b/>
        </w:rPr>
        <w:t xml:space="preserve"> (Core)</w:t>
      </w:r>
      <w:r w:rsidR="00A66D36">
        <w:rPr>
          <w:rFonts w:asciiTheme="minorHAnsi" w:hAnsiTheme="minorHAnsi"/>
          <w:b/>
        </w:rPr>
        <w:t xml:space="preserve"> for 2016-2018</w:t>
      </w:r>
    </w:p>
    <w:p w:rsidR="00C91050" w:rsidRPr="00841EF7" w:rsidRDefault="00C91050" w:rsidP="00C91050">
      <w:pPr>
        <w:rPr>
          <w:rFonts w:asciiTheme="minorHAnsi" w:hAnsiTheme="minorHAnsi"/>
        </w:rPr>
      </w:pPr>
    </w:p>
    <w:p w:rsidR="00CC6891" w:rsidRPr="00841EF7" w:rsidRDefault="00CC6891">
      <w:pPr>
        <w:spacing w:after="200" w:line="276" w:lineRule="auto"/>
        <w:rPr>
          <w:rFonts w:asciiTheme="minorHAnsi" w:hAnsiTheme="minorHAnsi"/>
        </w:rPr>
      </w:pPr>
    </w:p>
    <w:p w:rsidR="004E76C8" w:rsidRDefault="004E76C8">
      <w:pPr>
        <w:spacing w:after="200" w:line="276" w:lineRule="auto"/>
        <w:rPr>
          <w:rFonts w:asciiTheme="minorHAnsi" w:hAnsiTheme="minorHAnsi"/>
          <w:b/>
          <w:sz w:val="28"/>
          <w:szCs w:val="28"/>
        </w:rPr>
      </w:pPr>
      <w:r>
        <w:rPr>
          <w:rFonts w:asciiTheme="minorHAnsi" w:hAnsiTheme="minorHAnsi"/>
          <w:b/>
          <w:sz w:val="28"/>
          <w:szCs w:val="28"/>
        </w:rPr>
        <w:br w:type="page"/>
      </w:r>
    </w:p>
    <w:p w:rsidR="00CC6891" w:rsidRPr="00A30FA4" w:rsidRDefault="00830854" w:rsidP="00CC6891">
      <w:pPr>
        <w:ind w:left="540" w:hanging="540"/>
        <w:rPr>
          <w:rFonts w:asciiTheme="minorHAnsi" w:hAnsiTheme="minorHAnsi"/>
          <w:b/>
          <w:sz w:val="28"/>
          <w:szCs w:val="28"/>
        </w:rPr>
      </w:pPr>
      <w:r>
        <w:rPr>
          <w:rFonts w:asciiTheme="minorHAnsi" w:hAnsiTheme="minorHAnsi"/>
          <w:b/>
          <w:sz w:val="28"/>
          <w:szCs w:val="28"/>
        </w:rPr>
        <w:lastRenderedPageBreak/>
        <w:t>Annex I</w:t>
      </w:r>
    </w:p>
    <w:p w:rsidR="00CC6891" w:rsidRDefault="00A55EA4" w:rsidP="00CC6891">
      <w:pPr>
        <w:rPr>
          <w:rFonts w:asciiTheme="minorHAnsi" w:hAnsiTheme="minorHAnsi"/>
          <w:b/>
          <w:sz w:val="28"/>
          <w:szCs w:val="28"/>
        </w:rPr>
      </w:pPr>
      <w:r>
        <w:rPr>
          <w:rFonts w:asciiTheme="minorHAnsi" w:hAnsiTheme="minorHAnsi"/>
          <w:b/>
          <w:sz w:val="28"/>
          <w:szCs w:val="28"/>
        </w:rPr>
        <w:t>Combined Budget for 2016-2018</w:t>
      </w:r>
    </w:p>
    <w:p w:rsidR="00A120C2" w:rsidRDefault="00A120C2" w:rsidP="00CC6891">
      <w:pPr>
        <w:rPr>
          <w:rFonts w:asciiTheme="minorHAnsi" w:hAnsiTheme="minorHAnsi"/>
          <w:b/>
        </w:rPr>
      </w:pPr>
    </w:p>
    <w:p w:rsidR="00ED54E0" w:rsidRPr="000C0148" w:rsidRDefault="00DB2018" w:rsidP="00841E85">
      <w:pPr>
        <w:rPr>
          <w:rFonts w:asciiTheme="minorHAnsi" w:hAnsiTheme="minorHAnsi"/>
          <w:b/>
        </w:rPr>
      </w:pPr>
      <w:r w:rsidRPr="00DB2018">
        <w:rPr>
          <w:noProof/>
          <w:lang w:val="en-GB" w:eastAsia="en-GB"/>
        </w:rPr>
        <w:drawing>
          <wp:inline distT="0" distB="0" distL="0" distR="0" wp14:anchorId="7B83934E" wp14:editId="01B70D34">
            <wp:extent cx="5732145" cy="51326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5132625"/>
                    </a:xfrm>
                    <a:prstGeom prst="rect">
                      <a:avLst/>
                    </a:prstGeom>
                    <a:noFill/>
                    <a:ln>
                      <a:noFill/>
                    </a:ln>
                  </pic:spPr>
                </pic:pic>
              </a:graphicData>
            </a:graphic>
          </wp:inline>
        </w:drawing>
      </w:r>
    </w:p>
    <w:p w:rsidR="00841E85" w:rsidRDefault="00841E85" w:rsidP="00830854">
      <w:pPr>
        <w:ind w:left="540" w:hanging="540"/>
        <w:rPr>
          <w:rFonts w:asciiTheme="minorHAnsi" w:hAnsiTheme="minorHAnsi"/>
          <w:b/>
          <w:sz w:val="28"/>
          <w:szCs w:val="28"/>
        </w:rPr>
      </w:pPr>
    </w:p>
    <w:p w:rsidR="00580AD7" w:rsidRPr="00ED54E0" w:rsidRDefault="00580AD7" w:rsidP="00580AD7">
      <w:pPr>
        <w:rPr>
          <w:rFonts w:ascii="Calibri" w:hAnsi="Calibri" w:cs="Arial"/>
          <w:b/>
          <w:sz w:val="22"/>
          <w:szCs w:val="22"/>
        </w:rPr>
      </w:pPr>
    </w:p>
    <w:p w:rsidR="004E76C8" w:rsidRDefault="004E76C8">
      <w:pPr>
        <w:spacing w:after="200" w:line="276" w:lineRule="auto"/>
        <w:rPr>
          <w:rFonts w:asciiTheme="minorHAnsi" w:hAnsiTheme="minorHAnsi"/>
          <w:b/>
          <w:sz w:val="28"/>
          <w:szCs w:val="28"/>
        </w:rPr>
      </w:pPr>
      <w:r>
        <w:rPr>
          <w:rFonts w:asciiTheme="minorHAnsi" w:hAnsiTheme="minorHAnsi"/>
          <w:b/>
          <w:sz w:val="28"/>
          <w:szCs w:val="28"/>
        </w:rPr>
        <w:br w:type="page"/>
      </w:r>
    </w:p>
    <w:p w:rsidR="00830854" w:rsidRDefault="004E76C8" w:rsidP="00830854">
      <w:pPr>
        <w:ind w:left="540" w:hanging="540"/>
        <w:rPr>
          <w:rFonts w:asciiTheme="minorHAnsi" w:hAnsiTheme="minorHAnsi"/>
          <w:b/>
          <w:sz w:val="28"/>
          <w:szCs w:val="28"/>
        </w:rPr>
      </w:pPr>
      <w:r>
        <w:rPr>
          <w:rFonts w:asciiTheme="minorHAnsi" w:hAnsiTheme="minorHAnsi"/>
          <w:b/>
          <w:sz w:val="28"/>
          <w:szCs w:val="28"/>
        </w:rPr>
        <w:lastRenderedPageBreak/>
        <w:t xml:space="preserve">Annex </w:t>
      </w:r>
      <w:r w:rsidR="007F6655">
        <w:rPr>
          <w:rFonts w:asciiTheme="minorHAnsi" w:hAnsiTheme="minorHAnsi"/>
          <w:b/>
          <w:sz w:val="28"/>
          <w:szCs w:val="28"/>
        </w:rPr>
        <w:t>II</w:t>
      </w:r>
    </w:p>
    <w:p w:rsidR="00830854" w:rsidRDefault="00830854" w:rsidP="00830854">
      <w:pPr>
        <w:tabs>
          <w:tab w:val="left" w:pos="1701"/>
        </w:tabs>
        <w:rPr>
          <w:rFonts w:asciiTheme="minorHAnsi" w:hAnsiTheme="minorHAnsi"/>
          <w:b/>
        </w:rPr>
      </w:pPr>
      <w:r>
        <w:rPr>
          <w:rFonts w:asciiTheme="minorHAnsi" w:hAnsiTheme="minorHAnsi"/>
          <w:b/>
        </w:rPr>
        <w:t xml:space="preserve">Illustrative </w:t>
      </w:r>
      <w:r w:rsidR="006C434D">
        <w:rPr>
          <w:rFonts w:asciiTheme="minorHAnsi" w:hAnsiTheme="minorHAnsi"/>
          <w:b/>
        </w:rPr>
        <w:t xml:space="preserve">Core-budget </w:t>
      </w:r>
      <w:r w:rsidR="00A55EA4">
        <w:rPr>
          <w:rFonts w:asciiTheme="minorHAnsi" w:hAnsiTheme="minorHAnsi"/>
          <w:b/>
        </w:rPr>
        <w:t>contributions</w:t>
      </w:r>
      <w:r w:rsidR="006C434D">
        <w:rPr>
          <w:rFonts w:asciiTheme="minorHAnsi" w:hAnsiTheme="minorHAnsi"/>
          <w:b/>
        </w:rPr>
        <w:t xml:space="preserve"> by Contracting Part</w:t>
      </w:r>
      <w:r w:rsidR="00A55EA4">
        <w:rPr>
          <w:rFonts w:asciiTheme="minorHAnsi" w:hAnsiTheme="minorHAnsi"/>
          <w:b/>
        </w:rPr>
        <w:t>y for 2016-2018</w:t>
      </w:r>
    </w:p>
    <w:p w:rsidR="006C434D" w:rsidRPr="000C0148" w:rsidRDefault="006C434D" w:rsidP="006C434D">
      <w:pPr>
        <w:ind w:left="540" w:hanging="540"/>
        <w:rPr>
          <w:rFonts w:asciiTheme="minorHAnsi" w:hAnsiTheme="minorHAnsi"/>
          <w:b/>
          <w:sz w:val="28"/>
          <w:szCs w:val="28"/>
        </w:rPr>
      </w:pPr>
    </w:p>
    <w:p w:rsidR="007F6655" w:rsidRDefault="001E2663">
      <w:pPr>
        <w:spacing w:after="200" w:line="276" w:lineRule="auto"/>
        <w:rPr>
          <w:rFonts w:asciiTheme="minorHAnsi" w:hAnsiTheme="minorHAnsi"/>
          <w:b/>
          <w:sz w:val="28"/>
          <w:szCs w:val="28"/>
        </w:rPr>
      </w:pPr>
      <w:r w:rsidRPr="00B051D9">
        <w:rPr>
          <w:noProof/>
          <w:lang w:val="en-GB" w:eastAsia="en-GB"/>
        </w:rPr>
        <w:drawing>
          <wp:inline distT="0" distB="0" distL="0" distR="0" wp14:anchorId="66822CB9" wp14:editId="2AFAB530">
            <wp:extent cx="4629150" cy="725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7258050"/>
                    </a:xfrm>
                    <a:prstGeom prst="rect">
                      <a:avLst/>
                    </a:prstGeom>
                    <a:noFill/>
                    <a:ln>
                      <a:noFill/>
                    </a:ln>
                  </pic:spPr>
                </pic:pic>
              </a:graphicData>
            </a:graphic>
          </wp:inline>
        </w:drawing>
      </w:r>
    </w:p>
    <w:p w:rsidR="001E2663" w:rsidRPr="00B051D9" w:rsidRDefault="001E2663" w:rsidP="001E2663">
      <w:pPr>
        <w:rPr>
          <w:rFonts w:ascii="Calibri" w:hAnsi="Calibri" w:cs="Arial"/>
        </w:rPr>
      </w:pPr>
      <w:r w:rsidRPr="00B051D9">
        <w:rPr>
          <w:rFonts w:ascii="Calibri" w:hAnsi="Calibri" w:cs="Arial"/>
        </w:rPr>
        <w:t>* Revised UN Scale will be applied, when released.</w:t>
      </w:r>
    </w:p>
    <w:p w:rsidR="001E2663" w:rsidRPr="00527783" w:rsidRDefault="001E2663" w:rsidP="001E2663">
      <w:pPr>
        <w:rPr>
          <w:rFonts w:ascii="Calibri" w:hAnsi="Calibri" w:cs="Arial"/>
        </w:rPr>
      </w:pPr>
      <w:r w:rsidRPr="00B051D9">
        <w:rPr>
          <w:rFonts w:ascii="Calibri" w:hAnsi="Calibri" w:cs="Arial"/>
        </w:rPr>
        <w:t>** As previously, 22% of total contributions from Parties</w:t>
      </w:r>
    </w:p>
    <w:p w:rsidR="004E76C8" w:rsidRDefault="001E2663" w:rsidP="001E2663">
      <w:pPr>
        <w:rPr>
          <w:rFonts w:ascii="Calibri" w:hAnsi="Calibri" w:cs="Arial"/>
        </w:rPr>
      </w:pPr>
      <w:r w:rsidRPr="001E2663">
        <w:rPr>
          <w:noProof/>
          <w:lang w:val="en-GB" w:eastAsia="en-GB"/>
        </w:rPr>
        <w:lastRenderedPageBreak/>
        <w:drawing>
          <wp:inline distT="0" distB="0" distL="0" distR="0" wp14:anchorId="6F05C634" wp14:editId="4B91BBF1">
            <wp:extent cx="4626610" cy="80797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6610" cy="8079740"/>
                    </a:xfrm>
                    <a:prstGeom prst="rect">
                      <a:avLst/>
                    </a:prstGeom>
                    <a:noFill/>
                    <a:ln>
                      <a:noFill/>
                    </a:ln>
                  </pic:spPr>
                </pic:pic>
              </a:graphicData>
            </a:graphic>
          </wp:inline>
        </w:drawing>
      </w:r>
    </w:p>
    <w:p w:rsidR="001E2663" w:rsidRPr="00B051D9" w:rsidRDefault="001E2663" w:rsidP="001E2663">
      <w:pPr>
        <w:rPr>
          <w:rFonts w:ascii="Calibri" w:hAnsi="Calibri" w:cs="Arial"/>
        </w:rPr>
      </w:pPr>
      <w:r w:rsidRPr="00B051D9">
        <w:rPr>
          <w:rFonts w:ascii="Calibri" w:hAnsi="Calibri" w:cs="Arial"/>
        </w:rPr>
        <w:t>* Revised UN Scale will be applied, when released.</w:t>
      </w:r>
    </w:p>
    <w:p w:rsidR="001E2663" w:rsidRPr="00527783" w:rsidRDefault="001E2663" w:rsidP="001E2663">
      <w:pPr>
        <w:rPr>
          <w:rFonts w:ascii="Calibri" w:hAnsi="Calibri" w:cs="Arial"/>
        </w:rPr>
      </w:pPr>
      <w:r w:rsidRPr="00B051D9">
        <w:rPr>
          <w:rFonts w:ascii="Calibri" w:hAnsi="Calibri" w:cs="Arial"/>
        </w:rPr>
        <w:t>** As previously, 22% of total contributions from Parties</w:t>
      </w:r>
    </w:p>
    <w:p w:rsidR="007F6655" w:rsidRDefault="007F6655" w:rsidP="006C434D">
      <w:pPr>
        <w:ind w:left="540" w:hanging="540"/>
        <w:rPr>
          <w:rFonts w:asciiTheme="minorHAnsi" w:hAnsiTheme="minorHAnsi"/>
          <w:b/>
          <w:sz w:val="28"/>
          <w:szCs w:val="28"/>
        </w:rPr>
      </w:pPr>
    </w:p>
    <w:p w:rsidR="001E2663" w:rsidRDefault="001E2663">
      <w:pPr>
        <w:spacing w:after="200" w:line="276" w:lineRule="auto"/>
        <w:rPr>
          <w:rFonts w:asciiTheme="minorHAnsi" w:hAnsiTheme="minorHAnsi"/>
          <w:b/>
          <w:sz w:val="28"/>
          <w:szCs w:val="28"/>
        </w:rPr>
      </w:pPr>
      <w:r w:rsidRPr="001E2663">
        <w:rPr>
          <w:noProof/>
          <w:lang w:val="en-GB" w:eastAsia="en-GB"/>
        </w:rPr>
        <w:lastRenderedPageBreak/>
        <w:drawing>
          <wp:inline distT="0" distB="0" distL="0" distR="0" wp14:anchorId="30E3DA8D" wp14:editId="3044306F">
            <wp:extent cx="4626610" cy="807974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6610" cy="8079740"/>
                    </a:xfrm>
                    <a:prstGeom prst="rect">
                      <a:avLst/>
                    </a:prstGeom>
                    <a:noFill/>
                    <a:ln>
                      <a:noFill/>
                    </a:ln>
                  </pic:spPr>
                </pic:pic>
              </a:graphicData>
            </a:graphic>
          </wp:inline>
        </w:drawing>
      </w:r>
    </w:p>
    <w:p w:rsidR="001E2663" w:rsidRPr="00B051D9" w:rsidRDefault="001E2663" w:rsidP="001E2663">
      <w:pPr>
        <w:rPr>
          <w:rFonts w:ascii="Calibri" w:hAnsi="Calibri" w:cs="Arial"/>
        </w:rPr>
      </w:pPr>
      <w:r w:rsidRPr="00B051D9">
        <w:rPr>
          <w:rFonts w:ascii="Calibri" w:hAnsi="Calibri" w:cs="Arial"/>
        </w:rPr>
        <w:t>* Revised UN Scale will be applied, when released.</w:t>
      </w:r>
    </w:p>
    <w:p w:rsidR="004E76C8" w:rsidRDefault="001E2663">
      <w:pPr>
        <w:spacing w:after="200" w:line="276" w:lineRule="auto"/>
        <w:rPr>
          <w:rFonts w:ascii="Calibri" w:hAnsi="Calibri" w:cs="Arial"/>
        </w:rPr>
      </w:pPr>
      <w:r w:rsidRPr="00B051D9">
        <w:rPr>
          <w:rFonts w:ascii="Calibri" w:hAnsi="Calibri" w:cs="Arial"/>
        </w:rPr>
        <w:t>** As previously, 22% of total contributions from Parties</w:t>
      </w:r>
    </w:p>
    <w:p w:rsidR="007F6655" w:rsidRDefault="001E2663">
      <w:pPr>
        <w:spacing w:after="200" w:line="276" w:lineRule="auto"/>
        <w:rPr>
          <w:rFonts w:asciiTheme="minorHAnsi" w:hAnsiTheme="minorHAnsi"/>
          <w:b/>
          <w:sz w:val="28"/>
          <w:szCs w:val="28"/>
        </w:rPr>
      </w:pPr>
      <w:r w:rsidRPr="001E2663">
        <w:rPr>
          <w:noProof/>
          <w:lang w:val="en-GB" w:eastAsia="en-GB"/>
        </w:rPr>
        <w:lastRenderedPageBreak/>
        <w:drawing>
          <wp:inline distT="0" distB="0" distL="0" distR="0" wp14:anchorId="4302EAAA" wp14:editId="61F15B84">
            <wp:extent cx="4667250" cy="765490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4689" cy="7650702"/>
                    </a:xfrm>
                    <a:prstGeom prst="rect">
                      <a:avLst/>
                    </a:prstGeom>
                    <a:noFill/>
                    <a:ln>
                      <a:noFill/>
                    </a:ln>
                  </pic:spPr>
                </pic:pic>
              </a:graphicData>
            </a:graphic>
          </wp:inline>
        </w:drawing>
      </w:r>
    </w:p>
    <w:p w:rsidR="001E2663" w:rsidRPr="00B051D9" w:rsidRDefault="001E2663" w:rsidP="001E2663">
      <w:pPr>
        <w:rPr>
          <w:rFonts w:ascii="Calibri" w:hAnsi="Calibri" w:cs="Arial"/>
        </w:rPr>
      </w:pPr>
      <w:r w:rsidRPr="00B051D9">
        <w:rPr>
          <w:rFonts w:ascii="Calibri" w:hAnsi="Calibri" w:cs="Arial"/>
        </w:rPr>
        <w:t>* Revised UN Scale will be applied, when released.</w:t>
      </w:r>
    </w:p>
    <w:p w:rsidR="001E2663" w:rsidRPr="00527783" w:rsidRDefault="001E2663" w:rsidP="001E2663">
      <w:pPr>
        <w:rPr>
          <w:rFonts w:ascii="Calibri" w:hAnsi="Calibri" w:cs="Arial"/>
        </w:rPr>
      </w:pPr>
      <w:r w:rsidRPr="00B051D9">
        <w:rPr>
          <w:rFonts w:ascii="Calibri" w:hAnsi="Calibri" w:cs="Arial"/>
        </w:rPr>
        <w:t>** As previously, 22% of total contributions from Parties</w:t>
      </w:r>
    </w:p>
    <w:p w:rsidR="007F6655" w:rsidRDefault="007F6655">
      <w:pPr>
        <w:spacing w:after="200" w:line="276" w:lineRule="auto"/>
        <w:rPr>
          <w:rFonts w:asciiTheme="minorHAnsi" w:hAnsiTheme="minorHAnsi"/>
          <w:b/>
          <w:sz w:val="28"/>
          <w:szCs w:val="28"/>
        </w:rPr>
      </w:pPr>
      <w:r>
        <w:rPr>
          <w:rFonts w:asciiTheme="minorHAnsi" w:hAnsiTheme="minorHAnsi"/>
          <w:b/>
          <w:sz w:val="28"/>
          <w:szCs w:val="28"/>
        </w:rPr>
        <w:br w:type="page"/>
      </w:r>
    </w:p>
    <w:p w:rsidR="006C434D" w:rsidRPr="000C0148" w:rsidRDefault="006C434D" w:rsidP="006C434D">
      <w:pPr>
        <w:ind w:left="540" w:hanging="540"/>
        <w:rPr>
          <w:rFonts w:asciiTheme="minorHAnsi" w:hAnsiTheme="minorHAnsi"/>
          <w:b/>
          <w:sz w:val="28"/>
          <w:szCs w:val="28"/>
        </w:rPr>
      </w:pPr>
      <w:r w:rsidRPr="000C0148">
        <w:rPr>
          <w:rFonts w:asciiTheme="minorHAnsi" w:hAnsiTheme="minorHAnsi"/>
          <w:b/>
          <w:sz w:val="28"/>
          <w:szCs w:val="28"/>
        </w:rPr>
        <w:lastRenderedPageBreak/>
        <w:t>Annex III</w:t>
      </w:r>
    </w:p>
    <w:p w:rsidR="006C434D" w:rsidRPr="000C0148" w:rsidRDefault="006C434D" w:rsidP="006C434D">
      <w:pPr>
        <w:rPr>
          <w:rFonts w:asciiTheme="minorHAnsi" w:hAnsiTheme="minorHAnsi"/>
          <w:b/>
        </w:rPr>
      </w:pPr>
      <w:r w:rsidRPr="000C0148">
        <w:rPr>
          <w:rFonts w:asciiTheme="minorHAnsi" w:hAnsiTheme="minorHAnsi"/>
          <w:b/>
        </w:rPr>
        <w:t xml:space="preserve">Analysis of 2016-2018 </w:t>
      </w:r>
      <w:r w:rsidR="00A55EA4" w:rsidRPr="00A55EA4">
        <w:rPr>
          <w:rFonts w:asciiTheme="minorHAnsi" w:hAnsiTheme="minorHAnsi"/>
          <w:b/>
        </w:rPr>
        <w:t>budgeted</w:t>
      </w:r>
      <w:r w:rsidR="00841EF7" w:rsidRPr="00841EF7">
        <w:rPr>
          <w:rFonts w:asciiTheme="minorHAnsi" w:hAnsiTheme="minorHAnsi"/>
          <w:b/>
        </w:rPr>
        <w:t xml:space="preserve"> non-</w:t>
      </w:r>
      <w:r w:rsidR="00841EF7">
        <w:rPr>
          <w:rFonts w:asciiTheme="minorHAnsi" w:hAnsiTheme="minorHAnsi"/>
          <w:b/>
        </w:rPr>
        <w:t>core</w:t>
      </w:r>
      <w:r w:rsidRPr="000C0148">
        <w:rPr>
          <w:rFonts w:asciiTheme="minorHAnsi" w:hAnsiTheme="minorHAnsi"/>
          <w:b/>
        </w:rPr>
        <w:t xml:space="preserve"> </w:t>
      </w:r>
      <w:r w:rsidR="00502D8D">
        <w:rPr>
          <w:rFonts w:asciiTheme="minorHAnsi" w:hAnsiTheme="minorHAnsi"/>
          <w:b/>
        </w:rPr>
        <w:t>items</w:t>
      </w:r>
      <w:r w:rsidR="000F138D">
        <w:rPr>
          <w:rFonts w:asciiTheme="minorHAnsi" w:hAnsiTheme="minorHAnsi"/>
          <w:b/>
        </w:rPr>
        <w:t>, in order of priority</w:t>
      </w:r>
    </w:p>
    <w:p w:rsidR="00343CEC" w:rsidRDefault="00343CEC" w:rsidP="00830854">
      <w:pPr>
        <w:tabs>
          <w:tab w:val="left" w:pos="1701"/>
        </w:tabs>
        <w:rPr>
          <w:rFonts w:asciiTheme="minorHAnsi" w:hAnsiTheme="minorHAnsi"/>
          <w:b/>
        </w:rPr>
      </w:pPr>
    </w:p>
    <w:p w:rsidR="004C5E71" w:rsidRDefault="004C5E71" w:rsidP="00830854">
      <w:pPr>
        <w:tabs>
          <w:tab w:val="left" w:pos="1701"/>
        </w:tabs>
        <w:rPr>
          <w:rFonts w:asciiTheme="minorHAnsi" w:hAnsiTheme="minorHAnsi"/>
          <w:b/>
        </w:rPr>
      </w:pPr>
    </w:p>
    <w:p w:rsidR="00A120C2" w:rsidRDefault="00A120C2" w:rsidP="00830854">
      <w:pPr>
        <w:tabs>
          <w:tab w:val="left" w:pos="1701"/>
        </w:tabs>
        <w:rPr>
          <w:rFonts w:asciiTheme="minorHAnsi" w:hAnsiTheme="minorHAnsi"/>
          <w:b/>
        </w:rPr>
      </w:pPr>
      <w:r w:rsidRPr="00A120C2">
        <w:rPr>
          <w:noProof/>
          <w:lang w:val="en-GB" w:eastAsia="en-GB"/>
        </w:rPr>
        <w:drawing>
          <wp:inline distT="0" distB="0" distL="0" distR="0" wp14:anchorId="0350B60B" wp14:editId="4A64645D">
            <wp:extent cx="47625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000500"/>
                    </a:xfrm>
                    <a:prstGeom prst="rect">
                      <a:avLst/>
                    </a:prstGeom>
                    <a:noFill/>
                    <a:ln>
                      <a:noFill/>
                    </a:ln>
                  </pic:spPr>
                </pic:pic>
              </a:graphicData>
            </a:graphic>
          </wp:inline>
        </w:drawing>
      </w:r>
    </w:p>
    <w:p w:rsidR="00A120C2" w:rsidRDefault="00A120C2" w:rsidP="00830854">
      <w:pPr>
        <w:tabs>
          <w:tab w:val="left" w:pos="1701"/>
        </w:tabs>
        <w:rPr>
          <w:rFonts w:asciiTheme="minorHAnsi" w:hAnsiTheme="minorHAnsi"/>
          <w:b/>
        </w:rPr>
      </w:pPr>
    </w:p>
    <w:p w:rsidR="00A120C2" w:rsidRDefault="00A120C2" w:rsidP="00830854">
      <w:pPr>
        <w:tabs>
          <w:tab w:val="left" w:pos="1701"/>
        </w:tabs>
        <w:rPr>
          <w:rFonts w:asciiTheme="minorHAnsi" w:hAnsiTheme="minorHAnsi"/>
          <w:b/>
        </w:rPr>
      </w:pPr>
    </w:p>
    <w:p w:rsidR="0026419D" w:rsidRDefault="0026419D">
      <w:pPr>
        <w:spacing w:after="200" w:line="276" w:lineRule="auto"/>
        <w:rPr>
          <w:rFonts w:asciiTheme="minorHAnsi" w:hAnsiTheme="minorHAnsi"/>
          <w:b/>
        </w:rPr>
      </w:pPr>
      <w:r>
        <w:rPr>
          <w:rFonts w:asciiTheme="minorHAnsi" w:hAnsiTheme="minorHAnsi"/>
          <w:b/>
        </w:rPr>
        <w:br w:type="page"/>
      </w:r>
    </w:p>
    <w:p w:rsidR="00A120C2" w:rsidRDefault="00A120C2" w:rsidP="00830854">
      <w:pPr>
        <w:tabs>
          <w:tab w:val="left" w:pos="1701"/>
        </w:tabs>
        <w:rPr>
          <w:rFonts w:asciiTheme="minorHAnsi" w:hAnsiTheme="minorHAnsi"/>
          <w:b/>
        </w:rPr>
      </w:pPr>
      <w:r>
        <w:rPr>
          <w:rFonts w:asciiTheme="minorHAnsi" w:hAnsiTheme="minorHAnsi"/>
          <w:b/>
        </w:rPr>
        <w:lastRenderedPageBreak/>
        <w:t xml:space="preserve">Annex IV, </w:t>
      </w:r>
      <w:r w:rsidR="00D533DE">
        <w:rPr>
          <w:rFonts w:asciiTheme="minorHAnsi" w:hAnsiTheme="minorHAnsi"/>
          <w:b/>
        </w:rPr>
        <w:t>Approved Secretariat Staff (Core) for 2016-2018</w:t>
      </w:r>
    </w:p>
    <w:p w:rsidR="00A120C2" w:rsidRDefault="00A120C2" w:rsidP="00830854">
      <w:pPr>
        <w:tabs>
          <w:tab w:val="left" w:pos="1701"/>
        </w:tabs>
        <w:rPr>
          <w:rFonts w:asciiTheme="minorHAnsi" w:hAnsiTheme="minorHAnsi"/>
          <w:b/>
        </w:rPr>
      </w:pPr>
    </w:p>
    <w:p w:rsidR="00A120C2" w:rsidRDefault="00A120C2" w:rsidP="00830854">
      <w:pPr>
        <w:tabs>
          <w:tab w:val="left" w:pos="1701"/>
        </w:tabs>
        <w:rPr>
          <w:rFonts w:asciiTheme="minorHAnsi" w:hAnsiTheme="minorHAnsi"/>
          <w:b/>
        </w:rPr>
      </w:pPr>
      <w:r w:rsidRPr="00A120C2">
        <w:rPr>
          <w:noProof/>
          <w:lang w:val="en-GB" w:eastAsia="en-GB"/>
        </w:rPr>
        <w:drawing>
          <wp:inline distT="0" distB="0" distL="0" distR="0" wp14:anchorId="086B2F9D" wp14:editId="130E4CC4">
            <wp:extent cx="5732145" cy="1209929"/>
            <wp:effectExtent l="0" t="0" r="190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1209929"/>
                    </a:xfrm>
                    <a:prstGeom prst="rect">
                      <a:avLst/>
                    </a:prstGeom>
                    <a:noFill/>
                    <a:ln>
                      <a:noFill/>
                    </a:ln>
                  </pic:spPr>
                </pic:pic>
              </a:graphicData>
            </a:graphic>
          </wp:inline>
        </w:drawing>
      </w:r>
    </w:p>
    <w:p w:rsidR="007D0C20" w:rsidRDefault="007D0C20" w:rsidP="00830854">
      <w:pPr>
        <w:tabs>
          <w:tab w:val="left" w:pos="1701"/>
        </w:tabs>
        <w:rPr>
          <w:rFonts w:asciiTheme="minorHAnsi" w:hAnsiTheme="minorHAnsi"/>
          <w:sz w:val="22"/>
          <w:szCs w:val="22"/>
        </w:rPr>
      </w:pPr>
      <w:r w:rsidRPr="007D0C20">
        <w:rPr>
          <w:rFonts w:asciiTheme="minorHAnsi" w:hAnsiTheme="minorHAnsi"/>
          <w:sz w:val="22"/>
          <w:szCs w:val="22"/>
        </w:rPr>
        <w:t xml:space="preserve">*2015 staff </w:t>
      </w:r>
      <w:r w:rsidRPr="007D0C20">
        <w:rPr>
          <w:rFonts w:asciiTheme="minorHAnsi" w:hAnsiTheme="minorHAnsi"/>
          <w:sz w:val="22"/>
          <w:szCs w:val="22"/>
          <w:lang w:val="en-GB"/>
        </w:rPr>
        <w:t xml:space="preserve">numbers and position (according to the IUCN Human Resources Function Group) </w:t>
      </w:r>
      <w:r w:rsidRPr="007D0C20">
        <w:rPr>
          <w:rFonts w:asciiTheme="minorHAnsi" w:hAnsiTheme="minorHAnsi"/>
          <w:sz w:val="22"/>
          <w:szCs w:val="22"/>
        </w:rPr>
        <w:t>shown for reference</w:t>
      </w:r>
    </w:p>
    <w:p w:rsidR="00F82A1A" w:rsidRPr="007D0C20" w:rsidRDefault="00613E89" w:rsidP="00830854">
      <w:pPr>
        <w:tabs>
          <w:tab w:val="left" w:pos="1701"/>
        </w:tabs>
        <w:rPr>
          <w:rFonts w:asciiTheme="minorHAnsi" w:hAnsiTheme="minorHAnsi"/>
          <w:sz w:val="22"/>
          <w:szCs w:val="22"/>
        </w:rPr>
      </w:pPr>
      <w:r>
        <w:rPr>
          <w:rFonts w:asciiTheme="minorHAnsi" w:hAnsiTheme="minorHAnsi"/>
          <w:sz w:val="22"/>
          <w:szCs w:val="22"/>
        </w:rPr>
        <w:t>**</w:t>
      </w:r>
      <w:r w:rsidR="00F82A1A">
        <w:rPr>
          <w:rFonts w:asciiTheme="minorHAnsi" w:hAnsiTheme="minorHAnsi"/>
          <w:sz w:val="22"/>
          <w:szCs w:val="22"/>
        </w:rPr>
        <w:t xml:space="preserve">Team refer to </w:t>
      </w:r>
      <w:r>
        <w:rPr>
          <w:rFonts w:asciiTheme="minorHAnsi" w:hAnsiTheme="minorHAnsi"/>
          <w:sz w:val="22"/>
          <w:szCs w:val="22"/>
        </w:rPr>
        <w:t xml:space="preserve">the </w:t>
      </w:r>
      <w:r w:rsidR="000100AE">
        <w:rPr>
          <w:rFonts w:asciiTheme="minorHAnsi" w:hAnsiTheme="minorHAnsi"/>
          <w:sz w:val="22"/>
          <w:szCs w:val="22"/>
        </w:rPr>
        <w:t xml:space="preserve">categorization of Expenditures as listed in Annex I: </w:t>
      </w:r>
      <w:r w:rsidR="00F82A1A">
        <w:rPr>
          <w:rFonts w:asciiTheme="minorHAnsi" w:hAnsiTheme="minorHAnsi"/>
          <w:sz w:val="22"/>
          <w:szCs w:val="22"/>
        </w:rPr>
        <w:t xml:space="preserve">Secretariat Senior Management (ASMGT); Partnership </w:t>
      </w:r>
      <w:r w:rsidR="000100AE">
        <w:rPr>
          <w:rFonts w:asciiTheme="minorHAnsi" w:hAnsiTheme="minorHAnsi"/>
          <w:sz w:val="22"/>
          <w:szCs w:val="22"/>
        </w:rPr>
        <w:t>Coordinator</w:t>
      </w:r>
      <w:r w:rsidR="00F82A1A">
        <w:rPr>
          <w:rFonts w:asciiTheme="minorHAnsi" w:hAnsiTheme="minorHAnsi"/>
          <w:sz w:val="22"/>
          <w:szCs w:val="22"/>
        </w:rPr>
        <w:t xml:space="preserve"> (BPART); </w:t>
      </w:r>
      <w:r w:rsidR="000100AE">
        <w:rPr>
          <w:rFonts w:asciiTheme="minorHAnsi" w:hAnsiTheme="minorHAnsi"/>
          <w:sz w:val="22"/>
          <w:szCs w:val="22"/>
        </w:rPr>
        <w:t>Regional</w:t>
      </w:r>
      <w:r w:rsidR="00F82A1A">
        <w:rPr>
          <w:rFonts w:asciiTheme="minorHAnsi" w:hAnsiTheme="minorHAnsi"/>
          <w:sz w:val="22"/>
          <w:szCs w:val="22"/>
        </w:rPr>
        <w:t xml:space="preserve"> Advice and Support (CREGS); Scientific and </w:t>
      </w:r>
      <w:r w:rsidR="000100AE">
        <w:rPr>
          <w:rFonts w:asciiTheme="minorHAnsi" w:hAnsiTheme="minorHAnsi"/>
          <w:sz w:val="22"/>
          <w:szCs w:val="22"/>
        </w:rPr>
        <w:t>Technical</w:t>
      </w:r>
      <w:r w:rsidR="00F82A1A">
        <w:rPr>
          <w:rFonts w:asciiTheme="minorHAnsi" w:hAnsiTheme="minorHAnsi"/>
          <w:sz w:val="22"/>
          <w:szCs w:val="22"/>
        </w:rPr>
        <w:t xml:space="preserve"> Services (ESTRP); Communications</w:t>
      </w:r>
      <w:r w:rsidR="000100AE">
        <w:rPr>
          <w:rFonts w:asciiTheme="minorHAnsi" w:hAnsiTheme="minorHAnsi"/>
          <w:sz w:val="22"/>
          <w:szCs w:val="22"/>
        </w:rPr>
        <w:t xml:space="preserve"> (FCOMM); Administration/RSIS/Web (GADMI)</w:t>
      </w:r>
    </w:p>
    <w:sectPr w:rsidR="00F82A1A" w:rsidRPr="007D0C20" w:rsidSect="00994C7E">
      <w:headerReference w:type="even" r:id="rId17"/>
      <w:headerReference w:type="default" r:id="rId18"/>
      <w:footerReference w:type="even" r:id="rId19"/>
      <w:footerReference w:type="default" r:id="rId20"/>
      <w:headerReference w:type="first" r:id="rId21"/>
      <w:footerReference w:type="first" r:id="rId22"/>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3C" w:rsidRDefault="0016043C" w:rsidP="00650310">
      <w:r>
        <w:separator/>
      </w:r>
    </w:p>
  </w:endnote>
  <w:endnote w:type="continuationSeparator" w:id="0">
    <w:p w:rsidR="0016043C" w:rsidRDefault="0016043C" w:rsidP="0065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7E" w:rsidRDefault="00151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5" w:rsidRPr="00841E85" w:rsidRDefault="00841E85" w:rsidP="00841E85">
    <w:pPr>
      <w:pStyle w:val="Header"/>
      <w:tabs>
        <w:tab w:val="right" w:pos="9072"/>
      </w:tabs>
      <w:rPr>
        <w:rFonts w:asciiTheme="minorHAnsi" w:hAnsiTheme="minorHAnsi"/>
        <w:sz w:val="20"/>
      </w:rPr>
    </w:pPr>
    <w:r w:rsidRPr="00841E85">
      <w:rPr>
        <w:rFonts w:asciiTheme="minorHAnsi" w:hAnsiTheme="minorHAnsi"/>
        <w:sz w:val="20"/>
      </w:rPr>
      <w:t>Ramsar COP12 DR1</w:t>
    </w:r>
    <w:r w:rsidR="00622905">
      <w:rPr>
        <w:rFonts w:asciiTheme="minorHAnsi" w:hAnsiTheme="minorHAnsi"/>
        <w:sz w:val="20"/>
      </w:rPr>
      <w:t>,</w:t>
    </w:r>
    <w:r w:rsidR="00F1757E">
      <w:rPr>
        <w:rFonts w:asciiTheme="minorHAnsi" w:hAnsiTheme="minorHAnsi"/>
        <w:sz w:val="20"/>
      </w:rPr>
      <w:t xml:space="preserve"> </w:t>
    </w:r>
    <w:r w:rsidR="00C440A0">
      <w:rPr>
        <w:rFonts w:asciiTheme="minorHAnsi" w:hAnsiTheme="minorHAnsi"/>
        <w:sz w:val="20"/>
      </w:rPr>
      <w:t>Rev</w:t>
    </w:r>
    <w:r w:rsidR="00781FD4">
      <w:rPr>
        <w:rFonts w:asciiTheme="minorHAnsi" w:hAnsiTheme="minorHAnsi"/>
        <w:sz w:val="20"/>
      </w:rPr>
      <w:t>.</w:t>
    </w:r>
    <w:r w:rsidR="0015127E">
      <w:rPr>
        <w:rFonts w:asciiTheme="minorHAnsi" w:hAnsiTheme="minorHAnsi"/>
        <w:sz w:val="20"/>
      </w:rPr>
      <w:t>4</w:t>
    </w:r>
    <w:bookmarkStart w:id="1" w:name="_GoBack"/>
    <w:bookmarkEnd w:id="1"/>
    <w:r w:rsidRPr="00841E85">
      <w:rPr>
        <w:rFonts w:asciiTheme="minorHAnsi" w:hAnsiTheme="minorHAnsi"/>
        <w:sz w:val="20"/>
      </w:rPr>
      <w:tab/>
    </w:r>
    <w:r w:rsidRPr="00841E85">
      <w:rPr>
        <w:rFonts w:asciiTheme="minorHAnsi" w:hAnsiTheme="minorHAnsi"/>
        <w:sz w:val="20"/>
      </w:rPr>
      <w:tab/>
    </w:r>
    <w:r w:rsidR="00DC246C" w:rsidRPr="00841E85">
      <w:rPr>
        <w:rFonts w:asciiTheme="minorHAnsi" w:hAnsiTheme="minorHAnsi"/>
        <w:sz w:val="20"/>
      </w:rPr>
      <w:fldChar w:fldCharType="begin"/>
    </w:r>
    <w:r w:rsidRPr="00841E85">
      <w:rPr>
        <w:rFonts w:asciiTheme="minorHAnsi" w:hAnsiTheme="minorHAnsi"/>
        <w:sz w:val="20"/>
      </w:rPr>
      <w:instrText xml:space="preserve"> PAGE   \* MERGEFORMAT </w:instrText>
    </w:r>
    <w:r w:rsidR="00DC246C" w:rsidRPr="00841E85">
      <w:rPr>
        <w:rFonts w:asciiTheme="minorHAnsi" w:hAnsiTheme="minorHAnsi"/>
        <w:sz w:val="20"/>
      </w:rPr>
      <w:fldChar w:fldCharType="separate"/>
    </w:r>
    <w:r w:rsidR="00483B3D">
      <w:rPr>
        <w:rFonts w:asciiTheme="minorHAnsi" w:hAnsiTheme="minorHAnsi"/>
        <w:noProof/>
        <w:sz w:val="20"/>
      </w:rPr>
      <w:t>2</w:t>
    </w:r>
    <w:r w:rsidR="00DC246C" w:rsidRPr="00841E85">
      <w:rPr>
        <w:rFonts w:asciiTheme="minorHAnsi" w:hAnsiTheme="min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7E" w:rsidRDefault="00151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3C" w:rsidRDefault="0016043C" w:rsidP="00650310">
      <w:r>
        <w:separator/>
      </w:r>
    </w:p>
  </w:footnote>
  <w:footnote w:type="continuationSeparator" w:id="0">
    <w:p w:rsidR="0016043C" w:rsidRDefault="0016043C" w:rsidP="0065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7E" w:rsidRDefault="00151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7E" w:rsidRDefault="00151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7E" w:rsidRDefault="00151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430"/>
    <w:multiLevelType w:val="hybridMultilevel"/>
    <w:tmpl w:val="E5D6C2F2"/>
    <w:lvl w:ilvl="0" w:tplc="038E9984">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DC4F74"/>
    <w:multiLevelType w:val="hybridMultilevel"/>
    <w:tmpl w:val="9DF8D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C59F5"/>
    <w:multiLevelType w:val="hybridMultilevel"/>
    <w:tmpl w:val="BC8850A6"/>
    <w:lvl w:ilvl="0" w:tplc="C9F2FAA6">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25EF6"/>
    <w:multiLevelType w:val="hybridMultilevel"/>
    <w:tmpl w:val="5CC8E3BA"/>
    <w:lvl w:ilvl="0" w:tplc="BB48421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B7B04"/>
    <w:multiLevelType w:val="hybridMultilevel"/>
    <w:tmpl w:val="361059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CA90BB1"/>
    <w:multiLevelType w:val="hybridMultilevel"/>
    <w:tmpl w:val="28DA9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D139F3"/>
    <w:multiLevelType w:val="hybridMultilevel"/>
    <w:tmpl w:val="AD0E8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B26899"/>
    <w:multiLevelType w:val="hybridMultilevel"/>
    <w:tmpl w:val="2A6E2248"/>
    <w:lvl w:ilvl="0" w:tplc="B48C165E">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DE0745"/>
    <w:multiLevelType w:val="hybridMultilevel"/>
    <w:tmpl w:val="04F8D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AE463FB"/>
    <w:multiLevelType w:val="hybridMultilevel"/>
    <w:tmpl w:val="A3A47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03E24A8"/>
    <w:multiLevelType w:val="hybridMultilevel"/>
    <w:tmpl w:val="44A85C5A"/>
    <w:lvl w:ilvl="0" w:tplc="27C628D4">
      <w:start w:val="1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56845E14"/>
    <w:multiLevelType w:val="hybridMultilevel"/>
    <w:tmpl w:val="C8FA96FE"/>
    <w:lvl w:ilvl="0" w:tplc="026C690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B10389"/>
    <w:multiLevelType w:val="hybridMultilevel"/>
    <w:tmpl w:val="85C8C652"/>
    <w:lvl w:ilvl="0" w:tplc="C4162062">
      <w:start w:val="28"/>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232E93"/>
    <w:multiLevelType w:val="hybridMultilevel"/>
    <w:tmpl w:val="EFB0F8FC"/>
    <w:lvl w:ilvl="0" w:tplc="58844B6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3D2572"/>
    <w:multiLevelType w:val="hybridMultilevel"/>
    <w:tmpl w:val="905A45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7B54299F"/>
    <w:multiLevelType w:val="hybridMultilevel"/>
    <w:tmpl w:val="028C24C2"/>
    <w:lvl w:ilvl="0" w:tplc="54FCBA48">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15"/>
  </w:num>
  <w:num w:numId="4">
    <w:abstractNumId w:val="7"/>
  </w:num>
  <w:num w:numId="5">
    <w:abstractNumId w:val="0"/>
  </w:num>
  <w:num w:numId="6">
    <w:abstractNumId w:val="5"/>
  </w:num>
  <w:num w:numId="7">
    <w:abstractNumId w:val="6"/>
  </w:num>
  <w:num w:numId="8">
    <w:abstractNumId w:val="10"/>
  </w:num>
  <w:num w:numId="9">
    <w:abstractNumId w:val="14"/>
  </w:num>
  <w:num w:numId="10">
    <w:abstractNumId w:val="8"/>
  </w:num>
  <w:num w:numId="11">
    <w:abstractNumId w:val="9"/>
  </w:num>
  <w:num w:numId="12">
    <w:abstractNumId w:val="4"/>
  </w:num>
  <w:num w:numId="13">
    <w:abstractNumId w:val="1"/>
  </w:num>
  <w:num w:numId="14">
    <w:abstractNumId w:val="11"/>
  </w:num>
  <w:num w:numId="15">
    <w:abstractNumId w:val="2"/>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foland40">
    <w15:presenceInfo w15:providerId="None" w15:userId="infoland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F6"/>
    <w:rsid w:val="0000098C"/>
    <w:rsid w:val="00002D40"/>
    <w:rsid w:val="0000744C"/>
    <w:rsid w:val="000100AE"/>
    <w:rsid w:val="0001135A"/>
    <w:rsid w:val="00012537"/>
    <w:rsid w:val="00012828"/>
    <w:rsid w:val="0001736C"/>
    <w:rsid w:val="00017D06"/>
    <w:rsid w:val="000207D5"/>
    <w:rsid w:val="000211F3"/>
    <w:rsid w:val="00030114"/>
    <w:rsid w:val="000303B9"/>
    <w:rsid w:val="00030BE3"/>
    <w:rsid w:val="00031725"/>
    <w:rsid w:val="00032B16"/>
    <w:rsid w:val="0003309E"/>
    <w:rsid w:val="000331C5"/>
    <w:rsid w:val="00033217"/>
    <w:rsid w:val="000339C6"/>
    <w:rsid w:val="000342B7"/>
    <w:rsid w:val="00036EAE"/>
    <w:rsid w:val="00040BD2"/>
    <w:rsid w:val="00040EF6"/>
    <w:rsid w:val="000414C7"/>
    <w:rsid w:val="000442FE"/>
    <w:rsid w:val="00045A04"/>
    <w:rsid w:val="00045BD0"/>
    <w:rsid w:val="00046F1A"/>
    <w:rsid w:val="00047647"/>
    <w:rsid w:val="000528FA"/>
    <w:rsid w:val="00054906"/>
    <w:rsid w:val="00054DA0"/>
    <w:rsid w:val="00062160"/>
    <w:rsid w:val="00063A48"/>
    <w:rsid w:val="00063B3F"/>
    <w:rsid w:val="00064F37"/>
    <w:rsid w:val="000661D8"/>
    <w:rsid w:val="000674C5"/>
    <w:rsid w:val="000709C1"/>
    <w:rsid w:val="000711CC"/>
    <w:rsid w:val="000739BA"/>
    <w:rsid w:val="000755A6"/>
    <w:rsid w:val="00075CC3"/>
    <w:rsid w:val="000763D9"/>
    <w:rsid w:val="00077664"/>
    <w:rsid w:val="00077A27"/>
    <w:rsid w:val="00083D79"/>
    <w:rsid w:val="00083F16"/>
    <w:rsid w:val="0008448B"/>
    <w:rsid w:val="00086CAB"/>
    <w:rsid w:val="000876C7"/>
    <w:rsid w:val="0009101A"/>
    <w:rsid w:val="00092F1E"/>
    <w:rsid w:val="00093118"/>
    <w:rsid w:val="0009664B"/>
    <w:rsid w:val="000A0771"/>
    <w:rsid w:val="000A582B"/>
    <w:rsid w:val="000B1686"/>
    <w:rsid w:val="000B1694"/>
    <w:rsid w:val="000B301B"/>
    <w:rsid w:val="000B7A27"/>
    <w:rsid w:val="000C0148"/>
    <w:rsid w:val="000C0BB9"/>
    <w:rsid w:val="000C1043"/>
    <w:rsid w:val="000C154E"/>
    <w:rsid w:val="000C2055"/>
    <w:rsid w:val="000C2443"/>
    <w:rsid w:val="000C2B05"/>
    <w:rsid w:val="000C5AD0"/>
    <w:rsid w:val="000C6701"/>
    <w:rsid w:val="000C7A80"/>
    <w:rsid w:val="000D00AA"/>
    <w:rsid w:val="000D0B0F"/>
    <w:rsid w:val="000D1C79"/>
    <w:rsid w:val="000D2D66"/>
    <w:rsid w:val="000D7A9D"/>
    <w:rsid w:val="000D7CF1"/>
    <w:rsid w:val="000D7D6D"/>
    <w:rsid w:val="000E0551"/>
    <w:rsid w:val="000E0C0D"/>
    <w:rsid w:val="000E4369"/>
    <w:rsid w:val="000E5D53"/>
    <w:rsid w:val="000E65CA"/>
    <w:rsid w:val="000E6D1F"/>
    <w:rsid w:val="000E6FB7"/>
    <w:rsid w:val="000E7399"/>
    <w:rsid w:val="000E750C"/>
    <w:rsid w:val="000F138D"/>
    <w:rsid w:val="000F4187"/>
    <w:rsid w:val="000F5CFF"/>
    <w:rsid w:val="000F608B"/>
    <w:rsid w:val="000F676C"/>
    <w:rsid w:val="000F6B82"/>
    <w:rsid w:val="000F7671"/>
    <w:rsid w:val="001064AA"/>
    <w:rsid w:val="001074D5"/>
    <w:rsid w:val="00107792"/>
    <w:rsid w:val="00110D85"/>
    <w:rsid w:val="00111923"/>
    <w:rsid w:val="00112516"/>
    <w:rsid w:val="00112DF4"/>
    <w:rsid w:val="00113F9D"/>
    <w:rsid w:val="00114540"/>
    <w:rsid w:val="001161C4"/>
    <w:rsid w:val="001207C5"/>
    <w:rsid w:val="00120CBE"/>
    <w:rsid w:val="00124813"/>
    <w:rsid w:val="00124EF4"/>
    <w:rsid w:val="001250FD"/>
    <w:rsid w:val="00126B45"/>
    <w:rsid w:val="001271AF"/>
    <w:rsid w:val="0012728F"/>
    <w:rsid w:val="00131031"/>
    <w:rsid w:val="001331EB"/>
    <w:rsid w:val="00134599"/>
    <w:rsid w:val="001359F7"/>
    <w:rsid w:val="00136805"/>
    <w:rsid w:val="00137F31"/>
    <w:rsid w:val="0014079B"/>
    <w:rsid w:val="00141718"/>
    <w:rsid w:val="00141C37"/>
    <w:rsid w:val="00142317"/>
    <w:rsid w:val="001425F9"/>
    <w:rsid w:val="00143507"/>
    <w:rsid w:val="001472A8"/>
    <w:rsid w:val="00150190"/>
    <w:rsid w:val="0015127E"/>
    <w:rsid w:val="00156778"/>
    <w:rsid w:val="0016043C"/>
    <w:rsid w:val="00161AB9"/>
    <w:rsid w:val="00161D05"/>
    <w:rsid w:val="0016270D"/>
    <w:rsid w:val="001633CA"/>
    <w:rsid w:val="00166322"/>
    <w:rsid w:val="00167059"/>
    <w:rsid w:val="0017243B"/>
    <w:rsid w:val="00173006"/>
    <w:rsid w:val="0017328C"/>
    <w:rsid w:val="00173B97"/>
    <w:rsid w:val="00174527"/>
    <w:rsid w:val="00174AFC"/>
    <w:rsid w:val="001760C1"/>
    <w:rsid w:val="001778C4"/>
    <w:rsid w:val="001805A0"/>
    <w:rsid w:val="00181C11"/>
    <w:rsid w:val="00182333"/>
    <w:rsid w:val="00184A0A"/>
    <w:rsid w:val="00185FD4"/>
    <w:rsid w:val="00191760"/>
    <w:rsid w:val="00192290"/>
    <w:rsid w:val="00194D61"/>
    <w:rsid w:val="00196B36"/>
    <w:rsid w:val="001A1B45"/>
    <w:rsid w:val="001A226C"/>
    <w:rsid w:val="001A2FE3"/>
    <w:rsid w:val="001A4CEC"/>
    <w:rsid w:val="001A70D3"/>
    <w:rsid w:val="001A766E"/>
    <w:rsid w:val="001B0ECF"/>
    <w:rsid w:val="001B3677"/>
    <w:rsid w:val="001C005C"/>
    <w:rsid w:val="001C2B94"/>
    <w:rsid w:val="001C2EA9"/>
    <w:rsid w:val="001C3A58"/>
    <w:rsid w:val="001C5192"/>
    <w:rsid w:val="001C6804"/>
    <w:rsid w:val="001C7F6C"/>
    <w:rsid w:val="001D1B0C"/>
    <w:rsid w:val="001D48D7"/>
    <w:rsid w:val="001D6BB5"/>
    <w:rsid w:val="001D7463"/>
    <w:rsid w:val="001E2663"/>
    <w:rsid w:val="001E26CB"/>
    <w:rsid w:val="001E2B38"/>
    <w:rsid w:val="001E2EC7"/>
    <w:rsid w:val="001E5DBE"/>
    <w:rsid w:val="001F0CE3"/>
    <w:rsid w:val="001F0DEF"/>
    <w:rsid w:val="001F1273"/>
    <w:rsid w:val="001F2842"/>
    <w:rsid w:val="001F2B24"/>
    <w:rsid w:val="001F3D66"/>
    <w:rsid w:val="001F40E1"/>
    <w:rsid w:val="001F717F"/>
    <w:rsid w:val="001F7D0B"/>
    <w:rsid w:val="00207B29"/>
    <w:rsid w:val="00211897"/>
    <w:rsid w:val="00211BF6"/>
    <w:rsid w:val="002155E2"/>
    <w:rsid w:val="00216085"/>
    <w:rsid w:val="00216D43"/>
    <w:rsid w:val="00224108"/>
    <w:rsid w:val="002250C9"/>
    <w:rsid w:val="0022651B"/>
    <w:rsid w:val="002341A6"/>
    <w:rsid w:val="00241724"/>
    <w:rsid w:val="00241A70"/>
    <w:rsid w:val="00241F7D"/>
    <w:rsid w:val="00243E6C"/>
    <w:rsid w:val="002466F5"/>
    <w:rsid w:val="00246E4D"/>
    <w:rsid w:val="00250633"/>
    <w:rsid w:val="00250796"/>
    <w:rsid w:val="0025252F"/>
    <w:rsid w:val="00253966"/>
    <w:rsid w:val="00255BDF"/>
    <w:rsid w:val="00261B71"/>
    <w:rsid w:val="00263025"/>
    <w:rsid w:val="00263953"/>
    <w:rsid w:val="0026419D"/>
    <w:rsid w:val="00264C44"/>
    <w:rsid w:val="0026560A"/>
    <w:rsid w:val="00271D0E"/>
    <w:rsid w:val="00272633"/>
    <w:rsid w:val="00274132"/>
    <w:rsid w:val="00275C85"/>
    <w:rsid w:val="00276C10"/>
    <w:rsid w:val="00283A46"/>
    <w:rsid w:val="00286D88"/>
    <w:rsid w:val="00286F83"/>
    <w:rsid w:val="0029259A"/>
    <w:rsid w:val="00292E80"/>
    <w:rsid w:val="00296294"/>
    <w:rsid w:val="00297427"/>
    <w:rsid w:val="002A4581"/>
    <w:rsid w:val="002A50F3"/>
    <w:rsid w:val="002B09C4"/>
    <w:rsid w:val="002B25E3"/>
    <w:rsid w:val="002B3403"/>
    <w:rsid w:val="002B491E"/>
    <w:rsid w:val="002B5735"/>
    <w:rsid w:val="002B7188"/>
    <w:rsid w:val="002C0090"/>
    <w:rsid w:val="002C0F8B"/>
    <w:rsid w:val="002C180A"/>
    <w:rsid w:val="002C58C3"/>
    <w:rsid w:val="002C7FA7"/>
    <w:rsid w:val="002D0EA1"/>
    <w:rsid w:val="002D0F06"/>
    <w:rsid w:val="002D76C0"/>
    <w:rsid w:val="002E1B28"/>
    <w:rsid w:val="002E57AE"/>
    <w:rsid w:val="002E6000"/>
    <w:rsid w:val="002F0512"/>
    <w:rsid w:val="002F381C"/>
    <w:rsid w:val="003007B2"/>
    <w:rsid w:val="00300F31"/>
    <w:rsid w:val="00302314"/>
    <w:rsid w:val="003023E7"/>
    <w:rsid w:val="00302FD9"/>
    <w:rsid w:val="00306845"/>
    <w:rsid w:val="00306DB4"/>
    <w:rsid w:val="003112A8"/>
    <w:rsid w:val="00312709"/>
    <w:rsid w:val="00313A78"/>
    <w:rsid w:val="00315578"/>
    <w:rsid w:val="00315B41"/>
    <w:rsid w:val="00320407"/>
    <w:rsid w:val="0032133A"/>
    <w:rsid w:val="00321781"/>
    <w:rsid w:val="00322084"/>
    <w:rsid w:val="00322996"/>
    <w:rsid w:val="00323AE0"/>
    <w:rsid w:val="00324885"/>
    <w:rsid w:val="00325361"/>
    <w:rsid w:val="0032644F"/>
    <w:rsid w:val="00331EB8"/>
    <w:rsid w:val="0033431F"/>
    <w:rsid w:val="003357A9"/>
    <w:rsid w:val="00342946"/>
    <w:rsid w:val="00343CEC"/>
    <w:rsid w:val="003441C2"/>
    <w:rsid w:val="0034429D"/>
    <w:rsid w:val="00345053"/>
    <w:rsid w:val="003505DE"/>
    <w:rsid w:val="003538C2"/>
    <w:rsid w:val="0035470A"/>
    <w:rsid w:val="0035655B"/>
    <w:rsid w:val="0036059A"/>
    <w:rsid w:val="0036661A"/>
    <w:rsid w:val="00366E93"/>
    <w:rsid w:val="0036720F"/>
    <w:rsid w:val="0037146E"/>
    <w:rsid w:val="0037555D"/>
    <w:rsid w:val="003800FC"/>
    <w:rsid w:val="00380503"/>
    <w:rsid w:val="00383172"/>
    <w:rsid w:val="00385CA2"/>
    <w:rsid w:val="00386106"/>
    <w:rsid w:val="00390178"/>
    <w:rsid w:val="00390E5C"/>
    <w:rsid w:val="003914B6"/>
    <w:rsid w:val="003916FC"/>
    <w:rsid w:val="00394D25"/>
    <w:rsid w:val="00395DD1"/>
    <w:rsid w:val="003A1651"/>
    <w:rsid w:val="003A1E0A"/>
    <w:rsid w:val="003A27C5"/>
    <w:rsid w:val="003A361B"/>
    <w:rsid w:val="003A6FAE"/>
    <w:rsid w:val="003A7F44"/>
    <w:rsid w:val="003B0569"/>
    <w:rsid w:val="003B0786"/>
    <w:rsid w:val="003B1AEA"/>
    <w:rsid w:val="003B2AAD"/>
    <w:rsid w:val="003B396A"/>
    <w:rsid w:val="003B5DEF"/>
    <w:rsid w:val="003B7523"/>
    <w:rsid w:val="003C13D3"/>
    <w:rsid w:val="003C2236"/>
    <w:rsid w:val="003C349D"/>
    <w:rsid w:val="003C371B"/>
    <w:rsid w:val="003C4110"/>
    <w:rsid w:val="003C4198"/>
    <w:rsid w:val="003C6412"/>
    <w:rsid w:val="003D655A"/>
    <w:rsid w:val="003E0E35"/>
    <w:rsid w:val="003E1D88"/>
    <w:rsid w:val="003E3F9B"/>
    <w:rsid w:val="003E41CB"/>
    <w:rsid w:val="003F01C9"/>
    <w:rsid w:val="003F0B30"/>
    <w:rsid w:val="003F20E9"/>
    <w:rsid w:val="003F2534"/>
    <w:rsid w:val="003F5592"/>
    <w:rsid w:val="003F59EA"/>
    <w:rsid w:val="003F6132"/>
    <w:rsid w:val="00403B3A"/>
    <w:rsid w:val="00404E09"/>
    <w:rsid w:val="0040715E"/>
    <w:rsid w:val="0041161D"/>
    <w:rsid w:val="00411BB1"/>
    <w:rsid w:val="00414F10"/>
    <w:rsid w:val="00416DF3"/>
    <w:rsid w:val="00417672"/>
    <w:rsid w:val="00417A93"/>
    <w:rsid w:val="0042642D"/>
    <w:rsid w:val="004267B9"/>
    <w:rsid w:val="004269C5"/>
    <w:rsid w:val="00426B21"/>
    <w:rsid w:val="00431E2F"/>
    <w:rsid w:val="00431E8C"/>
    <w:rsid w:val="00432D0F"/>
    <w:rsid w:val="004340A5"/>
    <w:rsid w:val="00436190"/>
    <w:rsid w:val="0044012B"/>
    <w:rsid w:val="00445578"/>
    <w:rsid w:val="004501BA"/>
    <w:rsid w:val="00451878"/>
    <w:rsid w:val="00454DFF"/>
    <w:rsid w:val="0045519B"/>
    <w:rsid w:val="00455E06"/>
    <w:rsid w:val="004570C6"/>
    <w:rsid w:val="004574CD"/>
    <w:rsid w:val="00457DCE"/>
    <w:rsid w:val="00461020"/>
    <w:rsid w:val="00461047"/>
    <w:rsid w:val="0046176D"/>
    <w:rsid w:val="0046200F"/>
    <w:rsid w:val="00462F28"/>
    <w:rsid w:val="004634DB"/>
    <w:rsid w:val="00465482"/>
    <w:rsid w:val="004728D6"/>
    <w:rsid w:val="004729B9"/>
    <w:rsid w:val="004732C1"/>
    <w:rsid w:val="00474B87"/>
    <w:rsid w:val="00480719"/>
    <w:rsid w:val="00480F48"/>
    <w:rsid w:val="004810F2"/>
    <w:rsid w:val="0048316A"/>
    <w:rsid w:val="00483AB6"/>
    <w:rsid w:val="00483B3D"/>
    <w:rsid w:val="004848CF"/>
    <w:rsid w:val="00485219"/>
    <w:rsid w:val="004868DD"/>
    <w:rsid w:val="004908A3"/>
    <w:rsid w:val="0049618E"/>
    <w:rsid w:val="004966A1"/>
    <w:rsid w:val="00497740"/>
    <w:rsid w:val="004A1B26"/>
    <w:rsid w:val="004A6ABB"/>
    <w:rsid w:val="004A70CD"/>
    <w:rsid w:val="004B3903"/>
    <w:rsid w:val="004B5D6F"/>
    <w:rsid w:val="004B6CCB"/>
    <w:rsid w:val="004B6F5D"/>
    <w:rsid w:val="004C1CA2"/>
    <w:rsid w:val="004C2FB4"/>
    <w:rsid w:val="004C54AC"/>
    <w:rsid w:val="004C5E71"/>
    <w:rsid w:val="004C629F"/>
    <w:rsid w:val="004C6377"/>
    <w:rsid w:val="004C7082"/>
    <w:rsid w:val="004D02D0"/>
    <w:rsid w:val="004D1AED"/>
    <w:rsid w:val="004D3472"/>
    <w:rsid w:val="004E125F"/>
    <w:rsid w:val="004E1EF7"/>
    <w:rsid w:val="004E6693"/>
    <w:rsid w:val="004E76C8"/>
    <w:rsid w:val="004E7940"/>
    <w:rsid w:val="004E7ABB"/>
    <w:rsid w:val="004E7D07"/>
    <w:rsid w:val="004F087A"/>
    <w:rsid w:val="004F0AD5"/>
    <w:rsid w:val="004F2D61"/>
    <w:rsid w:val="004F3121"/>
    <w:rsid w:val="004F3485"/>
    <w:rsid w:val="004F3DCB"/>
    <w:rsid w:val="004F6CD7"/>
    <w:rsid w:val="004F70EF"/>
    <w:rsid w:val="005001A6"/>
    <w:rsid w:val="00500792"/>
    <w:rsid w:val="00502D8D"/>
    <w:rsid w:val="0050578F"/>
    <w:rsid w:val="00512A47"/>
    <w:rsid w:val="00513B77"/>
    <w:rsid w:val="005154B4"/>
    <w:rsid w:val="0051641E"/>
    <w:rsid w:val="005206D1"/>
    <w:rsid w:val="00521840"/>
    <w:rsid w:val="005244A4"/>
    <w:rsid w:val="00526A47"/>
    <w:rsid w:val="00527C60"/>
    <w:rsid w:val="00532E81"/>
    <w:rsid w:val="00533D9D"/>
    <w:rsid w:val="005356D1"/>
    <w:rsid w:val="005363C2"/>
    <w:rsid w:val="00537103"/>
    <w:rsid w:val="00541A4F"/>
    <w:rsid w:val="005438A1"/>
    <w:rsid w:val="00543CC7"/>
    <w:rsid w:val="005559AB"/>
    <w:rsid w:val="00557BB6"/>
    <w:rsid w:val="00560A8F"/>
    <w:rsid w:val="00563486"/>
    <w:rsid w:val="00563B03"/>
    <w:rsid w:val="005650CB"/>
    <w:rsid w:val="00565391"/>
    <w:rsid w:val="0056687C"/>
    <w:rsid w:val="00566B37"/>
    <w:rsid w:val="00571510"/>
    <w:rsid w:val="00571E47"/>
    <w:rsid w:val="005761AC"/>
    <w:rsid w:val="0057657F"/>
    <w:rsid w:val="005800C1"/>
    <w:rsid w:val="00580AD7"/>
    <w:rsid w:val="00581A67"/>
    <w:rsid w:val="00584C11"/>
    <w:rsid w:val="00584E29"/>
    <w:rsid w:val="00594423"/>
    <w:rsid w:val="00596137"/>
    <w:rsid w:val="005975AB"/>
    <w:rsid w:val="005A0C49"/>
    <w:rsid w:val="005A1404"/>
    <w:rsid w:val="005A37CE"/>
    <w:rsid w:val="005A5036"/>
    <w:rsid w:val="005A731D"/>
    <w:rsid w:val="005A7505"/>
    <w:rsid w:val="005A7CD7"/>
    <w:rsid w:val="005B0C30"/>
    <w:rsid w:val="005B274A"/>
    <w:rsid w:val="005B3BED"/>
    <w:rsid w:val="005B6670"/>
    <w:rsid w:val="005C098C"/>
    <w:rsid w:val="005D076B"/>
    <w:rsid w:val="005D21AE"/>
    <w:rsid w:val="005D36C6"/>
    <w:rsid w:val="005D3E21"/>
    <w:rsid w:val="005D46C3"/>
    <w:rsid w:val="005D58E2"/>
    <w:rsid w:val="005D7969"/>
    <w:rsid w:val="005E1D3B"/>
    <w:rsid w:val="005E2717"/>
    <w:rsid w:val="005E4491"/>
    <w:rsid w:val="005E5E89"/>
    <w:rsid w:val="005E784E"/>
    <w:rsid w:val="005F12E7"/>
    <w:rsid w:val="005F5C71"/>
    <w:rsid w:val="005F7929"/>
    <w:rsid w:val="005F794B"/>
    <w:rsid w:val="006001D8"/>
    <w:rsid w:val="006011D5"/>
    <w:rsid w:val="00602634"/>
    <w:rsid w:val="00603096"/>
    <w:rsid w:val="00604851"/>
    <w:rsid w:val="00604E00"/>
    <w:rsid w:val="00605F53"/>
    <w:rsid w:val="00606A0E"/>
    <w:rsid w:val="006100D8"/>
    <w:rsid w:val="00610EB4"/>
    <w:rsid w:val="00613E89"/>
    <w:rsid w:val="006146A9"/>
    <w:rsid w:val="00614AEB"/>
    <w:rsid w:val="00614DB4"/>
    <w:rsid w:val="00621600"/>
    <w:rsid w:val="00622897"/>
    <w:rsid w:val="00622905"/>
    <w:rsid w:val="00624FDE"/>
    <w:rsid w:val="00626641"/>
    <w:rsid w:val="00627B89"/>
    <w:rsid w:val="0063065A"/>
    <w:rsid w:val="00634285"/>
    <w:rsid w:val="0063451C"/>
    <w:rsid w:val="0063664B"/>
    <w:rsid w:val="006427DC"/>
    <w:rsid w:val="00643921"/>
    <w:rsid w:val="006446C6"/>
    <w:rsid w:val="00645507"/>
    <w:rsid w:val="0064748F"/>
    <w:rsid w:val="006479AC"/>
    <w:rsid w:val="00647DF1"/>
    <w:rsid w:val="00650310"/>
    <w:rsid w:val="00652B6A"/>
    <w:rsid w:val="00655B39"/>
    <w:rsid w:val="006601F8"/>
    <w:rsid w:val="00664536"/>
    <w:rsid w:val="0066468C"/>
    <w:rsid w:val="0066562F"/>
    <w:rsid w:val="006661EB"/>
    <w:rsid w:val="006714AC"/>
    <w:rsid w:val="00672EEF"/>
    <w:rsid w:val="00673139"/>
    <w:rsid w:val="006733A4"/>
    <w:rsid w:val="00673514"/>
    <w:rsid w:val="00673834"/>
    <w:rsid w:val="00674391"/>
    <w:rsid w:val="006757DE"/>
    <w:rsid w:val="0067694B"/>
    <w:rsid w:val="00677A1A"/>
    <w:rsid w:val="00684125"/>
    <w:rsid w:val="0068474C"/>
    <w:rsid w:val="00685128"/>
    <w:rsid w:val="00686BA4"/>
    <w:rsid w:val="006870CD"/>
    <w:rsid w:val="006878BF"/>
    <w:rsid w:val="00691FCF"/>
    <w:rsid w:val="00695547"/>
    <w:rsid w:val="00695B85"/>
    <w:rsid w:val="006967CF"/>
    <w:rsid w:val="00696DBE"/>
    <w:rsid w:val="00697EE1"/>
    <w:rsid w:val="006A215D"/>
    <w:rsid w:val="006A2460"/>
    <w:rsid w:val="006A2DCE"/>
    <w:rsid w:val="006A4196"/>
    <w:rsid w:val="006A6727"/>
    <w:rsid w:val="006A70BC"/>
    <w:rsid w:val="006A772A"/>
    <w:rsid w:val="006B35FC"/>
    <w:rsid w:val="006B38AD"/>
    <w:rsid w:val="006B5DFC"/>
    <w:rsid w:val="006B6844"/>
    <w:rsid w:val="006B754C"/>
    <w:rsid w:val="006B7AA8"/>
    <w:rsid w:val="006C1DD8"/>
    <w:rsid w:val="006C2598"/>
    <w:rsid w:val="006C2AF8"/>
    <w:rsid w:val="006C434D"/>
    <w:rsid w:val="006C58C9"/>
    <w:rsid w:val="006D11B7"/>
    <w:rsid w:val="006D127C"/>
    <w:rsid w:val="006D14EE"/>
    <w:rsid w:val="006D39B8"/>
    <w:rsid w:val="006D429C"/>
    <w:rsid w:val="006D65E9"/>
    <w:rsid w:val="006D6C5C"/>
    <w:rsid w:val="006E1099"/>
    <w:rsid w:val="006E1FDC"/>
    <w:rsid w:val="006E3D93"/>
    <w:rsid w:val="006E5898"/>
    <w:rsid w:val="006E673C"/>
    <w:rsid w:val="006E762C"/>
    <w:rsid w:val="006F1F00"/>
    <w:rsid w:val="006F2240"/>
    <w:rsid w:val="006F330F"/>
    <w:rsid w:val="006F463F"/>
    <w:rsid w:val="006F4F21"/>
    <w:rsid w:val="00702061"/>
    <w:rsid w:val="00703BF7"/>
    <w:rsid w:val="00704839"/>
    <w:rsid w:val="00705583"/>
    <w:rsid w:val="00705A29"/>
    <w:rsid w:val="00707A4B"/>
    <w:rsid w:val="00707BD2"/>
    <w:rsid w:val="0071044B"/>
    <w:rsid w:val="00710B9B"/>
    <w:rsid w:val="007125C0"/>
    <w:rsid w:val="0071330E"/>
    <w:rsid w:val="00713A27"/>
    <w:rsid w:val="00713E17"/>
    <w:rsid w:val="00715639"/>
    <w:rsid w:val="00715C31"/>
    <w:rsid w:val="00722A4C"/>
    <w:rsid w:val="00723E3F"/>
    <w:rsid w:val="00724819"/>
    <w:rsid w:val="0072564A"/>
    <w:rsid w:val="00726981"/>
    <w:rsid w:val="00727664"/>
    <w:rsid w:val="00727F14"/>
    <w:rsid w:val="00730B64"/>
    <w:rsid w:val="00731386"/>
    <w:rsid w:val="00732641"/>
    <w:rsid w:val="00733BBF"/>
    <w:rsid w:val="007344D7"/>
    <w:rsid w:val="00734816"/>
    <w:rsid w:val="00736A6C"/>
    <w:rsid w:val="007373F6"/>
    <w:rsid w:val="00740ACD"/>
    <w:rsid w:val="00741BF1"/>
    <w:rsid w:val="0074590E"/>
    <w:rsid w:val="00745E7F"/>
    <w:rsid w:val="007512B3"/>
    <w:rsid w:val="00752E21"/>
    <w:rsid w:val="007530CE"/>
    <w:rsid w:val="007548FB"/>
    <w:rsid w:val="0075746B"/>
    <w:rsid w:val="0076149F"/>
    <w:rsid w:val="007625FF"/>
    <w:rsid w:val="00766B84"/>
    <w:rsid w:val="007705EE"/>
    <w:rsid w:val="00774036"/>
    <w:rsid w:val="0077737B"/>
    <w:rsid w:val="0077738F"/>
    <w:rsid w:val="00780586"/>
    <w:rsid w:val="00780865"/>
    <w:rsid w:val="00781FD4"/>
    <w:rsid w:val="00782ADA"/>
    <w:rsid w:val="00782CED"/>
    <w:rsid w:val="007843E7"/>
    <w:rsid w:val="00784A2D"/>
    <w:rsid w:val="007858FA"/>
    <w:rsid w:val="00787B92"/>
    <w:rsid w:val="00787BEC"/>
    <w:rsid w:val="00790090"/>
    <w:rsid w:val="0079070A"/>
    <w:rsid w:val="007914B9"/>
    <w:rsid w:val="00791A68"/>
    <w:rsid w:val="0079386E"/>
    <w:rsid w:val="00794895"/>
    <w:rsid w:val="00797BEC"/>
    <w:rsid w:val="007A0C76"/>
    <w:rsid w:val="007A11C4"/>
    <w:rsid w:val="007A1F3D"/>
    <w:rsid w:val="007A2CC1"/>
    <w:rsid w:val="007A37CE"/>
    <w:rsid w:val="007A46E5"/>
    <w:rsid w:val="007A486C"/>
    <w:rsid w:val="007A5332"/>
    <w:rsid w:val="007A6914"/>
    <w:rsid w:val="007A6C6B"/>
    <w:rsid w:val="007B473F"/>
    <w:rsid w:val="007B5D0D"/>
    <w:rsid w:val="007B616C"/>
    <w:rsid w:val="007B7214"/>
    <w:rsid w:val="007B7DCA"/>
    <w:rsid w:val="007C1B29"/>
    <w:rsid w:val="007C289E"/>
    <w:rsid w:val="007C50E4"/>
    <w:rsid w:val="007C5751"/>
    <w:rsid w:val="007D0C20"/>
    <w:rsid w:val="007D1CAD"/>
    <w:rsid w:val="007D216A"/>
    <w:rsid w:val="007D256F"/>
    <w:rsid w:val="007D3429"/>
    <w:rsid w:val="007D5C29"/>
    <w:rsid w:val="007D7140"/>
    <w:rsid w:val="007E1E5E"/>
    <w:rsid w:val="007E41D4"/>
    <w:rsid w:val="007E4224"/>
    <w:rsid w:val="007E5129"/>
    <w:rsid w:val="007E618A"/>
    <w:rsid w:val="007E629A"/>
    <w:rsid w:val="007E6B05"/>
    <w:rsid w:val="007E7884"/>
    <w:rsid w:val="007F1160"/>
    <w:rsid w:val="007F1735"/>
    <w:rsid w:val="007F2873"/>
    <w:rsid w:val="007F358E"/>
    <w:rsid w:val="007F37B6"/>
    <w:rsid w:val="007F6655"/>
    <w:rsid w:val="007F68FE"/>
    <w:rsid w:val="007F6BFF"/>
    <w:rsid w:val="00804D90"/>
    <w:rsid w:val="00812529"/>
    <w:rsid w:val="008129DE"/>
    <w:rsid w:val="00813315"/>
    <w:rsid w:val="00813B7B"/>
    <w:rsid w:val="00814B04"/>
    <w:rsid w:val="008163B6"/>
    <w:rsid w:val="00816EAC"/>
    <w:rsid w:val="008205D1"/>
    <w:rsid w:val="008215B2"/>
    <w:rsid w:val="0082316D"/>
    <w:rsid w:val="008236DA"/>
    <w:rsid w:val="0082548D"/>
    <w:rsid w:val="00830854"/>
    <w:rsid w:val="00831616"/>
    <w:rsid w:val="00832B34"/>
    <w:rsid w:val="00833822"/>
    <w:rsid w:val="00835836"/>
    <w:rsid w:val="00836FFA"/>
    <w:rsid w:val="00840047"/>
    <w:rsid w:val="00840328"/>
    <w:rsid w:val="0084108C"/>
    <w:rsid w:val="0084197D"/>
    <w:rsid w:val="00841E85"/>
    <w:rsid w:val="00841EF7"/>
    <w:rsid w:val="00843DCF"/>
    <w:rsid w:val="008440BE"/>
    <w:rsid w:val="00844D01"/>
    <w:rsid w:val="0085129D"/>
    <w:rsid w:val="00852AD9"/>
    <w:rsid w:val="00852DBF"/>
    <w:rsid w:val="0085609A"/>
    <w:rsid w:val="00861A80"/>
    <w:rsid w:val="00861AA2"/>
    <w:rsid w:val="00861FD7"/>
    <w:rsid w:val="00863A79"/>
    <w:rsid w:val="00863AEC"/>
    <w:rsid w:val="00863DA6"/>
    <w:rsid w:val="0086507D"/>
    <w:rsid w:val="0086543D"/>
    <w:rsid w:val="00866232"/>
    <w:rsid w:val="00866F1D"/>
    <w:rsid w:val="008705D6"/>
    <w:rsid w:val="008721F6"/>
    <w:rsid w:val="0087272B"/>
    <w:rsid w:val="00873D51"/>
    <w:rsid w:val="008751E7"/>
    <w:rsid w:val="008753CD"/>
    <w:rsid w:val="008760CF"/>
    <w:rsid w:val="008765E9"/>
    <w:rsid w:val="0087775E"/>
    <w:rsid w:val="008824C9"/>
    <w:rsid w:val="00883322"/>
    <w:rsid w:val="00884B74"/>
    <w:rsid w:val="0088687B"/>
    <w:rsid w:val="008938BF"/>
    <w:rsid w:val="00893F55"/>
    <w:rsid w:val="008944FA"/>
    <w:rsid w:val="0089471A"/>
    <w:rsid w:val="00897C9F"/>
    <w:rsid w:val="00897EC0"/>
    <w:rsid w:val="008A18AC"/>
    <w:rsid w:val="008A1AE8"/>
    <w:rsid w:val="008A3F44"/>
    <w:rsid w:val="008A77F1"/>
    <w:rsid w:val="008B0AE0"/>
    <w:rsid w:val="008B17E2"/>
    <w:rsid w:val="008B26CE"/>
    <w:rsid w:val="008B40E3"/>
    <w:rsid w:val="008B748F"/>
    <w:rsid w:val="008C098D"/>
    <w:rsid w:val="008C1902"/>
    <w:rsid w:val="008C1BE1"/>
    <w:rsid w:val="008C1FFF"/>
    <w:rsid w:val="008C458D"/>
    <w:rsid w:val="008C5863"/>
    <w:rsid w:val="008D4703"/>
    <w:rsid w:val="008D497C"/>
    <w:rsid w:val="008E0508"/>
    <w:rsid w:val="008E101B"/>
    <w:rsid w:val="008E3238"/>
    <w:rsid w:val="008E3400"/>
    <w:rsid w:val="008E47A4"/>
    <w:rsid w:val="008E47E3"/>
    <w:rsid w:val="008E7C71"/>
    <w:rsid w:val="008F09A8"/>
    <w:rsid w:val="008F296F"/>
    <w:rsid w:val="008F3591"/>
    <w:rsid w:val="008F46AE"/>
    <w:rsid w:val="008F66BD"/>
    <w:rsid w:val="008F6C20"/>
    <w:rsid w:val="008F7B09"/>
    <w:rsid w:val="00900423"/>
    <w:rsid w:val="00900786"/>
    <w:rsid w:val="00903910"/>
    <w:rsid w:val="00904802"/>
    <w:rsid w:val="00904ED0"/>
    <w:rsid w:val="0090652D"/>
    <w:rsid w:val="00906BF0"/>
    <w:rsid w:val="00910474"/>
    <w:rsid w:val="009108D9"/>
    <w:rsid w:val="00911718"/>
    <w:rsid w:val="00912CB8"/>
    <w:rsid w:val="00913CD1"/>
    <w:rsid w:val="009144C0"/>
    <w:rsid w:val="00920540"/>
    <w:rsid w:val="00923CE9"/>
    <w:rsid w:val="00925AB6"/>
    <w:rsid w:val="00927834"/>
    <w:rsid w:val="00930043"/>
    <w:rsid w:val="00930505"/>
    <w:rsid w:val="00933ECD"/>
    <w:rsid w:val="009342F7"/>
    <w:rsid w:val="00935361"/>
    <w:rsid w:val="00936BFF"/>
    <w:rsid w:val="009377BE"/>
    <w:rsid w:val="00937ABD"/>
    <w:rsid w:val="009416F3"/>
    <w:rsid w:val="0094190E"/>
    <w:rsid w:val="00944692"/>
    <w:rsid w:val="009461B8"/>
    <w:rsid w:val="00946A3B"/>
    <w:rsid w:val="00946EF0"/>
    <w:rsid w:val="00947ACD"/>
    <w:rsid w:val="00952B18"/>
    <w:rsid w:val="00952F5B"/>
    <w:rsid w:val="00953DBE"/>
    <w:rsid w:val="00954D9C"/>
    <w:rsid w:val="00954F85"/>
    <w:rsid w:val="0095754C"/>
    <w:rsid w:val="00957A1B"/>
    <w:rsid w:val="00961F4A"/>
    <w:rsid w:val="00963F4F"/>
    <w:rsid w:val="00965B70"/>
    <w:rsid w:val="00967162"/>
    <w:rsid w:val="009674D2"/>
    <w:rsid w:val="00972139"/>
    <w:rsid w:val="0097276F"/>
    <w:rsid w:val="00972BF8"/>
    <w:rsid w:val="0097332E"/>
    <w:rsid w:val="00975BAA"/>
    <w:rsid w:val="0098314C"/>
    <w:rsid w:val="009837C1"/>
    <w:rsid w:val="0098442A"/>
    <w:rsid w:val="00986591"/>
    <w:rsid w:val="00986F51"/>
    <w:rsid w:val="0099105E"/>
    <w:rsid w:val="00991F32"/>
    <w:rsid w:val="0099206F"/>
    <w:rsid w:val="009934E3"/>
    <w:rsid w:val="0099372C"/>
    <w:rsid w:val="00994C7E"/>
    <w:rsid w:val="009A2918"/>
    <w:rsid w:val="009A2A0A"/>
    <w:rsid w:val="009A3502"/>
    <w:rsid w:val="009A55C0"/>
    <w:rsid w:val="009A5E78"/>
    <w:rsid w:val="009A67CE"/>
    <w:rsid w:val="009A6E4F"/>
    <w:rsid w:val="009B2C63"/>
    <w:rsid w:val="009B3A10"/>
    <w:rsid w:val="009B3CC9"/>
    <w:rsid w:val="009B4BEB"/>
    <w:rsid w:val="009B6EC9"/>
    <w:rsid w:val="009C3C17"/>
    <w:rsid w:val="009C4788"/>
    <w:rsid w:val="009C6966"/>
    <w:rsid w:val="009C7DB0"/>
    <w:rsid w:val="009D09E5"/>
    <w:rsid w:val="009D1153"/>
    <w:rsid w:val="009D2213"/>
    <w:rsid w:val="009D2ABE"/>
    <w:rsid w:val="009E02FD"/>
    <w:rsid w:val="009E337B"/>
    <w:rsid w:val="009E4E32"/>
    <w:rsid w:val="009E6539"/>
    <w:rsid w:val="009E757B"/>
    <w:rsid w:val="009F0C9B"/>
    <w:rsid w:val="009F217F"/>
    <w:rsid w:val="009F39BD"/>
    <w:rsid w:val="009F5AC6"/>
    <w:rsid w:val="009F7F78"/>
    <w:rsid w:val="00A01B39"/>
    <w:rsid w:val="00A0303A"/>
    <w:rsid w:val="00A03D8D"/>
    <w:rsid w:val="00A0452E"/>
    <w:rsid w:val="00A0483E"/>
    <w:rsid w:val="00A0496A"/>
    <w:rsid w:val="00A0635E"/>
    <w:rsid w:val="00A120C2"/>
    <w:rsid w:val="00A14C8F"/>
    <w:rsid w:val="00A20028"/>
    <w:rsid w:val="00A2064A"/>
    <w:rsid w:val="00A20784"/>
    <w:rsid w:val="00A2094E"/>
    <w:rsid w:val="00A22651"/>
    <w:rsid w:val="00A23412"/>
    <w:rsid w:val="00A26FC2"/>
    <w:rsid w:val="00A272BC"/>
    <w:rsid w:val="00A30394"/>
    <w:rsid w:val="00A30FA4"/>
    <w:rsid w:val="00A31897"/>
    <w:rsid w:val="00A33D0E"/>
    <w:rsid w:val="00A345E1"/>
    <w:rsid w:val="00A35AEE"/>
    <w:rsid w:val="00A374AF"/>
    <w:rsid w:val="00A37739"/>
    <w:rsid w:val="00A37D74"/>
    <w:rsid w:val="00A4030B"/>
    <w:rsid w:val="00A41B98"/>
    <w:rsid w:val="00A42159"/>
    <w:rsid w:val="00A42BD2"/>
    <w:rsid w:val="00A42CAA"/>
    <w:rsid w:val="00A43BD8"/>
    <w:rsid w:val="00A43C3B"/>
    <w:rsid w:val="00A45B73"/>
    <w:rsid w:val="00A46B32"/>
    <w:rsid w:val="00A476B9"/>
    <w:rsid w:val="00A5053F"/>
    <w:rsid w:val="00A521B5"/>
    <w:rsid w:val="00A5226D"/>
    <w:rsid w:val="00A52270"/>
    <w:rsid w:val="00A52E83"/>
    <w:rsid w:val="00A53FEF"/>
    <w:rsid w:val="00A5450D"/>
    <w:rsid w:val="00A55EA4"/>
    <w:rsid w:val="00A56604"/>
    <w:rsid w:val="00A60C55"/>
    <w:rsid w:val="00A62AA3"/>
    <w:rsid w:val="00A65A49"/>
    <w:rsid w:val="00A663C7"/>
    <w:rsid w:val="00A66CF8"/>
    <w:rsid w:val="00A66D36"/>
    <w:rsid w:val="00A7093B"/>
    <w:rsid w:val="00A732F7"/>
    <w:rsid w:val="00A753A3"/>
    <w:rsid w:val="00A776FB"/>
    <w:rsid w:val="00A77C2B"/>
    <w:rsid w:val="00A81083"/>
    <w:rsid w:val="00A8792E"/>
    <w:rsid w:val="00A95F0F"/>
    <w:rsid w:val="00A97B44"/>
    <w:rsid w:val="00AA00C6"/>
    <w:rsid w:val="00AA0D36"/>
    <w:rsid w:val="00AA0EBC"/>
    <w:rsid w:val="00AA0ED6"/>
    <w:rsid w:val="00AA1F7F"/>
    <w:rsid w:val="00AA50C0"/>
    <w:rsid w:val="00AA6FF7"/>
    <w:rsid w:val="00AB5D10"/>
    <w:rsid w:val="00AB729C"/>
    <w:rsid w:val="00AC10CE"/>
    <w:rsid w:val="00AC22D3"/>
    <w:rsid w:val="00AC369B"/>
    <w:rsid w:val="00AC6013"/>
    <w:rsid w:val="00AD10D0"/>
    <w:rsid w:val="00AD308C"/>
    <w:rsid w:val="00AD4D46"/>
    <w:rsid w:val="00AD55D6"/>
    <w:rsid w:val="00AE199E"/>
    <w:rsid w:val="00AE649A"/>
    <w:rsid w:val="00AE67C1"/>
    <w:rsid w:val="00AE77BA"/>
    <w:rsid w:val="00AE79D5"/>
    <w:rsid w:val="00AF3EEA"/>
    <w:rsid w:val="00AF5935"/>
    <w:rsid w:val="00AF6DF2"/>
    <w:rsid w:val="00AF736E"/>
    <w:rsid w:val="00B00594"/>
    <w:rsid w:val="00B007AC"/>
    <w:rsid w:val="00B0100F"/>
    <w:rsid w:val="00B03300"/>
    <w:rsid w:val="00B03393"/>
    <w:rsid w:val="00B04E20"/>
    <w:rsid w:val="00B122DF"/>
    <w:rsid w:val="00B137B8"/>
    <w:rsid w:val="00B16047"/>
    <w:rsid w:val="00B1650F"/>
    <w:rsid w:val="00B215F0"/>
    <w:rsid w:val="00B21B27"/>
    <w:rsid w:val="00B22A52"/>
    <w:rsid w:val="00B23CDF"/>
    <w:rsid w:val="00B24009"/>
    <w:rsid w:val="00B25F33"/>
    <w:rsid w:val="00B27BE9"/>
    <w:rsid w:val="00B30D14"/>
    <w:rsid w:val="00B318F9"/>
    <w:rsid w:val="00B332D8"/>
    <w:rsid w:val="00B3518D"/>
    <w:rsid w:val="00B37ED1"/>
    <w:rsid w:val="00B40165"/>
    <w:rsid w:val="00B40BDF"/>
    <w:rsid w:val="00B41EFC"/>
    <w:rsid w:val="00B42B40"/>
    <w:rsid w:val="00B45215"/>
    <w:rsid w:val="00B46537"/>
    <w:rsid w:val="00B4710A"/>
    <w:rsid w:val="00B50F04"/>
    <w:rsid w:val="00B517CD"/>
    <w:rsid w:val="00B527F0"/>
    <w:rsid w:val="00B53D7B"/>
    <w:rsid w:val="00B54609"/>
    <w:rsid w:val="00B54C86"/>
    <w:rsid w:val="00B554EA"/>
    <w:rsid w:val="00B62E7F"/>
    <w:rsid w:val="00B64A0D"/>
    <w:rsid w:val="00B66E2B"/>
    <w:rsid w:val="00B66E8B"/>
    <w:rsid w:val="00B675A2"/>
    <w:rsid w:val="00B72E88"/>
    <w:rsid w:val="00B73EA1"/>
    <w:rsid w:val="00B73F2A"/>
    <w:rsid w:val="00B762E2"/>
    <w:rsid w:val="00B806D7"/>
    <w:rsid w:val="00B81CDA"/>
    <w:rsid w:val="00B81EBB"/>
    <w:rsid w:val="00B85035"/>
    <w:rsid w:val="00B85D26"/>
    <w:rsid w:val="00B91093"/>
    <w:rsid w:val="00B9395C"/>
    <w:rsid w:val="00B93BEE"/>
    <w:rsid w:val="00B969C6"/>
    <w:rsid w:val="00B97313"/>
    <w:rsid w:val="00B97DFC"/>
    <w:rsid w:val="00BA023A"/>
    <w:rsid w:val="00BA0712"/>
    <w:rsid w:val="00BA5BAB"/>
    <w:rsid w:val="00BA5D99"/>
    <w:rsid w:val="00BA6559"/>
    <w:rsid w:val="00BB361C"/>
    <w:rsid w:val="00BB4586"/>
    <w:rsid w:val="00BC0A40"/>
    <w:rsid w:val="00BC2CF4"/>
    <w:rsid w:val="00BC35FB"/>
    <w:rsid w:val="00BC3F2A"/>
    <w:rsid w:val="00BC405B"/>
    <w:rsid w:val="00BC45C0"/>
    <w:rsid w:val="00BC5BC2"/>
    <w:rsid w:val="00BC7DE0"/>
    <w:rsid w:val="00BD08E0"/>
    <w:rsid w:val="00BD25C0"/>
    <w:rsid w:val="00BD40DE"/>
    <w:rsid w:val="00BD5401"/>
    <w:rsid w:val="00BD6BB2"/>
    <w:rsid w:val="00BD7597"/>
    <w:rsid w:val="00BD7978"/>
    <w:rsid w:val="00BE044D"/>
    <w:rsid w:val="00BE2F53"/>
    <w:rsid w:val="00BE3A6D"/>
    <w:rsid w:val="00BF1A0D"/>
    <w:rsid w:val="00BF2718"/>
    <w:rsid w:val="00BF47F5"/>
    <w:rsid w:val="00BF633F"/>
    <w:rsid w:val="00BF6D9E"/>
    <w:rsid w:val="00C001B7"/>
    <w:rsid w:val="00C01E16"/>
    <w:rsid w:val="00C02B99"/>
    <w:rsid w:val="00C02C55"/>
    <w:rsid w:val="00C031A9"/>
    <w:rsid w:val="00C1179C"/>
    <w:rsid w:val="00C11ED2"/>
    <w:rsid w:val="00C13462"/>
    <w:rsid w:val="00C13F0A"/>
    <w:rsid w:val="00C14A48"/>
    <w:rsid w:val="00C22818"/>
    <w:rsid w:val="00C22A64"/>
    <w:rsid w:val="00C22C92"/>
    <w:rsid w:val="00C243EE"/>
    <w:rsid w:val="00C254AF"/>
    <w:rsid w:val="00C25C40"/>
    <w:rsid w:val="00C25D35"/>
    <w:rsid w:val="00C2601E"/>
    <w:rsid w:val="00C26037"/>
    <w:rsid w:val="00C31ACD"/>
    <w:rsid w:val="00C31DFF"/>
    <w:rsid w:val="00C34133"/>
    <w:rsid w:val="00C34CAA"/>
    <w:rsid w:val="00C362B3"/>
    <w:rsid w:val="00C36EEA"/>
    <w:rsid w:val="00C37BD4"/>
    <w:rsid w:val="00C42145"/>
    <w:rsid w:val="00C43564"/>
    <w:rsid w:val="00C43DF3"/>
    <w:rsid w:val="00C440A0"/>
    <w:rsid w:val="00C441E7"/>
    <w:rsid w:val="00C46F39"/>
    <w:rsid w:val="00C471F6"/>
    <w:rsid w:val="00C476D2"/>
    <w:rsid w:val="00C50BD3"/>
    <w:rsid w:val="00C52AD1"/>
    <w:rsid w:val="00C53323"/>
    <w:rsid w:val="00C535DB"/>
    <w:rsid w:val="00C6434A"/>
    <w:rsid w:val="00C664B9"/>
    <w:rsid w:val="00C70712"/>
    <w:rsid w:val="00C7181F"/>
    <w:rsid w:val="00C72655"/>
    <w:rsid w:val="00C72DBD"/>
    <w:rsid w:val="00C75621"/>
    <w:rsid w:val="00C80075"/>
    <w:rsid w:val="00C80213"/>
    <w:rsid w:val="00C80BCD"/>
    <w:rsid w:val="00C81294"/>
    <w:rsid w:val="00C825BA"/>
    <w:rsid w:val="00C83193"/>
    <w:rsid w:val="00C83633"/>
    <w:rsid w:val="00C849DB"/>
    <w:rsid w:val="00C902FC"/>
    <w:rsid w:val="00C91050"/>
    <w:rsid w:val="00C970CD"/>
    <w:rsid w:val="00C97643"/>
    <w:rsid w:val="00C97F35"/>
    <w:rsid w:val="00CA159D"/>
    <w:rsid w:val="00CA26F6"/>
    <w:rsid w:val="00CA3BAE"/>
    <w:rsid w:val="00CA6781"/>
    <w:rsid w:val="00CA67E4"/>
    <w:rsid w:val="00CA787C"/>
    <w:rsid w:val="00CB0B52"/>
    <w:rsid w:val="00CB1065"/>
    <w:rsid w:val="00CB13E8"/>
    <w:rsid w:val="00CB18C9"/>
    <w:rsid w:val="00CB2A4F"/>
    <w:rsid w:val="00CB43B8"/>
    <w:rsid w:val="00CB5F8E"/>
    <w:rsid w:val="00CB64C3"/>
    <w:rsid w:val="00CB679B"/>
    <w:rsid w:val="00CB754F"/>
    <w:rsid w:val="00CB7FFA"/>
    <w:rsid w:val="00CC58BC"/>
    <w:rsid w:val="00CC6571"/>
    <w:rsid w:val="00CC6891"/>
    <w:rsid w:val="00CD3B25"/>
    <w:rsid w:val="00CD428E"/>
    <w:rsid w:val="00CE0797"/>
    <w:rsid w:val="00CE10FB"/>
    <w:rsid w:val="00CE22C5"/>
    <w:rsid w:val="00CE31E7"/>
    <w:rsid w:val="00CE695A"/>
    <w:rsid w:val="00CE69EC"/>
    <w:rsid w:val="00CF2223"/>
    <w:rsid w:val="00CF6C30"/>
    <w:rsid w:val="00CF75E5"/>
    <w:rsid w:val="00CF7DF1"/>
    <w:rsid w:val="00D000F4"/>
    <w:rsid w:val="00D009A2"/>
    <w:rsid w:val="00D01A42"/>
    <w:rsid w:val="00D03C05"/>
    <w:rsid w:val="00D05ACD"/>
    <w:rsid w:val="00D06377"/>
    <w:rsid w:val="00D064B7"/>
    <w:rsid w:val="00D103D1"/>
    <w:rsid w:val="00D112F9"/>
    <w:rsid w:val="00D11E00"/>
    <w:rsid w:val="00D1335B"/>
    <w:rsid w:val="00D13C5E"/>
    <w:rsid w:val="00D15998"/>
    <w:rsid w:val="00D167EC"/>
    <w:rsid w:val="00D20E7B"/>
    <w:rsid w:val="00D20FAF"/>
    <w:rsid w:val="00D213E1"/>
    <w:rsid w:val="00D23386"/>
    <w:rsid w:val="00D2642D"/>
    <w:rsid w:val="00D26849"/>
    <w:rsid w:val="00D27C96"/>
    <w:rsid w:val="00D32A21"/>
    <w:rsid w:val="00D34195"/>
    <w:rsid w:val="00D35E7B"/>
    <w:rsid w:val="00D37698"/>
    <w:rsid w:val="00D41361"/>
    <w:rsid w:val="00D42079"/>
    <w:rsid w:val="00D4384A"/>
    <w:rsid w:val="00D43BEB"/>
    <w:rsid w:val="00D459A7"/>
    <w:rsid w:val="00D47A45"/>
    <w:rsid w:val="00D50759"/>
    <w:rsid w:val="00D523D3"/>
    <w:rsid w:val="00D533DE"/>
    <w:rsid w:val="00D537C7"/>
    <w:rsid w:val="00D548C3"/>
    <w:rsid w:val="00D60990"/>
    <w:rsid w:val="00D63F69"/>
    <w:rsid w:val="00D65957"/>
    <w:rsid w:val="00D70683"/>
    <w:rsid w:val="00D71026"/>
    <w:rsid w:val="00D72BF5"/>
    <w:rsid w:val="00D75B11"/>
    <w:rsid w:val="00D7665C"/>
    <w:rsid w:val="00D7767A"/>
    <w:rsid w:val="00D776A7"/>
    <w:rsid w:val="00D80F38"/>
    <w:rsid w:val="00D812BD"/>
    <w:rsid w:val="00D81FB7"/>
    <w:rsid w:val="00D82225"/>
    <w:rsid w:val="00D82697"/>
    <w:rsid w:val="00D84F93"/>
    <w:rsid w:val="00D85386"/>
    <w:rsid w:val="00D85BFE"/>
    <w:rsid w:val="00D85CCF"/>
    <w:rsid w:val="00D86939"/>
    <w:rsid w:val="00D872CB"/>
    <w:rsid w:val="00D915C6"/>
    <w:rsid w:val="00D92EBA"/>
    <w:rsid w:val="00D935DF"/>
    <w:rsid w:val="00D94A62"/>
    <w:rsid w:val="00D95043"/>
    <w:rsid w:val="00D97206"/>
    <w:rsid w:val="00DA392E"/>
    <w:rsid w:val="00DA7CA4"/>
    <w:rsid w:val="00DB0CA4"/>
    <w:rsid w:val="00DB16FF"/>
    <w:rsid w:val="00DB2018"/>
    <w:rsid w:val="00DB2C11"/>
    <w:rsid w:val="00DB354F"/>
    <w:rsid w:val="00DB4EC1"/>
    <w:rsid w:val="00DB4FDE"/>
    <w:rsid w:val="00DB51F0"/>
    <w:rsid w:val="00DB53B7"/>
    <w:rsid w:val="00DB5A68"/>
    <w:rsid w:val="00DC231D"/>
    <w:rsid w:val="00DC246C"/>
    <w:rsid w:val="00DC2F0C"/>
    <w:rsid w:val="00DC3E53"/>
    <w:rsid w:val="00DC46DA"/>
    <w:rsid w:val="00DC5D52"/>
    <w:rsid w:val="00DC5EB8"/>
    <w:rsid w:val="00DC6168"/>
    <w:rsid w:val="00DC715A"/>
    <w:rsid w:val="00DD0308"/>
    <w:rsid w:val="00DD0A3A"/>
    <w:rsid w:val="00DD3900"/>
    <w:rsid w:val="00DE084D"/>
    <w:rsid w:val="00DE0E6F"/>
    <w:rsid w:val="00DE1715"/>
    <w:rsid w:val="00DE563D"/>
    <w:rsid w:val="00DE6070"/>
    <w:rsid w:val="00DE69BB"/>
    <w:rsid w:val="00DE79BC"/>
    <w:rsid w:val="00DF3EA9"/>
    <w:rsid w:val="00DF52CE"/>
    <w:rsid w:val="00DF66B9"/>
    <w:rsid w:val="00DF6817"/>
    <w:rsid w:val="00DF68B1"/>
    <w:rsid w:val="00E01D86"/>
    <w:rsid w:val="00E02876"/>
    <w:rsid w:val="00E055A2"/>
    <w:rsid w:val="00E0738C"/>
    <w:rsid w:val="00E07DA7"/>
    <w:rsid w:val="00E10BB4"/>
    <w:rsid w:val="00E11150"/>
    <w:rsid w:val="00E11E41"/>
    <w:rsid w:val="00E1245E"/>
    <w:rsid w:val="00E153EF"/>
    <w:rsid w:val="00E15E1B"/>
    <w:rsid w:val="00E165E4"/>
    <w:rsid w:val="00E24F0D"/>
    <w:rsid w:val="00E25FC7"/>
    <w:rsid w:val="00E26446"/>
    <w:rsid w:val="00E27BEB"/>
    <w:rsid w:val="00E31A60"/>
    <w:rsid w:val="00E3560F"/>
    <w:rsid w:val="00E35F5A"/>
    <w:rsid w:val="00E36334"/>
    <w:rsid w:val="00E42AD3"/>
    <w:rsid w:val="00E44873"/>
    <w:rsid w:val="00E45C25"/>
    <w:rsid w:val="00E50F5E"/>
    <w:rsid w:val="00E5188F"/>
    <w:rsid w:val="00E528E6"/>
    <w:rsid w:val="00E55073"/>
    <w:rsid w:val="00E5571E"/>
    <w:rsid w:val="00E61620"/>
    <w:rsid w:val="00E616A7"/>
    <w:rsid w:val="00E65758"/>
    <w:rsid w:val="00E71B57"/>
    <w:rsid w:val="00E71B65"/>
    <w:rsid w:val="00E76E7B"/>
    <w:rsid w:val="00E812FF"/>
    <w:rsid w:val="00E83060"/>
    <w:rsid w:val="00E855C8"/>
    <w:rsid w:val="00E86C0C"/>
    <w:rsid w:val="00E9094A"/>
    <w:rsid w:val="00E9172B"/>
    <w:rsid w:val="00E92453"/>
    <w:rsid w:val="00E93EF5"/>
    <w:rsid w:val="00E957AA"/>
    <w:rsid w:val="00E96C27"/>
    <w:rsid w:val="00E97B02"/>
    <w:rsid w:val="00EA0531"/>
    <w:rsid w:val="00EA0538"/>
    <w:rsid w:val="00EA1AED"/>
    <w:rsid w:val="00EA3D17"/>
    <w:rsid w:val="00EA776F"/>
    <w:rsid w:val="00EB1863"/>
    <w:rsid w:val="00EB2238"/>
    <w:rsid w:val="00EB3CB9"/>
    <w:rsid w:val="00EB5001"/>
    <w:rsid w:val="00EB63BB"/>
    <w:rsid w:val="00EB7CA6"/>
    <w:rsid w:val="00EC0651"/>
    <w:rsid w:val="00EC2160"/>
    <w:rsid w:val="00EC27C7"/>
    <w:rsid w:val="00EC2E04"/>
    <w:rsid w:val="00ED0BE5"/>
    <w:rsid w:val="00ED176A"/>
    <w:rsid w:val="00ED3361"/>
    <w:rsid w:val="00ED54E0"/>
    <w:rsid w:val="00EE2653"/>
    <w:rsid w:val="00EE343C"/>
    <w:rsid w:val="00EE5559"/>
    <w:rsid w:val="00EE783D"/>
    <w:rsid w:val="00EF0BE0"/>
    <w:rsid w:val="00EF0FF7"/>
    <w:rsid w:val="00EF2603"/>
    <w:rsid w:val="00EF2B4D"/>
    <w:rsid w:val="00EF32C2"/>
    <w:rsid w:val="00EF5D92"/>
    <w:rsid w:val="00EF7136"/>
    <w:rsid w:val="00F04FB5"/>
    <w:rsid w:val="00F05194"/>
    <w:rsid w:val="00F10137"/>
    <w:rsid w:val="00F11FE8"/>
    <w:rsid w:val="00F12815"/>
    <w:rsid w:val="00F12D17"/>
    <w:rsid w:val="00F16BFC"/>
    <w:rsid w:val="00F1757E"/>
    <w:rsid w:val="00F20574"/>
    <w:rsid w:val="00F2379B"/>
    <w:rsid w:val="00F239C2"/>
    <w:rsid w:val="00F23D12"/>
    <w:rsid w:val="00F262D6"/>
    <w:rsid w:val="00F27C73"/>
    <w:rsid w:val="00F311C9"/>
    <w:rsid w:val="00F3206B"/>
    <w:rsid w:val="00F33DB1"/>
    <w:rsid w:val="00F34D4E"/>
    <w:rsid w:val="00F352DF"/>
    <w:rsid w:val="00F377C6"/>
    <w:rsid w:val="00F40AE8"/>
    <w:rsid w:val="00F42683"/>
    <w:rsid w:val="00F45446"/>
    <w:rsid w:val="00F4610D"/>
    <w:rsid w:val="00F46901"/>
    <w:rsid w:val="00F53D93"/>
    <w:rsid w:val="00F53F78"/>
    <w:rsid w:val="00F54AB0"/>
    <w:rsid w:val="00F55867"/>
    <w:rsid w:val="00F5756B"/>
    <w:rsid w:val="00F62909"/>
    <w:rsid w:val="00F649C9"/>
    <w:rsid w:val="00F65150"/>
    <w:rsid w:val="00F67D6A"/>
    <w:rsid w:val="00F719E5"/>
    <w:rsid w:val="00F739BE"/>
    <w:rsid w:val="00F7694E"/>
    <w:rsid w:val="00F77618"/>
    <w:rsid w:val="00F82A1A"/>
    <w:rsid w:val="00F85C05"/>
    <w:rsid w:val="00F952A2"/>
    <w:rsid w:val="00F96AF8"/>
    <w:rsid w:val="00FA091E"/>
    <w:rsid w:val="00FA0CF4"/>
    <w:rsid w:val="00FA186B"/>
    <w:rsid w:val="00FA3B09"/>
    <w:rsid w:val="00FA3ECE"/>
    <w:rsid w:val="00FA4061"/>
    <w:rsid w:val="00FA4B32"/>
    <w:rsid w:val="00FA5585"/>
    <w:rsid w:val="00FA5586"/>
    <w:rsid w:val="00FA7892"/>
    <w:rsid w:val="00FA7D22"/>
    <w:rsid w:val="00FB1011"/>
    <w:rsid w:val="00FB13AF"/>
    <w:rsid w:val="00FB2905"/>
    <w:rsid w:val="00FB4DCC"/>
    <w:rsid w:val="00FC5118"/>
    <w:rsid w:val="00FD335A"/>
    <w:rsid w:val="00FD4D7F"/>
    <w:rsid w:val="00FD5D2A"/>
    <w:rsid w:val="00FE1172"/>
    <w:rsid w:val="00FE524E"/>
    <w:rsid w:val="00FF2FC7"/>
    <w:rsid w:val="00FF34DF"/>
    <w:rsid w:val="00FF44C7"/>
    <w:rsid w:val="00F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2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423"/>
    <w:rPr>
      <w:rFonts w:ascii="Tahoma" w:hAnsi="Tahoma" w:cs="Tahoma"/>
      <w:sz w:val="16"/>
      <w:szCs w:val="16"/>
    </w:rPr>
  </w:style>
  <w:style w:type="character" w:customStyle="1" w:styleId="BalloonTextChar">
    <w:name w:val="Balloon Text Char"/>
    <w:basedOn w:val="DefaultParagraphFont"/>
    <w:link w:val="BalloonText"/>
    <w:uiPriority w:val="99"/>
    <w:semiHidden/>
    <w:rsid w:val="00594423"/>
    <w:rPr>
      <w:rFonts w:ascii="Tahoma" w:eastAsia="Times New Roman" w:hAnsi="Tahoma" w:cs="Tahoma"/>
      <w:sz w:val="16"/>
      <w:szCs w:val="16"/>
    </w:rPr>
  </w:style>
  <w:style w:type="paragraph" w:styleId="ListParagraph">
    <w:name w:val="List Paragraph"/>
    <w:basedOn w:val="Normal"/>
    <w:uiPriority w:val="34"/>
    <w:qFormat/>
    <w:rsid w:val="009A67CE"/>
    <w:pPr>
      <w:ind w:left="720"/>
    </w:pPr>
    <w:rPr>
      <w:rFonts w:eastAsia="Batang"/>
      <w:szCs w:val="24"/>
    </w:rPr>
  </w:style>
  <w:style w:type="paragraph" w:customStyle="1" w:styleId="Default">
    <w:name w:val="Default"/>
    <w:rsid w:val="00CB1065"/>
    <w:pPr>
      <w:autoSpaceDE w:val="0"/>
      <w:autoSpaceDN w:val="0"/>
      <w:adjustRightInd w:val="0"/>
      <w:spacing w:after="0" w:line="240" w:lineRule="auto"/>
    </w:pPr>
    <w:rPr>
      <w:rFonts w:ascii="Arial" w:hAnsi="Arial" w:cs="Arial"/>
      <w:color w:val="000000"/>
      <w:sz w:val="24"/>
      <w:szCs w:val="24"/>
      <w:lang w:val="en-GB"/>
    </w:rPr>
  </w:style>
  <w:style w:type="paragraph" w:customStyle="1" w:styleId="MGfulltext">
    <w:name w:val="MG_fulltext"/>
    <w:basedOn w:val="Normal"/>
    <w:link w:val="MGfulltextChar"/>
    <w:qFormat/>
    <w:rsid w:val="009A2A0A"/>
    <w:pPr>
      <w:spacing w:after="120"/>
    </w:pPr>
    <w:rPr>
      <w:rFonts w:ascii="Arial" w:hAnsi="Arial" w:cs="Arial"/>
      <w:szCs w:val="24"/>
    </w:rPr>
  </w:style>
  <w:style w:type="character" w:customStyle="1" w:styleId="MGfulltextChar">
    <w:name w:val="MG_fulltext Char"/>
    <w:basedOn w:val="DefaultParagraphFont"/>
    <w:link w:val="MGfulltext"/>
    <w:rsid w:val="009A2A0A"/>
    <w:rPr>
      <w:rFonts w:ascii="Arial" w:eastAsia="Times New Roman" w:hAnsi="Arial" w:cs="Arial"/>
      <w:sz w:val="24"/>
      <w:szCs w:val="24"/>
    </w:rPr>
  </w:style>
  <w:style w:type="paragraph" w:styleId="FootnoteText">
    <w:name w:val="footnote text"/>
    <w:basedOn w:val="Normal"/>
    <w:link w:val="FootnoteTextChar"/>
    <w:semiHidden/>
    <w:rsid w:val="009A2A0A"/>
    <w:rPr>
      <w:rFonts w:eastAsia="Batang"/>
      <w:sz w:val="20"/>
    </w:rPr>
  </w:style>
  <w:style w:type="character" w:customStyle="1" w:styleId="FootnoteTextChar">
    <w:name w:val="Footnote Text Char"/>
    <w:basedOn w:val="DefaultParagraphFont"/>
    <w:link w:val="FootnoteText"/>
    <w:semiHidden/>
    <w:rsid w:val="009A2A0A"/>
    <w:rPr>
      <w:rFonts w:ascii="Times New Roman" w:eastAsia="Batang" w:hAnsi="Times New Roman" w:cs="Times New Roman"/>
      <w:sz w:val="20"/>
      <w:szCs w:val="20"/>
    </w:rPr>
  </w:style>
  <w:style w:type="character" w:styleId="FootnoteReference">
    <w:name w:val="footnote reference"/>
    <w:basedOn w:val="DefaultParagraphFont"/>
    <w:semiHidden/>
    <w:rsid w:val="009A2A0A"/>
    <w:rPr>
      <w:vertAlign w:val="superscript"/>
    </w:rPr>
  </w:style>
  <w:style w:type="paragraph" w:styleId="Header">
    <w:name w:val="header"/>
    <w:basedOn w:val="Normal"/>
    <w:link w:val="HeaderChar"/>
    <w:uiPriority w:val="99"/>
    <w:unhideWhenUsed/>
    <w:rsid w:val="00994C7E"/>
    <w:pPr>
      <w:tabs>
        <w:tab w:val="center" w:pos="4680"/>
        <w:tab w:val="right" w:pos="9360"/>
      </w:tabs>
    </w:pPr>
  </w:style>
  <w:style w:type="character" w:customStyle="1" w:styleId="HeaderChar">
    <w:name w:val="Header Char"/>
    <w:basedOn w:val="DefaultParagraphFont"/>
    <w:link w:val="Header"/>
    <w:uiPriority w:val="99"/>
    <w:rsid w:val="00994C7E"/>
    <w:rPr>
      <w:rFonts w:ascii="Times New Roman" w:eastAsia="Times New Roman" w:hAnsi="Times New Roman" w:cs="Times New Roman"/>
      <w:sz w:val="24"/>
      <w:szCs w:val="20"/>
    </w:rPr>
  </w:style>
  <w:style w:type="paragraph" w:styleId="Footer">
    <w:name w:val="footer"/>
    <w:basedOn w:val="Normal"/>
    <w:link w:val="FooterChar"/>
    <w:unhideWhenUsed/>
    <w:rsid w:val="00994C7E"/>
    <w:pPr>
      <w:tabs>
        <w:tab w:val="center" w:pos="4680"/>
        <w:tab w:val="right" w:pos="9360"/>
      </w:tabs>
    </w:pPr>
  </w:style>
  <w:style w:type="character" w:customStyle="1" w:styleId="FooterChar">
    <w:name w:val="Footer Char"/>
    <w:basedOn w:val="DefaultParagraphFont"/>
    <w:link w:val="Footer"/>
    <w:uiPriority w:val="99"/>
    <w:semiHidden/>
    <w:rsid w:val="00994C7E"/>
    <w:rPr>
      <w:rFonts w:ascii="Times New Roman" w:eastAsia="Times New Roman" w:hAnsi="Times New Roman" w:cs="Times New Roman"/>
      <w:sz w:val="24"/>
      <w:szCs w:val="20"/>
    </w:rPr>
  </w:style>
  <w:style w:type="character" w:styleId="PageNumber">
    <w:name w:val="page number"/>
    <w:basedOn w:val="DefaultParagraphFont"/>
    <w:rsid w:val="009A2A0A"/>
  </w:style>
  <w:style w:type="character" w:styleId="CommentReference">
    <w:name w:val="annotation reference"/>
    <w:basedOn w:val="DefaultParagraphFont"/>
    <w:uiPriority w:val="99"/>
    <w:semiHidden/>
    <w:unhideWhenUsed/>
    <w:rsid w:val="000F138D"/>
    <w:rPr>
      <w:sz w:val="16"/>
      <w:szCs w:val="16"/>
    </w:rPr>
  </w:style>
  <w:style w:type="paragraph" w:styleId="CommentText">
    <w:name w:val="annotation text"/>
    <w:basedOn w:val="Normal"/>
    <w:link w:val="CommentTextChar"/>
    <w:uiPriority w:val="99"/>
    <w:semiHidden/>
    <w:unhideWhenUsed/>
    <w:rsid w:val="000F138D"/>
    <w:rPr>
      <w:sz w:val="20"/>
    </w:rPr>
  </w:style>
  <w:style w:type="character" w:customStyle="1" w:styleId="CommentTextChar">
    <w:name w:val="Comment Text Char"/>
    <w:basedOn w:val="DefaultParagraphFont"/>
    <w:link w:val="CommentText"/>
    <w:uiPriority w:val="99"/>
    <w:semiHidden/>
    <w:rsid w:val="000F13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138D"/>
    <w:rPr>
      <w:b/>
      <w:bCs/>
    </w:rPr>
  </w:style>
  <w:style w:type="character" w:customStyle="1" w:styleId="CommentSubjectChar">
    <w:name w:val="Comment Subject Char"/>
    <w:basedOn w:val="CommentTextChar"/>
    <w:link w:val="CommentSubject"/>
    <w:uiPriority w:val="99"/>
    <w:semiHidden/>
    <w:rsid w:val="000F138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7D1CAD"/>
    <w:rPr>
      <w:rFonts w:ascii="Arial" w:eastAsiaTheme="minorHAnsi" w:hAnsi="Arial" w:cstheme="minorBidi"/>
      <w:szCs w:val="21"/>
    </w:rPr>
  </w:style>
  <w:style w:type="character" w:customStyle="1" w:styleId="PlainTextChar">
    <w:name w:val="Plain Text Char"/>
    <w:basedOn w:val="DefaultParagraphFont"/>
    <w:link w:val="PlainText"/>
    <w:uiPriority w:val="99"/>
    <w:semiHidden/>
    <w:rsid w:val="007D1CAD"/>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2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423"/>
    <w:rPr>
      <w:rFonts w:ascii="Tahoma" w:hAnsi="Tahoma" w:cs="Tahoma"/>
      <w:sz w:val="16"/>
      <w:szCs w:val="16"/>
    </w:rPr>
  </w:style>
  <w:style w:type="character" w:customStyle="1" w:styleId="BalloonTextChar">
    <w:name w:val="Balloon Text Char"/>
    <w:basedOn w:val="DefaultParagraphFont"/>
    <w:link w:val="BalloonText"/>
    <w:uiPriority w:val="99"/>
    <w:semiHidden/>
    <w:rsid w:val="00594423"/>
    <w:rPr>
      <w:rFonts w:ascii="Tahoma" w:eastAsia="Times New Roman" w:hAnsi="Tahoma" w:cs="Tahoma"/>
      <w:sz w:val="16"/>
      <w:szCs w:val="16"/>
    </w:rPr>
  </w:style>
  <w:style w:type="paragraph" w:styleId="ListParagraph">
    <w:name w:val="List Paragraph"/>
    <w:basedOn w:val="Normal"/>
    <w:uiPriority w:val="34"/>
    <w:qFormat/>
    <w:rsid w:val="009A67CE"/>
    <w:pPr>
      <w:ind w:left="720"/>
    </w:pPr>
    <w:rPr>
      <w:rFonts w:eastAsia="Batang"/>
      <w:szCs w:val="24"/>
    </w:rPr>
  </w:style>
  <w:style w:type="paragraph" w:customStyle="1" w:styleId="Default">
    <w:name w:val="Default"/>
    <w:rsid w:val="00CB1065"/>
    <w:pPr>
      <w:autoSpaceDE w:val="0"/>
      <w:autoSpaceDN w:val="0"/>
      <w:adjustRightInd w:val="0"/>
      <w:spacing w:after="0" w:line="240" w:lineRule="auto"/>
    </w:pPr>
    <w:rPr>
      <w:rFonts w:ascii="Arial" w:hAnsi="Arial" w:cs="Arial"/>
      <w:color w:val="000000"/>
      <w:sz w:val="24"/>
      <w:szCs w:val="24"/>
      <w:lang w:val="en-GB"/>
    </w:rPr>
  </w:style>
  <w:style w:type="paragraph" w:customStyle="1" w:styleId="MGfulltext">
    <w:name w:val="MG_fulltext"/>
    <w:basedOn w:val="Normal"/>
    <w:link w:val="MGfulltextChar"/>
    <w:qFormat/>
    <w:rsid w:val="009A2A0A"/>
    <w:pPr>
      <w:spacing w:after="120"/>
    </w:pPr>
    <w:rPr>
      <w:rFonts w:ascii="Arial" w:hAnsi="Arial" w:cs="Arial"/>
      <w:szCs w:val="24"/>
    </w:rPr>
  </w:style>
  <w:style w:type="character" w:customStyle="1" w:styleId="MGfulltextChar">
    <w:name w:val="MG_fulltext Char"/>
    <w:basedOn w:val="DefaultParagraphFont"/>
    <w:link w:val="MGfulltext"/>
    <w:rsid w:val="009A2A0A"/>
    <w:rPr>
      <w:rFonts w:ascii="Arial" w:eastAsia="Times New Roman" w:hAnsi="Arial" w:cs="Arial"/>
      <w:sz w:val="24"/>
      <w:szCs w:val="24"/>
    </w:rPr>
  </w:style>
  <w:style w:type="paragraph" w:styleId="FootnoteText">
    <w:name w:val="footnote text"/>
    <w:basedOn w:val="Normal"/>
    <w:link w:val="FootnoteTextChar"/>
    <w:semiHidden/>
    <w:rsid w:val="009A2A0A"/>
    <w:rPr>
      <w:rFonts w:eastAsia="Batang"/>
      <w:sz w:val="20"/>
    </w:rPr>
  </w:style>
  <w:style w:type="character" w:customStyle="1" w:styleId="FootnoteTextChar">
    <w:name w:val="Footnote Text Char"/>
    <w:basedOn w:val="DefaultParagraphFont"/>
    <w:link w:val="FootnoteText"/>
    <w:semiHidden/>
    <w:rsid w:val="009A2A0A"/>
    <w:rPr>
      <w:rFonts w:ascii="Times New Roman" w:eastAsia="Batang" w:hAnsi="Times New Roman" w:cs="Times New Roman"/>
      <w:sz w:val="20"/>
      <w:szCs w:val="20"/>
    </w:rPr>
  </w:style>
  <w:style w:type="character" w:styleId="FootnoteReference">
    <w:name w:val="footnote reference"/>
    <w:basedOn w:val="DefaultParagraphFont"/>
    <w:semiHidden/>
    <w:rsid w:val="009A2A0A"/>
    <w:rPr>
      <w:vertAlign w:val="superscript"/>
    </w:rPr>
  </w:style>
  <w:style w:type="paragraph" w:styleId="Header">
    <w:name w:val="header"/>
    <w:basedOn w:val="Normal"/>
    <w:link w:val="HeaderChar"/>
    <w:uiPriority w:val="99"/>
    <w:unhideWhenUsed/>
    <w:rsid w:val="00994C7E"/>
    <w:pPr>
      <w:tabs>
        <w:tab w:val="center" w:pos="4680"/>
        <w:tab w:val="right" w:pos="9360"/>
      </w:tabs>
    </w:pPr>
  </w:style>
  <w:style w:type="character" w:customStyle="1" w:styleId="HeaderChar">
    <w:name w:val="Header Char"/>
    <w:basedOn w:val="DefaultParagraphFont"/>
    <w:link w:val="Header"/>
    <w:uiPriority w:val="99"/>
    <w:rsid w:val="00994C7E"/>
    <w:rPr>
      <w:rFonts w:ascii="Times New Roman" w:eastAsia="Times New Roman" w:hAnsi="Times New Roman" w:cs="Times New Roman"/>
      <w:sz w:val="24"/>
      <w:szCs w:val="20"/>
    </w:rPr>
  </w:style>
  <w:style w:type="paragraph" w:styleId="Footer">
    <w:name w:val="footer"/>
    <w:basedOn w:val="Normal"/>
    <w:link w:val="FooterChar"/>
    <w:unhideWhenUsed/>
    <w:rsid w:val="00994C7E"/>
    <w:pPr>
      <w:tabs>
        <w:tab w:val="center" w:pos="4680"/>
        <w:tab w:val="right" w:pos="9360"/>
      </w:tabs>
    </w:pPr>
  </w:style>
  <w:style w:type="character" w:customStyle="1" w:styleId="FooterChar">
    <w:name w:val="Footer Char"/>
    <w:basedOn w:val="DefaultParagraphFont"/>
    <w:link w:val="Footer"/>
    <w:uiPriority w:val="99"/>
    <w:semiHidden/>
    <w:rsid w:val="00994C7E"/>
    <w:rPr>
      <w:rFonts w:ascii="Times New Roman" w:eastAsia="Times New Roman" w:hAnsi="Times New Roman" w:cs="Times New Roman"/>
      <w:sz w:val="24"/>
      <w:szCs w:val="20"/>
    </w:rPr>
  </w:style>
  <w:style w:type="character" w:styleId="PageNumber">
    <w:name w:val="page number"/>
    <w:basedOn w:val="DefaultParagraphFont"/>
    <w:rsid w:val="009A2A0A"/>
  </w:style>
  <w:style w:type="character" w:styleId="CommentReference">
    <w:name w:val="annotation reference"/>
    <w:basedOn w:val="DefaultParagraphFont"/>
    <w:uiPriority w:val="99"/>
    <w:semiHidden/>
    <w:unhideWhenUsed/>
    <w:rsid w:val="000F138D"/>
    <w:rPr>
      <w:sz w:val="16"/>
      <w:szCs w:val="16"/>
    </w:rPr>
  </w:style>
  <w:style w:type="paragraph" w:styleId="CommentText">
    <w:name w:val="annotation text"/>
    <w:basedOn w:val="Normal"/>
    <w:link w:val="CommentTextChar"/>
    <w:uiPriority w:val="99"/>
    <w:semiHidden/>
    <w:unhideWhenUsed/>
    <w:rsid w:val="000F138D"/>
    <w:rPr>
      <w:sz w:val="20"/>
    </w:rPr>
  </w:style>
  <w:style w:type="character" w:customStyle="1" w:styleId="CommentTextChar">
    <w:name w:val="Comment Text Char"/>
    <w:basedOn w:val="DefaultParagraphFont"/>
    <w:link w:val="CommentText"/>
    <w:uiPriority w:val="99"/>
    <w:semiHidden/>
    <w:rsid w:val="000F13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138D"/>
    <w:rPr>
      <w:b/>
      <w:bCs/>
    </w:rPr>
  </w:style>
  <w:style w:type="character" w:customStyle="1" w:styleId="CommentSubjectChar">
    <w:name w:val="Comment Subject Char"/>
    <w:basedOn w:val="CommentTextChar"/>
    <w:link w:val="CommentSubject"/>
    <w:uiPriority w:val="99"/>
    <w:semiHidden/>
    <w:rsid w:val="000F138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7D1CAD"/>
    <w:rPr>
      <w:rFonts w:ascii="Arial" w:eastAsiaTheme="minorHAnsi" w:hAnsi="Arial" w:cstheme="minorBidi"/>
      <w:szCs w:val="21"/>
    </w:rPr>
  </w:style>
  <w:style w:type="character" w:customStyle="1" w:styleId="PlainTextChar">
    <w:name w:val="Plain Text Char"/>
    <w:basedOn w:val="DefaultParagraphFont"/>
    <w:link w:val="PlainText"/>
    <w:uiPriority w:val="99"/>
    <w:semiHidden/>
    <w:rsid w:val="007D1CAD"/>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0395">
      <w:bodyDiv w:val="1"/>
      <w:marLeft w:val="0"/>
      <w:marRight w:val="0"/>
      <w:marTop w:val="0"/>
      <w:marBottom w:val="0"/>
      <w:divBdr>
        <w:top w:val="none" w:sz="0" w:space="0" w:color="auto"/>
        <w:left w:val="none" w:sz="0" w:space="0" w:color="auto"/>
        <w:bottom w:val="none" w:sz="0" w:space="0" w:color="auto"/>
        <w:right w:val="none" w:sz="0" w:space="0" w:color="auto"/>
      </w:divBdr>
    </w:div>
    <w:div w:id="764695430">
      <w:bodyDiv w:val="1"/>
      <w:marLeft w:val="0"/>
      <w:marRight w:val="0"/>
      <w:marTop w:val="0"/>
      <w:marBottom w:val="0"/>
      <w:divBdr>
        <w:top w:val="none" w:sz="0" w:space="0" w:color="auto"/>
        <w:left w:val="none" w:sz="0" w:space="0" w:color="auto"/>
        <w:bottom w:val="none" w:sz="0" w:space="0" w:color="auto"/>
        <w:right w:val="none" w:sz="0" w:space="0" w:color="auto"/>
      </w:divBdr>
    </w:div>
    <w:div w:id="792019861">
      <w:bodyDiv w:val="1"/>
      <w:marLeft w:val="0"/>
      <w:marRight w:val="0"/>
      <w:marTop w:val="0"/>
      <w:marBottom w:val="0"/>
      <w:divBdr>
        <w:top w:val="none" w:sz="0" w:space="0" w:color="auto"/>
        <w:left w:val="none" w:sz="0" w:space="0" w:color="auto"/>
        <w:bottom w:val="none" w:sz="0" w:space="0" w:color="auto"/>
        <w:right w:val="none" w:sz="0" w:space="0" w:color="auto"/>
      </w:divBdr>
    </w:div>
    <w:div w:id="1063024775">
      <w:bodyDiv w:val="1"/>
      <w:marLeft w:val="0"/>
      <w:marRight w:val="0"/>
      <w:marTop w:val="0"/>
      <w:marBottom w:val="0"/>
      <w:divBdr>
        <w:top w:val="none" w:sz="0" w:space="0" w:color="auto"/>
        <w:left w:val="none" w:sz="0" w:space="0" w:color="auto"/>
        <w:bottom w:val="none" w:sz="0" w:space="0" w:color="auto"/>
        <w:right w:val="none" w:sz="0" w:space="0" w:color="auto"/>
      </w:divBdr>
    </w:div>
    <w:div w:id="1210847761">
      <w:bodyDiv w:val="1"/>
      <w:marLeft w:val="0"/>
      <w:marRight w:val="0"/>
      <w:marTop w:val="0"/>
      <w:marBottom w:val="0"/>
      <w:divBdr>
        <w:top w:val="none" w:sz="0" w:space="0" w:color="auto"/>
        <w:left w:val="none" w:sz="0" w:space="0" w:color="auto"/>
        <w:bottom w:val="none" w:sz="0" w:space="0" w:color="auto"/>
        <w:right w:val="none" w:sz="0" w:space="0" w:color="auto"/>
      </w:divBdr>
    </w:div>
    <w:div w:id="1317958901">
      <w:bodyDiv w:val="1"/>
      <w:marLeft w:val="0"/>
      <w:marRight w:val="0"/>
      <w:marTop w:val="0"/>
      <w:marBottom w:val="0"/>
      <w:divBdr>
        <w:top w:val="none" w:sz="0" w:space="0" w:color="auto"/>
        <w:left w:val="none" w:sz="0" w:space="0" w:color="auto"/>
        <w:bottom w:val="none" w:sz="0" w:space="0" w:color="auto"/>
        <w:right w:val="none" w:sz="0" w:space="0" w:color="auto"/>
      </w:divBdr>
    </w:div>
    <w:div w:id="1683161456">
      <w:bodyDiv w:val="1"/>
      <w:marLeft w:val="0"/>
      <w:marRight w:val="0"/>
      <w:marTop w:val="0"/>
      <w:marBottom w:val="0"/>
      <w:divBdr>
        <w:top w:val="none" w:sz="0" w:space="0" w:color="auto"/>
        <w:left w:val="none" w:sz="0" w:space="0" w:color="auto"/>
        <w:bottom w:val="none" w:sz="0" w:space="0" w:color="auto"/>
        <w:right w:val="none" w:sz="0" w:space="0" w:color="auto"/>
      </w:divBdr>
    </w:div>
    <w:div w:id="1703555524">
      <w:bodyDiv w:val="1"/>
      <w:marLeft w:val="0"/>
      <w:marRight w:val="0"/>
      <w:marTop w:val="0"/>
      <w:marBottom w:val="0"/>
      <w:divBdr>
        <w:top w:val="none" w:sz="0" w:space="0" w:color="auto"/>
        <w:left w:val="none" w:sz="0" w:space="0" w:color="auto"/>
        <w:bottom w:val="none" w:sz="0" w:space="0" w:color="auto"/>
        <w:right w:val="none" w:sz="0" w:space="0" w:color="auto"/>
      </w:divBdr>
    </w:div>
    <w:div w:id="20259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AF00-7DBB-4AEC-B719-BB946564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Ramsar\BarsinO</dc:creator>
  <cp:lastModifiedBy>Ramsar\JenningsE</cp:lastModifiedBy>
  <cp:revision>3</cp:revision>
  <cp:lastPrinted>2015-06-08T17:05:00Z</cp:lastPrinted>
  <dcterms:created xsi:type="dcterms:W3CDTF">2015-06-09T15:17:00Z</dcterms:created>
  <dcterms:modified xsi:type="dcterms:W3CDTF">2015-06-18T13:14:00Z</dcterms:modified>
</cp:coreProperties>
</file>