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7B" w:rsidRPr="00DF58B9" w:rsidRDefault="00B3167B" w:rsidP="00B3167B">
      <w:pPr>
        <w:tabs>
          <w:tab w:val="left" w:pos="2977"/>
        </w:tabs>
        <w:spacing w:after="0" w:line="240" w:lineRule="auto"/>
        <w:jc w:val="center"/>
        <w:rPr>
          <w:b/>
          <w:spacing w:val="-4"/>
          <w:sz w:val="25"/>
          <w:szCs w:val="25"/>
          <w:lang w:val="fr-FR"/>
        </w:rPr>
      </w:pPr>
      <w:r w:rsidRPr="00DF58B9">
        <w:rPr>
          <w:noProof/>
          <w:spacing w:val="-4"/>
          <w:sz w:val="25"/>
          <w:szCs w:val="25"/>
          <w:lang w:val="en-US" w:eastAsia="en-US"/>
        </w:rPr>
        <w:drawing>
          <wp:anchor distT="0" distB="0" distL="114300" distR="114300" simplePos="0" relativeHeight="251662336" behindDoc="0" locked="0" layoutInCell="1" allowOverlap="1">
            <wp:simplePos x="0" y="0"/>
            <wp:positionH relativeFrom="margin">
              <wp:posOffset>-171450</wp:posOffset>
            </wp:positionH>
            <wp:positionV relativeFrom="margin">
              <wp:posOffset>-254000</wp:posOffset>
            </wp:positionV>
            <wp:extent cx="2216150" cy="952500"/>
            <wp:effectExtent l="19050" t="0" r="0" b="0"/>
            <wp:wrapSquare wrapText="bothSides"/>
            <wp:docPr id="2"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8" cstate="print"/>
                    <a:stretch>
                      <a:fillRect/>
                    </a:stretch>
                  </pic:blipFill>
                  <pic:spPr bwMode="auto">
                    <a:xfrm>
                      <a:off x="0" y="0"/>
                      <a:ext cx="2216150" cy="952500"/>
                    </a:xfrm>
                    <a:prstGeom prst="rect">
                      <a:avLst/>
                    </a:prstGeom>
                    <a:noFill/>
                    <a:ln>
                      <a:noFill/>
                    </a:ln>
                  </pic:spPr>
                </pic:pic>
              </a:graphicData>
            </a:graphic>
          </wp:anchor>
        </w:drawing>
      </w:r>
      <w:r w:rsidRPr="00DF58B9">
        <w:rPr>
          <w:b/>
          <w:spacing w:val="-4"/>
          <w:sz w:val="25"/>
          <w:szCs w:val="25"/>
          <w:lang w:val="fr-FR"/>
        </w:rPr>
        <w:t>12</w:t>
      </w:r>
      <w:r w:rsidRPr="00DF58B9">
        <w:rPr>
          <w:b/>
          <w:spacing w:val="-4"/>
          <w:sz w:val="25"/>
          <w:szCs w:val="25"/>
          <w:vertAlign w:val="superscript"/>
          <w:lang w:val="fr-FR"/>
        </w:rPr>
        <w:t>e</w:t>
      </w:r>
      <w:r w:rsidRPr="00DF58B9">
        <w:rPr>
          <w:b/>
          <w:spacing w:val="-4"/>
          <w:sz w:val="25"/>
          <w:szCs w:val="25"/>
          <w:lang w:val="fr-FR"/>
        </w:rPr>
        <w:t xml:space="preserve"> Session de la Conférence des Parties à la Convention sur les zones humides (Ramsar, Iran, 1971)</w:t>
      </w:r>
    </w:p>
    <w:p w:rsidR="00B3167B" w:rsidRPr="00DF58B9" w:rsidRDefault="00B3167B" w:rsidP="00B3167B">
      <w:pPr>
        <w:tabs>
          <w:tab w:val="left" w:pos="3261"/>
          <w:tab w:val="left" w:pos="3544"/>
        </w:tabs>
        <w:spacing w:after="0" w:line="240" w:lineRule="auto"/>
        <w:jc w:val="center"/>
        <w:rPr>
          <w:spacing w:val="-4"/>
          <w:sz w:val="16"/>
          <w:szCs w:val="16"/>
          <w:lang w:val="fr-FR"/>
        </w:rPr>
      </w:pPr>
    </w:p>
    <w:p w:rsidR="00B3167B" w:rsidRPr="00DF58B9" w:rsidRDefault="00B3167B" w:rsidP="00B3167B">
      <w:pPr>
        <w:tabs>
          <w:tab w:val="left" w:pos="3261"/>
          <w:tab w:val="left" w:pos="3402"/>
          <w:tab w:val="left" w:pos="3544"/>
        </w:tabs>
        <w:spacing w:after="0" w:line="240" w:lineRule="auto"/>
        <w:jc w:val="center"/>
        <w:rPr>
          <w:b/>
          <w:spacing w:val="-4"/>
          <w:sz w:val="25"/>
          <w:szCs w:val="25"/>
          <w:lang w:val="fr-FR"/>
        </w:rPr>
      </w:pPr>
      <w:r w:rsidRPr="00DF58B9">
        <w:rPr>
          <w:b/>
          <w:spacing w:val="-4"/>
          <w:sz w:val="25"/>
          <w:szCs w:val="25"/>
          <w:lang w:val="fr-FR"/>
        </w:rPr>
        <w:t>Punta del Este, Uruguay, 1</w:t>
      </w:r>
      <w:r w:rsidRPr="00DF58B9">
        <w:rPr>
          <w:b/>
          <w:spacing w:val="-4"/>
          <w:sz w:val="25"/>
          <w:szCs w:val="25"/>
          <w:vertAlign w:val="superscript"/>
          <w:lang w:val="fr-FR"/>
        </w:rPr>
        <w:t>er</w:t>
      </w:r>
      <w:r w:rsidRPr="00DF58B9">
        <w:rPr>
          <w:b/>
          <w:spacing w:val="-4"/>
          <w:sz w:val="25"/>
          <w:szCs w:val="25"/>
          <w:lang w:val="fr-FR"/>
        </w:rPr>
        <w:t xml:space="preserve"> au 9 juin 2015</w:t>
      </w:r>
    </w:p>
    <w:p w:rsidR="009E36E7" w:rsidRPr="00DF58B9" w:rsidRDefault="009E36E7" w:rsidP="009E36E7">
      <w:pPr>
        <w:tabs>
          <w:tab w:val="left" w:pos="3828"/>
        </w:tabs>
        <w:jc w:val="center"/>
        <w:rPr>
          <w:b/>
          <w:sz w:val="25"/>
          <w:szCs w:val="25"/>
          <w:lang w:val="fr-F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tblPr>
      <w:tblGrid>
        <w:gridCol w:w="4528"/>
        <w:gridCol w:w="4602"/>
      </w:tblGrid>
      <w:tr w:rsidR="009E36E7" w:rsidRPr="00DF58B9" w:rsidTr="009E36E7">
        <w:trPr>
          <w:trHeight w:val="170"/>
        </w:trPr>
        <w:tc>
          <w:tcPr>
            <w:tcW w:w="4528" w:type="dxa"/>
          </w:tcPr>
          <w:p w:rsidR="009E36E7" w:rsidRPr="00DF58B9" w:rsidRDefault="009E36E7" w:rsidP="009E36E7">
            <w:pPr>
              <w:spacing w:after="0" w:line="240" w:lineRule="auto"/>
              <w:rPr>
                <w:b/>
                <w:sz w:val="25"/>
                <w:szCs w:val="25"/>
                <w:lang w:val="fr-FR"/>
              </w:rPr>
            </w:pPr>
          </w:p>
        </w:tc>
        <w:tc>
          <w:tcPr>
            <w:tcW w:w="4602" w:type="dxa"/>
          </w:tcPr>
          <w:p w:rsidR="009E36E7" w:rsidRPr="00DF58B9" w:rsidRDefault="009E36E7" w:rsidP="009E36E7">
            <w:pPr>
              <w:spacing w:after="0" w:line="240" w:lineRule="auto"/>
              <w:jc w:val="right"/>
              <w:rPr>
                <w:b/>
                <w:sz w:val="25"/>
                <w:szCs w:val="25"/>
                <w:lang w:val="fr-FR"/>
              </w:rPr>
            </w:pPr>
            <w:r w:rsidRPr="00DF58B9">
              <w:rPr>
                <w:b/>
                <w:sz w:val="25"/>
                <w:szCs w:val="25"/>
                <w:lang w:val="fr-FR"/>
              </w:rPr>
              <w:t>Ramsar COP12 DOC.18</w:t>
            </w:r>
          </w:p>
        </w:tc>
      </w:tr>
    </w:tbl>
    <w:p w:rsidR="009E36E7" w:rsidRPr="00DF58B9" w:rsidRDefault="009E36E7" w:rsidP="009E36E7">
      <w:pPr>
        <w:spacing w:after="0" w:line="240" w:lineRule="auto"/>
        <w:ind w:right="17"/>
        <w:jc w:val="center"/>
        <w:rPr>
          <w:rFonts w:eastAsia="Times New Roman" w:cs="Times New Roman"/>
          <w:b/>
          <w:bCs/>
          <w:sz w:val="28"/>
          <w:szCs w:val="28"/>
          <w:lang w:val="fr-FR" w:eastAsia="el-GR"/>
        </w:rPr>
      </w:pPr>
    </w:p>
    <w:p w:rsidR="0012096C" w:rsidRPr="00DF58B9" w:rsidRDefault="00F64F36" w:rsidP="009E36E7">
      <w:pPr>
        <w:spacing w:after="0" w:line="240" w:lineRule="auto"/>
        <w:ind w:right="17"/>
        <w:jc w:val="center"/>
        <w:rPr>
          <w:rFonts w:eastAsia="Times New Roman" w:cs="Times New Roman"/>
          <w:b/>
          <w:bCs/>
          <w:sz w:val="28"/>
          <w:szCs w:val="28"/>
          <w:lang w:val="fr-FR" w:eastAsia="el-GR"/>
        </w:rPr>
      </w:pPr>
      <w:r w:rsidRPr="00DF58B9">
        <w:rPr>
          <w:rFonts w:eastAsia="Times New Roman" w:cs="Times New Roman"/>
          <w:b/>
          <w:bCs/>
          <w:sz w:val="28"/>
          <w:szCs w:val="28"/>
          <w:lang w:val="fr-FR" w:eastAsia="el-GR"/>
        </w:rPr>
        <w:t>R</w:t>
      </w:r>
      <w:r w:rsidR="002B1782" w:rsidRPr="00DF58B9">
        <w:rPr>
          <w:rFonts w:eastAsia="Times New Roman" w:cs="Times New Roman"/>
          <w:b/>
          <w:bCs/>
          <w:sz w:val="28"/>
          <w:szCs w:val="28"/>
          <w:lang w:val="fr-FR" w:eastAsia="el-GR"/>
        </w:rPr>
        <w:t xml:space="preserve">apport sur la mise en œuvre du Programme de CESP de la Convention </w:t>
      </w:r>
      <w:r w:rsidR="009E36E7" w:rsidRPr="00DF58B9">
        <w:rPr>
          <w:rFonts w:eastAsia="Times New Roman" w:cs="Times New Roman"/>
          <w:b/>
          <w:bCs/>
          <w:sz w:val="28"/>
          <w:szCs w:val="28"/>
          <w:lang w:val="fr-FR" w:eastAsia="el-GR"/>
        </w:rPr>
        <w:br/>
      </w:r>
      <w:r w:rsidR="004779B1" w:rsidRPr="00DF58B9">
        <w:rPr>
          <w:rFonts w:eastAsia="Times New Roman" w:cs="Times New Roman"/>
          <w:b/>
          <w:bCs/>
          <w:sz w:val="28"/>
          <w:szCs w:val="28"/>
          <w:lang w:val="fr-FR" w:eastAsia="el-GR"/>
        </w:rPr>
        <w:t>2009-2015</w:t>
      </w:r>
    </w:p>
    <w:p w:rsidR="004779B1" w:rsidRPr="00DF58B9" w:rsidRDefault="004779B1" w:rsidP="009E36E7">
      <w:pPr>
        <w:spacing w:after="0" w:line="240" w:lineRule="auto"/>
        <w:ind w:right="17"/>
        <w:jc w:val="center"/>
        <w:rPr>
          <w:rFonts w:eastAsia="Times New Roman" w:cs="Times New Roman"/>
          <w:b/>
          <w:bCs/>
          <w:sz w:val="28"/>
          <w:szCs w:val="28"/>
          <w:lang w:val="fr-FR" w:eastAsia="el-GR"/>
        </w:rPr>
      </w:pPr>
    </w:p>
    <w:p w:rsidR="004779B1" w:rsidRPr="00DF58B9" w:rsidRDefault="004779B1" w:rsidP="009E36E7">
      <w:pPr>
        <w:spacing w:after="0" w:line="240" w:lineRule="auto"/>
        <w:rPr>
          <w:rFonts w:cs="Arial"/>
          <w:b/>
          <w:sz w:val="24"/>
          <w:szCs w:val="24"/>
          <w:lang w:val="fr-FR"/>
        </w:rPr>
      </w:pPr>
      <w:r w:rsidRPr="00DF58B9">
        <w:rPr>
          <w:rFonts w:cs="Arial"/>
          <w:b/>
          <w:sz w:val="24"/>
          <w:szCs w:val="24"/>
          <w:lang w:val="fr-FR"/>
        </w:rPr>
        <w:t>Introduction</w:t>
      </w:r>
    </w:p>
    <w:p w:rsidR="00677E5F" w:rsidRPr="00DF58B9" w:rsidRDefault="00677E5F" w:rsidP="009E36E7">
      <w:pPr>
        <w:spacing w:after="0" w:line="240" w:lineRule="auto"/>
        <w:rPr>
          <w:rFonts w:cs="Arial"/>
          <w:b/>
          <w:lang w:val="fr-FR"/>
        </w:rPr>
      </w:pPr>
    </w:p>
    <w:p w:rsidR="004779B1" w:rsidRPr="00DF58B9" w:rsidRDefault="002B1782" w:rsidP="00A76467">
      <w:pPr>
        <w:pStyle w:val="ListParagraph"/>
        <w:numPr>
          <w:ilvl w:val="0"/>
          <w:numId w:val="25"/>
        </w:numPr>
        <w:spacing w:after="0" w:line="240" w:lineRule="auto"/>
        <w:ind w:left="426" w:hanging="426"/>
        <w:rPr>
          <w:rFonts w:cs="Arial"/>
          <w:lang w:val="fr-FR"/>
        </w:rPr>
      </w:pPr>
      <w:r w:rsidRPr="00DF58B9">
        <w:rPr>
          <w:rFonts w:cs="Arial"/>
          <w:lang w:val="fr-FR"/>
        </w:rPr>
        <w:t>Un Programme de « communication, éducation et sensibilisation du public » (CESP) a été adopté pour la première fois en 1999, à la 7</w:t>
      </w:r>
      <w:r w:rsidRPr="00DF58B9">
        <w:rPr>
          <w:rFonts w:cs="Arial"/>
          <w:vertAlign w:val="superscript"/>
          <w:lang w:val="fr-FR"/>
        </w:rPr>
        <w:t>e</w:t>
      </w:r>
      <w:r w:rsidRPr="00DF58B9">
        <w:rPr>
          <w:rFonts w:cs="Arial"/>
          <w:lang w:val="fr-FR"/>
        </w:rPr>
        <w:t> Session de la Conférence des Parties contractantes</w:t>
      </w:r>
      <w:r w:rsidR="004779B1" w:rsidRPr="00DF58B9">
        <w:rPr>
          <w:rFonts w:cs="Arial"/>
          <w:lang w:val="fr-FR"/>
        </w:rPr>
        <w:t xml:space="preserve"> (COP7)</w:t>
      </w:r>
      <w:r w:rsidR="00C565F2" w:rsidRPr="00DF58B9">
        <w:rPr>
          <w:rFonts w:cs="Arial"/>
          <w:lang w:val="fr-FR"/>
        </w:rPr>
        <w:t xml:space="preserve"> </w:t>
      </w:r>
      <w:r w:rsidRPr="00DF58B9">
        <w:rPr>
          <w:rFonts w:cs="Arial"/>
          <w:lang w:val="fr-FR"/>
        </w:rPr>
        <w:t>dans la Résolution </w:t>
      </w:r>
      <w:r w:rsidR="004779B1" w:rsidRPr="00DF58B9">
        <w:rPr>
          <w:rFonts w:cs="Arial"/>
          <w:lang w:val="fr-FR"/>
        </w:rPr>
        <w:t>VII.9</w:t>
      </w:r>
      <w:r w:rsidRPr="00DF58B9">
        <w:rPr>
          <w:rFonts w:cs="Arial"/>
          <w:lang w:val="fr-FR"/>
        </w:rPr>
        <w:t xml:space="preserve"> ultérieurement remplacé</w:t>
      </w:r>
      <w:r w:rsidR="00B62832" w:rsidRPr="00DF58B9">
        <w:rPr>
          <w:rFonts w:cs="Arial"/>
          <w:lang w:val="fr-FR"/>
        </w:rPr>
        <w:t>e</w:t>
      </w:r>
      <w:r w:rsidRPr="00DF58B9">
        <w:rPr>
          <w:rFonts w:cs="Arial"/>
          <w:lang w:val="fr-FR"/>
        </w:rPr>
        <w:t xml:space="preserve"> par la Résolution VIII.31, à la</w:t>
      </w:r>
      <w:r w:rsidR="004779B1" w:rsidRPr="00DF58B9">
        <w:rPr>
          <w:rFonts w:cs="Arial"/>
          <w:lang w:val="fr-FR"/>
        </w:rPr>
        <w:t xml:space="preserve"> COP8. </w:t>
      </w:r>
      <w:r w:rsidRPr="00DF58B9">
        <w:rPr>
          <w:rFonts w:cs="Arial"/>
          <w:lang w:val="fr-FR"/>
        </w:rPr>
        <w:t>Les Parties ont adopté l’actuel Programme de CESP</w:t>
      </w:r>
      <w:r w:rsidR="004779B1" w:rsidRPr="00DF58B9">
        <w:rPr>
          <w:rFonts w:cs="Arial"/>
          <w:lang w:val="fr-FR"/>
        </w:rPr>
        <w:t xml:space="preserve"> 2009-2015 </w:t>
      </w:r>
      <w:r w:rsidRPr="00DF58B9">
        <w:rPr>
          <w:rFonts w:cs="Arial"/>
          <w:lang w:val="fr-FR"/>
        </w:rPr>
        <w:t>dans la Résolution X.8, à la</w:t>
      </w:r>
      <w:r w:rsidR="00C565F2" w:rsidRPr="00DF58B9">
        <w:rPr>
          <w:rFonts w:cs="Arial"/>
          <w:lang w:val="fr-FR"/>
        </w:rPr>
        <w:t xml:space="preserve"> </w:t>
      </w:r>
      <w:r w:rsidR="004779B1" w:rsidRPr="00DF58B9">
        <w:rPr>
          <w:rFonts w:cs="Arial"/>
          <w:lang w:val="fr-FR"/>
        </w:rPr>
        <w:t>COP10</w:t>
      </w:r>
      <w:r w:rsidRPr="00DF58B9">
        <w:rPr>
          <w:rFonts w:cs="Arial"/>
          <w:lang w:val="fr-FR"/>
        </w:rPr>
        <w:t>, en </w:t>
      </w:r>
      <w:r w:rsidR="004779B1" w:rsidRPr="00DF58B9">
        <w:rPr>
          <w:rFonts w:cs="Arial"/>
          <w:lang w:val="fr-FR"/>
        </w:rPr>
        <w:t>2008</w:t>
      </w:r>
      <w:r w:rsidR="00CB4BE0" w:rsidRPr="00DF58B9">
        <w:rPr>
          <w:rFonts w:cs="Arial"/>
          <w:lang w:val="fr-FR"/>
        </w:rPr>
        <w:t xml:space="preserve">. </w:t>
      </w:r>
      <w:r w:rsidRPr="00DF58B9">
        <w:rPr>
          <w:rFonts w:cs="Arial"/>
          <w:lang w:val="fr-FR"/>
        </w:rPr>
        <w:t>Ce programme de travail sur une période de six années reconnaît l’importance de la communication, de l’éducation, de la sensibilisation et de la participation en tant qu’éléments fondamentaux et intersectoriels de la mise en œuvre de la Convention de Ramsar.</w:t>
      </w:r>
      <w:r w:rsidR="004779B1" w:rsidRPr="00DF58B9">
        <w:rPr>
          <w:rFonts w:cs="Arial"/>
          <w:lang w:val="fr-FR"/>
        </w:rPr>
        <w:t xml:space="preserve"> </w:t>
      </w:r>
    </w:p>
    <w:p w:rsidR="000A0707" w:rsidRPr="00DF58B9" w:rsidRDefault="000A0707" w:rsidP="00A76467">
      <w:pPr>
        <w:spacing w:after="0" w:line="240" w:lineRule="auto"/>
        <w:ind w:left="426" w:hanging="426"/>
        <w:rPr>
          <w:rFonts w:cs="Arial"/>
          <w:lang w:val="fr-FR"/>
        </w:rPr>
      </w:pPr>
    </w:p>
    <w:p w:rsidR="007F2299" w:rsidRPr="00DF58B9" w:rsidRDefault="002B1782" w:rsidP="00A76467">
      <w:pPr>
        <w:pStyle w:val="ListParagraph"/>
        <w:numPr>
          <w:ilvl w:val="0"/>
          <w:numId w:val="25"/>
        </w:numPr>
        <w:spacing w:after="0" w:line="240" w:lineRule="auto"/>
        <w:ind w:left="426" w:hanging="426"/>
        <w:rPr>
          <w:rFonts w:cs="Arial"/>
          <w:lang w:val="fr-FR"/>
        </w:rPr>
      </w:pPr>
      <w:r w:rsidRPr="00DF58B9">
        <w:rPr>
          <w:rFonts w:cs="Arial"/>
          <w:lang w:val="fr-FR"/>
        </w:rPr>
        <w:t>La vue d’ensemble sur la mise en œuvre du Programme couvre la période allant de la clôture de la COP11, le 13 juillet 2012</w:t>
      </w:r>
      <w:r w:rsidR="000B235B" w:rsidRPr="00DF58B9">
        <w:rPr>
          <w:rFonts w:cs="Arial"/>
          <w:lang w:val="fr-FR"/>
        </w:rPr>
        <w:t xml:space="preserve">, </w:t>
      </w:r>
      <w:r w:rsidRPr="00DF58B9">
        <w:rPr>
          <w:rFonts w:cs="Arial"/>
          <w:lang w:val="fr-FR"/>
        </w:rPr>
        <w:t>au 1</w:t>
      </w:r>
      <w:r w:rsidRPr="00DF58B9">
        <w:rPr>
          <w:rFonts w:cs="Arial"/>
          <w:vertAlign w:val="superscript"/>
          <w:lang w:val="fr-FR"/>
        </w:rPr>
        <w:t>er</w:t>
      </w:r>
      <w:r w:rsidRPr="00DF58B9">
        <w:rPr>
          <w:rFonts w:cs="Arial"/>
          <w:lang w:val="fr-FR"/>
        </w:rPr>
        <w:t> mars 2015. Elle s’appuie partiellement sur les 131 </w:t>
      </w:r>
      <w:r w:rsidR="00B62832" w:rsidRPr="00DF58B9">
        <w:rPr>
          <w:rFonts w:cs="Arial"/>
          <w:lang w:val="fr-FR"/>
        </w:rPr>
        <w:t>r</w:t>
      </w:r>
      <w:r w:rsidRPr="00DF58B9">
        <w:rPr>
          <w:rFonts w:cs="Arial"/>
          <w:lang w:val="fr-FR"/>
        </w:rPr>
        <w:t>apports nationaux pour la COP12 soumis au Secrétariat à la mi</w:t>
      </w:r>
      <w:r w:rsidRPr="00DF58B9">
        <w:rPr>
          <w:rFonts w:cs="Arial"/>
          <w:lang w:val="fr-FR"/>
        </w:rPr>
        <w:noBreakHyphen/>
        <w:t>octobre 2014. Elle comprend les indicateurs clés de CESP relevant de la Stratégie </w:t>
      </w:r>
      <w:r w:rsidR="004779B1" w:rsidRPr="00DF58B9">
        <w:rPr>
          <w:rFonts w:cs="Arial"/>
          <w:lang w:val="fr-FR"/>
        </w:rPr>
        <w:t xml:space="preserve">4.1 </w:t>
      </w:r>
      <w:r w:rsidRPr="00DF58B9">
        <w:rPr>
          <w:rFonts w:cs="Arial"/>
          <w:lang w:val="fr-FR"/>
        </w:rPr>
        <w:t xml:space="preserve">sur l’appui et l’aide à la mise en œuvre du Programme de CESP, mais elle fait aussi référence à d’autres indicateurs pertinents, reflétant le fait que la CESP est un domaine de travail intersectoriel au sein de la Convention. </w:t>
      </w:r>
    </w:p>
    <w:p w:rsidR="007F2299" w:rsidRPr="00DF58B9" w:rsidRDefault="007F2299" w:rsidP="00A76467">
      <w:pPr>
        <w:spacing w:after="0" w:line="240" w:lineRule="auto"/>
        <w:ind w:left="426" w:hanging="426"/>
        <w:rPr>
          <w:rFonts w:cs="Arial"/>
          <w:lang w:val="fr-FR"/>
        </w:rPr>
      </w:pPr>
    </w:p>
    <w:p w:rsidR="000A0707" w:rsidRPr="00DF58B9" w:rsidRDefault="002B1782"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 </w:t>
      </w:r>
      <w:r w:rsidR="004779B1" w:rsidRPr="00DF58B9">
        <w:rPr>
          <w:rFonts w:cs="Arial"/>
          <w:lang w:val="fr-FR"/>
        </w:rPr>
        <w:t>Programme identifie</w:t>
      </w:r>
      <w:r w:rsidRPr="00DF58B9">
        <w:rPr>
          <w:rFonts w:cs="Arial"/>
          <w:lang w:val="fr-FR"/>
        </w:rPr>
        <w:t xml:space="preserve"> d’autres « organes responsables et partenaires » </w:t>
      </w:r>
      <w:r w:rsidR="00B62832" w:rsidRPr="00DF58B9">
        <w:rPr>
          <w:rFonts w:cs="Arial"/>
          <w:lang w:val="fr-FR"/>
        </w:rPr>
        <w:t>pour</w:t>
      </w:r>
      <w:r w:rsidRPr="00DF58B9">
        <w:rPr>
          <w:rFonts w:cs="Arial"/>
          <w:lang w:val="fr-FR"/>
        </w:rPr>
        <w:t xml:space="preserve"> la mise en œuvre et ce rapport reflète aussi des éléments clés de la mise en œuvre de la CESP par ces organes, y compris le Secrétariat, le Groupe de surveillance des activités de CESP et les Centres régionaux Ramsar approuvés par la Convention en tant qu’Initiatives régionales Ramsar. </w:t>
      </w:r>
      <w:r w:rsidR="004779B1" w:rsidRPr="00DF58B9">
        <w:rPr>
          <w:rFonts w:cs="Arial"/>
          <w:lang w:val="fr-FR"/>
        </w:rPr>
        <w:t xml:space="preserve"> </w:t>
      </w:r>
    </w:p>
    <w:p w:rsidR="004779B1" w:rsidRPr="00DF58B9" w:rsidRDefault="004779B1" w:rsidP="009E36E7">
      <w:pPr>
        <w:spacing w:after="0" w:line="240" w:lineRule="auto"/>
        <w:rPr>
          <w:rFonts w:cs="Arial"/>
          <w:lang w:val="fr-FR"/>
        </w:rPr>
      </w:pPr>
    </w:p>
    <w:p w:rsidR="00A76467" w:rsidRPr="00DF58B9" w:rsidRDefault="00A76467" w:rsidP="009E36E7">
      <w:pPr>
        <w:spacing w:after="0" w:line="240" w:lineRule="auto"/>
        <w:rPr>
          <w:rFonts w:cs="Arial"/>
          <w:lang w:val="fr-FR"/>
        </w:rPr>
      </w:pPr>
    </w:p>
    <w:p w:rsidR="004779B1" w:rsidRPr="00DF58B9" w:rsidRDefault="002B1782" w:rsidP="009E36E7">
      <w:pPr>
        <w:spacing w:after="0" w:line="240" w:lineRule="auto"/>
        <w:rPr>
          <w:rFonts w:cs="Arial"/>
          <w:b/>
          <w:sz w:val="24"/>
          <w:szCs w:val="24"/>
          <w:lang w:val="fr-FR"/>
        </w:rPr>
      </w:pPr>
      <w:r w:rsidRPr="00DF58B9">
        <w:rPr>
          <w:rFonts w:cs="Arial"/>
          <w:b/>
          <w:sz w:val="24"/>
          <w:szCs w:val="24"/>
          <w:lang w:val="fr-FR"/>
        </w:rPr>
        <w:t>Principales réalisations depuis la</w:t>
      </w:r>
      <w:r w:rsidR="004779B1" w:rsidRPr="00DF58B9">
        <w:rPr>
          <w:rFonts w:cs="Arial"/>
          <w:b/>
          <w:sz w:val="24"/>
          <w:szCs w:val="24"/>
          <w:lang w:val="fr-FR"/>
        </w:rPr>
        <w:t xml:space="preserve"> COP</w:t>
      </w:r>
      <w:r w:rsidR="00C2428B" w:rsidRPr="00DF58B9">
        <w:rPr>
          <w:rFonts w:cs="Arial"/>
          <w:b/>
          <w:sz w:val="24"/>
          <w:szCs w:val="24"/>
          <w:lang w:val="fr-FR"/>
        </w:rPr>
        <w:t xml:space="preserve"> 11</w:t>
      </w:r>
    </w:p>
    <w:p w:rsidR="000A0707" w:rsidRPr="00DF58B9" w:rsidRDefault="000A0707" w:rsidP="009E36E7">
      <w:pPr>
        <w:spacing w:after="0" w:line="240" w:lineRule="auto"/>
        <w:rPr>
          <w:rFonts w:cs="Arial"/>
          <w:b/>
          <w:lang w:val="fr-FR"/>
        </w:rPr>
      </w:pPr>
    </w:p>
    <w:p w:rsidR="00435CAC" w:rsidRPr="00DF58B9" w:rsidRDefault="002B1782"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Lorsqu’elles décrivent les aspects les plus réussis de la mise en œuvre durant la période triennale, dans la section B de leurs </w:t>
      </w:r>
      <w:r w:rsidR="00B62832" w:rsidRPr="00DF58B9">
        <w:rPr>
          <w:rFonts w:cs="Arial"/>
          <w:lang w:val="fr-FR"/>
        </w:rPr>
        <w:t>rapports</w:t>
      </w:r>
      <w:r w:rsidRPr="00DF58B9">
        <w:rPr>
          <w:rFonts w:cs="Arial"/>
          <w:lang w:val="fr-FR"/>
        </w:rPr>
        <w:t xml:space="preserve"> nationaux, les Parties énoncent souvent des listes longues et détaillées. Parmi les </w:t>
      </w:r>
      <w:r w:rsidR="00B62832" w:rsidRPr="00DF58B9">
        <w:rPr>
          <w:rFonts w:cs="Arial"/>
          <w:lang w:val="fr-FR"/>
        </w:rPr>
        <w:t xml:space="preserve">principaux </w:t>
      </w:r>
      <w:r w:rsidRPr="00DF58B9">
        <w:rPr>
          <w:rFonts w:cs="Arial"/>
          <w:lang w:val="fr-FR"/>
        </w:rPr>
        <w:t xml:space="preserve">points </w:t>
      </w:r>
      <w:r w:rsidR="00B62832" w:rsidRPr="00DF58B9">
        <w:rPr>
          <w:rFonts w:cs="Arial"/>
          <w:lang w:val="fr-FR"/>
        </w:rPr>
        <w:t>qui se répètent</w:t>
      </w:r>
      <w:r w:rsidRPr="00DF58B9">
        <w:rPr>
          <w:rFonts w:cs="Arial"/>
          <w:lang w:val="fr-FR"/>
        </w:rPr>
        <w:t>, l’on peut citer :</w:t>
      </w:r>
    </w:p>
    <w:p w:rsidR="004779B1" w:rsidRPr="00DF58B9" w:rsidRDefault="002B1782"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célébration de la Journée mondiale des zones humides et appui à cet événement avec des activités aux niveaux national et local; </w:t>
      </w:r>
    </w:p>
    <w:p w:rsidR="00F64F36" w:rsidRPr="00DF58B9" w:rsidRDefault="00F64F36" w:rsidP="00A76467">
      <w:pPr>
        <w:pStyle w:val="ListParagraph"/>
        <w:numPr>
          <w:ilvl w:val="0"/>
          <w:numId w:val="27"/>
        </w:numPr>
        <w:spacing w:after="0" w:line="240" w:lineRule="auto"/>
        <w:ind w:left="851" w:hanging="425"/>
        <w:rPr>
          <w:rFonts w:cs="Arial"/>
          <w:lang w:val="fr-FR"/>
        </w:rPr>
      </w:pPr>
      <w:r w:rsidRPr="00DF58B9">
        <w:rPr>
          <w:rFonts w:cs="Arial"/>
          <w:lang w:val="fr-FR"/>
        </w:rPr>
        <w:t>in</w:t>
      </w:r>
      <w:r w:rsidR="002B1782" w:rsidRPr="00DF58B9">
        <w:rPr>
          <w:rFonts w:cs="Arial"/>
          <w:lang w:val="fr-FR"/>
        </w:rPr>
        <w:t>tégration de l’expertise et des outils CESP dans la planification et la gestion des bassins versants;</w:t>
      </w:r>
    </w:p>
    <w:p w:rsidR="00F64F36" w:rsidRPr="00DF58B9" w:rsidRDefault="002B1782"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création de réseaux de praticiens, y compris avec des accords de jumelage aux niveaux national et international pour le partage des connaissances et la formation; </w:t>
      </w:r>
    </w:p>
    <w:p w:rsidR="004652FB" w:rsidRPr="00DF58B9" w:rsidRDefault="002B1782"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activités </w:t>
      </w:r>
      <w:r w:rsidR="00B62832" w:rsidRPr="00DF58B9">
        <w:rPr>
          <w:rFonts w:cs="Arial"/>
          <w:lang w:val="fr-FR"/>
        </w:rPr>
        <w:t>des</w:t>
      </w:r>
      <w:r w:rsidRPr="00DF58B9">
        <w:rPr>
          <w:rFonts w:cs="Arial"/>
          <w:lang w:val="fr-FR"/>
        </w:rPr>
        <w:t xml:space="preserve"> Centres régionaux Ramsar (CRR) en Asie centrale et de l’Ouest (République islamique d’Iran), en Asie de l’Est (République de Corée), en Afrique de l’Est (Ouganda) et </w:t>
      </w:r>
      <w:r w:rsidR="00B62832" w:rsidRPr="00DF58B9">
        <w:rPr>
          <w:rFonts w:cs="Arial"/>
          <w:lang w:val="fr-FR"/>
        </w:rPr>
        <w:t>du</w:t>
      </w:r>
      <w:r w:rsidRPr="00DF58B9">
        <w:rPr>
          <w:rFonts w:cs="Arial"/>
          <w:lang w:val="fr-FR"/>
        </w:rPr>
        <w:t xml:space="preserve"> CRR pour la formation et la recherche dans l’hémisphère occidental (Panama); </w:t>
      </w:r>
    </w:p>
    <w:p w:rsidR="004779B1" w:rsidRPr="00DF58B9" w:rsidRDefault="00B62832" w:rsidP="00A76467">
      <w:pPr>
        <w:pStyle w:val="ListParagraph"/>
        <w:numPr>
          <w:ilvl w:val="0"/>
          <w:numId w:val="27"/>
        </w:numPr>
        <w:spacing w:after="0" w:line="240" w:lineRule="auto"/>
        <w:ind w:left="851" w:hanging="425"/>
        <w:rPr>
          <w:rFonts w:cs="Arial"/>
          <w:lang w:val="fr-FR"/>
        </w:rPr>
      </w:pPr>
      <w:r w:rsidRPr="00DF58B9">
        <w:rPr>
          <w:rFonts w:cs="Arial"/>
          <w:lang w:val="fr-FR"/>
        </w:rPr>
        <w:lastRenderedPageBreak/>
        <w:t>promotion de la</w:t>
      </w:r>
      <w:r w:rsidR="002B1782" w:rsidRPr="00DF58B9">
        <w:rPr>
          <w:rFonts w:cs="Arial"/>
          <w:lang w:val="fr-FR"/>
        </w:rPr>
        <w:t xml:space="preserve"> participation </w:t>
      </w:r>
      <w:r w:rsidRPr="00DF58B9">
        <w:rPr>
          <w:rFonts w:cs="Arial"/>
          <w:lang w:val="fr-FR"/>
        </w:rPr>
        <w:t xml:space="preserve">accrue </w:t>
      </w:r>
      <w:r w:rsidR="002B1782" w:rsidRPr="00DF58B9">
        <w:rPr>
          <w:rFonts w:cs="Arial"/>
          <w:lang w:val="fr-FR"/>
        </w:rPr>
        <w:t xml:space="preserve">des gouvernements nationaux, des municipalités, des communautés locales, des peuples autochtones et des ONG à l’inscription et à la gestion de sites; et </w:t>
      </w:r>
    </w:p>
    <w:p w:rsidR="000A0707" w:rsidRPr="00DF58B9" w:rsidRDefault="00067A6C"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actions </w:t>
      </w:r>
      <w:r w:rsidR="00D63123" w:rsidRPr="00DF58B9">
        <w:rPr>
          <w:rFonts w:cs="Arial"/>
          <w:lang w:val="fr-FR"/>
        </w:rPr>
        <w:t xml:space="preserve">dans le contexte des Initiatives régionales telles que le Partenariat pour la voie de migration Asie de l’Est – Australasie, l’Initiative pour les zones humides méditerranéennes et l’Initiative régionale pour les zones humides des Caraïbes. </w:t>
      </w:r>
    </w:p>
    <w:p w:rsidR="00A76467" w:rsidRPr="00DF58B9" w:rsidRDefault="00A76467" w:rsidP="00A76467">
      <w:pPr>
        <w:spacing w:after="0" w:line="240" w:lineRule="auto"/>
        <w:ind w:left="426"/>
        <w:rPr>
          <w:rFonts w:cs="Arial"/>
          <w:lang w:val="fr-FR"/>
        </w:rPr>
      </w:pPr>
    </w:p>
    <w:p w:rsidR="000A0707" w:rsidRPr="00DF58B9" w:rsidRDefault="00D63123" w:rsidP="00A76467">
      <w:pPr>
        <w:pStyle w:val="ListParagraph"/>
        <w:numPr>
          <w:ilvl w:val="0"/>
          <w:numId w:val="25"/>
        </w:numPr>
        <w:spacing w:after="0" w:line="240" w:lineRule="auto"/>
        <w:ind w:left="426" w:hanging="426"/>
        <w:rPr>
          <w:rFonts w:cs="Arial"/>
          <w:lang w:val="fr-FR"/>
        </w:rPr>
      </w:pPr>
      <w:r w:rsidRPr="00DF58B9">
        <w:rPr>
          <w:rFonts w:cs="Arial"/>
          <w:lang w:val="fr-FR"/>
        </w:rPr>
        <w:t>La contribution du Secrétariat à la mise en œuvre de la CESP s’est poursuivie durant la période triennale. En particulier, les activités de la Journée mondiale des zones humides ont connu une croissance</w:t>
      </w:r>
      <w:r w:rsidR="00B62832" w:rsidRPr="00DF58B9">
        <w:rPr>
          <w:rFonts w:cs="Arial"/>
          <w:lang w:val="fr-FR"/>
        </w:rPr>
        <w:t>,</w:t>
      </w:r>
      <w:r w:rsidRPr="00DF58B9">
        <w:rPr>
          <w:rFonts w:cs="Arial"/>
          <w:lang w:val="fr-FR"/>
        </w:rPr>
        <w:t xml:space="preserve"> année après année</w:t>
      </w:r>
      <w:r w:rsidR="00B62832" w:rsidRPr="00DF58B9">
        <w:rPr>
          <w:rFonts w:cs="Arial"/>
          <w:lang w:val="fr-FR"/>
        </w:rPr>
        <w:t>,</w:t>
      </w:r>
      <w:r w:rsidRPr="00DF58B9">
        <w:rPr>
          <w:rFonts w:cs="Arial"/>
          <w:lang w:val="fr-FR"/>
        </w:rPr>
        <w:t xml:space="preserve"> et pour 2015, une nouvelle approche a été adoptée, ciblant spécifiquement le jeune public </w:t>
      </w:r>
      <w:r w:rsidR="00B62832" w:rsidRPr="00DF58B9">
        <w:rPr>
          <w:rFonts w:cs="Arial"/>
          <w:lang w:val="fr-FR"/>
        </w:rPr>
        <w:t>pour son</w:t>
      </w:r>
      <w:r w:rsidRPr="00DF58B9">
        <w:rPr>
          <w:rFonts w:cs="Arial"/>
          <w:lang w:val="fr-FR"/>
        </w:rPr>
        <w:t xml:space="preserve"> rôle </w:t>
      </w:r>
      <w:r w:rsidR="00B62832" w:rsidRPr="00DF58B9">
        <w:rPr>
          <w:rFonts w:cs="Arial"/>
          <w:lang w:val="fr-FR"/>
        </w:rPr>
        <w:t>reconnu de</w:t>
      </w:r>
      <w:r w:rsidRPr="00DF58B9">
        <w:rPr>
          <w:rFonts w:cs="Arial"/>
          <w:lang w:val="fr-FR"/>
        </w:rPr>
        <w:t xml:space="preserve"> « passeur</w:t>
      </w:r>
      <w:r w:rsidR="000B235B" w:rsidRPr="00DF58B9">
        <w:rPr>
          <w:rFonts w:cs="Arial"/>
          <w:lang w:val="fr-FR"/>
        </w:rPr>
        <w:t xml:space="preserve"> d’idées</w:t>
      </w:r>
      <w:r w:rsidRPr="00DF58B9">
        <w:rPr>
          <w:rFonts w:cs="Arial"/>
          <w:lang w:val="fr-FR"/>
        </w:rPr>
        <w:t xml:space="preserve"> » vers </w:t>
      </w:r>
      <w:r w:rsidR="00B62832" w:rsidRPr="00DF58B9">
        <w:rPr>
          <w:rFonts w:cs="Arial"/>
          <w:lang w:val="fr-FR"/>
        </w:rPr>
        <w:t>le grand</w:t>
      </w:r>
      <w:r w:rsidRPr="00DF58B9">
        <w:rPr>
          <w:rFonts w:cs="Arial"/>
          <w:lang w:val="fr-FR"/>
        </w:rPr>
        <w:t xml:space="preserve"> public. C’est ainsi que le Secrétariat a créé un site web multilingue dédié à la JMZ </w:t>
      </w:r>
      <w:r w:rsidR="001A5C17" w:rsidRPr="00DF58B9">
        <w:rPr>
          <w:rFonts w:cs="Arial"/>
          <w:lang w:val="fr-FR"/>
        </w:rPr>
        <w:t>(</w:t>
      </w:r>
      <w:hyperlink r:id="rId9" w:history="1">
        <w:r w:rsidR="00B3167B" w:rsidRPr="00DF58B9">
          <w:rPr>
            <w:rStyle w:val="Hyperlink"/>
            <w:rFonts w:cs="Arial"/>
            <w:lang w:val="fr-FR"/>
          </w:rPr>
          <w:t>www.worldwetlandsday.org/fr/</w:t>
        </w:r>
      </w:hyperlink>
      <w:r w:rsidR="001A5C17" w:rsidRPr="00DF58B9">
        <w:rPr>
          <w:rFonts w:cs="Arial"/>
          <w:lang w:val="fr-FR"/>
        </w:rPr>
        <w:t xml:space="preserve">) </w:t>
      </w:r>
      <w:r w:rsidRPr="00DF58B9">
        <w:rPr>
          <w:rFonts w:cs="Arial"/>
          <w:lang w:val="fr-FR"/>
        </w:rPr>
        <w:t xml:space="preserve">et un concours de photos </w:t>
      </w:r>
      <w:r w:rsidR="00B62832" w:rsidRPr="00DF58B9">
        <w:rPr>
          <w:rFonts w:cs="Arial"/>
          <w:lang w:val="fr-FR"/>
        </w:rPr>
        <w:t>sur les</w:t>
      </w:r>
      <w:r w:rsidRPr="00DF58B9">
        <w:rPr>
          <w:rFonts w:cs="Arial"/>
          <w:lang w:val="fr-FR"/>
        </w:rPr>
        <w:t xml:space="preserve"> zones humides qui a attiré plus de 2200 </w:t>
      </w:r>
      <w:r w:rsidR="00B62832" w:rsidRPr="00DF58B9">
        <w:rPr>
          <w:rFonts w:cs="Arial"/>
          <w:lang w:val="fr-FR"/>
        </w:rPr>
        <w:t>inscriptions</w:t>
      </w:r>
      <w:r w:rsidRPr="00DF58B9">
        <w:rPr>
          <w:rFonts w:cs="Arial"/>
          <w:lang w:val="fr-FR"/>
        </w:rPr>
        <w:t xml:space="preserve"> de 80 pays. La campagne a été soutenue avec enthousiasme par les Parties et les OIP et accompagnée par une utilisation </w:t>
      </w:r>
      <w:r w:rsidR="00B62832" w:rsidRPr="00DF58B9">
        <w:rPr>
          <w:rFonts w:cs="Arial"/>
          <w:lang w:val="fr-FR"/>
        </w:rPr>
        <w:t>beaucoup plus grande</w:t>
      </w:r>
      <w:r w:rsidRPr="00DF58B9">
        <w:rPr>
          <w:rFonts w:cs="Arial"/>
          <w:lang w:val="fr-FR"/>
        </w:rPr>
        <w:t xml:space="preserve"> des réseaux sociaux : </w:t>
      </w:r>
      <w:r w:rsidR="004779B1" w:rsidRPr="00DF58B9">
        <w:rPr>
          <w:rFonts w:cs="Arial"/>
          <w:lang w:val="fr-FR"/>
        </w:rPr>
        <w:t>Facebook</w:t>
      </w:r>
      <w:r w:rsidR="001A5C17" w:rsidRPr="00DF58B9">
        <w:rPr>
          <w:rFonts w:cs="Arial"/>
          <w:lang w:val="fr-FR"/>
        </w:rPr>
        <w:t xml:space="preserve">, </w:t>
      </w:r>
      <w:r w:rsidR="002F736E" w:rsidRPr="00DF58B9">
        <w:rPr>
          <w:rFonts w:cs="Arial"/>
          <w:lang w:val="fr-FR"/>
        </w:rPr>
        <w:t>YouTube</w:t>
      </w:r>
      <w:r w:rsidR="001A5C17" w:rsidRPr="00DF58B9">
        <w:rPr>
          <w:rFonts w:cs="Arial"/>
          <w:lang w:val="fr-FR"/>
        </w:rPr>
        <w:t xml:space="preserve">, </w:t>
      </w:r>
      <w:r w:rsidRPr="00DF58B9">
        <w:rPr>
          <w:rFonts w:cs="Arial"/>
          <w:lang w:val="fr-FR"/>
        </w:rPr>
        <w:t>le compte T</w:t>
      </w:r>
      <w:r w:rsidR="001A5C17" w:rsidRPr="00DF58B9">
        <w:rPr>
          <w:rFonts w:cs="Arial"/>
          <w:lang w:val="fr-FR"/>
        </w:rPr>
        <w:t xml:space="preserve">witter </w:t>
      </w:r>
      <w:r w:rsidRPr="00DF58B9">
        <w:rPr>
          <w:rFonts w:cs="Arial"/>
          <w:lang w:val="fr-FR"/>
        </w:rPr>
        <w:t xml:space="preserve">de Ramsar et un nouveau compte </w:t>
      </w:r>
      <w:r w:rsidR="00C57BC8" w:rsidRPr="00DF58B9">
        <w:rPr>
          <w:rFonts w:cs="Arial"/>
          <w:lang w:val="fr-FR"/>
        </w:rPr>
        <w:t>Instagram.</w:t>
      </w:r>
      <w:r w:rsidR="004779B1" w:rsidRPr="00DF58B9">
        <w:rPr>
          <w:rFonts w:cs="Arial"/>
          <w:lang w:val="fr-FR"/>
        </w:rPr>
        <w:t xml:space="preserve"> </w:t>
      </w:r>
    </w:p>
    <w:p w:rsidR="00F766A3" w:rsidRPr="00DF58B9" w:rsidRDefault="00F766A3" w:rsidP="009E36E7">
      <w:pPr>
        <w:spacing w:after="0" w:line="240" w:lineRule="auto"/>
        <w:rPr>
          <w:rFonts w:cs="Arial"/>
          <w:lang w:val="fr-FR"/>
        </w:rPr>
      </w:pPr>
    </w:p>
    <w:p w:rsidR="00A76467" w:rsidRPr="00DF58B9" w:rsidRDefault="00A76467" w:rsidP="009E36E7">
      <w:pPr>
        <w:spacing w:after="0" w:line="240" w:lineRule="auto"/>
        <w:rPr>
          <w:rFonts w:cs="Arial"/>
          <w:lang w:val="fr-FR"/>
        </w:rPr>
      </w:pPr>
    </w:p>
    <w:p w:rsidR="000A0707" w:rsidRPr="00DF58B9" w:rsidRDefault="004779B1" w:rsidP="009E36E7">
      <w:pPr>
        <w:spacing w:after="0" w:line="240" w:lineRule="auto"/>
        <w:rPr>
          <w:rFonts w:cs="Arial"/>
          <w:b/>
          <w:sz w:val="24"/>
          <w:szCs w:val="24"/>
          <w:lang w:val="fr-FR"/>
        </w:rPr>
      </w:pPr>
      <w:r w:rsidRPr="00DF58B9">
        <w:rPr>
          <w:rFonts w:cs="Arial"/>
          <w:b/>
          <w:sz w:val="24"/>
          <w:szCs w:val="24"/>
          <w:lang w:val="fr-FR"/>
        </w:rPr>
        <w:t>Priorit</w:t>
      </w:r>
      <w:r w:rsidR="00D63123" w:rsidRPr="00DF58B9">
        <w:rPr>
          <w:rFonts w:cs="Arial"/>
          <w:b/>
          <w:sz w:val="24"/>
          <w:szCs w:val="24"/>
          <w:lang w:val="fr-FR"/>
        </w:rPr>
        <w:t xml:space="preserve">és pour la prochaine période triennale et formulation du Programme de CESP pour </w:t>
      </w:r>
      <w:r w:rsidR="00E358C6" w:rsidRPr="00DF58B9">
        <w:rPr>
          <w:rFonts w:cs="Arial"/>
          <w:b/>
          <w:sz w:val="24"/>
          <w:szCs w:val="24"/>
          <w:lang w:val="fr-FR"/>
        </w:rPr>
        <w:t>2016-</w:t>
      </w:r>
      <w:r w:rsidR="00D63123" w:rsidRPr="00DF58B9">
        <w:rPr>
          <w:rFonts w:cs="Arial"/>
          <w:b/>
          <w:sz w:val="24"/>
          <w:szCs w:val="24"/>
          <w:lang w:val="fr-FR"/>
        </w:rPr>
        <w:t>20</w:t>
      </w:r>
      <w:r w:rsidR="00E358C6" w:rsidRPr="00DF58B9">
        <w:rPr>
          <w:rFonts w:cs="Arial"/>
          <w:b/>
          <w:sz w:val="24"/>
          <w:szCs w:val="24"/>
          <w:lang w:val="fr-FR"/>
        </w:rPr>
        <w:t>21</w:t>
      </w:r>
    </w:p>
    <w:p w:rsidR="00DC0CCF" w:rsidRPr="00DF58B9" w:rsidRDefault="00DC0CCF" w:rsidP="009E36E7">
      <w:pPr>
        <w:spacing w:after="0" w:line="240" w:lineRule="auto"/>
        <w:rPr>
          <w:rFonts w:cs="Arial"/>
          <w:lang w:val="fr-FR"/>
        </w:rPr>
      </w:pPr>
    </w:p>
    <w:p w:rsidR="00067A6C" w:rsidRPr="00DF58B9" w:rsidRDefault="00D63123"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Dans leurs </w:t>
      </w:r>
      <w:r w:rsidR="00B62832" w:rsidRPr="00DF58B9">
        <w:rPr>
          <w:rFonts w:cs="Arial"/>
          <w:lang w:val="fr-FR"/>
        </w:rPr>
        <w:t>rapports</w:t>
      </w:r>
      <w:r w:rsidRPr="00DF58B9">
        <w:rPr>
          <w:rFonts w:cs="Arial"/>
          <w:lang w:val="fr-FR"/>
        </w:rPr>
        <w:t xml:space="preserve"> nationaux, les Parties ont défini toute une gamme de priorités clés pour la CESP et sa mise en œuvre future. Plusieurs Parties ont demandé au Secrétariat d’établir</w:t>
      </w:r>
      <w:r w:rsidR="00C713D3" w:rsidRPr="00DF58B9">
        <w:rPr>
          <w:rFonts w:cs="Arial"/>
          <w:lang w:val="fr-FR"/>
        </w:rPr>
        <w:t>, pour les administrateurs de zones humides,</w:t>
      </w:r>
      <w:r w:rsidRPr="00DF58B9">
        <w:rPr>
          <w:rFonts w:cs="Arial"/>
          <w:lang w:val="fr-FR"/>
        </w:rPr>
        <w:t xml:space="preserve"> des mécanismes de développement des capacités tels que des ateliers internationaux, le partage de l’expérience, des visites d’échange et de formation, en particulier </w:t>
      </w:r>
      <w:r w:rsidR="00C713D3" w:rsidRPr="00DF58B9">
        <w:rPr>
          <w:rFonts w:cs="Arial"/>
          <w:lang w:val="fr-FR"/>
        </w:rPr>
        <w:t>concernant</w:t>
      </w:r>
      <w:r w:rsidRPr="00DF58B9">
        <w:rPr>
          <w:rFonts w:cs="Arial"/>
          <w:lang w:val="fr-FR"/>
        </w:rPr>
        <w:t xml:space="preserve"> la gouvernance et la gestion durable des zones humides. Parmi les autres priorités fréquemment mentionnées pour la CESP, l’on peut citer : </w:t>
      </w:r>
    </w:p>
    <w:p w:rsidR="0079477D" w:rsidRPr="00DF58B9" w:rsidRDefault="00C713D3" w:rsidP="00067A6C">
      <w:pPr>
        <w:pStyle w:val="ListParagraph"/>
        <w:numPr>
          <w:ilvl w:val="0"/>
          <w:numId w:val="27"/>
        </w:numPr>
        <w:spacing w:after="0" w:line="240" w:lineRule="auto"/>
        <w:ind w:left="851" w:hanging="425"/>
        <w:rPr>
          <w:rFonts w:cs="Arial"/>
          <w:lang w:val="fr-FR"/>
        </w:rPr>
      </w:pPr>
      <w:r w:rsidRPr="00DF58B9">
        <w:rPr>
          <w:rFonts w:cs="Arial"/>
          <w:lang w:val="fr-FR"/>
        </w:rPr>
        <w:t>Mieux sensibiliser aux</w:t>
      </w:r>
      <w:r w:rsidR="00D63123" w:rsidRPr="00DF58B9">
        <w:rPr>
          <w:rFonts w:cs="Arial"/>
          <w:lang w:val="fr-FR"/>
        </w:rPr>
        <w:t xml:space="preserve"> valeurs et services écosystémiques des zones humides;  </w:t>
      </w:r>
    </w:p>
    <w:p w:rsidR="0079477D" w:rsidRPr="00DF58B9" w:rsidRDefault="00D63123"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mieux intégrer les communautés locales et les acteurs dans les efforts de conservation et de gestion des zones humides; </w:t>
      </w:r>
    </w:p>
    <w:p w:rsidR="004779B1" w:rsidRPr="00DF58B9" w:rsidRDefault="00D63123"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renforcer la coopération avec les organisations partenaires </w:t>
      </w:r>
      <w:r w:rsidR="00C713D3" w:rsidRPr="00DF58B9">
        <w:rPr>
          <w:rFonts w:cs="Arial"/>
          <w:lang w:val="fr-FR"/>
        </w:rPr>
        <w:t>pour</w:t>
      </w:r>
      <w:r w:rsidRPr="00DF58B9">
        <w:rPr>
          <w:rFonts w:cs="Arial"/>
          <w:lang w:val="fr-FR"/>
        </w:rPr>
        <w:t xml:space="preserve"> l’application. </w:t>
      </w:r>
    </w:p>
    <w:p w:rsidR="00FD6E5D" w:rsidRPr="00DF58B9" w:rsidRDefault="00FD6E5D" w:rsidP="009E36E7">
      <w:pPr>
        <w:spacing w:after="0" w:line="240" w:lineRule="auto"/>
        <w:rPr>
          <w:rFonts w:cs="Arial"/>
          <w:lang w:val="fr-FR"/>
        </w:rPr>
      </w:pPr>
    </w:p>
    <w:p w:rsidR="001C544D" w:rsidRPr="00DF58B9" w:rsidRDefault="004A4BC4" w:rsidP="00A76467">
      <w:pPr>
        <w:pStyle w:val="ListParagraph"/>
        <w:numPr>
          <w:ilvl w:val="0"/>
          <w:numId w:val="25"/>
        </w:numPr>
        <w:spacing w:after="0" w:line="240" w:lineRule="auto"/>
        <w:ind w:left="426" w:hanging="426"/>
        <w:rPr>
          <w:rFonts w:cs="Arial"/>
          <w:lang w:val="fr-FR"/>
        </w:rPr>
      </w:pPr>
      <w:r w:rsidRPr="00DF58B9">
        <w:rPr>
          <w:rFonts w:cs="Arial"/>
          <w:lang w:val="fr-FR"/>
        </w:rPr>
        <w:t>Répondant</w:t>
      </w:r>
      <w:r w:rsidR="003B45DC" w:rsidRPr="00DF58B9">
        <w:rPr>
          <w:rFonts w:cs="Arial"/>
          <w:lang w:val="fr-FR"/>
        </w:rPr>
        <w:t xml:space="preserve"> à ces priorités, un nouveau Programme de CESP pour </w:t>
      </w:r>
      <w:r w:rsidR="00644B14" w:rsidRPr="00DF58B9">
        <w:rPr>
          <w:rFonts w:cs="Arial"/>
          <w:lang w:val="fr-FR"/>
        </w:rPr>
        <w:t>2016-</w:t>
      </w:r>
      <w:r w:rsidR="003B45DC" w:rsidRPr="00DF58B9">
        <w:rPr>
          <w:rFonts w:cs="Arial"/>
          <w:lang w:val="fr-FR"/>
        </w:rPr>
        <w:t>20</w:t>
      </w:r>
      <w:r w:rsidR="00644B14" w:rsidRPr="00DF58B9">
        <w:rPr>
          <w:rFonts w:cs="Arial"/>
          <w:lang w:val="fr-FR"/>
        </w:rPr>
        <w:t>21</w:t>
      </w:r>
      <w:r w:rsidR="003B45DC" w:rsidRPr="00DF58B9">
        <w:rPr>
          <w:rFonts w:cs="Arial"/>
          <w:lang w:val="fr-FR"/>
        </w:rPr>
        <w:t xml:space="preserve"> a été rédigé pour examen par les Parties à la COP12 (projet de résolution </w:t>
      </w:r>
      <w:r w:rsidR="00015268" w:rsidRPr="00DF58B9">
        <w:rPr>
          <w:rFonts w:cs="Arial"/>
          <w:lang w:val="fr-FR"/>
        </w:rPr>
        <w:t>XII.9</w:t>
      </w:r>
      <w:r w:rsidR="00644B14" w:rsidRPr="00DF58B9">
        <w:rPr>
          <w:rFonts w:cs="Arial"/>
          <w:lang w:val="fr-FR"/>
        </w:rPr>
        <w:t>)</w:t>
      </w:r>
      <w:r w:rsidR="00067A6C" w:rsidRPr="00DF58B9">
        <w:rPr>
          <w:rFonts w:cs="Arial"/>
          <w:lang w:val="fr-FR"/>
        </w:rPr>
        <w:t>.</w:t>
      </w:r>
      <w:r w:rsidR="00644B14" w:rsidRPr="00DF58B9">
        <w:rPr>
          <w:rFonts w:cs="Arial"/>
          <w:lang w:val="fr-FR"/>
        </w:rPr>
        <w:t xml:space="preserve"> </w:t>
      </w:r>
      <w:r w:rsidR="003B45DC" w:rsidRPr="00DF58B9">
        <w:rPr>
          <w:rFonts w:cs="Arial"/>
          <w:lang w:val="fr-FR"/>
        </w:rPr>
        <w:t>Le</w:t>
      </w:r>
      <w:r w:rsidR="007F2299" w:rsidRPr="00DF58B9">
        <w:rPr>
          <w:rFonts w:cs="Arial"/>
          <w:lang w:val="fr-FR"/>
        </w:rPr>
        <w:t xml:space="preserve"> Programme</w:t>
      </w:r>
      <w:r w:rsidR="00CB4BE0" w:rsidRPr="00DF58B9">
        <w:rPr>
          <w:rFonts w:cs="Arial"/>
          <w:lang w:val="fr-FR"/>
        </w:rPr>
        <w:t xml:space="preserve"> </w:t>
      </w:r>
      <w:r w:rsidRPr="00DF58B9">
        <w:rPr>
          <w:rFonts w:cs="Arial"/>
          <w:lang w:val="fr-FR"/>
        </w:rPr>
        <w:t>établit</w:t>
      </w:r>
      <w:r w:rsidR="003B45DC" w:rsidRPr="00DF58B9">
        <w:rPr>
          <w:rFonts w:cs="Arial"/>
          <w:lang w:val="fr-FR"/>
        </w:rPr>
        <w:t xml:space="preserve"> comme concepts sous</w:t>
      </w:r>
      <w:r w:rsidR="003B45DC" w:rsidRPr="00DF58B9">
        <w:rPr>
          <w:rFonts w:cs="Arial"/>
          <w:lang w:val="fr-FR"/>
        </w:rPr>
        <w:noBreakHyphen/>
        <w:t>tendant l’acronyme CESP « la communication, le développement des capacités, l’éducation, la sensibilisation et la participation » afin de refléter plus largement les domaines que ce Programme de CESP vise à couvrir.</w:t>
      </w:r>
      <w:r w:rsidR="00CB4BE0" w:rsidRPr="00DF58B9">
        <w:rPr>
          <w:rFonts w:cs="Arial"/>
          <w:lang w:val="fr-FR"/>
        </w:rPr>
        <w:t xml:space="preserve"> </w:t>
      </w:r>
    </w:p>
    <w:p w:rsidR="001C544D" w:rsidRPr="00DF58B9" w:rsidRDefault="001C544D" w:rsidP="00A76467">
      <w:pPr>
        <w:pStyle w:val="ListParagraph"/>
        <w:spacing w:after="0" w:line="240" w:lineRule="auto"/>
        <w:ind w:left="426"/>
        <w:rPr>
          <w:rFonts w:cs="Arial"/>
          <w:lang w:val="fr-FR"/>
        </w:rPr>
      </w:pPr>
    </w:p>
    <w:p w:rsidR="004779B1" w:rsidRPr="00DF58B9" w:rsidRDefault="003B45DC" w:rsidP="00007188">
      <w:pPr>
        <w:pStyle w:val="ListParagraph"/>
        <w:numPr>
          <w:ilvl w:val="0"/>
          <w:numId w:val="25"/>
        </w:numPr>
        <w:spacing w:after="0" w:line="240" w:lineRule="auto"/>
        <w:ind w:left="450" w:hanging="450"/>
        <w:rPr>
          <w:rFonts w:cs="Arial"/>
          <w:lang w:val="fr-FR"/>
        </w:rPr>
      </w:pPr>
      <w:r w:rsidRPr="00DF58B9">
        <w:rPr>
          <w:rFonts w:cs="Arial"/>
          <w:lang w:val="fr-FR"/>
        </w:rPr>
        <w:t xml:space="preserve">Il énonce neuf stratégies de CESP et 42 objectifs stratégiques pour mobiliser la population et l’inciter à agir pour les zones humides. Parmi les ajouts importants, il y a </w:t>
      </w:r>
      <w:r w:rsidR="00007188" w:rsidRPr="00DF58B9">
        <w:rPr>
          <w:rFonts w:cs="Arial"/>
          <w:lang w:val="fr-FR"/>
        </w:rPr>
        <w:t>la</w:t>
      </w:r>
      <w:r w:rsidRPr="00DF58B9">
        <w:rPr>
          <w:rFonts w:cs="Arial"/>
          <w:lang w:val="fr-FR"/>
        </w:rPr>
        <w:t xml:space="preserve"> neuvième stratégie</w:t>
      </w:r>
      <w:r w:rsidR="00007188" w:rsidRPr="00DF58B9">
        <w:rPr>
          <w:rFonts w:cs="Arial"/>
          <w:lang w:val="fr-FR"/>
        </w:rPr>
        <w:t> :</w:t>
      </w:r>
      <w:r w:rsidRPr="00DF58B9">
        <w:rPr>
          <w:rFonts w:cs="Arial"/>
          <w:lang w:val="fr-FR"/>
        </w:rPr>
        <w:t xml:space="preserve"> « </w:t>
      </w:r>
      <w:r w:rsidR="00007188" w:rsidRPr="00DF58B9">
        <w:rPr>
          <w:rFonts w:cs="Arial"/>
          <w:lang w:val="fr-FR"/>
        </w:rPr>
        <w:t>veiller à ce que les orientations et les informations fournies par le GEST soient élaborées en étroite collaboration avec le Programme de CESP et s’assurer de leur diffusion auprès des publics cibles à l’aide des moyens de communication les plus efficaces</w:t>
      </w:r>
      <w:r w:rsidRPr="00DF58B9">
        <w:rPr>
          <w:rFonts w:cs="Arial"/>
          <w:lang w:val="fr-FR"/>
        </w:rPr>
        <w:t xml:space="preserve"> ». Il s’agit d’une réponse directe aux appels précédents </w:t>
      </w:r>
      <w:r w:rsidR="00007188" w:rsidRPr="00DF58B9">
        <w:rPr>
          <w:rFonts w:cs="Arial"/>
          <w:lang w:val="fr-FR"/>
        </w:rPr>
        <w:t xml:space="preserve">du Secrétariat et des Parties </w:t>
      </w:r>
      <w:r w:rsidRPr="00DF58B9">
        <w:rPr>
          <w:rFonts w:cs="Arial"/>
          <w:lang w:val="fr-FR"/>
        </w:rPr>
        <w:t>pour un</w:t>
      </w:r>
      <w:r w:rsidR="00007188" w:rsidRPr="00DF58B9">
        <w:rPr>
          <w:rFonts w:cs="Arial"/>
          <w:lang w:val="fr-FR"/>
        </w:rPr>
        <w:t>e harmonisation plus étroite</w:t>
      </w:r>
      <w:r w:rsidRPr="00DF58B9">
        <w:rPr>
          <w:rFonts w:cs="Arial"/>
          <w:lang w:val="fr-FR"/>
        </w:rPr>
        <w:t xml:space="preserve"> entre les processus du GEST et de la CESP. </w:t>
      </w:r>
    </w:p>
    <w:p w:rsidR="001B33B2" w:rsidRPr="00DF58B9" w:rsidRDefault="001B33B2" w:rsidP="009E36E7">
      <w:pPr>
        <w:spacing w:after="0" w:line="240" w:lineRule="auto"/>
        <w:rPr>
          <w:rFonts w:cs="Arial"/>
          <w:lang w:val="fr-FR"/>
        </w:rPr>
      </w:pPr>
    </w:p>
    <w:p w:rsidR="001C544D" w:rsidRPr="00DF58B9" w:rsidRDefault="001C544D" w:rsidP="009E36E7">
      <w:pPr>
        <w:spacing w:after="0" w:line="240" w:lineRule="auto"/>
        <w:rPr>
          <w:rFonts w:cs="Arial"/>
          <w:b/>
          <w:lang w:val="fr-FR"/>
        </w:rPr>
      </w:pPr>
    </w:p>
    <w:p w:rsidR="004779B1" w:rsidRPr="00DF58B9" w:rsidRDefault="003B45DC" w:rsidP="009E36E7">
      <w:pPr>
        <w:spacing w:after="0" w:line="240" w:lineRule="auto"/>
        <w:rPr>
          <w:rFonts w:cs="Arial"/>
          <w:b/>
          <w:sz w:val="24"/>
          <w:szCs w:val="24"/>
          <w:lang w:val="fr-FR"/>
        </w:rPr>
      </w:pPr>
      <w:r w:rsidRPr="00DF58B9">
        <w:rPr>
          <w:rFonts w:cs="Arial"/>
          <w:b/>
          <w:sz w:val="24"/>
          <w:szCs w:val="24"/>
          <w:lang w:val="fr-FR"/>
        </w:rPr>
        <w:t xml:space="preserve">Mise en œuvre du Programme de CESP depuis la </w:t>
      </w:r>
      <w:r w:rsidR="004779B1" w:rsidRPr="00DF58B9">
        <w:rPr>
          <w:rFonts w:cs="Arial"/>
          <w:b/>
          <w:sz w:val="24"/>
          <w:szCs w:val="24"/>
          <w:lang w:val="fr-FR"/>
        </w:rPr>
        <w:t>COP1</w:t>
      </w:r>
      <w:r w:rsidR="00946669" w:rsidRPr="00DF58B9">
        <w:rPr>
          <w:rFonts w:cs="Arial"/>
          <w:b/>
          <w:sz w:val="24"/>
          <w:szCs w:val="24"/>
          <w:lang w:val="fr-FR"/>
        </w:rPr>
        <w:t>1</w:t>
      </w:r>
    </w:p>
    <w:p w:rsidR="00677E5F" w:rsidRPr="00DF58B9" w:rsidRDefault="00677E5F" w:rsidP="009E36E7">
      <w:pPr>
        <w:spacing w:after="0" w:line="240" w:lineRule="auto"/>
        <w:rPr>
          <w:rFonts w:cs="Arial"/>
          <w:b/>
          <w:lang w:val="fr-FR"/>
        </w:rPr>
      </w:pPr>
    </w:p>
    <w:p w:rsidR="004779B1" w:rsidRPr="00DF58B9" w:rsidRDefault="00E57B1B" w:rsidP="009E36E7">
      <w:pPr>
        <w:spacing w:after="0" w:line="240" w:lineRule="auto"/>
        <w:rPr>
          <w:rFonts w:cs="Arial"/>
          <w:b/>
          <w:lang w:val="fr-FR"/>
        </w:rPr>
      </w:pPr>
      <w:r w:rsidRPr="00DF58B9">
        <w:rPr>
          <w:rFonts w:cs="Arial"/>
          <w:b/>
          <w:lang w:val="fr-FR"/>
        </w:rPr>
        <w:t>Le Groupe de surveillance des activités de CESP</w:t>
      </w:r>
    </w:p>
    <w:p w:rsidR="000A0707" w:rsidRPr="00DF58B9" w:rsidRDefault="000A0707" w:rsidP="009E36E7">
      <w:pPr>
        <w:spacing w:after="0" w:line="240" w:lineRule="auto"/>
        <w:rPr>
          <w:rFonts w:cs="Arial"/>
          <w:lang w:val="fr-FR"/>
        </w:rPr>
      </w:pPr>
    </w:p>
    <w:p w:rsidR="004779B1" w:rsidRPr="00DF58B9" w:rsidRDefault="00E57B1B" w:rsidP="00A76467">
      <w:pPr>
        <w:pStyle w:val="ListParagraph"/>
        <w:numPr>
          <w:ilvl w:val="0"/>
          <w:numId w:val="25"/>
        </w:numPr>
        <w:spacing w:after="0" w:line="240" w:lineRule="auto"/>
        <w:ind w:left="426" w:hanging="426"/>
        <w:rPr>
          <w:rFonts w:cs="Arial"/>
          <w:lang w:val="fr-FR"/>
        </w:rPr>
      </w:pPr>
      <w:r w:rsidRPr="00DF58B9">
        <w:rPr>
          <w:rFonts w:cs="Arial"/>
          <w:lang w:val="fr-FR"/>
        </w:rPr>
        <w:lastRenderedPageBreak/>
        <w:t>Dans la Résolution </w:t>
      </w:r>
      <w:r w:rsidR="004779B1" w:rsidRPr="00DF58B9">
        <w:rPr>
          <w:rFonts w:cs="Arial"/>
          <w:lang w:val="fr-FR"/>
        </w:rPr>
        <w:t xml:space="preserve">IX.18 (2005) </w:t>
      </w:r>
      <w:r w:rsidRPr="00DF58B9">
        <w:rPr>
          <w:rFonts w:cs="Arial"/>
          <w:lang w:val="fr-FR"/>
        </w:rPr>
        <w:t>et dans la Décision</w:t>
      </w:r>
      <w:r w:rsidR="004779B1" w:rsidRPr="00DF58B9">
        <w:rPr>
          <w:rFonts w:cs="Arial"/>
          <w:lang w:val="fr-FR"/>
        </w:rPr>
        <w:t xml:space="preserve"> SC34-12 (2006)</w:t>
      </w:r>
      <w:r w:rsidRPr="00DF58B9">
        <w:rPr>
          <w:rFonts w:cs="Arial"/>
          <w:lang w:val="fr-FR"/>
        </w:rPr>
        <w:t xml:space="preserve"> du Comité permanent</w:t>
      </w:r>
      <w:r w:rsidR="004779B1" w:rsidRPr="00DF58B9">
        <w:rPr>
          <w:rFonts w:cs="Arial"/>
          <w:lang w:val="fr-FR"/>
        </w:rPr>
        <w:t xml:space="preserve">, </w:t>
      </w:r>
      <w:r w:rsidRPr="00DF58B9">
        <w:rPr>
          <w:rFonts w:cs="Arial"/>
          <w:lang w:val="fr-FR"/>
        </w:rPr>
        <w:t>les Parties ont établi un Groupe de surveillance des activités de CESP chargé de surveiller et de faire rapport sur la mise en œuvre du Programme de CESP. Le Groupe travaille essentiellement par courriel mais s’est réuni deux fois durant la période triennale et se réunira à nouveau durant la COP12. Le Groupe a également fait rapport à la 44</w:t>
      </w:r>
      <w:r w:rsidRPr="00DF58B9">
        <w:rPr>
          <w:rFonts w:cs="Arial"/>
          <w:vertAlign w:val="superscript"/>
          <w:lang w:val="fr-FR"/>
        </w:rPr>
        <w:t>e</w:t>
      </w:r>
      <w:r w:rsidRPr="00DF58B9">
        <w:rPr>
          <w:rFonts w:cs="Arial"/>
          <w:lang w:val="fr-FR"/>
        </w:rPr>
        <w:t>, la 45</w:t>
      </w:r>
      <w:r w:rsidRPr="00DF58B9">
        <w:rPr>
          <w:rFonts w:cs="Arial"/>
          <w:vertAlign w:val="superscript"/>
          <w:lang w:val="fr-FR"/>
        </w:rPr>
        <w:t>e</w:t>
      </w:r>
      <w:r w:rsidRPr="00DF58B9">
        <w:rPr>
          <w:rFonts w:cs="Arial"/>
          <w:lang w:val="fr-FR"/>
        </w:rPr>
        <w:t>, la 46</w:t>
      </w:r>
      <w:r w:rsidRPr="00DF58B9">
        <w:rPr>
          <w:rFonts w:cs="Arial"/>
          <w:vertAlign w:val="superscript"/>
          <w:lang w:val="fr-FR"/>
        </w:rPr>
        <w:t>e</w:t>
      </w:r>
      <w:r w:rsidRPr="00DF58B9">
        <w:rPr>
          <w:rFonts w:cs="Arial"/>
          <w:lang w:val="fr-FR"/>
        </w:rPr>
        <w:t>, la 47</w:t>
      </w:r>
      <w:r w:rsidRPr="00DF58B9">
        <w:rPr>
          <w:rFonts w:cs="Arial"/>
          <w:vertAlign w:val="superscript"/>
          <w:lang w:val="fr-FR"/>
        </w:rPr>
        <w:t>e</w:t>
      </w:r>
      <w:r w:rsidRPr="00DF58B9">
        <w:rPr>
          <w:rFonts w:cs="Arial"/>
          <w:lang w:val="fr-FR"/>
        </w:rPr>
        <w:t xml:space="preserve"> et la 48</w:t>
      </w:r>
      <w:r w:rsidRPr="00DF58B9">
        <w:rPr>
          <w:rFonts w:cs="Arial"/>
          <w:vertAlign w:val="superscript"/>
          <w:lang w:val="fr-FR"/>
        </w:rPr>
        <w:t>e</w:t>
      </w:r>
      <w:r w:rsidRPr="00DF58B9">
        <w:rPr>
          <w:rFonts w:cs="Arial"/>
          <w:lang w:val="fr-FR"/>
        </w:rPr>
        <w:t> </w:t>
      </w:r>
      <w:r w:rsidR="00267B46" w:rsidRPr="00DF58B9">
        <w:rPr>
          <w:rFonts w:cs="Arial"/>
          <w:lang w:val="fr-FR"/>
        </w:rPr>
        <w:t>R</w:t>
      </w:r>
      <w:r w:rsidRPr="00DF58B9">
        <w:rPr>
          <w:rFonts w:cs="Arial"/>
          <w:lang w:val="fr-FR"/>
        </w:rPr>
        <w:t xml:space="preserve">éunion du Comité permanent sur l’application du plan de travail du Groupe. Tous les rapports de réunion du Groupe sont disponibles à l’adresse </w:t>
      </w:r>
      <w:r w:rsidR="0004480D" w:rsidRPr="00DF58B9">
        <w:rPr>
          <w:rFonts w:cs="Arial"/>
          <w:lang w:val="fr-FR"/>
        </w:rPr>
        <w:t>www.ramsar.org/activity/the-cepa-oversight-panel</w:t>
      </w:r>
      <w:r w:rsidR="004779B1" w:rsidRPr="00DF58B9">
        <w:rPr>
          <w:rFonts w:cs="Arial"/>
          <w:lang w:val="fr-FR"/>
        </w:rPr>
        <w:t>.</w:t>
      </w:r>
    </w:p>
    <w:p w:rsidR="000A0707" w:rsidRPr="00DF58B9" w:rsidRDefault="000A0707" w:rsidP="00A76467">
      <w:pPr>
        <w:pStyle w:val="ListParagraph"/>
        <w:spacing w:after="0" w:line="240" w:lineRule="auto"/>
        <w:ind w:left="426"/>
        <w:rPr>
          <w:rFonts w:cs="Arial"/>
          <w:lang w:val="fr-FR"/>
        </w:rPr>
      </w:pPr>
    </w:p>
    <w:p w:rsidR="004779B1" w:rsidRPr="00DF58B9" w:rsidRDefault="004779B1" w:rsidP="00A76467">
      <w:pPr>
        <w:pStyle w:val="ListParagraph"/>
        <w:numPr>
          <w:ilvl w:val="0"/>
          <w:numId w:val="25"/>
        </w:numPr>
        <w:spacing w:after="0" w:line="240" w:lineRule="auto"/>
        <w:ind w:left="426" w:hanging="426"/>
        <w:rPr>
          <w:rFonts w:cs="Arial"/>
          <w:lang w:val="fr-FR"/>
        </w:rPr>
      </w:pPr>
      <w:r w:rsidRPr="00DF58B9">
        <w:rPr>
          <w:rFonts w:cs="Arial"/>
          <w:lang w:val="fr-FR"/>
        </w:rPr>
        <w:t>Dur</w:t>
      </w:r>
      <w:r w:rsidR="00267B46" w:rsidRPr="00DF58B9">
        <w:rPr>
          <w:rFonts w:cs="Arial"/>
          <w:lang w:val="fr-FR"/>
        </w:rPr>
        <w:t>ant la présente période triennale, le Groupe a terminé certaines tâches et</w:t>
      </w:r>
      <w:r w:rsidR="006B544C" w:rsidRPr="00DF58B9">
        <w:rPr>
          <w:rFonts w:cs="Arial"/>
          <w:lang w:val="fr-FR"/>
        </w:rPr>
        <w:t>,</w:t>
      </w:r>
      <w:r w:rsidR="00267B46" w:rsidRPr="00DF58B9">
        <w:rPr>
          <w:rFonts w:cs="Arial"/>
          <w:lang w:val="fr-FR"/>
        </w:rPr>
        <w:t xml:space="preserve"> </w:t>
      </w:r>
      <w:r w:rsidR="006B544C" w:rsidRPr="00DF58B9">
        <w:rPr>
          <w:rFonts w:cs="Arial"/>
          <w:lang w:val="fr-FR"/>
        </w:rPr>
        <w:t>durant la prochaine période triennale, poursuivra ses travaux relatifs à</w:t>
      </w:r>
      <w:r w:rsidR="00267B46" w:rsidRPr="00DF58B9">
        <w:rPr>
          <w:rFonts w:cs="Arial"/>
          <w:lang w:val="fr-FR"/>
        </w:rPr>
        <w:t xml:space="preserve"> celles qui n’ont pas été terminées: </w:t>
      </w:r>
    </w:p>
    <w:p w:rsidR="00067A6C" w:rsidRPr="00DF58B9" w:rsidRDefault="00067A6C" w:rsidP="00067A6C">
      <w:pPr>
        <w:pStyle w:val="ListParagraph"/>
        <w:rPr>
          <w:rFonts w:cs="Arial"/>
          <w:lang w:val="fr-FR"/>
        </w:rPr>
      </w:pPr>
    </w:p>
    <w:p w:rsidR="00BA5B37" w:rsidRPr="00DF58B9" w:rsidRDefault="00267B46"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Le Groupe a conseillé le Secrétariat sur les indicateurs de CESP pour le projet de modèle de </w:t>
      </w:r>
      <w:r w:rsidR="00F52A0D" w:rsidRPr="00DF58B9">
        <w:rPr>
          <w:rFonts w:cs="Arial"/>
          <w:lang w:val="fr-FR"/>
        </w:rPr>
        <w:t>r</w:t>
      </w:r>
      <w:r w:rsidRPr="00DF58B9">
        <w:rPr>
          <w:rFonts w:cs="Arial"/>
          <w:lang w:val="fr-FR"/>
        </w:rPr>
        <w:t xml:space="preserve">apport national pour la COP12 qui visent à évaluer la mise en œuvre de l’élément CESP du Plan stratégique. </w:t>
      </w:r>
    </w:p>
    <w:p w:rsidR="00067A6C" w:rsidRPr="00DF58B9" w:rsidRDefault="00067A6C" w:rsidP="00067A6C">
      <w:pPr>
        <w:pStyle w:val="ListParagraph"/>
        <w:spacing w:after="0" w:line="240" w:lineRule="auto"/>
        <w:ind w:left="851"/>
        <w:rPr>
          <w:rFonts w:cs="Arial"/>
          <w:lang w:val="fr-FR"/>
        </w:rPr>
      </w:pPr>
    </w:p>
    <w:p w:rsidR="00BA5B37" w:rsidRPr="00DF58B9" w:rsidRDefault="00267B46"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Il s’est réuni avec les quatre Centres régionaux Ramsar afin de discuter de leurs difficultés en matière de renforcement des capacités et de leurs besoins et a convenu avec les Centres d’une liste de matériel de formation clé </w:t>
      </w:r>
      <w:r w:rsidR="008C14E4" w:rsidRPr="00DF58B9">
        <w:rPr>
          <w:rFonts w:cs="Arial"/>
          <w:lang w:val="fr-FR"/>
        </w:rPr>
        <w:t xml:space="preserve">pouvant facilement être </w:t>
      </w:r>
      <w:r w:rsidR="00F52A0D" w:rsidRPr="00DF58B9">
        <w:rPr>
          <w:rFonts w:cs="Arial"/>
          <w:lang w:val="fr-FR"/>
        </w:rPr>
        <w:t>adapté</w:t>
      </w:r>
      <w:r w:rsidR="008C14E4" w:rsidRPr="00DF58B9">
        <w:rPr>
          <w:rFonts w:cs="Arial"/>
          <w:lang w:val="fr-FR"/>
        </w:rPr>
        <w:t xml:space="preserve"> pour une utilisation générale.</w:t>
      </w:r>
      <w:r w:rsidR="00BA5B37" w:rsidRPr="00DF58B9">
        <w:rPr>
          <w:rFonts w:cs="Arial"/>
          <w:lang w:val="fr-FR"/>
        </w:rPr>
        <w:t xml:space="preserve"> </w:t>
      </w:r>
    </w:p>
    <w:p w:rsidR="00067A6C" w:rsidRPr="00DF58B9" w:rsidRDefault="00067A6C" w:rsidP="00067A6C">
      <w:pPr>
        <w:pStyle w:val="ListParagraph"/>
        <w:rPr>
          <w:rFonts w:cs="Arial"/>
          <w:lang w:val="fr-FR"/>
        </w:rPr>
      </w:pPr>
    </w:p>
    <w:p w:rsidR="00BA5B37" w:rsidRPr="00DF58B9" w:rsidRDefault="008C14E4"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Il s’est réuni avec le GEST afin de discuter de stratégies pour améliorer et appuyer le renforcement des capacités aux niveaux national et local. Les deux groupes ont convenu de coopérer et de travailler à l’élaboration d’un ensemble de principes directeurs communs.  </w:t>
      </w:r>
      <w:r w:rsidR="00BA5B37" w:rsidRPr="00DF58B9">
        <w:rPr>
          <w:rFonts w:cs="Arial"/>
          <w:lang w:val="fr-FR"/>
        </w:rPr>
        <w:t xml:space="preserve"> </w:t>
      </w:r>
    </w:p>
    <w:p w:rsidR="00067A6C" w:rsidRPr="00DF58B9" w:rsidRDefault="00067A6C" w:rsidP="00067A6C">
      <w:pPr>
        <w:pStyle w:val="ListParagraph"/>
        <w:rPr>
          <w:rFonts w:cs="Arial"/>
          <w:lang w:val="fr-FR"/>
        </w:rPr>
      </w:pPr>
    </w:p>
    <w:p w:rsidR="00DF2C21" w:rsidRPr="00DF58B9" w:rsidRDefault="008C14E4"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Il a </w:t>
      </w:r>
      <w:r w:rsidR="00F52A0D" w:rsidRPr="00DF58B9">
        <w:rPr>
          <w:rFonts w:cs="Arial"/>
          <w:lang w:val="fr-FR"/>
        </w:rPr>
        <w:t>examiné</w:t>
      </w:r>
      <w:r w:rsidRPr="00DF58B9">
        <w:rPr>
          <w:rFonts w:cs="Arial"/>
          <w:lang w:val="fr-FR"/>
        </w:rPr>
        <w:t xml:space="preserve"> </w:t>
      </w:r>
      <w:r w:rsidR="00051766" w:rsidRPr="00DF58B9">
        <w:rPr>
          <w:rFonts w:cs="Arial"/>
          <w:lang w:val="fr-FR"/>
        </w:rPr>
        <w:t>le sens des termes et définitions de CESP, concluant qu’il y avait</w:t>
      </w:r>
      <w:r w:rsidR="00F52A0D" w:rsidRPr="00DF58B9">
        <w:rPr>
          <w:rFonts w:cs="Arial"/>
          <w:lang w:val="fr-FR"/>
        </w:rPr>
        <w:t>, certes,</w:t>
      </w:r>
      <w:r w:rsidR="00051766" w:rsidRPr="00DF58B9">
        <w:rPr>
          <w:rFonts w:cs="Arial"/>
          <w:lang w:val="fr-FR"/>
        </w:rPr>
        <w:t xml:space="preserve"> une compréhension commune mais aussi d’importantes différences </w:t>
      </w:r>
      <w:r w:rsidR="00F52A0D" w:rsidRPr="00DF58B9">
        <w:rPr>
          <w:rFonts w:cs="Arial"/>
          <w:lang w:val="fr-FR"/>
        </w:rPr>
        <w:t>appelant</w:t>
      </w:r>
      <w:r w:rsidR="00051766" w:rsidRPr="00DF58B9">
        <w:rPr>
          <w:rFonts w:cs="Arial"/>
          <w:lang w:val="fr-FR"/>
        </w:rPr>
        <w:t xml:space="preserve"> à une révision des termes pour refléter l’ampleur du programme. </w:t>
      </w:r>
      <w:r w:rsidR="00F52A0D" w:rsidRPr="00DF58B9">
        <w:rPr>
          <w:rFonts w:cs="Arial"/>
          <w:lang w:val="fr-FR"/>
        </w:rPr>
        <w:t xml:space="preserve">Ayant </w:t>
      </w:r>
      <w:r w:rsidR="007D64A2" w:rsidRPr="00DF58B9">
        <w:rPr>
          <w:rFonts w:cs="Arial"/>
          <w:lang w:val="fr-FR"/>
        </w:rPr>
        <w:t>déterminé d’un commun accord</w:t>
      </w:r>
      <w:r w:rsidR="00F52A0D" w:rsidRPr="00DF58B9">
        <w:rPr>
          <w:rFonts w:cs="Arial"/>
          <w:lang w:val="fr-FR"/>
        </w:rPr>
        <w:t xml:space="preserve"> que l’acronyme « CESP » n’est pas bien compris en dehors de la communauté Ramsar, l</w:t>
      </w:r>
      <w:r w:rsidR="00051766" w:rsidRPr="00DF58B9">
        <w:rPr>
          <w:rFonts w:cs="Arial"/>
          <w:lang w:val="fr-FR"/>
        </w:rPr>
        <w:t xml:space="preserve">e Groupe a proposé un nouveau titre – le Programme pour les zones humides et les populations – pour remplacer le titre </w:t>
      </w:r>
      <w:r w:rsidR="00F52A0D" w:rsidRPr="00DF58B9">
        <w:rPr>
          <w:rFonts w:cs="Arial"/>
          <w:lang w:val="fr-FR"/>
        </w:rPr>
        <w:t>« </w:t>
      </w:r>
      <w:r w:rsidR="00051766" w:rsidRPr="00DF58B9">
        <w:rPr>
          <w:rFonts w:cs="Arial"/>
          <w:lang w:val="fr-FR"/>
        </w:rPr>
        <w:t>Programme de CESP</w:t>
      </w:r>
      <w:r w:rsidR="00F52A0D" w:rsidRPr="00DF58B9">
        <w:rPr>
          <w:rFonts w:cs="Arial"/>
          <w:lang w:val="fr-FR"/>
        </w:rPr>
        <w:t> »</w:t>
      </w:r>
      <w:r w:rsidR="00051766" w:rsidRPr="00DF58B9">
        <w:rPr>
          <w:rFonts w:cs="Arial"/>
          <w:lang w:val="fr-FR"/>
        </w:rPr>
        <w:t xml:space="preserve">.  </w:t>
      </w:r>
    </w:p>
    <w:p w:rsidR="00067A6C" w:rsidRPr="00DF58B9" w:rsidRDefault="00067A6C" w:rsidP="00067A6C">
      <w:pPr>
        <w:pStyle w:val="ListParagraph"/>
        <w:rPr>
          <w:rFonts w:cs="Arial"/>
          <w:lang w:val="fr-FR"/>
        </w:rPr>
      </w:pPr>
    </w:p>
    <w:p w:rsidR="00BA5B37" w:rsidRPr="00DF58B9" w:rsidRDefault="00051766"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Il a discuté et identifié les priorités </w:t>
      </w:r>
      <w:r w:rsidR="00C35039" w:rsidRPr="00DF58B9">
        <w:rPr>
          <w:rFonts w:cs="Arial"/>
          <w:lang w:val="fr-FR"/>
        </w:rPr>
        <w:t>du</w:t>
      </w:r>
      <w:r w:rsidRPr="00DF58B9">
        <w:rPr>
          <w:rFonts w:cs="Arial"/>
          <w:lang w:val="fr-FR"/>
        </w:rPr>
        <w:t xml:space="preserve"> nouveau Programme pour la période triennale suivante</w:t>
      </w:r>
      <w:r w:rsidR="00C35039" w:rsidRPr="00DF58B9">
        <w:rPr>
          <w:rFonts w:cs="Arial"/>
          <w:lang w:val="fr-FR"/>
        </w:rPr>
        <w:t>,</w:t>
      </w:r>
      <w:r w:rsidRPr="00DF58B9">
        <w:rPr>
          <w:rFonts w:cs="Arial"/>
          <w:lang w:val="fr-FR"/>
        </w:rPr>
        <w:t xml:space="preserve"> qui ont toutes été intégrées dans les documents pour la COP12. </w:t>
      </w:r>
    </w:p>
    <w:p w:rsidR="000A0707" w:rsidRPr="00DF58B9" w:rsidRDefault="000A0707" w:rsidP="009E36E7">
      <w:pPr>
        <w:spacing w:after="0" w:line="240" w:lineRule="auto"/>
        <w:rPr>
          <w:rFonts w:cs="Arial"/>
          <w:lang w:val="fr-FR"/>
        </w:rPr>
      </w:pPr>
    </w:p>
    <w:p w:rsidR="004779B1" w:rsidRPr="00DF58B9" w:rsidRDefault="00D22367" w:rsidP="008B6980">
      <w:pPr>
        <w:pStyle w:val="ListParagraph"/>
        <w:numPr>
          <w:ilvl w:val="0"/>
          <w:numId w:val="25"/>
        </w:numPr>
        <w:spacing w:after="0" w:line="240" w:lineRule="auto"/>
        <w:ind w:left="426" w:hanging="426"/>
        <w:rPr>
          <w:rFonts w:cs="Arial"/>
          <w:lang w:val="fr-FR"/>
        </w:rPr>
      </w:pPr>
      <w:r w:rsidRPr="00DF58B9">
        <w:rPr>
          <w:rFonts w:cs="Arial"/>
          <w:lang w:val="fr-FR"/>
        </w:rPr>
        <w:t>Le Groupe de surveillance des activités de CESP a fait des progrès mais n’</w:t>
      </w:r>
      <w:r w:rsidR="00E8105E" w:rsidRPr="00DF58B9">
        <w:rPr>
          <w:rFonts w:cs="Arial"/>
          <w:lang w:val="fr-FR"/>
        </w:rPr>
        <w:t>a pas terminé</w:t>
      </w:r>
      <w:r w:rsidRPr="00DF58B9">
        <w:rPr>
          <w:rFonts w:cs="Arial"/>
          <w:lang w:val="fr-FR"/>
        </w:rPr>
        <w:t xml:space="preserve"> l’examen de deux résolutions </w:t>
      </w:r>
      <w:r w:rsidR="00E8105E" w:rsidRPr="00DF58B9">
        <w:rPr>
          <w:rFonts w:cs="Arial"/>
          <w:lang w:val="fr-FR"/>
        </w:rPr>
        <w:t>concernant</w:t>
      </w:r>
      <w:r w:rsidRPr="00DF58B9">
        <w:rPr>
          <w:rFonts w:cs="Arial"/>
          <w:lang w:val="fr-FR"/>
        </w:rPr>
        <w:t xml:space="preserve"> la participation à la gestion </w:t>
      </w:r>
      <w:r w:rsidR="00067A6C" w:rsidRPr="00DF58B9">
        <w:rPr>
          <w:rFonts w:cs="Arial"/>
          <w:lang w:val="fr-FR"/>
        </w:rPr>
        <w:t>(</w:t>
      </w:r>
      <w:r w:rsidRPr="00DF58B9">
        <w:rPr>
          <w:rFonts w:cs="Arial"/>
          <w:lang w:val="fr-FR"/>
        </w:rPr>
        <w:t xml:space="preserve">Résolution VII.8, </w:t>
      </w:r>
      <w:r w:rsidR="00766AB1" w:rsidRPr="00DF58B9">
        <w:rPr>
          <w:rFonts w:cs="Arial"/>
          <w:i/>
          <w:lang w:val="fr-FR"/>
        </w:rPr>
        <w:t>Lignes directrices pour la mise en œuvre et le renforcement de la participation des communautés locales et des populations autochtones à la gestion des zones humides</w:t>
      </w:r>
      <w:r w:rsidR="00766AB1" w:rsidRPr="00DF58B9">
        <w:rPr>
          <w:rFonts w:cs="Arial"/>
          <w:lang w:val="fr-FR"/>
        </w:rPr>
        <w:t xml:space="preserve"> </w:t>
      </w:r>
      <w:r w:rsidRPr="00DF58B9">
        <w:rPr>
          <w:rFonts w:cs="Arial"/>
          <w:lang w:val="fr-FR"/>
        </w:rPr>
        <w:t>et</w:t>
      </w:r>
      <w:r w:rsidR="00794B62" w:rsidRPr="00DF58B9">
        <w:rPr>
          <w:rFonts w:cs="Arial"/>
          <w:lang w:val="fr-FR"/>
        </w:rPr>
        <w:t xml:space="preserve"> </w:t>
      </w:r>
      <w:r w:rsidR="00766AB1" w:rsidRPr="00DF58B9">
        <w:rPr>
          <w:rFonts w:cs="Arial"/>
          <w:lang w:val="fr-FR"/>
        </w:rPr>
        <w:t xml:space="preserve">Résolution </w:t>
      </w:r>
      <w:r w:rsidR="00794B62" w:rsidRPr="00DF58B9">
        <w:rPr>
          <w:rFonts w:cs="Arial"/>
          <w:lang w:val="fr-FR"/>
        </w:rPr>
        <w:t>VIII.36</w:t>
      </w:r>
      <w:r w:rsidRPr="00DF58B9">
        <w:rPr>
          <w:rFonts w:cs="Arial"/>
          <w:lang w:val="fr-FR"/>
        </w:rPr>
        <w:t>,</w:t>
      </w:r>
      <w:r w:rsidR="00794B62" w:rsidRPr="00DF58B9">
        <w:rPr>
          <w:rFonts w:cs="Arial"/>
          <w:lang w:val="fr-FR"/>
        </w:rPr>
        <w:t xml:space="preserve"> </w:t>
      </w:r>
      <w:r w:rsidR="00766AB1" w:rsidRPr="00DF58B9">
        <w:rPr>
          <w:rFonts w:cs="Arial"/>
          <w:i/>
          <w:lang w:val="fr-FR"/>
        </w:rPr>
        <w:t>La gestion environnementale participative (GEP) comme outil de gestion et d’utilisation rationnelle des zones humides</w:t>
      </w:r>
      <w:r w:rsidRPr="00DF58B9">
        <w:rPr>
          <w:rFonts w:cs="Arial"/>
          <w:lang w:val="fr-FR"/>
        </w:rPr>
        <w:t xml:space="preserve">) </w:t>
      </w:r>
      <w:r w:rsidR="009D11B1" w:rsidRPr="00DF58B9">
        <w:rPr>
          <w:rFonts w:cs="Arial"/>
          <w:lang w:val="fr-FR"/>
        </w:rPr>
        <w:t>qui visait à fournir un avis</w:t>
      </w:r>
      <w:r w:rsidRPr="00DF58B9">
        <w:rPr>
          <w:rFonts w:cs="Arial"/>
          <w:lang w:val="fr-FR"/>
        </w:rPr>
        <w:t xml:space="preserve"> sur la nécessité de regrouper et de mettre à jour ces orientations. Les travaux </w:t>
      </w:r>
      <w:r w:rsidR="009D11B1" w:rsidRPr="00DF58B9">
        <w:rPr>
          <w:rFonts w:cs="Arial"/>
          <w:lang w:val="fr-FR"/>
        </w:rPr>
        <w:t>concernant</w:t>
      </w:r>
      <w:r w:rsidRPr="00DF58B9">
        <w:rPr>
          <w:rFonts w:cs="Arial"/>
          <w:lang w:val="fr-FR"/>
        </w:rPr>
        <w:t xml:space="preserve"> </w:t>
      </w:r>
      <w:r w:rsidR="009D11B1" w:rsidRPr="00DF58B9">
        <w:rPr>
          <w:rFonts w:cs="Arial"/>
          <w:lang w:val="fr-FR"/>
        </w:rPr>
        <w:t xml:space="preserve">la fourniture d’un avis sur </w:t>
      </w:r>
      <w:r w:rsidRPr="00DF58B9">
        <w:rPr>
          <w:rFonts w:cs="Arial"/>
          <w:lang w:val="fr-FR"/>
        </w:rPr>
        <w:t xml:space="preserve">l’avenir de ces deux résolutions se poursuivront dans la prochaine période triennale. </w:t>
      </w:r>
    </w:p>
    <w:p w:rsidR="00B3167B" w:rsidRPr="00DF58B9" w:rsidRDefault="00B3167B" w:rsidP="00B3167B">
      <w:pPr>
        <w:pStyle w:val="ListParagraph"/>
        <w:spacing w:after="0" w:line="240" w:lineRule="auto"/>
        <w:rPr>
          <w:rFonts w:cs="Arial"/>
          <w:lang w:val="fr-FR"/>
        </w:rPr>
      </w:pPr>
    </w:p>
    <w:p w:rsidR="004779B1" w:rsidRPr="00DF58B9" w:rsidRDefault="00047D16" w:rsidP="00B3167B">
      <w:pPr>
        <w:spacing w:after="0" w:line="240" w:lineRule="auto"/>
        <w:rPr>
          <w:rFonts w:cs="Arial"/>
          <w:b/>
          <w:lang w:val="fr-FR"/>
        </w:rPr>
      </w:pPr>
      <w:r w:rsidRPr="00DF58B9">
        <w:rPr>
          <w:rFonts w:cs="Arial"/>
          <w:b/>
          <w:lang w:val="fr-FR"/>
        </w:rPr>
        <w:t xml:space="preserve">Renforcer l’expertise en CESP dans les orientations scientifiques et techniques de la Convention </w:t>
      </w:r>
    </w:p>
    <w:p w:rsidR="000A0707" w:rsidRPr="00DF58B9" w:rsidRDefault="000A0707" w:rsidP="00B3167B">
      <w:pPr>
        <w:spacing w:after="0" w:line="240" w:lineRule="auto"/>
        <w:rPr>
          <w:rFonts w:cs="Arial"/>
          <w:lang w:val="fr-FR"/>
        </w:rPr>
      </w:pPr>
    </w:p>
    <w:p w:rsidR="00BB53B4" w:rsidRPr="00DF58B9" w:rsidRDefault="00752A07" w:rsidP="00B3167B">
      <w:pPr>
        <w:pStyle w:val="ListParagraph"/>
        <w:numPr>
          <w:ilvl w:val="0"/>
          <w:numId w:val="25"/>
        </w:numPr>
        <w:spacing w:after="0" w:line="240" w:lineRule="auto"/>
        <w:ind w:left="426" w:hanging="426"/>
        <w:rPr>
          <w:rFonts w:cs="Arial"/>
          <w:lang w:val="fr-FR"/>
        </w:rPr>
      </w:pPr>
      <w:r w:rsidRPr="00DF58B9">
        <w:rPr>
          <w:rFonts w:cs="Arial"/>
          <w:lang w:val="fr-FR"/>
        </w:rPr>
        <w:t>La Résolution</w:t>
      </w:r>
      <w:r w:rsidR="00946669" w:rsidRPr="00DF58B9">
        <w:rPr>
          <w:rFonts w:cs="Arial"/>
          <w:lang w:val="fr-FR"/>
        </w:rPr>
        <w:t xml:space="preserve"> XI.16</w:t>
      </w:r>
      <w:r w:rsidR="00367FA9" w:rsidRPr="00DF58B9">
        <w:rPr>
          <w:rFonts w:cs="Arial"/>
          <w:lang w:val="fr-FR"/>
        </w:rPr>
        <w:t xml:space="preserve"> demandait de g</w:t>
      </w:r>
      <w:r w:rsidR="006941CD" w:rsidRPr="00DF58B9">
        <w:rPr>
          <w:rFonts w:cs="Arial"/>
          <w:lang w:val="fr-FR"/>
        </w:rPr>
        <w:t xml:space="preserve">arantir un apport efficace d’avis et d’appuis scientifiques et techniques à la Convention </w:t>
      </w:r>
      <w:r w:rsidR="009A0666" w:rsidRPr="00DF58B9">
        <w:rPr>
          <w:rFonts w:cs="Arial"/>
          <w:lang w:val="fr-FR"/>
        </w:rPr>
        <w:t>et</w:t>
      </w:r>
      <w:r w:rsidR="00367FA9" w:rsidRPr="00DF58B9">
        <w:rPr>
          <w:rFonts w:cs="Arial"/>
          <w:lang w:val="fr-FR"/>
        </w:rPr>
        <w:t>,</w:t>
      </w:r>
      <w:r w:rsidR="009A0666" w:rsidRPr="00DF58B9">
        <w:rPr>
          <w:rFonts w:cs="Arial"/>
          <w:lang w:val="fr-FR"/>
        </w:rPr>
        <w:t xml:space="preserve"> durant la période triennale, une </w:t>
      </w:r>
      <w:r w:rsidR="00367FA9" w:rsidRPr="00DF58B9">
        <w:rPr>
          <w:rFonts w:cs="Arial"/>
          <w:lang w:val="fr-FR"/>
        </w:rPr>
        <w:t>é</w:t>
      </w:r>
      <w:r w:rsidR="009A0666" w:rsidRPr="00DF58B9">
        <w:rPr>
          <w:rFonts w:cs="Arial"/>
          <w:lang w:val="fr-FR"/>
        </w:rPr>
        <w:t xml:space="preserve">tude des orientations scientifiques et techniques Ramsar a été commandée qui s’est soldée par un rapport </w:t>
      </w:r>
      <w:r w:rsidR="00367FA9" w:rsidRPr="00DF58B9">
        <w:rPr>
          <w:rFonts w:cs="Arial"/>
          <w:lang w:val="fr-FR"/>
        </w:rPr>
        <w:t xml:space="preserve">résumé </w:t>
      </w:r>
      <w:r w:rsidR="009A0666" w:rsidRPr="00DF58B9">
        <w:rPr>
          <w:rFonts w:cs="Arial"/>
          <w:lang w:val="fr-FR"/>
        </w:rPr>
        <w:t xml:space="preserve">final et quatre analyses spécifiques : </w:t>
      </w:r>
      <w:r w:rsidR="00946669" w:rsidRPr="00DF58B9">
        <w:rPr>
          <w:rFonts w:cs="Arial"/>
          <w:lang w:val="fr-FR"/>
        </w:rPr>
        <w:t xml:space="preserve"> </w:t>
      </w:r>
    </w:p>
    <w:p w:rsidR="00BB53B4" w:rsidRPr="00DF58B9" w:rsidRDefault="00566A25" w:rsidP="00A76467">
      <w:pPr>
        <w:pStyle w:val="ListParagraph"/>
        <w:numPr>
          <w:ilvl w:val="0"/>
          <w:numId w:val="27"/>
        </w:numPr>
        <w:spacing w:after="0" w:line="240" w:lineRule="auto"/>
        <w:ind w:left="851" w:hanging="425"/>
        <w:rPr>
          <w:rFonts w:cs="Arial"/>
          <w:lang w:val="fr-FR"/>
        </w:rPr>
      </w:pPr>
      <w:r w:rsidRPr="00DF58B9">
        <w:rPr>
          <w:rFonts w:cs="Arial"/>
          <w:lang w:val="fr-FR"/>
        </w:rPr>
        <w:lastRenderedPageBreak/>
        <w:t>e</w:t>
      </w:r>
      <w:r w:rsidR="00AA36D1" w:rsidRPr="00DF58B9">
        <w:rPr>
          <w:rFonts w:cs="Arial"/>
          <w:lang w:val="fr-FR"/>
        </w:rPr>
        <w:t>xamen des orientations et processus Ramsar scientifiques et techniques existants, de leur utilité, utilisation, application et traduction en outils pratiques</w:t>
      </w:r>
      <w:r w:rsidR="002A67EC" w:rsidRPr="00DF58B9">
        <w:rPr>
          <w:rFonts w:cs="Arial"/>
          <w:lang w:val="fr-FR"/>
        </w:rPr>
        <w:t>;</w:t>
      </w:r>
      <w:r w:rsidR="00AA36D1" w:rsidRPr="00DF58B9">
        <w:rPr>
          <w:rFonts w:cs="Arial"/>
          <w:lang w:val="fr-FR"/>
        </w:rPr>
        <w:t xml:space="preserve"> </w:t>
      </w:r>
    </w:p>
    <w:p w:rsidR="00EA1F51" w:rsidRPr="00DF58B9" w:rsidRDefault="00566A25" w:rsidP="00A76467">
      <w:pPr>
        <w:pStyle w:val="ListParagraph"/>
        <w:numPr>
          <w:ilvl w:val="0"/>
          <w:numId w:val="27"/>
        </w:numPr>
        <w:spacing w:after="0" w:line="240" w:lineRule="auto"/>
        <w:ind w:left="851" w:hanging="425"/>
        <w:rPr>
          <w:rFonts w:cs="Arial"/>
          <w:lang w:val="fr-FR"/>
        </w:rPr>
      </w:pPr>
      <w:r w:rsidRPr="00DF58B9">
        <w:rPr>
          <w:rFonts w:cs="Arial"/>
          <w:lang w:val="fr-FR"/>
        </w:rPr>
        <w:t>e</w:t>
      </w:r>
      <w:r w:rsidR="00AA36D1" w:rsidRPr="00DF58B9">
        <w:rPr>
          <w:rFonts w:cs="Arial"/>
          <w:lang w:val="fr-FR"/>
        </w:rPr>
        <w:t>xamen des RÔLES des organes et processus Ramsar en matière d’appui scientifique</w:t>
      </w:r>
      <w:r w:rsidR="002A67EC" w:rsidRPr="00DF58B9">
        <w:rPr>
          <w:rFonts w:cs="Arial"/>
          <w:lang w:val="fr-FR"/>
        </w:rPr>
        <w:t>;</w:t>
      </w:r>
      <w:r w:rsidR="00AA36D1" w:rsidRPr="00DF58B9">
        <w:rPr>
          <w:rFonts w:cs="Arial"/>
          <w:lang w:val="fr-FR"/>
        </w:rPr>
        <w:t xml:space="preserve"> </w:t>
      </w:r>
    </w:p>
    <w:p w:rsidR="00EA1F51" w:rsidRPr="00DF58B9" w:rsidRDefault="00566A25" w:rsidP="00A76467">
      <w:pPr>
        <w:pStyle w:val="ListParagraph"/>
        <w:numPr>
          <w:ilvl w:val="0"/>
          <w:numId w:val="27"/>
        </w:numPr>
        <w:spacing w:after="0" w:line="240" w:lineRule="auto"/>
        <w:ind w:left="851" w:hanging="425"/>
        <w:rPr>
          <w:rFonts w:cs="Arial"/>
          <w:lang w:val="fr-FR"/>
        </w:rPr>
      </w:pPr>
      <w:r w:rsidRPr="00DF58B9">
        <w:rPr>
          <w:rFonts w:cs="Arial"/>
          <w:lang w:val="fr-FR"/>
        </w:rPr>
        <w:t>e</w:t>
      </w:r>
      <w:r w:rsidR="00AA36D1" w:rsidRPr="00DF58B9">
        <w:rPr>
          <w:rFonts w:cs="Arial"/>
          <w:lang w:val="fr-FR"/>
        </w:rPr>
        <w:t>xamen des orientations et outils scientifiques d’autres accords multilatéraux sur l’environnement et enseignements tirés pour Ramsar</w:t>
      </w:r>
      <w:r w:rsidR="002A67EC" w:rsidRPr="00DF58B9">
        <w:rPr>
          <w:rFonts w:cs="Arial"/>
          <w:lang w:val="fr-FR"/>
        </w:rPr>
        <w:t>;</w:t>
      </w:r>
      <w:r w:rsidR="00AA36D1" w:rsidRPr="00DF58B9">
        <w:rPr>
          <w:rFonts w:cs="Arial"/>
          <w:lang w:val="fr-FR"/>
        </w:rPr>
        <w:t xml:space="preserve"> </w:t>
      </w:r>
    </w:p>
    <w:p w:rsidR="00D92F12" w:rsidRPr="00DF58B9" w:rsidRDefault="00566A25" w:rsidP="00A76467">
      <w:pPr>
        <w:pStyle w:val="ListParagraph"/>
        <w:numPr>
          <w:ilvl w:val="0"/>
          <w:numId w:val="27"/>
        </w:numPr>
        <w:spacing w:after="0" w:line="240" w:lineRule="auto"/>
        <w:ind w:left="851" w:hanging="425"/>
        <w:rPr>
          <w:rFonts w:cs="Arial"/>
          <w:lang w:val="fr-FR"/>
        </w:rPr>
      </w:pPr>
      <w:r w:rsidRPr="00DF58B9">
        <w:rPr>
          <w:rFonts w:cs="Arial"/>
          <w:lang w:val="fr-FR"/>
        </w:rPr>
        <w:t>m</w:t>
      </w:r>
      <w:r w:rsidR="00AA36D1" w:rsidRPr="00DF58B9">
        <w:rPr>
          <w:rFonts w:cs="Arial"/>
          <w:lang w:val="fr-FR"/>
        </w:rPr>
        <w:t xml:space="preserve">eilleures pratiques et enseignements tirés sur la fourniture d’orientations scientifiques et techniques : perspectives des organisations internationales et des ONG. </w:t>
      </w:r>
    </w:p>
    <w:p w:rsidR="00746D8F" w:rsidRPr="00DF58B9" w:rsidRDefault="00746D8F" w:rsidP="009E36E7">
      <w:pPr>
        <w:spacing w:after="0" w:line="240" w:lineRule="auto"/>
        <w:rPr>
          <w:rFonts w:cs="Arial"/>
          <w:lang w:val="fr-FR"/>
        </w:rPr>
      </w:pPr>
    </w:p>
    <w:p w:rsidR="00374A8A" w:rsidRPr="00DF58B9" w:rsidRDefault="00AA36D1"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Les conclusions et recommandations </w:t>
      </w:r>
      <w:r w:rsidR="00D72968" w:rsidRPr="00DF58B9">
        <w:rPr>
          <w:rFonts w:cs="Arial"/>
          <w:lang w:val="fr-FR"/>
        </w:rPr>
        <w:t>du consultant ont été intégrées dans le projet de résolution </w:t>
      </w:r>
      <w:r w:rsidR="00A33DB3" w:rsidRPr="00DF58B9">
        <w:rPr>
          <w:rFonts w:cs="Arial"/>
          <w:lang w:val="fr-FR"/>
        </w:rPr>
        <w:t xml:space="preserve">XII.5 </w:t>
      </w:r>
      <w:r w:rsidR="00D72968" w:rsidRPr="00DF58B9">
        <w:rPr>
          <w:rFonts w:cs="Arial"/>
          <w:lang w:val="fr-FR"/>
        </w:rPr>
        <w:t xml:space="preserve">qui </w:t>
      </w:r>
      <w:r w:rsidR="002A67EC" w:rsidRPr="00DF58B9">
        <w:rPr>
          <w:rFonts w:cs="Arial"/>
          <w:lang w:val="fr-FR"/>
        </w:rPr>
        <w:t>décrit</w:t>
      </w:r>
      <w:r w:rsidR="00D72968" w:rsidRPr="00DF58B9">
        <w:rPr>
          <w:rFonts w:cs="Arial"/>
          <w:lang w:val="fr-FR"/>
        </w:rPr>
        <w:t xml:space="preserve"> un nouveau mode de fonctionnement pour le GEST, notamment : </w:t>
      </w:r>
    </w:p>
    <w:p w:rsidR="00374A8A" w:rsidRPr="00DF58B9" w:rsidRDefault="002A67EC"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axer les orientations spécifiquement sur les décideurs politiques et les praticiens des zones humides; et </w:t>
      </w:r>
    </w:p>
    <w:p w:rsidR="00F77792" w:rsidRPr="00DF58B9" w:rsidRDefault="002A67EC" w:rsidP="00A76467">
      <w:pPr>
        <w:pStyle w:val="ListParagraph"/>
        <w:numPr>
          <w:ilvl w:val="0"/>
          <w:numId w:val="27"/>
        </w:numPr>
        <w:spacing w:after="0" w:line="240" w:lineRule="auto"/>
        <w:ind w:left="851" w:hanging="425"/>
        <w:rPr>
          <w:rFonts w:cs="Arial"/>
          <w:lang w:val="fr-FR"/>
        </w:rPr>
      </w:pPr>
      <w:r w:rsidRPr="00DF58B9">
        <w:rPr>
          <w:rFonts w:cs="Arial"/>
          <w:lang w:val="fr-FR"/>
        </w:rPr>
        <w:t>encourager une coopération plus étroite entre la CESP et le GEST (</w:t>
      </w:r>
      <w:r w:rsidR="00367FA9" w:rsidRPr="00DF58B9">
        <w:rPr>
          <w:rFonts w:cs="Arial"/>
          <w:lang w:val="fr-FR"/>
        </w:rPr>
        <w:t>et</w:t>
      </w:r>
      <w:r w:rsidRPr="00DF58B9">
        <w:rPr>
          <w:rFonts w:cs="Arial"/>
          <w:lang w:val="fr-FR"/>
        </w:rPr>
        <w:t xml:space="preserve"> le nouveau Programme de CESP ajoute la Stratégie 9 qui a cet objectif</w:t>
      </w:r>
      <w:r w:rsidR="00367FA9" w:rsidRPr="00DF58B9">
        <w:rPr>
          <w:rFonts w:cs="Arial"/>
          <w:lang w:val="fr-FR"/>
        </w:rPr>
        <w:t xml:space="preserve"> en vue</w:t>
      </w:r>
      <w:r w:rsidRPr="00DF58B9">
        <w:rPr>
          <w:rFonts w:cs="Arial"/>
          <w:lang w:val="fr-FR"/>
        </w:rPr>
        <w:t xml:space="preserve">). </w:t>
      </w:r>
    </w:p>
    <w:p w:rsidR="00F77792" w:rsidRPr="00DF58B9" w:rsidRDefault="00F77792" w:rsidP="00F77792">
      <w:pPr>
        <w:spacing w:after="0" w:line="240" w:lineRule="auto"/>
        <w:rPr>
          <w:rFonts w:cs="Arial"/>
          <w:lang w:val="fr-FR"/>
        </w:rPr>
      </w:pPr>
    </w:p>
    <w:p w:rsidR="00746D8F" w:rsidRPr="00DF58B9" w:rsidRDefault="00550DAE" w:rsidP="00F77792">
      <w:pPr>
        <w:spacing w:after="0" w:line="240" w:lineRule="auto"/>
        <w:rPr>
          <w:rFonts w:cs="Arial"/>
          <w:b/>
          <w:lang w:val="fr-FR"/>
        </w:rPr>
      </w:pPr>
      <w:r w:rsidRPr="00DF58B9">
        <w:rPr>
          <w:rFonts w:cs="Arial"/>
          <w:b/>
          <w:lang w:val="fr-FR"/>
        </w:rPr>
        <w:t>Activités régionales de CESP</w:t>
      </w:r>
    </w:p>
    <w:p w:rsidR="00A33DB3" w:rsidRPr="00DF58B9" w:rsidRDefault="00A33DB3" w:rsidP="009E36E7">
      <w:pPr>
        <w:spacing w:after="0" w:line="240" w:lineRule="auto"/>
        <w:rPr>
          <w:rFonts w:cs="Arial"/>
          <w:lang w:val="fr-FR"/>
        </w:rPr>
      </w:pPr>
    </w:p>
    <w:p w:rsidR="00A76467" w:rsidRPr="00DF58B9" w:rsidRDefault="00550DAE" w:rsidP="00A76467">
      <w:pPr>
        <w:pStyle w:val="ListParagraph"/>
        <w:numPr>
          <w:ilvl w:val="0"/>
          <w:numId w:val="25"/>
        </w:numPr>
        <w:spacing w:after="0" w:line="240" w:lineRule="auto"/>
        <w:ind w:left="426" w:hanging="426"/>
        <w:rPr>
          <w:rFonts w:cs="Arial"/>
          <w:lang w:val="fr-FR"/>
        </w:rPr>
      </w:pPr>
      <w:r w:rsidRPr="00DF58B9">
        <w:rPr>
          <w:rFonts w:cs="Arial"/>
          <w:lang w:val="fr-FR"/>
        </w:rPr>
        <w:t>Les exemples d’activités régionales de CESP et d’initiatives de CESP au niveau d</w:t>
      </w:r>
      <w:r w:rsidR="00471BC1" w:rsidRPr="00DF58B9">
        <w:rPr>
          <w:rFonts w:cs="Arial"/>
          <w:lang w:val="fr-FR"/>
        </w:rPr>
        <w:t>e</w:t>
      </w:r>
      <w:r w:rsidRPr="00DF58B9">
        <w:rPr>
          <w:rFonts w:cs="Arial"/>
          <w:lang w:val="fr-FR"/>
        </w:rPr>
        <w:t xml:space="preserve"> bassin</w:t>
      </w:r>
      <w:r w:rsidR="00471BC1" w:rsidRPr="00DF58B9">
        <w:rPr>
          <w:rFonts w:cs="Arial"/>
          <w:lang w:val="fr-FR"/>
        </w:rPr>
        <w:t>s</w:t>
      </w:r>
      <w:r w:rsidRPr="00DF58B9">
        <w:rPr>
          <w:rFonts w:cs="Arial"/>
          <w:lang w:val="fr-FR"/>
        </w:rPr>
        <w:t xml:space="preserve"> comprennent :</w:t>
      </w:r>
    </w:p>
    <w:p w:rsidR="00A33DB3" w:rsidRPr="00DF58B9" w:rsidRDefault="00B72726" w:rsidP="00471BC1">
      <w:pPr>
        <w:pStyle w:val="ListParagraph"/>
        <w:numPr>
          <w:ilvl w:val="0"/>
          <w:numId w:val="28"/>
        </w:numPr>
        <w:spacing w:after="0" w:line="240" w:lineRule="auto"/>
        <w:rPr>
          <w:rFonts w:cs="Arial"/>
          <w:lang w:val="fr-FR"/>
        </w:rPr>
      </w:pPr>
      <w:hyperlink r:id="rId10" w:tgtFrame="_blank" w:history="1">
        <w:r w:rsidR="00550DAE" w:rsidRPr="00DF58B9">
          <w:rPr>
            <w:sz w:val="21"/>
            <w:szCs w:val="21"/>
            <w:lang w:val="fr-FR"/>
          </w:rPr>
          <w:t xml:space="preserve">L’Atelier Afrique sur l’intégration des valeurs de l’eau et des zones humides dans la prise de décisions </w:t>
        </w:r>
        <w:r w:rsidR="00471BC1" w:rsidRPr="00DF58B9">
          <w:rPr>
            <w:sz w:val="21"/>
            <w:szCs w:val="21"/>
            <w:lang w:val="fr-FR"/>
          </w:rPr>
          <w:t xml:space="preserve">en </w:t>
        </w:r>
        <w:r w:rsidR="00550DAE" w:rsidRPr="00DF58B9">
          <w:rPr>
            <w:sz w:val="21"/>
            <w:szCs w:val="21"/>
            <w:lang w:val="fr-FR"/>
          </w:rPr>
          <w:t xml:space="preserve">Afrique (novembre 2013), Kampala, Ouganda, </w:t>
        </w:r>
        <w:r w:rsidR="00471BC1" w:rsidRPr="00DF58B9">
          <w:rPr>
            <w:sz w:val="21"/>
            <w:szCs w:val="21"/>
            <w:lang w:val="fr-FR"/>
          </w:rPr>
          <w:t>fondé sur</w:t>
        </w:r>
        <w:r w:rsidR="00550DAE" w:rsidRPr="00DF58B9">
          <w:rPr>
            <w:sz w:val="21"/>
            <w:szCs w:val="21"/>
            <w:lang w:val="fr-FR"/>
          </w:rPr>
          <w:t xml:space="preserve"> le Rapport TEEB pour l’eau et les zones humides et organisé par l’Institut pour l’eau et l’éducation UNESCO</w:t>
        </w:r>
        <w:r w:rsidR="00550DAE" w:rsidRPr="00DF58B9">
          <w:rPr>
            <w:sz w:val="21"/>
            <w:szCs w:val="21"/>
            <w:lang w:val="fr-FR"/>
          </w:rPr>
          <w:noBreakHyphen/>
          <w:t>IHE, le Centre Ramsar pour l’Afrique de l’Est (RAMCEA), le Bureau PNUE</w:t>
        </w:r>
        <w:r w:rsidR="00550DAE" w:rsidRPr="00DF58B9">
          <w:rPr>
            <w:sz w:val="21"/>
            <w:szCs w:val="21"/>
            <w:lang w:val="fr-FR"/>
          </w:rPr>
          <w:noBreakHyphen/>
          <w:t>TEEB.</w:t>
        </w:r>
        <w:r w:rsidR="00550DAE" w:rsidRPr="00DF58B9">
          <w:rPr>
            <w:rFonts w:cs="Arial"/>
            <w:lang w:val="fr-FR"/>
          </w:rPr>
          <w:t xml:space="preserve"> </w:t>
        </w:r>
      </w:hyperlink>
    </w:p>
    <w:p w:rsidR="00F77792" w:rsidRPr="00DF58B9" w:rsidRDefault="00550DAE" w:rsidP="00471BC1">
      <w:pPr>
        <w:pStyle w:val="ListParagraph"/>
        <w:numPr>
          <w:ilvl w:val="0"/>
          <w:numId w:val="28"/>
        </w:numPr>
        <w:spacing w:after="0" w:line="240" w:lineRule="auto"/>
        <w:rPr>
          <w:rFonts w:cs="Arial"/>
          <w:lang w:val="fr-FR"/>
        </w:rPr>
      </w:pPr>
      <w:r w:rsidRPr="00DF58B9">
        <w:rPr>
          <w:rFonts w:cs="Arial"/>
          <w:lang w:val="fr-FR"/>
        </w:rPr>
        <w:t>Le Forum international « Les zones humides : utilisation rationnelle, plans judicieux » a eu lieu à Kigali, Rwanda; il était organisé en partenariat avec le Gouvernement du Rwanda et l’UNESCO</w:t>
      </w:r>
      <w:r w:rsidRPr="00DF58B9">
        <w:rPr>
          <w:rFonts w:cs="Arial"/>
          <w:lang w:val="fr-FR"/>
        </w:rPr>
        <w:noBreakHyphen/>
        <w:t xml:space="preserve">IHE. </w:t>
      </w:r>
    </w:p>
    <w:p w:rsidR="00A33DB3" w:rsidRPr="00DF58B9" w:rsidRDefault="00550DAE" w:rsidP="00471BC1">
      <w:pPr>
        <w:pStyle w:val="ListParagraph"/>
        <w:numPr>
          <w:ilvl w:val="0"/>
          <w:numId w:val="28"/>
        </w:numPr>
        <w:spacing w:after="0" w:line="240" w:lineRule="auto"/>
        <w:rPr>
          <w:rFonts w:cs="Arial"/>
          <w:lang w:val="fr-FR"/>
        </w:rPr>
      </w:pPr>
      <w:r w:rsidRPr="00DF58B9">
        <w:rPr>
          <w:rFonts w:cs="Arial"/>
          <w:lang w:val="fr-FR"/>
        </w:rPr>
        <w:t xml:space="preserve">L’Atelier Asie sur l’intégration des valeurs de l’eau et des zones humides dans la prise de décisions (31 août 2013), Bali, Indonésie, </w:t>
      </w:r>
      <w:r w:rsidR="00471BC1" w:rsidRPr="00DF58B9">
        <w:rPr>
          <w:rFonts w:cs="Arial"/>
          <w:lang w:val="fr-FR"/>
        </w:rPr>
        <w:t xml:space="preserve">fondé sur le </w:t>
      </w:r>
      <w:r w:rsidRPr="00DF58B9">
        <w:rPr>
          <w:rFonts w:cs="Arial"/>
          <w:lang w:val="fr-FR"/>
        </w:rPr>
        <w:t>Rapport TEEB pour l’eau et les zones humides, et organisé par le Bureau PNUE</w:t>
      </w:r>
      <w:r w:rsidRPr="00DF58B9">
        <w:rPr>
          <w:rFonts w:cs="Arial"/>
          <w:lang w:val="fr-FR"/>
        </w:rPr>
        <w:noBreakHyphen/>
        <w:t>TEEB.</w:t>
      </w:r>
    </w:p>
    <w:p w:rsidR="00746D8F" w:rsidRPr="00DF58B9" w:rsidRDefault="00471BC1" w:rsidP="00471BC1">
      <w:pPr>
        <w:pStyle w:val="ListParagraph"/>
        <w:numPr>
          <w:ilvl w:val="0"/>
          <w:numId w:val="28"/>
        </w:numPr>
        <w:spacing w:after="0" w:line="240" w:lineRule="auto"/>
        <w:rPr>
          <w:rFonts w:cs="Arial"/>
          <w:lang w:val="fr-FR"/>
        </w:rPr>
      </w:pPr>
      <w:r w:rsidRPr="00DF58B9">
        <w:rPr>
          <w:rFonts w:cs="Arial"/>
          <w:lang w:val="fr-FR"/>
        </w:rPr>
        <w:t>La f</w:t>
      </w:r>
      <w:r w:rsidR="00550DAE" w:rsidRPr="00DF58B9">
        <w:rPr>
          <w:rFonts w:cs="Arial"/>
          <w:lang w:val="fr-FR"/>
        </w:rPr>
        <w:t>ourniture par le Japon d’une formation internationale dans les Sites Ramsar de Biwa</w:t>
      </w:r>
      <w:r w:rsidR="00550DAE" w:rsidRPr="00DF58B9">
        <w:rPr>
          <w:rFonts w:cs="Arial"/>
          <w:lang w:val="fr-FR"/>
        </w:rPr>
        <w:noBreakHyphen/>
      </w:r>
      <w:r w:rsidR="00746D8F" w:rsidRPr="00DF58B9">
        <w:rPr>
          <w:rFonts w:cs="Arial"/>
          <w:lang w:val="fr-FR"/>
        </w:rPr>
        <w:t xml:space="preserve">ko (2012) </w:t>
      </w:r>
      <w:r w:rsidR="00550DAE" w:rsidRPr="00DF58B9">
        <w:rPr>
          <w:rFonts w:cs="Arial"/>
          <w:lang w:val="fr-FR"/>
        </w:rPr>
        <w:t xml:space="preserve">et de </w:t>
      </w:r>
      <w:r w:rsidR="00746D8F" w:rsidRPr="00DF58B9">
        <w:rPr>
          <w:rFonts w:cs="Arial"/>
          <w:lang w:val="fr-FR"/>
        </w:rPr>
        <w:t>Kushiro (2012, 2013)</w:t>
      </w:r>
      <w:r w:rsidR="001E51D9" w:rsidRPr="00DF58B9">
        <w:rPr>
          <w:rFonts w:cs="Arial"/>
          <w:lang w:val="fr-FR"/>
        </w:rPr>
        <w:t>.</w:t>
      </w:r>
    </w:p>
    <w:p w:rsidR="000D1AB7" w:rsidRPr="00DF58B9" w:rsidRDefault="00550DAE" w:rsidP="00471BC1">
      <w:pPr>
        <w:pStyle w:val="ListParagraph"/>
        <w:numPr>
          <w:ilvl w:val="0"/>
          <w:numId w:val="28"/>
        </w:numPr>
        <w:spacing w:after="0" w:line="240" w:lineRule="auto"/>
        <w:rPr>
          <w:rFonts w:cs="Arial"/>
          <w:lang w:val="fr-FR"/>
        </w:rPr>
      </w:pPr>
      <w:r w:rsidRPr="00DF58B9">
        <w:rPr>
          <w:rFonts w:cs="Arial"/>
          <w:lang w:val="fr-FR"/>
        </w:rPr>
        <w:t xml:space="preserve">Le deuxième atelier de planification de CESP </w:t>
      </w:r>
      <w:r w:rsidR="00471BC1" w:rsidRPr="00DF58B9">
        <w:rPr>
          <w:rFonts w:cs="Arial"/>
          <w:lang w:val="fr-FR"/>
        </w:rPr>
        <w:t xml:space="preserve">qui </w:t>
      </w:r>
      <w:r w:rsidRPr="00DF58B9">
        <w:rPr>
          <w:rFonts w:cs="Arial"/>
          <w:lang w:val="fr-FR"/>
        </w:rPr>
        <w:t xml:space="preserve">a eu lieu en Finlande, du 4 au 6 septembre 2012 pour les Correspondants de la CESP de l’Initiative régionale Ramsar </w:t>
      </w:r>
      <w:r w:rsidR="000D1AB7" w:rsidRPr="00DF58B9">
        <w:rPr>
          <w:rFonts w:cs="Arial"/>
          <w:lang w:val="fr-FR"/>
        </w:rPr>
        <w:t>NorBalWet</w:t>
      </w:r>
      <w:r w:rsidRPr="00DF58B9">
        <w:rPr>
          <w:rFonts w:cs="Arial"/>
          <w:lang w:val="fr-FR"/>
        </w:rPr>
        <w:t xml:space="preserve">; il était financé essentiellement par le Conseil nordique des ministres. </w:t>
      </w:r>
      <w:r w:rsidR="000D1AB7" w:rsidRPr="00DF58B9">
        <w:rPr>
          <w:rFonts w:cs="Arial"/>
          <w:lang w:val="fr-FR"/>
        </w:rPr>
        <w:t xml:space="preserve"> </w:t>
      </w:r>
    </w:p>
    <w:p w:rsidR="00746D8F" w:rsidRPr="00DF58B9" w:rsidRDefault="00550DAE" w:rsidP="00471BC1">
      <w:pPr>
        <w:pStyle w:val="ListParagraph"/>
        <w:numPr>
          <w:ilvl w:val="0"/>
          <w:numId w:val="28"/>
        </w:numPr>
        <w:spacing w:after="0" w:line="240" w:lineRule="auto"/>
        <w:rPr>
          <w:rFonts w:cs="Arial"/>
          <w:lang w:val="fr-FR"/>
        </w:rPr>
      </w:pPr>
      <w:r w:rsidRPr="00DF58B9">
        <w:rPr>
          <w:rFonts w:cs="Arial"/>
          <w:lang w:val="fr-FR"/>
        </w:rPr>
        <w:t xml:space="preserve">Le Liban a le projet d’élaborer un programme de formation aux zones humides en langue arabe pour </w:t>
      </w:r>
      <w:r w:rsidR="00746D8F" w:rsidRPr="00DF58B9">
        <w:rPr>
          <w:rFonts w:cs="Arial"/>
          <w:lang w:val="fr-FR"/>
        </w:rPr>
        <w:t>MedWetCoast.</w:t>
      </w:r>
    </w:p>
    <w:p w:rsidR="00A76467" w:rsidRPr="00DF58B9" w:rsidRDefault="00A76467" w:rsidP="009E36E7">
      <w:pPr>
        <w:spacing w:after="0" w:line="240" w:lineRule="auto"/>
        <w:rPr>
          <w:rFonts w:cs="Arial"/>
          <w:lang w:val="fr-FR"/>
        </w:rPr>
      </w:pPr>
    </w:p>
    <w:p w:rsidR="00402DB9" w:rsidRPr="00DF58B9" w:rsidRDefault="00550DAE"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Les activités sur le partage des connaissances et de l’expertise relatives aux zones humides comprennent :  </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Cinq accords de jumelage entre des Sites Ramsar du Japon et d</w:t>
      </w:r>
      <w:r w:rsidR="00133718" w:rsidRPr="00DF58B9">
        <w:rPr>
          <w:rFonts w:cs="Arial"/>
          <w:lang w:val="fr-FR"/>
        </w:rPr>
        <w:t>e l</w:t>
      </w:r>
      <w:r w:rsidRPr="00DF58B9">
        <w:rPr>
          <w:rFonts w:cs="Arial"/>
          <w:lang w:val="fr-FR"/>
        </w:rPr>
        <w:t xml:space="preserve">’Australie. </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Un réseau entre l’Iran et le Pakistan.</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Un projet pour « L’utilisation rationnelle et la protection des tourbières » en Indonésie, </w:t>
      </w:r>
      <w:r w:rsidR="00471BC1" w:rsidRPr="00DF58B9">
        <w:rPr>
          <w:rFonts w:cs="Arial"/>
          <w:lang w:val="fr-FR"/>
        </w:rPr>
        <w:t xml:space="preserve">en </w:t>
      </w:r>
      <w:r w:rsidRPr="00DF58B9">
        <w:rPr>
          <w:rFonts w:cs="Arial"/>
          <w:lang w:val="fr-FR"/>
        </w:rPr>
        <w:t xml:space="preserve">Malaisie, </w:t>
      </w:r>
      <w:r w:rsidR="00471BC1" w:rsidRPr="00DF58B9">
        <w:rPr>
          <w:rFonts w:cs="Arial"/>
          <w:lang w:val="fr-FR"/>
        </w:rPr>
        <w:t xml:space="preserve">au </w:t>
      </w:r>
      <w:r w:rsidRPr="00DF58B9">
        <w:rPr>
          <w:rFonts w:cs="Arial"/>
          <w:lang w:val="fr-FR"/>
        </w:rPr>
        <w:t xml:space="preserve">Viet Nam et aux Philippines. </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L’Initiative du Triangle du corail qui comprend </w:t>
      </w:r>
      <w:r w:rsidR="00471BC1" w:rsidRPr="00DF58B9">
        <w:rPr>
          <w:rFonts w:cs="Arial"/>
          <w:lang w:val="fr-FR"/>
        </w:rPr>
        <w:t xml:space="preserve">les Îles Salomon, </w:t>
      </w:r>
      <w:r w:rsidRPr="00DF58B9">
        <w:rPr>
          <w:rFonts w:cs="Arial"/>
          <w:lang w:val="fr-FR"/>
        </w:rPr>
        <w:t>l’Indonésie, la Malaisie, la Papouasie</w:t>
      </w:r>
      <w:r w:rsidRPr="00DF58B9">
        <w:rPr>
          <w:rFonts w:cs="Arial"/>
          <w:lang w:val="fr-FR"/>
        </w:rPr>
        <w:noBreakHyphen/>
        <w:t xml:space="preserve">Nouvelle-Guinée, les Philippines et </w:t>
      </w:r>
      <w:r w:rsidR="00482442" w:rsidRPr="00DF58B9">
        <w:rPr>
          <w:rFonts w:cs="Arial"/>
          <w:lang w:val="fr-FR"/>
        </w:rPr>
        <w:t xml:space="preserve">le </w:t>
      </w:r>
      <w:r w:rsidR="00402DB9" w:rsidRPr="00DF58B9">
        <w:rPr>
          <w:rFonts w:cs="Arial"/>
          <w:lang w:val="fr-FR"/>
        </w:rPr>
        <w:t>Timor-Leste</w:t>
      </w:r>
      <w:r w:rsidRPr="00DF58B9">
        <w:rPr>
          <w:rFonts w:cs="Arial"/>
          <w:lang w:val="fr-FR"/>
        </w:rPr>
        <w:t>.</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Le Réseau des universités pour la recherche et la formation aux zones humides de la région du Mékong en Thaïlande. </w:t>
      </w:r>
    </w:p>
    <w:p w:rsidR="00402DB9" w:rsidRPr="00DF58B9" w:rsidRDefault="0008654B"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Le Réseau international pour l’eau et les écosystèmes des rizières en Thaïlande. </w:t>
      </w:r>
    </w:p>
    <w:p w:rsidR="001E51D9" w:rsidRPr="00DF58B9" w:rsidRDefault="0008654B" w:rsidP="001E51D9">
      <w:pPr>
        <w:pStyle w:val="ListParagraph"/>
        <w:numPr>
          <w:ilvl w:val="0"/>
          <w:numId w:val="27"/>
        </w:numPr>
        <w:spacing w:after="0" w:line="240" w:lineRule="auto"/>
        <w:ind w:left="851" w:hanging="425"/>
        <w:rPr>
          <w:rFonts w:cs="Arial"/>
          <w:lang w:val="fr-FR"/>
        </w:rPr>
      </w:pPr>
      <w:r w:rsidRPr="00DF58B9">
        <w:rPr>
          <w:rFonts w:cs="Arial"/>
          <w:lang w:val="fr-FR"/>
        </w:rPr>
        <w:t>Sou</w:t>
      </w:r>
      <w:r w:rsidR="005059D7" w:rsidRPr="00DF58B9">
        <w:rPr>
          <w:rFonts w:cs="Arial"/>
          <w:lang w:val="fr-FR"/>
        </w:rPr>
        <w:t>s</w:t>
      </w:r>
      <w:r w:rsidRPr="00DF58B9">
        <w:rPr>
          <w:rFonts w:cs="Arial"/>
          <w:lang w:val="fr-FR"/>
        </w:rPr>
        <w:t xml:space="preserve"> l’égide de l’accord bilatéral entre la Colombie et l’Équateur, des activités se concentrent sur les bassins versants de Mira et </w:t>
      </w:r>
      <w:r w:rsidR="001E51D9" w:rsidRPr="00DF58B9">
        <w:rPr>
          <w:rFonts w:cs="Arial"/>
          <w:lang w:val="fr-FR"/>
        </w:rPr>
        <w:t>Santiago Cayapas Mataje.</w:t>
      </w:r>
    </w:p>
    <w:p w:rsidR="001E51D9" w:rsidRPr="00DF58B9" w:rsidRDefault="0008654B" w:rsidP="00F77792">
      <w:pPr>
        <w:pStyle w:val="ListParagraph"/>
        <w:numPr>
          <w:ilvl w:val="0"/>
          <w:numId w:val="27"/>
        </w:numPr>
        <w:spacing w:after="0" w:line="240" w:lineRule="auto"/>
        <w:ind w:left="851" w:hanging="425"/>
        <w:rPr>
          <w:rFonts w:cs="Arial"/>
          <w:lang w:val="fr-FR"/>
        </w:rPr>
      </w:pPr>
      <w:r w:rsidRPr="00DF58B9">
        <w:rPr>
          <w:rFonts w:cs="Arial"/>
          <w:lang w:val="fr-FR"/>
        </w:rPr>
        <w:lastRenderedPageBreak/>
        <w:t xml:space="preserve">Le </w:t>
      </w:r>
      <w:r w:rsidR="001E51D9" w:rsidRPr="00DF58B9">
        <w:rPr>
          <w:rFonts w:cs="Arial"/>
          <w:lang w:val="fr-FR"/>
        </w:rPr>
        <w:t>Chil</w:t>
      </w:r>
      <w:r w:rsidRPr="00DF58B9">
        <w:rPr>
          <w:rFonts w:cs="Arial"/>
          <w:lang w:val="fr-FR"/>
        </w:rPr>
        <w:t xml:space="preserve">i et le Mexique ont un accord bilatéral pour l’échange d’expérience et d’informations sur les Sites Ramsar. </w:t>
      </w:r>
    </w:p>
    <w:p w:rsidR="00946669" w:rsidRPr="00DF58B9" w:rsidRDefault="00946669" w:rsidP="009E36E7">
      <w:pPr>
        <w:spacing w:after="0" w:line="240" w:lineRule="auto"/>
        <w:rPr>
          <w:rFonts w:cs="Arial"/>
          <w:lang w:val="fr-FR"/>
        </w:rPr>
      </w:pPr>
    </w:p>
    <w:p w:rsidR="00A76467" w:rsidRPr="00DF58B9" w:rsidRDefault="00A76467" w:rsidP="009E36E7">
      <w:pPr>
        <w:spacing w:after="0" w:line="240" w:lineRule="auto"/>
        <w:rPr>
          <w:rFonts w:cs="Arial"/>
          <w:lang w:val="fr-FR"/>
        </w:rPr>
      </w:pPr>
    </w:p>
    <w:p w:rsidR="00A76467" w:rsidRPr="00DF58B9" w:rsidRDefault="0008654B" w:rsidP="009E36E7">
      <w:pPr>
        <w:spacing w:after="0" w:line="240" w:lineRule="auto"/>
        <w:rPr>
          <w:rFonts w:cs="Arial"/>
          <w:b/>
          <w:sz w:val="24"/>
          <w:szCs w:val="24"/>
          <w:lang w:val="fr-FR"/>
        </w:rPr>
      </w:pPr>
      <w:r w:rsidRPr="00DF58B9">
        <w:rPr>
          <w:rFonts w:cs="Arial"/>
          <w:b/>
          <w:sz w:val="24"/>
          <w:szCs w:val="24"/>
          <w:lang w:val="fr-FR"/>
        </w:rPr>
        <w:t xml:space="preserve">La mise en œuvre décrite dans les </w:t>
      </w:r>
      <w:r w:rsidR="00B62832" w:rsidRPr="00DF58B9">
        <w:rPr>
          <w:rFonts w:cs="Arial"/>
          <w:b/>
          <w:sz w:val="24"/>
          <w:szCs w:val="24"/>
          <w:lang w:val="fr-FR"/>
        </w:rPr>
        <w:t>rapports</w:t>
      </w:r>
      <w:r w:rsidRPr="00DF58B9">
        <w:rPr>
          <w:rFonts w:cs="Arial"/>
          <w:b/>
          <w:sz w:val="24"/>
          <w:szCs w:val="24"/>
          <w:lang w:val="fr-FR"/>
        </w:rPr>
        <w:t xml:space="preserve"> nationaux </w:t>
      </w:r>
    </w:p>
    <w:p w:rsidR="00A76467" w:rsidRPr="00DF58B9" w:rsidRDefault="00A76467" w:rsidP="009E36E7">
      <w:pPr>
        <w:spacing w:after="0" w:line="240" w:lineRule="auto"/>
        <w:rPr>
          <w:rFonts w:cs="Arial"/>
          <w:b/>
          <w:lang w:val="fr-FR"/>
        </w:rPr>
      </w:pPr>
    </w:p>
    <w:p w:rsidR="000A0707" w:rsidRPr="00DF58B9" w:rsidRDefault="0008654B" w:rsidP="009E36E7">
      <w:pPr>
        <w:spacing w:after="0" w:line="240" w:lineRule="auto"/>
        <w:rPr>
          <w:rFonts w:cs="Arial"/>
          <w:b/>
          <w:lang w:val="fr-FR"/>
        </w:rPr>
      </w:pPr>
      <w:r w:rsidRPr="00DF58B9">
        <w:rPr>
          <w:rFonts w:cs="Arial"/>
          <w:b/>
          <w:lang w:val="fr-FR"/>
        </w:rPr>
        <w:t xml:space="preserve">Mécanismes </w:t>
      </w:r>
      <w:r w:rsidR="00471BC1" w:rsidRPr="00DF58B9">
        <w:rPr>
          <w:rFonts w:cs="Arial"/>
          <w:b/>
          <w:lang w:val="fr-FR"/>
        </w:rPr>
        <w:t>de renforcement des</w:t>
      </w:r>
      <w:r w:rsidRPr="00DF58B9">
        <w:rPr>
          <w:rFonts w:cs="Arial"/>
          <w:b/>
          <w:lang w:val="fr-FR"/>
        </w:rPr>
        <w:t xml:space="preserve"> capacités pour les activités de CESP </w:t>
      </w:r>
    </w:p>
    <w:p w:rsidR="0002010E" w:rsidRPr="00DF58B9" w:rsidRDefault="0002010E" w:rsidP="009E36E7">
      <w:pPr>
        <w:spacing w:after="0" w:line="240" w:lineRule="auto"/>
        <w:rPr>
          <w:rFonts w:cs="Arial"/>
          <w:b/>
          <w:lang w:val="fr-FR"/>
        </w:rPr>
      </w:pPr>
    </w:p>
    <w:p w:rsidR="00116967" w:rsidRPr="00DF58B9" w:rsidRDefault="00106742" w:rsidP="00A76467">
      <w:pPr>
        <w:pStyle w:val="ListParagraph"/>
        <w:numPr>
          <w:ilvl w:val="0"/>
          <w:numId w:val="25"/>
        </w:numPr>
        <w:spacing w:after="0" w:line="240" w:lineRule="auto"/>
        <w:ind w:left="426" w:hanging="426"/>
        <w:rPr>
          <w:rFonts w:cs="Arial"/>
          <w:lang w:val="fr-FR"/>
        </w:rPr>
      </w:pPr>
      <w:r w:rsidRPr="00DF58B9">
        <w:rPr>
          <w:rFonts w:cs="Arial"/>
          <w:lang w:val="fr-FR"/>
        </w:rPr>
        <w:t>L</w:t>
      </w:r>
      <w:r w:rsidR="0008654B" w:rsidRPr="00DF58B9">
        <w:rPr>
          <w:rFonts w:cs="Arial"/>
          <w:lang w:val="fr-FR"/>
        </w:rPr>
        <w:t>es contacts clés des Parties</w:t>
      </w:r>
      <w:r w:rsidRPr="00DF58B9">
        <w:rPr>
          <w:rFonts w:cs="Arial"/>
          <w:lang w:val="fr-FR"/>
        </w:rPr>
        <w:t>, au niveau national, pour la Convention, sont les</w:t>
      </w:r>
      <w:r w:rsidR="00BA5309" w:rsidRPr="00DF58B9">
        <w:rPr>
          <w:rFonts w:cs="Arial"/>
          <w:lang w:val="fr-FR"/>
        </w:rPr>
        <w:t xml:space="preserve"> Correspondants nationaux (CN) de l’Autorité administrative, </w:t>
      </w:r>
      <w:r w:rsidRPr="00DF58B9">
        <w:rPr>
          <w:rFonts w:cs="Arial"/>
          <w:lang w:val="fr-FR"/>
        </w:rPr>
        <w:t xml:space="preserve">les </w:t>
      </w:r>
      <w:r w:rsidR="00BA5309" w:rsidRPr="00DF58B9">
        <w:rPr>
          <w:rFonts w:cs="Arial"/>
          <w:lang w:val="fr-FR"/>
        </w:rPr>
        <w:t xml:space="preserve">CN CESP (gouvernementaux et ONG) et </w:t>
      </w:r>
      <w:r w:rsidRPr="00DF58B9">
        <w:rPr>
          <w:rFonts w:cs="Arial"/>
          <w:lang w:val="fr-FR"/>
        </w:rPr>
        <w:t xml:space="preserve">les </w:t>
      </w:r>
      <w:r w:rsidR="00BA5309" w:rsidRPr="00DF58B9">
        <w:rPr>
          <w:rFonts w:cs="Arial"/>
          <w:lang w:val="fr-FR"/>
        </w:rPr>
        <w:t>CN GEST. Leurs rôles ont été décrits, documentés et partagés avec les Parties et ce sont des contacts vitaux pour les interactions entre le Secrétariat et chaque Partie ainsi qu’au sein des Parties et entre les Parties.</w:t>
      </w:r>
    </w:p>
    <w:p w:rsidR="00116967" w:rsidRPr="00DF58B9" w:rsidRDefault="00116967" w:rsidP="00A76467">
      <w:pPr>
        <w:pStyle w:val="ListParagraph"/>
        <w:spacing w:after="0" w:line="240" w:lineRule="auto"/>
        <w:ind w:left="426"/>
        <w:rPr>
          <w:rFonts w:cs="Arial"/>
          <w:lang w:val="fr-FR"/>
        </w:rPr>
      </w:pPr>
    </w:p>
    <w:p w:rsidR="004779B1" w:rsidRPr="00DF58B9" w:rsidRDefault="00BA5309" w:rsidP="00A76467">
      <w:pPr>
        <w:pStyle w:val="ListParagraph"/>
        <w:numPr>
          <w:ilvl w:val="0"/>
          <w:numId w:val="25"/>
        </w:numPr>
        <w:spacing w:after="0" w:line="240" w:lineRule="auto"/>
        <w:ind w:left="426" w:hanging="426"/>
        <w:rPr>
          <w:rFonts w:cs="Arial"/>
          <w:lang w:val="fr-FR"/>
        </w:rPr>
      </w:pPr>
      <w:r w:rsidRPr="00DF58B9">
        <w:rPr>
          <w:rFonts w:cs="Arial"/>
          <w:lang w:val="fr-FR"/>
        </w:rPr>
        <w:t>La figure </w:t>
      </w:r>
      <w:r w:rsidR="00F77792" w:rsidRPr="00DF58B9">
        <w:rPr>
          <w:rFonts w:cs="Arial"/>
          <w:lang w:val="fr-FR"/>
        </w:rPr>
        <w:t>1</w:t>
      </w:r>
      <w:r w:rsidR="004779B1" w:rsidRPr="00DF58B9">
        <w:rPr>
          <w:rFonts w:cs="Arial"/>
          <w:lang w:val="fr-FR"/>
        </w:rPr>
        <w:t xml:space="preserve"> </w:t>
      </w:r>
      <w:r w:rsidRPr="00DF58B9">
        <w:rPr>
          <w:rFonts w:cs="Arial"/>
          <w:lang w:val="fr-FR"/>
        </w:rPr>
        <w:t>ci</w:t>
      </w:r>
      <w:r w:rsidRPr="00DF58B9">
        <w:rPr>
          <w:rFonts w:cs="Arial"/>
          <w:lang w:val="fr-FR"/>
        </w:rPr>
        <w:noBreakHyphen/>
        <w:t xml:space="preserve">dessous montre le pourcentage de Correspondants nationaux en place au plan mondial. Les résultats restent semblables à ceux de la COP11 avec une légère amélioration pour les correspondants gouvernementaux de la CESP </w:t>
      </w:r>
      <w:r w:rsidR="00106742" w:rsidRPr="00DF58B9">
        <w:rPr>
          <w:rFonts w:cs="Arial"/>
          <w:lang w:val="fr-FR"/>
        </w:rPr>
        <w:t>dont le pourcentage est passé</w:t>
      </w:r>
      <w:r w:rsidRPr="00DF58B9">
        <w:rPr>
          <w:rFonts w:cs="Arial"/>
          <w:lang w:val="fr-FR"/>
        </w:rPr>
        <w:t xml:space="preserve"> de </w:t>
      </w:r>
      <w:r w:rsidR="00483AC4" w:rsidRPr="00DF58B9">
        <w:rPr>
          <w:rFonts w:cs="Arial"/>
          <w:lang w:val="fr-FR"/>
        </w:rPr>
        <w:t xml:space="preserve">74% </w:t>
      </w:r>
      <w:r w:rsidRPr="00DF58B9">
        <w:rPr>
          <w:rFonts w:cs="Arial"/>
          <w:lang w:val="fr-FR"/>
        </w:rPr>
        <w:t>à </w:t>
      </w:r>
      <w:r w:rsidR="00483AC4" w:rsidRPr="00DF58B9">
        <w:rPr>
          <w:rFonts w:cs="Arial"/>
          <w:lang w:val="fr-FR"/>
        </w:rPr>
        <w:t>80%.</w:t>
      </w:r>
      <w:r w:rsidR="004779B1" w:rsidRPr="00DF58B9">
        <w:rPr>
          <w:rFonts w:cs="Arial"/>
          <w:lang w:val="fr-FR"/>
        </w:rPr>
        <w:t xml:space="preserve"> </w:t>
      </w:r>
      <w:r w:rsidRPr="00DF58B9">
        <w:rPr>
          <w:rFonts w:cs="Arial"/>
          <w:lang w:val="fr-FR"/>
        </w:rPr>
        <w:t>Toutefois, globalement, les désignations</w:t>
      </w:r>
      <w:r w:rsidR="00106742" w:rsidRPr="00DF58B9">
        <w:rPr>
          <w:rFonts w:cs="Arial"/>
          <w:lang w:val="fr-FR"/>
        </w:rPr>
        <w:t xml:space="preserve"> de Correspondants</w:t>
      </w:r>
      <w:r w:rsidRPr="00DF58B9">
        <w:rPr>
          <w:rFonts w:cs="Arial"/>
          <w:lang w:val="fr-FR"/>
        </w:rPr>
        <w:t xml:space="preserve"> pour la CESP restent loin derrière celles des Correspondants nationaux et des Correspondants du GEST, reflétant peut</w:t>
      </w:r>
      <w:r w:rsidRPr="00DF58B9">
        <w:rPr>
          <w:rFonts w:cs="Arial"/>
          <w:lang w:val="fr-FR"/>
        </w:rPr>
        <w:noBreakHyphen/>
        <w:t xml:space="preserve">être à la fois le fait que la Convention est axée sur les questions scientifiques et techniques et l’expertise en la matière des Autorités administratives (AA). </w:t>
      </w:r>
    </w:p>
    <w:p w:rsidR="00A76467" w:rsidRPr="00DF58B9" w:rsidRDefault="00A76467" w:rsidP="00A76467">
      <w:pPr>
        <w:spacing w:after="0" w:line="240" w:lineRule="auto"/>
        <w:rPr>
          <w:rFonts w:cs="Arial"/>
          <w:lang w:val="fr-FR"/>
        </w:rPr>
      </w:pPr>
    </w:p>
    <w:p w:rsidR="00997ED8" w:rsidRPr="00DF58B9" w:rsidRDefault="00B72726" w:rsidP="009E36E7">
      <w:pPr>
        <w:spacing w:after="0" w:line="240" w:lineRule="auto"/>
        <w:rPr>
          <w:rFonts w:cs="Arial"/>
          <w:highlight w:val="yellow"/>
          <w:lang w:val="fr-FR"/>
        </w:rPr>
      </w:pPr>
      <w:r w:rsidRPr="00B72726">
        <w:rPr>
          <w:noProof/>
          <w:lang w:val="fr-FR" w:eastAsia="en-US"/>
        </w:rPr>
        <w:pict>
          <v:shapetype id="_x0000_t202" coordsize="21600,21600" o:spt="202" path="m,l,21600r21600,l21600,xe">
            <v:stroke joinstyle="miter"/>
            <v:path gradientshapeok="t" o:connecttype="rect"/>
          </v:shapetype>
          <v:shape id="Zone de texte 2" o:spid="_x0000_s1026" type="#_x0000_t202" style="position:absolute;margin-left:50.6pt;margin-top:185.8pt;width:285.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" fillcolor="white [3201]" stroked="f" strokeweight=".5pt">
            <v:textbox>
              <w:txbxContent>
                <w:p w:rsidR="00207B22" w:rsidRPr="004F5EC5" w:rsidRDefault="00207B22" w:rsidP="004F5EC5">
                  <w:pPr>
                    <w:spacing w:after="0" w:line="240" w:lineRule="auto"/>
                    <w:rPr>
                      <w:sz w:val="20"/>
                      <w:szCs w:val="20"/>
                      <w:lang w:val="en-CA"/>
                    </w:rPr>
                  </w:pPr>
                  <w:r w:rsidRPr="004F5EC5">
                    <w:rPr>
                      <w:sz w:val="20"/>
                      <w:szCs w:val="20"/>
                      <w:lang w:val="en-CA"/>
                    </w:rPr>
                    <w:t>CN</w:t>
                  </w:r>
                  <w:r>
                    <w:rPr>
                      <w:sz w:val="20"/>
                      <w:szCs w:val="20"/>
                      <w:lang w:val="en-CA"/>
                    </w:rPr>
                    <w:t xml:space="preserve"> </w:t>
                  </w:r>
                  <w:r w:rsidRPr="004F5EC5">
                    <w:rPr>
                      <w:sz w:val="20"/>
                      <w:szCs w:val="20"/>
                      <w:lang w:val="en-CA"/>
                    </w:rPr>
                    <w:t>AA</w:t>
                  </w:r>
                  <w:r>
                    <w:rPr>
                      <w:sz w:val="20"/>
                      <w:szCs w:val="20"/>
                      <w:lang w:val="en-CA"/>
                    </w:rPr>
                    <w:t xml:space="preserve">                    </w:t>
                  </w:r>
                  <w:r w:rsidRPr="004F5EC5">
                    <w:rPr>
                      <w:sz w:val="20"/>
                      <w:szCs w:val="20"/>
                      <w:lang w:val="en-CA"/>
                    </w:rPr>
                    <w:t>CESP-GOUV</w:t>
                  </w:r>
                  <w:r>
                    <w:rPr>
                      <w:sz w:val="20"/>
                      <w:szCs w:val="20"/>
                      <w:lang w:val="en-CA"/>
                    </w:rPr>
                    <w:t xml:space="preserve">             </w:t>
                  </w:r>
                  <w:r w:rsidRPr="004F5EC5">
                    <w:rPr>
                      <w:sz w:val="20"/>
                      <w:szCs w:val="20"/>
                      <w:lang w:val="en-CA"/>
                    </w:rPr>
                    <w:t>CESP-ONG</w:t>
                  </w:r>
                  <w:r>
                    <w:rPr>
                      <w:sz w:val="20"/>
                      <w:szCs w:val="20"/>
                      <w:lang w:val="en-CA"/>
                    </w:rPr>
                    <w:t xml:space="preserve">                   </w:t>
                  </w:r>
                  <w:r w:rsidRPr="004F5EC5">
                    <w:rPr>
                      <w:sz w:val="20"/>
                      <w:szCs w:val="20"/>
                      <w:lang w:val="en-CA"/>
                    </w:rPr>
                    <w:t>GEST</w:t>
                  </w:r>
                </w:p>
              </w:txbxContent>
            </v:textbox>
          </v:shape>
        </w:pict>
      </w:r>
      <w:r w:rsidR="00116967" w:rsidRPr="00DF58B9">
        <w:rPr>
          <w:noProof/>
          <w:lang w:val="en-US" w:eastAsia="en-US"/>
        </w:rPr>
        <w:drawing>
          <wp:inline distT="0" distB="0" distL="0" distR="0">
            <wp:extent cx="5087340" cy="2614617"/>
            <wp:effectExtent l="19050" t="0" r="180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7792" w:rsidRPr="00DF58B9" w:rsidRDefault="00F77792" w:rsidP="00F77792">
      <w:pPr>
        <w:spacing w:after="0" w:line="240" w:lineRule="auto"/>
        <w:rPr>
          <w:rFonts w:cs="Arial"/>
          <w:b/>
          <w:lang w:val="fr-FR"/>
        </w:rPr>
      </w:pPr>
      <w:r w:rsidRPr="00DF58B9">
        <w:rPr>
          <w:rFonts w:cs="Arial"/>
          <w:b/>
          <w:lang w:val="fr-FR"/>
        </w:rPr>
        <w:t>Figure 1</w:t>
      </w:r>
      <w:r w:rsidR="00BA5309" w:rsidRPr="00DF58B9">
        <w:rPr>
          <w:rFonts w:cs="Arial"/>
          <w:b/>
          <w:lang w:val="fr-FR"/>
        </w:rPr>
        <w:t xml:space="preserve"> </w:t>
      </w:r>
      <w:r w:rsidRPr="00DF58B9">
        <w:rPr>
          <w:rFonts w:cs="Arial"/>
          <w:b/>
          <w:lang w:val="fr-FR"/>
        </w:rPr>
        <w:t>: P</w:t>
      </w:r>
      <w:r w:rsidR="00BA5309" w:rsidRPr="00DF58B9">
        <w:rPr>
          <w:rFonts w:cs="Arial"/>
          <w:b/>
          <w:lang w:val="fr-FR"/>
        </w:rPr>
        <w:t xml:space="preserve">ourcentage de Parties ayant des Correspondants nationaux en place </w:t>
      </w:r>
    </w:p>
    <w:p w:rsidR="00F77792" w:rsidRPr="00DF58B9" w:rsidRDefault="00F77792" w:rsidP="009E36E7">
      <w:pPr>
        <w:spacing w:after="0" w:line="240" w:lineRule="auto"/>
        <w:rPr>
          <w:rFonts w:cs="Arial"/>
          <w:highlight w:val="yellow"/>
          <w:lang w:val="fr-FR"/>
        </w:rPr>
      </w:pPr>
    </w:p>
    <w:p w:rsidR="00F40697" w:rsidRPr="00DF58B9" w:rsidRDefault="00F40697" w:rsidP="009E36E7">
      <w:pPr>
        <w:spacing w:after="0" w:line="240" w:lineRule="auto"/>
        <w:rPr>
          <w:rFonts w:cs="Arial"/>
          <w:highlight w:val="yellow"/>
          <w:lang w:val="fr-FR"/>
        </w:rPr>
      </w:pPr>
    </w:p>
    <w:p w:rsidR="00997ED8" w:rsidRPr="00DF58B9" w:rsidRDefault="004D71CE"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Les rôles multiples – lorsque les individus jouent plus d’un rôle de CN – continuent au même niveau que pour la COP11. Pour 15 Parties, le CN gouvernemental CESP est aussi soit le CN AA, soit le CN GEST. Ce rôle multiple peut compromettre le temps disponible pour appliquer les activités de CESP. </w:t>
      </w:r>
    </w:p>
    <w:p w:rsidR="00447223" w:rsidRPr="00DF58B9" w:rsidRDefault="00447223" w:rsidP="00A76467">
      <w:pPr>
        <w:pStyle w:val="ListParagraph"/>
        <w:spacing w:after="0" w:line="240" w:lineRule="auto"/>
        <w:ind w:left="426"/>
        <w:rPr>
          <w:rFonts w:cs="Arial"/>
          <w:lang w:val="fr-FR"/>
        </w:rPr>
      </w:pPr>
    </w:p>
    <w:p w:rsidR="00447223" w:rsidRPr="00DF58B9" w:rsidRDefault="004D71CE" w:rsidP="00A76467">
      <w:pPr>
        <w:pStyle w:val="ListParagraph"/>
        <w:numPr>
          <w:ilvl w:val="0"/>
          <w:numId w:val="25"/>
        </w:numPr>
        <w:spacing w:after="0" w:line="240" w:lineRule="auto"/>
        <w:ind w:left="426" w:hanging="426"/>
        <w:rPr>
          <w:rFonts w:cs="Arial"/>
          <w:lang w:val="fr-FR"/>
        </w:rPr>
      </w:pPr>
      <w:r w:rsidRPr="00DF58B9">
        <w:rPr>
          <w:rFonts w:cs="Arial"/>
          <w:lang w:val="fr-FR"/>
        </w:rPr>
        <w:t>L’indicateur</w:t>
      </w:r>
      <w:r w:rsidR="00447223" w:rsidRPr="00DF58B9">
        <w:rPr>
          <w:rFonts w:cs="Arial"/>
          <w:lang w:val="fr-FR"/>
        </w:rPr>
        <w:t xml:space="preserve"> 4.1.6 </w:t>
      </w:r>
      <w:r w:rsidR="00A947E5" w:rsidRPr="00DF58B9">
        <w:rPr>
          <w:rFonts w:cs="Arial"/>
          <w:lang w:val="fr-FR"/>
        </w:rPr>
        <w:t>vérifiait</w:t>
      </w:r>
      <w:r w:rsidRPr="00DF58B9">
        <w:rPr>
          <w:rFonts w:cs="Arial"/>
          <w:lang w:val="fr-FR"/>
        </w:rPr>
        <w:t xml:space="preserve"> si les Parties ont un Comité national Ramsar/pour les zones humides opérationnel en place. C’est </w:t>
      </w:r>
      <w:r w:rsidR="00A947E5" w:rsidRPr="00DF58B9">
        <w:rPr>
          <w:rFonts w:cs="Arial"/>
          <w:lang w:val="fr-FR"/>
        </w:rPr>
        <w:t>le principal</w:t>
      </w:r>
      <w:r w:rsidRPr="00DF58B9">
        <w:rPr>
          <w:rFonts w:cs="Arial"/>
          <w:lang w:val="fr-FR"/>
        </w:rPr>
        <w:t xml:space="preserve"> mécanisme par lequel les CN CESP peuvent </w:t>
      </w:r>
      <w:r w:rsidR="000B235B" w:rsidRPr="00DF58B9">
        <w:rPr>
          <w:rFonts w:cs="Arial"/>
          <w:lang w:val="fr-FR"/>
        </w:rPr>
        <w:t>prendre en compte</w:t>
      </w:r>
      <w:r w:rsidRPr="00DF58B9">
        <w:rPr>
          <w:rFonts w:cs="Arial"/>
          <w:lang w:val="fr-FR"/>
        </w:rPr>
        <w:t xml:space="preserve"> les orientations CESP et être informés de questions nécessitant une action en matière de CESP. D’après l’analyse des </w:t>
      </w:r>
      <w:r w:rsidR="00B62832" w:rsidRPr="00DF58B9">
        <w:rPr>
          <w:rFonts w:cs="Arial"/>
          <w:lang w:val="fr-FR"/>
        </w:rPr>
        <w:t>rapports</w:t>
      </w:r>
      <w:r w:rsidRPr="00DF58B9">
        <w:rPr>
          <w:rFonts w:cs="Arial"/>
          <w:lang w:val="fr-FR"/>
        </w:rPr>
        <w:t xml:space="preserve"> nationaux, </w:t>
      </w:r>
      <w:r w:rsidR="00447223" w:rsidRPr="00DF58B9">
        <w:rPr>
          <w:rFonts w:cs="Arial"/>
          <w:lang w:val="fr-FR"/>
        </w:rPr>
        <w:t xml:space="preserve">63% </w:t>
      </w:r>
      <w:r w:rsidRPr="00DF58B9">
        <w:rPr>
          <w:rFonts w:cs="Arial"/>
          <w:lang w:val="fr-FR"/>
        </w:rPr>
        <w:t xml:space="preserve">des </w:t>
      </w:r>
      <w:r w:rsidR="00447223" w:rsidRPr="00DF58B9">
        <w:rPr>
          <w:rFonts w:cs="Arial"/>
          <w:lang w:val="fr-FR"/>
        </w:rPr>
        <w:t xml:space="preserve">Parties </w:t>
      </w:r>
      <w:r w:rsidRPr="00DF58B9">
        <w:rPr>
          <w:rFonts w:cs="Arial"/>
          <w:lang w:val="fr-FR"/>
        </w:rPr>
        <w:t xml:space="preserve">ont répondu qu’elles avaient un comité de ce type en place, ce qui est une légère amélioration par rapport </w:t>
      </w:r>
      <w:r w:rsidR="0091460C" w:rsidRPr="00DF58B9">
        <w:rPr>
          <w:rFonts w:cs="Arial"/>
          <w:lang w:val="fr-FR"/>
        </w:rPr>
        <w:t>aux</w:t>
      </w:r>
      <w:r w:rsidRPr="00DF58B9">
        <w:rPr>
          <w:rFonts w:cs="Arial"/>
          <w:lang w:val="fr-FR"/>
        </w:rPr>
        <w:t xml:space="preserve"> 54% </w:t>
      </w:r>
      <w:r w:rsidR="00A947E5" w:rsidRPr="00DF58B9">
        <w:rPr>
          <w:rFonts w:cs="Arial"/>
          <w:lang w:val="fr-FR"/>
        </w:rPr>
        <w:t>de</w:t>
      </w:r>
      <w:r w:rsidRPr="00DF58B9">
        <w:rPr>
          <w:rFonts w:cs="Arial"/>
          <w:lang w:val="fr-FR"/>
        </w:rPr>
        <w:t xml:space="preserve"> la </w:t>
      </w:r>
      <w:r w:rsidR="00447223" w:rsidRPr="00DF58B9">
        <w:rPr>
          <w:rFonts w:cs="Arial"/>
          <w:lang w:val="fr-FR"/>
        </w:rPr>
        <w:t xml:space="preserve">COP11. </w:t>
      </w:r>
    </w:p>
    <w:p w:rsidR="00447223" w:rsidRPr="00DF58B9" w:rsidRDefault="00447223" w:rsidP="00A76467">
      <w:pPr>
        <w:pStyle w:val="ListParagraph"/>
        <w:spacing w:after="0" w:line="240" w:lineRule="auto"/>
        <w:ind w:left="426"/>
        <w:rPr>
          <w:rFonts w:cs="Arial"/>
          <w:lang w:val="fr-FR"/>
        </w:rPr>
      </w:pPr>
    </w:p>
    <w:p w:rsidR="00447223" w:rsidRPr="00DF58B9" w:rsidRDefault="004D71CE"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Outre les Comités nationaux Ramsar, </w:t>
      </w:r>
      <w:r w:rsidR="0091460C" w:rsidRPr="00DF58B9">
        <w:rPr>
          <w:rFonts w:cs="Arial"/>
          <w:lang w:val="fr-FR"/>
        </w:rPr>
        <w:t xml:space="preserve">il y a d’autres moyens de partage efficace de l’information et mécanismes de planification intersectoriels. L’indicateur </w:t>
      </w:r>
      <w:r w:rsidR="00447223" w:rsidRPr="00DF58B9">
        <w:rPr>
          <w:rFonts w:cs="Arial"/>
          <w:lang w:val="fr-FR"/>
        </w:rPr>
        <w:t xml:space="preserve">4.1.7 </w:t>
      </w:r>
      <w:r w:rsidR="0091460C" w:rsidRPr="00DF58B9">
        <w:rPr>
          <w:rFonts w:cs="Arial"/>
          <w:lang w:val="fr-FR"/>
        </w:rPr>
        <w:t xml:space="preserve">étudiait si </w:t>
      </w:r>
      <w:r w:rsidR="000B235B" w:rsidRPr="00DF58B9">
        <w:rPr>
          <w:rFonts w:cs="Arial"/>
          <w:lang w:val="fr-FR"/>
        </w:rPr>
        <w:t>d</w:t>
      </w:r>
      <w:r w:rsidR="0091460C" w:rsidRPr="00DF58B9">
        <w:rPr>
          <w:rFonts w:cs="Arial"/>
          <w:lang w:val="fr-FR"/>
        </w:rPr>
        <w:t xml:space="preserve">es mécanismes </w:t>
      </w:r>
      <w:r w:rsidR="000B235B" w:rsidRPr="00DF58B9">
        <w:rPr>
          <w:rFonts w:cs="Arial"/>
          <w:lang w:val="fr-FR"/>
        </w:rPr>
        <w:t xml:space="preserve">sont </w:t>
      </w:r>
      <w:r w:rsidR="0091460C" w:rsidRPr="00DF58B9">
        <w:rPr>
          <w:rFonts w:cs="Arial"/>
          <w:lang w:val="fr-FR"/>
        </w:rPr>
        <w:t xml:space="preserve">en place pour partager </w:t>
      </w:r>
      <w:r w:rsidR="00A947E5" w:rsidRPr="00DF58B9">
        <w:rPr>
          <w:rFonts w:cs="Arial"/>
          <w:lang w:val="fr-FR"/>
        </w:rPr>
        <w:t>les</w:t>
      </w:r>
      <w:r w:rsidR="0091460C" w:rsidRPr="00DF58B9">
        <w:rPr>
          <w:rFonts w:cs="Arial"/>
          <w:lang w:val="fr-FR"/>
        </w:rPr>
        <w:t xml:space="preserve"> orientations</w:t>
      </w:r>
      <w:r w:rsidR="00A947E5" w:rsidRPr="00DF58B9">
        <w:rPr>
          <w:rFonts w:cs="Arial"/>
          <w:lang w:val="fr-FR"/>
        </w:rPr>
        <w:t xml:space="preserve"> en matière d’application de</w:t>
      </w:r>
      <w:r w:rsidR="0091460C" w:rsidRPr="00DF58B9">
        <w:rPr>
          <w:rFonts w:cs="Arial"/>
          <w:lang w:val="fr-FR"/>
        </w:rPr>
        <w:t xml:space="preserve"> </w:t>
      </w:r>
      <w:r w:rsidR="000B235B" w:rsidRPr="00DF58B9">
        <w:rPr>
          <w:rFonts w:cs="Arial"/>
          <w:lang w:val="fr-FR"/>
        </w:rPr>
        <w:t>la Convention</w:t>
      </w:r>
      <w:r w:rsidR="0091460C" w:rsidRPr="00DF58B9">
        <w:rPr>
          <w:rFonts w:cs="Arial"/>
          <w:lang w:val="fr-FR"/>
        </w:rPr>
        <w:t xml:space="preserve"> et d’autres informations entre les Autorités administratives Ramsar et a) les administrateurs de sites; b) d’autres AME; et c) les ministères, services et agences compétents. Ces résultats sont résumés dans le tableau 1 ci</w:t>
      </w:r>
      <w:r w:rsidR="0091460C" w:rsidRPr="00DF58B9">
        <w:rPr>
          <w:rFonts w:cs="Arial"/>
          <w:lang w:val="fr-FR"/>
        </w:rPr>
        <w:noBreakHyphen/>
        <w:t xml:space="preserve">dessous. </w:t>
      </w:r>
    </w:p>
    <w:p w:rsidR="00447223" w:rsidRPr="00DF58B9" w:rsidRDefault="00447223" w:rsidP="009E36E7">
      <w:pPr>
        <w:spacing w:after="0" w:line="240" w:lineRule="auto"/>
        <w:rPr>
          <w:rFonts w:cs="Arial"/>
          <w:highlight w:val="yellow"/>
          <w:lang w:val="fr-FR"/>
        </w:rPr>
      </w:pPr>
    </w:p>
    <w:tbl>
      <w:tblPr>
        <w:tblStyle w:val="TableGrid"/>
        <w:tblW w:w="0" w:type="auto"/>
        <w:tblInd w:w="108" w:type="dxa"/>
        <w:tblLook w:val="04A0"/>
      </w:tblPr>
      <w:tblGrid>
        <w:gridCol w:w="3828"/>
        <w:gridCol w:w="935"/>
        <w:gridCol w:w="907"/>
        <w:gridCol w:w="993"/>
        <w:gridCol w:w="930"/>
      </w:tblGrid>
      <w:tr w:rsidR="00F40697" w:rsidRPr="00DF58B9" w:rsidTr="00A76467">
        <w:tc>
          <w:tcPr>
            <w:tcW w:w="3828" w:type="dxa"/>
          </w:tcPr>
          <w:p w:rsidR="00F40697" w:rsidRPr="00DF58B9" w:rsidRDefault="00F40697" w:rsidP="009E36E7">
            <w:pPr>
              <w:autoSpaceDE w:val="0"/>
              <w:autoSpaceDN w:val="0"/>
              <w:adjustRightInd w:val="0"/>
              <w:rPr>
                <w:rFonts w:cs="Garamond"/>
                <w:lang w:val="fr-FR"/>
              </w:rPr>
            </w:pPr>
          </w:p>
        </w:tc>
        <w:tc>
          <w:tcPr>
            <w:tcW w:w="935" w:type="dxa"/>
          </w:tcPr>
          <w:p w:rsidR="00F40697" w:rsidRPr="00DF58B9" w:rsidRDefault="00F40697" w:rsidP="009E36E7">
            <w:pPr>
              <w:autoSpaceDE w:val="0"/>
              <w:autoSpaceDN w:val="0"/>
              <w:adjustRightInd w:val="0"/>
              <w:rPr>
                <w:rFonts w:cs="Garamond"/>
                <w:b/>
                <w:lang w:val="fr-FR"/>
              </w:rPr>
            </w:pPr>
            <w:r w:rsidRPr="00DF58B9">
              <w:rPr>
                <w:rFonts w:cs="Garamond"/>
                <w:b/>
                <w:lang w:val="fr-FR"/>
              </w:rPr>
              <w:t>COP12</w:t>
            </w:r>
          </w:p>
          <w:p w:rsidR="00F40697" w:rsidRPr="00DF58B9" w:rsidRDefault="0091460C" w:rsidP="009E36E7">
            <w:pPr>
              <w:autoSpaceDE w:val="0"/>
              <w:autoSpaceDN w:val="0"/>
              <w:adjustRightInd w:val="0"/>
              <w:rPr>
                <w:rFonts w:cs="Garamond"/>
                <w:b/>
                <w:lang w:val="fr-FR"/>
              </w:rPr>
            </w:pPr>
            <w:r w:rsidRPr="00DF58B9">
              <w:rPr>
                <w:rFonts w:cs="Garamond"/>
                <w:b/>
                <w:lang w:val="fr-FR"/>
              </w:rPr>
              <w:t>Oui</w:t>
            </w:r>
          </w:p>
        </w:tc>
        <w:tc>
          <w:tcPr>
            <w:tcW w:w="907" w:type="dxa"/>
          </w:tcPr>
          <w:p w:rsidR="00F40697" w:rsidRPr="00DF58B9" w:rsidRDefault="00F40697" w:rsidP="009E36E7">
            <w:pPr>
              <w:autoSpaceDE w:val="0"/>
              <w:autoSpaceDN w:val="0"/>
              <w:adjustRightInd w:val="0"/>
              <w:rPr>
                <w:rFonts w:cs="Garamond"/>
                <w:b/>
                <w:lang w:val="fr-FR"/>
              </w:rPr>
            </w:pPr>
            <w:r w:rsidRPr="00DF58B9">
              <w:rPr>
                <w:rFonts w:cs="Garamond"/>
                <w:b/>
                <w:lang w:val="fr-FR"/>
              </w:rPr>
              <w:t>COP11</w:t>
            </w:r>
          </w:p>
          <w:p w:rsidR="00F40697" w:rsidRPr="00DF58B9" w:rsidRDefault="0091460C" w:rsidP="009E36E7">
            <w:pPr>
              <w:autoSpaceDE w:val="0"/>
              <w:autoSpaceDN w:val="0"/>
              <w:adjustRightInd w:val="0"/>
              <w:rPr>
                <w:rFonts w:cs="Garamond"/>
                <w:b/>
                <w:lang w:val="fr-FR"/>
              </w:rPr>
            </w:pPr>
            <w:r w:rsidRPr="00DF58B9">
              <w:rPr>
                <w:rFonts w:cs="Garamond"/>
                <w:b/>
                <w:lang w:val="fr-FR"/>
              </w:rPr>
              <w:t>Oui</w:t>
            </w:r>
          </w:p>
        </w:tc>
        <w:tc>
          <w:tcPr>
            <w:tcW w:w="993" w:type="dxa"/>
          </w:tcPr>
          <w:p w:rsidR="00F40697" w:rsidRPr="00DF58B9" w:rsidRDefault="00F40697" w:rsidP="009E36E7">
            <w:pPr>
              <w:autoSpaceDE w:val="0"/>
              <w:autoSpaceDN w:val="0"/>
              <w:adjustRightInd w:val="0"/>
              <w:rPr>
                <w:rFonts w:cs="Garamond"/>
                <w:b/>
                <w:lang w:val="fr-FR"/>
              </w:rPr>
            </w:pPr>
            <w:r w:rsidRPr="00DF58B9">
              <w:rPr>
                <w:rFonts w:cs="Garamond"/>
                <w:b/>
                <w:lang w:val="fr-FR"/>
              </w:rPr>
              <w:t>COP12</w:t>
            </w:r>
          </w:p>
          <w:p w:rsidR="00F40697" w:rsidRPr="00DF58B9" w:rsidRDefault="00F40697" w:rsidP="009E36E7">
            <w:pPr>
              <w:autoSpaceDE w:val="0"/>
              <w:autoSpaceDN w:val="0"/>
              <w:adjustRightInd w:val="0"/>
              <w:rPr>
                <w:rFonts w:cs="Garamond"/>
                <w:b/>
                <w:lang w:val="fr-FR"/>
              </w:rPr>
            </w:pPr>
            <w:r w:rsidRPr="00DF58B9">
              <w:rPr>
                <w:rFonts w:cs="Garamond"/>
                <w:b/>
                <w:lang w:val="fr-FR"/>
              </w:rPr>
              <w:t>No</w:t>
            </w:r>
            <w:r w:rsidR="0091460C" w:rsidRPr="00DF58B9">
              <w:rPr>
                <w:rFonts w:cs="Garamond"/>
                <w:b/>
                <w:lang w:val="fr-FR"/>
              </w:rPr>
              <w:t>n</w:t>
            </w:r>
          </w:p>
        </w:tc>
        <w:tc>
          <w:tcPr>
            <w:tcW w:w="930" w:type="dxa"/>
          </w:tcPr>
          <w:p w:rsidR="00F40697" w:rsidRPr="00DF58B9" w:rsidRDefault="00F40697" w:rsidP="009E36E7">
            <w:pPr>
              <w:autoSpaceDE w:val="0"/>
              <w:autoSpaceDN w:val="0"/>
              <w:adjustRightInd w:val="0"/>
              <w:rPr>
                <w:rFonts w:cs="Garamond"/>
                <w:b/>
                <w:lang w:val="fr-FR"/>
              </w:rPr>
            </w:pPr>
            <w:r w:rsidRPr="00DF58B9">
              <w:rPr>
                <w:rFonts w:cs="Garamond"/>
                <w:b/>
                <w:lang w:val="fr-FR"/>
              </w:rPr>
              <w:t>COP11</w:t>
            </w:r>
          </w:p>
          <w:p w:rsidR="00F40697" w:rsidRPr="00DF58B9" w:rsidRDefault="00F40697" w:rsidP="009E36E7">
            <w:pPr>
              <w:autoSpaceDE w:val="0"/>
              <w:autoSpaceDN w:val="0"/>
              <w:adjustRightInd w:val="0"/>
              <w:rPr>
                <w:rFonts w:cs="Garamond"/>
                <w:b/>
                <w:lang w:val="fr-FR"/>
              </w:rPr>
            </w:pPr>
            <w:r w:rsidRPr="00DF58B9">
              <w:rPr>
                <w:rFonts w:cs="Garamond"/>
                <w:b/>
                <w:lang w:val="fr-FR"/>
              </w:rPr>
              <w:t>No</w:t>
            </w:r>
            <w:r w:rsidR="0091460C" w:rsidRPr="00DF58B9">
              <w:rPr>
                <w:rFonts w:cs="Garamond"/>
                <w:b/>
                <w:lang w:val="fr-FR"/>
              </w:rPr>
              <w:t>n</w:t>
            </w:r>
          </w:p>
        </w:tc>
      </w:tr>
      <w:tr w:rsidR="00F40697" w:rsidRPr="00DF58B9" w:rsidTr="00A76467">
        <w:tc>
          <w:tcPr>
            <w:tcW w:w="3828" w:type="dxa"/>
          </w:tcPr>
          <w:p w:rsidR="00F40697" w:rsidRPr="00DF58B9" w:rsidRDefault="00F40697" w:rsidP="0091460C">
            <w:pPr>
              <w:autoSpaceDE w:val="0"/>
              <w:autoSpaceDN w:val="0"/>
              <w:adjustRightInd w:val="0"/>
              <w:rPr>
                <w:rFonts w:cs="Garamond"/>
                <w:lang w:val="fr-FR"/>
              </w:rPr>
            </w:pPr>
            <w:r w:rsidRPr="00DF58B9">
              <w:rPr>
                <w:rFonts w:cs="Garamond"/>
                <w:lang w:val="fr-FR"/>
              </w:rPr>
              <w:t xml:space="preserve">a) </w:t>
            </w:r>
            <w:r w:rsidR="0091460C" w:rsidRPr="00DF58B9">
              <w:rPr>
                <w:rFonts w:cs="Garamond"/>
                <w:lang w:val="fr-FR"/>
              </w:rPr>
              <w:t>Administrateurs de sites</w:t>
            </w:r>
          </w:p>
        </w:tc>
        <w:tc>
          <w:tcPr>
            <w:tcW w:w="935" w:type="dxa"/>
          </w:tcPr>
          <w:p w:rsidR="00F40697" w:rsidRPr="00DF58B9" w:rsidRDefault="00F40697" w:rsidP="009E36E7">
            <w:pPr>
              <w:autoSpaceDE w:val="0"/>
              <w:autoSpaceDN w:val="0"/>
              <w:adjustRightInd w:val="0"/>
              <w:rPr>
                <w:rFonts w:cs="Garamond"/>
                <w:lang w:val="fr-FR"/>
              </w:rPr>
            </w:pPr>
            <w:r w:rsidRPr="00DF58B9">
              <w:rPr>
                <w:rFonts w:cs="Garamond"/>
                <w:lang w:val="fr-FR"/>
              </w:rPr>
              <w:t>55%</w:t>
            </w:r>
          </w:p>
        </w:tc>
        <w:tc>
          <w:tcPr>
            <w:tcW w:w="907" w:type="dxa"/>
          </w:tcPr>
          <w:p w:rsidR="00F40697" w:rsidRPr="00DF58B9" w:rsidRDefault="00F40697" w:rsidP="009E36E7">
            <w:pPr>
              <w:autoSpaceDE w:val="0"/>
              <w:autoSpaceDN w:val="0"/>
              <w:adjustRightInd w:val="0"/>
              <w:rPr>
                <w:rFonts w:cs="Garamond"/>
                <w:lang w:val="fr-FR"/>
              </w:rPr>
            </w:pPr>
            <w:r w:rsidRPr="00DF58B9">
              <w:rPr>
                <w:rFonts w:cs="Garamond"/>
                <w:lang w:val="fr-FR"/>
              </w:rPr>
              <w:t>56%</w:t>
            </w:r>
          </w:p>
        </w:tc>
        <w:tc>
          <w:tcPr>
            <w:tcW w:w="993" w:type="dxa"/>
          </w:tcPr>
          <w:p w:rsidR="00F40697" w:rsidRPr="00DF58B9" w:rsidRDefault="00F40697" w:rsidP="009E36E7">
            <w:pPr>
              <w:autoSpaceDE w:val="0"/>
              <w:autoSpaceDN w:val="0"/>
              <w:adjustRightInd w:val="0"/>
              <w:rPr>
                <w:rFonts w:cs="Garamond"/>
                <w:lang w:val="fr-FR"/>
              </w:rPr>
            </w:pPr>
            <w:r w:rsidRPr="00DF58B9">
              <w:rPr>
                <w:rFonts w:cs="Garamond"/>
                <w:lang w:val="fr-FR"/>
              </w:rPr>
              <w:t>19%</w:t>
            </w:r>
          </w:p>
        </w:tc>
        <w:tc>
          <w:tcPr>
            <w:tcW w:w="930" w:type="dxa"/>
          </w:tcPr>
          <w:p w:rsidR="00F40697" w:rsidRPr="00DF58B9" w:rsidRDefault="00F40697" w:rsidP="009E36E7">
            <w:pPr>
              <w:autoSpaceDE w:val="0"/>
              <w:autoSpaceDN w:val="0"/>
              <w:adjustRightInd w:val="0"/>
              <w:rPr>
                <w:rFonts w:cs="Garamond"/>
                <w:lang w:val="fr-FR"/>
              </w:rPr>
            </w:pPr>
            <w:r w:rsidRPr="00DF58B9">
              <w:rPr>
                <w:rFonts w:cs="Garamond"/>
                <w:lang w:val="fr-FR"/>
              </w:rPr>
              <w:t>22%</w:t>
            </w:r>
          </w:p>
        </w:tc>
      </w:tr>
      <w:tr w:rsidR="00F40697" w:rsidRPr="00DF58B9" w:rsidTr="00A76467">
        <w:tc>
          <w:tcPr>
            <w:tcW w:w="3828" w:type="dxa"/>
          </w:tcPr>
          <w:p w:rsidR="00F40697" w:rsidRPr="00DF58B9" w:rsidRDefault="00F40697" w:rsidP="0091460C">
            <w:pPr>
              <w:autoSpaceDE w:val="0"/>
              <w:autoSpaceDN w:val="0"/>
              <w:adjustRightInd w:val="0"/>
              <w:rPr>
                <w:rFonts w:cs="Garamond"/>
                <w:lang w:val="fr-FR"/>
              </w:rPr>
            </w:pPr>
            <w:r w:rsidRPr="00DF58B9">
              <w:rPr>
                <w:rFonts w:cs="Garamond"/>
                <w:lang w:val="fr-FR"/>
              </w:rPr>
              <w:t xml:space="preserve">b) </w:t>
            </w:r>
            <w:r w:rsidR="0091460C" w:rsidRPr="00DF58B9">
              <w:rPr>
                <w:rFonts w:cs="Garamond"/>
                <w:lang w:val="fr-FR"/>
              </w:rPr>
              <w:t>Autres Correspondants d’AME</w:t>
            </w:r>
          </w:p>
        </w:tc>
        <w:tc>
          <w:tcPr>
            <w:tcW w:w="935" w:type="dxa"/>
          </w:tcPr>
          <w:p w:rsidR="00F40697" w:rsidRPr="00DF58B9" w:rsidRDefault="00F40697" w:rsidP="009E36E7">
            <w:pPr>
              <w:autoSpaceDE w:val="0"/>
              <w:autoSpaceDN w:val="0"/>
              <w:adjustRightInd w:val="0"/>
              <w:rPr>
                <w:rFonts w:cs="Garamond"/>
                <w:lang w:val="fr-FR"/>
              </w:rPr>
            </w:pPr>
            <w:r w:rsidRPr="00DF58B9">
              <w:rPr>
                <w:rFonts w:cs="Garamond"/>
                <w:lang w:val="fr-FR"/>
              </w:rPr>
              <w:t>44%</w:t>
            </w:r>
          </w:p>
        </w:tc>
        <w:tc>
          <w:tcPr>
            <w:tcW w:w="907" w:type="dxa"/>
          </w:tcPr>
          <w:p w:rsidR="00F40697" w:rsidRPr="00DF58B9" w:rsidRDefault="00F40697" w:rsidP="009E36E7">
            <w:pPr>
              <w:autoSpaceDE w:val="0"/>
              <w:autoSpaceDN w:val="0"/>
              <w:adjustRightInd w:val="0"/>
              <w:rPr>
                <w:rFonts w:cs="Garamond"/>
                <w:lang w:val="fr-FR"/>
              </w:rPr>
            </w:pPr>
            <w:r w:rsidRPr="00DF58B9">
              <w:rPr>
                <w:rFonts w:cs="Garamond"/>
                <w:lang w:val="fr-FR"/>
              </w:rPr>
              <w:t>45%</w:t>
            </w:r>
          </w:p>
        </w:tc>
        <w:tc>
          <w:tcPr>
            <w:tcW w:w="993" w:type="dxa"/>
          </w:tcPr>
          <w:p w:rsidR="00F40697" w:rsidRPr="00DF58B9" w:rsidRDefault="00F40697" w:rsidP="009E36E7">
            <w:pPr>
              <w:autoSpaceDE w:val="0"/>
              <w:autoSpaceDN w:val="0"/>
              <w:adjustRightInd w:val="0"/>
              <w:rPr>
                <w:rFonts w:cs="Garamond"/>
                <w:lang w:val="fr-FR"/>
              </w:rPr>
            </w:pPr>
            <w:r w:rsidRPr="00DF58B9">
              <w:rPr>
                <w:rFonts w:cs="Garamond"/>
                <w:lang w:val="fr-FR"/>
              </w:rPr>
              <w:t>19%</w:t>
            </w:r>
          </w:p>
        </w:tc>
        <w:tc>
          <w:tcPr>
            <w:tcW w:w="930" w:type="dxa"/>
          </w:tcPr>
          <w:p w:rsidR="00F40697" w:rsidRPr="00DF58B9" w:rsidRDefault="00785BAD" w:rsidP="009E36E7">
            <w:pPr>
              <w:autoSpaceDE w:val="0"/>
              <w:autoSpaceDN w:val="0"/>
              <w:adjustRightInd w:val="0"/>
              <w:rPr>
                <w:rFonts w:cs="Garamond"/>
                <w:lang w:val="fr-FR"/>
              </w:rPr>
            </w:pPr>
            <w:r w:rsidRPr="00DF58B9">
              <w:rPr>
                <w:rFonts w:cs="Garamond"/>
                <w:lang w:val="fr-FR"/>
              </w:rPr>
              <w:t>21%</w:t>
            </w:r>
          </w:p>
        </w:tc>
      </w:tr>
      <w:tr w:rsidR="00F40697" w:rsidRPr="00DF58B9" w:rsidTr="00A76467">
        <w:tc>
          <w:tcPr>
            <w:tcW w:w="3828" w:type="dxa"/>
          </w:tcPr>
          <w:p w:rsidR="00F40697" w:rsidRPr="00DF58B9" w:rsidRDefault="00F40697" w:rsidP="0091460C">
            <w:pPr>
              <w:autoSpaceDE w:val="0"/>
              <w:autoSpaceDN w:val="0"/>
              <w:adjustRightInd w:val="0"/>
              <w:rPr>
                <w:rFonts w:cs="Garamond"/>
                <w:lang w:val="fr-FR"/>
              </w:rPr>
            </w:pPr>
            <w:r w:rsidRPr="00DF58B9">
              <w:rPr>
                <w:rFonts w:cs="Garamond"/>
                <w:lang w:val="fr-FR"/>
              </w:rPr>
              <w:t xml:space="preserve">c) </w:t>
            </w:r>
            <w:r w:rsidR="0091460C" w:rsidRPr="00DF58B9">
              <w:rPr>
                <w:rFonts w:cs="Garamond"/>
                <w:lang w:val="fr-FR"/>
              </w:rPr>
              <w:t xml:space="preserve">Ministères, services et agences pertinents </w:t>
            </w:r>
          </w:p>
        </w:tc>
        <w:tc>
          <w:tcPr>
            <w:tcW w:w="935" w:type="dxa"/>
          </w:tcPr>
          <w:p w:rsidR="00F40697" w:rsidRPr="00DF58B9" w:rsidRDefault="00F40697" w:rsidP="009E36E7">
            <w:pPr>
              <w:autoSpaceDE w:val="0"/>
              <w:autoSpaceDN w:val="0"/>
              <w:adjustRightInd w:val="0"/>
              <w:rPr>
                <w:rFonts w:cs="Garamond"/>
                <w:lang w:val="fr-FR"/>
              </w:rPr>
            </w:pPr>
            <w:r w:rsidRPr="00DF58B9">
              <w:rPr>
                <w:rFonts w:cs="Garamond"/>
                <w:lang w:val="fr-FR"/>
              </w:rPr>
              <w:t>48%</w:t>
            </w:r>
          </w:p>
        </w:tc>
        <w:tc>
          <w:tcPr>
            <w:tcW w:w="907" w:type="dxa"/>
          </w:tcPr>
          <w:p w:rsidR="00F40697" w:rsidRPr="00DF58B9" w:rsidRDefault="00785BAD" w:rsidP="009E36E7">
            <w:pPr>
              <w:autoSpaceDE w:val="0"/>
              <w:autoSpaceDN w:val="0"/>
              <w:adjustRightInd w:val="0"/>
              <w:rPr>
                <w:rFonts w:cs="Garamond"/>
                <w:lang w:val="fr-FR"/>
              </w:rPr>
            </w:pPr>
            <w:r w:rsidRPr="00DF58B9">
              <w:rPr>
                <w:rFonts w:cs="Garamond"/>
                <w:lang w:val="fr-FR"/>
              </w:rPr>
              <w:t>54%</w:t>
            </w:r>
          </w:p>
        </w:tc>
        <w:tc>
          <w:tcPr>
            <w:tcW w:w="993" w:type="dxa"/>
          </w:tcPr>
          <w:p w:rsidR="00F40697" w:rsidRPr="00DF58B9" w:rsidRDefault="00F40697" w:rsidP="009E36E7">
            <w:pPr>
              <w:autoSpaceDE w:val="0"/>
              <w:autoSpaceDN w:val="0"/>
              <w:adjustRightInd w:val="0"/>
              <w:rPr>
                <w:rFonts w:cs="Garamond"/>
                <w:lang w:val="fr-FR"/>
              </w:rPr>
            </w:pPr>
            <w:r w:rsidRPr="00DF58B9">
              <w:rPr>
                <w:rFonts w:cs="Garamond"/>
                <w:lang w:val="fr-FR"/>
              </w:rPr>
              <w:t>17%</w:t>
            </w:r>
          </w:p>
        </w:tc>
        <w:tc>
          <w:tcPr>
            <w:tcW w:w="930" w:type="dxa"/>
          </w:tcPr>
          <w:p w:rsidR="00F40697" w:rsidRPr="00DF58B9" w:rsidRDefault="00785BAD" w:rsidP="009E36E7">
            <w:pPr>
              <w:autoSpaceDE w:val="0"/>
              <w:autoSpaceDN w:val="0"/>
              <w:adjustRightInd w:val="0"/>
              <w:rPr>
                <w:rFonts w:cs="Garamond"/>
                <w:lang w:val="fr-FR"/>
              </w:rPr>
            </w:pPr>
            <w:r w:rsidRPr="00DF58B9">
              <w:rPr>
                <w:rFonts w:cs="Garamond"/>
                <w:lang w:val="fr-FR"/>
              </w:rPr>
              <w:t>13%</w:t>
            </w:r>
          </w:p>
        </w:tc>
      </w:tr>
    </w:tbl>
    <w:p w:rsidR="00F77792" w:rsidRPr="00DF58B9" w:rsidRDefault="00F77792" w:rsidP="00F77792">
      <w:pPr>
        <w:spacing w:after="0" w:line="240" w:lineRule="auto"/>
        <w:rPr>
          <w:rFonts w:cs="Arial"/>
          <w:b/>
          <w:lang w:val="fr-FR"/>
        </w:rPr>
      </w:pPr>
      <w:r w:rsidRPr="00DF58B9">
        <w:rPr>
          <w:rFonts w:cs="Arial"/>
          <w:b/>
          <w:lang w:val="fr-FR"/>
        </w:rPr>
        <w:t>Table</w:t>
      </w:r>
      <w:r w:rsidR="0091460C" w:rsidRPr="00DF58B9">
        <w:rPr>
          <w:rFonts w:cs="Arial"/>
          <w:b/>
          <w:lang w:val="fr-FR"/>
        </w:rPr>
        <w:t>au</w:t>
      </w:r>
      <w:r w:rsidRPr="00DF58B9">
        <w:rPr>
          <w:rFonts w:cs="Arial"/>
          <w:b/>
          <w:lang w:val="fr-FR"/>
        </w:rPr>
        <w:t xml:space="preserve"> 1</w:t>
      </w:r>
      <w:r w:rsidR="0091460C" w:rsidRPr="00DF58B9">
        <w:rPr>
          <w:rFonts w:cs="Arial"/>
          <w:b/>
          <w:lang w:val="fr-FR"/>
        </w:rPr>
        <w:t xml:space="preserve"> </w:t>
      </w:r>
      <w:r w:rsidRPr="00DF58B9">
        <w:rPr>
          <w:rFonts w:cs="Arial"/>
          <w:b/>
          <w:lang w:val="fr-FR"/>
        </w:rPr>
        <w:t xml:space="preserve">: </w:t>
      </w:r>
      <w:r w:rsidR="00DF58B9" w:rsidRPr="00DF58B9">
        <w:rPr>
          <w:rFonts w:cs="Arial"/>
          <w:b/>
          <w:lang w:val="fr-FR"/>
        </w:rPr>
        <w:t>Y a-t-il d’autres</w:t>
      </w:r>
      <w:r w:rsidR="0091460C" w:rsidRPr="00DF58B9">
        <w:rPr>
          <w:rFonts w:cs="Arial"/>
          <w:b/>
          <w:lang w:val="fr-FR"/>
        </w:rPr>
        <w:t xml:space="preserve"> mécanismes de communication</w:t>
      </w:r>
      <w:r w:rsidR="00DF58B9" w:rsidRPr="00DF58B9">
        <w:rPr>
          <w:rFonts w:cs="Arial"/>
          <w:b/>
          <w:lang w:val="fr-FR"/>
        </w:rPr>
        <w:t xml:space="preserve"> en place</w:t>
      </w:r>
      <w:r w:rsidR="0091460C" w:rsidRPr="00DF58B9">
        <w:rPr>
          <w:rFonts w:cs="Arial"/>
          <w:b/>
          <w:lang w:val="fr-FR"/>
        </w:rPr>
        <w:t xml:space="preserve">, outre les Comités nationaux pour les zones humides, pour </w:t>
      </w:r>
      <w:r w:rsidR="00DF58B9" w:rsidRPr="00DF58B9">
        <w:rPr>
          <w:rFonts w:cs="Arial"/>
          <w:b/>
          <w:lang w:val="fr-FR"/>
        </w:rPr>
        <w:t>échanger</w:t>
      </w:r>
      <w:r w:rsidR="0091460C" w:rsidRPr="00DF58B9">
        <w:rPr>
          <w:rFonts w:cs="Arial"/>
          <w:b/>
          <w:lang w:val="fr-FR"/>
        </w:rPr>
        <w:t xml:space="preserve"> </w:t>
      </w:r>
      <w:r w:rsidR="00A947E5" w:rsidRPr="00DF58B9">
        <w:rPr>
          <w:rFonts w:cs="Arial"/>
          <w:b/>
          <w:lang w:val="fr-FR"/>
        </w:rPr>
        <w:t>les orientations</w:t>
      </w:r>
      <w:r w:rsidR="0091460C" w:rsidRPr="00DF58B9">
        <w:rPr>
          <w:rFonts w:cs="Arial"/>
          <w:b/>
          <w:lang w:val="fr-FR"/>
        </w:rPr>
        <w:t xml:space="preserve"> sur l’application </w:t>
      </w:r>
      <w:r w:rsidR="00A947E5" w:rsidRPr="00DF58B9">
        <w:rPr>
          <w:rFonts w:cs="Arial"/>
          <w:b/>
          <w:lang w:val="fr-FR"/>
        </w:rPr>
        <w:t xml:space="preserve">de Ramsar </w:t>
      </w:r>
      <w:r w:rsidR="00DF58B9" w:rsidRPr="00DF58B9">
        <w:rPr>
          <w:rFonts w:cs="Arial"/>
          <w:b/>
          <w:lang w:val="fr-FR"/>
        </w:rPr>
        <w:t xml:space="preserve">entre les Autorités administratives Ramsar et les </w:t>
      </w:r>
      <w:r w:rsidR="0091460C" w:rsidRPr="00DF58B9">
        <w:rPr>
          <w:rFonts w:cs="Arial"/>
          <w:b/>
          <w:lang w:val="fr-FR"/>
        </w:rPr>
        <w:t xml:space="preserve"> </w:t>
      </w:r>
      <w:r w:rsidR="00DF58B9" w:rsidRPr="00DF58B9">
        <w:rPr>
          <w:rFonts w:cs="Arial"/>
          <w:b/>
          <w:lang w:val="fr-FR"/>
        </w:rPr>
        <w:t>parties prenantes?</w:t>
      </w:r>
      <w:r w:rsidR="0091460C" w:rsidRPr="00DF58B9">
        <w:rPr>
          <w:rFonts w:cs="Arial"/>
          <w:b/>
          <w:lang w:val="fr-FR"/>
        </w:rPr>
        <w:t xml:space="preserve"> </w:t>
      </w:r>
    </w:p>
    <w:p w:rsidR="00050829" w:rsidRPr="00DF58B9" w:rsidRDefault="00F77792" w:rsidP="00F77792">
      <w:pPr>
        <w:tabs>
          <w:tab w:val="left" w:pos="7256"/>
        </w:tabs>
        <w:spacing w:after="0" w:line="240" w:lineRule="auto"/>
        <w:rPr>
          <w:rFonts w:cs="Arial"/>
          <w:lang w:val="fr-FR"/>
        </w:rPr>
      </w:pPr>
      <w:r w:rsidRPr="00DF58B9">
        <w:rPr>
          <w:rFonts w:cs="Arial"/>
          <w:lang w:val="fr-FR"/>
        </w:rPr>
        <w:tab/>
      </w:r>
    </w:p>
    <w:p w:rsidR="00F77792" w:rsidRPr="00DF58B9" w:rsidRDefault="00F77792" w:rsidP="009E36E7">
      <w:pPr>
        <w:spacing w:after="0" w:line="240" w:lineRule="auto"/>
        <w:rPr>
          <w:rFonts w:cs="Arial"/>
          <w:lang w:val="fr-FR"/>
        </w:rPr>
      </w:pPr>
    </w:p>
    <w:p w:rsidR="00050829" w:rsidRPr="00DF58B9" w:rsidRDefault="0091460C"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Les administrateurs de Sites Ramsar ont besoin </w:t>
      </w:r>
      <w:r w:rsidR="00227AD4" w:rsidRPr="00DF58B9">
        <w:rPr>
          <w:rFonts w:cs="Arial"/>
          <w:lang w:val="fr-FR"/>
        </w:rPr>
        <w:t>que leurs Autorités administratives nationales leur communiquent des mises à jour périodiques</w:t>
      </w:r>
      <w:r w:rsidRPr="00DF58B9">
        <w:rPr>
          <w:rFonts w:cs="Arial"/>
          <w:lang w:val="fr-FR"/>
        </w:rPr>
        <w:t xml:space="preserve"> sur </w:t>
      </w:r>
      <w:r w:rsidR="00227AD4" w:rsidRPr="00DF58B9">
        <w:rPr>
          <w:rFonts w:cs="Arial"/>
          <w:lang w:val="fr-FR"/>
        </w:rPr>
        <w:t xml:space="preserve">les </w:t>
      </w:r>
      <w:r w:rsidRPr="00DF58B9">
        <w:rPr>
          <w:rFonts w:cs="Arial"/>
          <w:lang w:val="fr-FR"/>
        </w:rPr>
        <w:t>orientations Ramsar</w:t>
      </w:r>
      <w:r w:rsidR="00227AD4" w:rsidRPr="00DF58B9">
        <w:rPr>
          <w:rFonts w:cs="Arial"/>
          <w:lang w:val="fr-FR"/>
        </w:rPr>
        <w:t>, notamment pour ce qui concerne</w:t>
      </w:r>
      <w:r w:rsidRPr="00DF58B9">
        <w:rPr>
          <w:rFonts w:cs="Arial"/>
          <w:lang w:val="fr-FR"/>
        </w:rPr>
        <w:t xml:space="preserve"> la gestion des sites. Les réponses à l’indicateur </w:t>
      </w:r>
      <w:r w:rsidR="00050829" w:rsidRPr="00DF58B9">
        <w:rPr>
          <w:rFonts w:cs="Arial"/>
          <w:lang w:val="fr-FR"/>
        </w:rPr>
        <w:t>4.1.7</w:t>
      </w:r>
      <w:r w:rsidR="005B286C" w:rsidRPr="00DF58B9">
        <w:rPr>
          <w:rFonts w:cs="Arial"/>
          <w:lang w:val="fr-FR"/>
        </w:rPr>
        <w:t>.</w:t>
      </w:r>
      <w:r w:rsidR="00050829" w:rsidRPr="00DF58B9">
        <w:rPr>
          <w:rFonts w:cs="Arial"/>
          <w:lang w:val="fr-FR"/>
        </w:rPr>
        <w:t xml:space="preserve">a </w:t>
      </w:r>
      <w:r w:rsidRPr="00DF58B9">
        <w:rPr>
          <w:rFonts w:cs="Arial"/>
          <w:lang w:val="fr-FR"/>
        </w:rPr>
        <w:t>ont montré que</w:t>
      </w:r>
      <w:r w:rsidR="00050829" w:rsidRPr="00DF58B9">
        <w:rPr>
          <w:rFonts w:cs="Arial"/>
          <w:lang w:val="fr-FR"/>
        </w:rPr>
        <w:t xml:space="preserve"> 55% </w:t>
      </w:r>
      <w:r w:rsidRPr="00DF58B9">
        <w:rPr>
          <w:rFonts w:cs="Arial"/>
          <w:lang w:val="fr-FR"/>
        </w:rPr>
        <w:t xml:space="preserve">des Parties </w:t>
      </w:r>
      <w:r w:rsidR="00227AD4" w:rsidRPr="00DF58B9">
        <w:rPr>
          <w:rFonts w:cs="Arial"/>
          <w:lang w:val="fr-FR"/>
        </w:rPr>
        <w:t>déclarent posséder</w:t>
      </w:r>
      <w:r w:rsidRPr="00DF58B9">
        <w:rPr>
          <w:rFonts w:cs="Arial"/>
          <w:lang w:val="fr-FR"/>
        </w:rPr>
        <w:t xml:space="preserve"> de tels mécanismes de communication, un pourcentage semblable aux 56% </w:t>
      </w:r>
      <w:r w:rsidR="00227AD4" w:rsidRPr="00DF58B9">
        <w:rPr>
          <w:rFonts w:cs="Arial"/>
          <w:lang w:val="fr-FR"/>
        </w:rPr>
        <w:t>de</w:t>
      </w:r>
      <w:r w:rsidRPr="00DF58B9">
        <w:rPr>
          <w:rFonts w:cs="Arial"/>
          <w:lang w:val="fr-FR"/>
        </w:rPr>
        <w:t xml:space="preserve"> la COP11. </w:t>
      </w:r>
      <w:r w:rsidR="00C413A1" w:rsidRPr="00DF58B9">
        <w:rPr>
          <w:rFonts w:cs="Arial"/>
          <w:lang w:val="fr-FR"/>
        </w:rPr>
        <w:t xml:space="preserve">19% </w:t>
      </w:r>
      <w:r w:rsidRPr="00DF58B9">
        <w:rPr>
          <w:rFonts w:cs="Arial"/>
          <w:lang w:val="fr-FR"/>
        </w:rPr>
        <w:t xml:space="preserve">des Parties </w:t>
      </w:r>
      <w:r w:rsidR="00227AD4" w:rsidRPr="00DF58B9">
        <w:rPr>
          <w:rFonts w:cs="Arial"/>
          <w:lang w:val="fr-FR"/>
        </w:rPr>
        <w:t>mentionnent</w:t>
      </w:r>
      <w:r w:rsidRPr="00DF58B9">
        <w:rPr>
          <w:rFonts w:cs="Arial"/>
          <w:lang w:val="fr-FR"/>
        </w:rPr>
        <w:t xml:space="preserve"> qu’elles n’ont pas de mécanisme de communication, </w:t>
      </w:r>
      <w:r w:rsidR="00227AD4" w:rsidRPr="00DF58B9">
        <w:rPr>
          <w:rFonts w:cs="Arial"/>
          <w:lang w:val="fr-FR"/>
        </w:rPr>
        <w:t xml:space="preserve">ce qui est </w:t>
      </w:r>
      <w:r w:rsidRPr="00DF58B9">
        <w:rPr>
          <w:rFonts w:cs="Arial"/>
          <w:lang w:val="fr-FR"/>
        </w:rPr>
        <w:t xml:space="preserve">une amélioration par rapport aux 31% </w:t>
      </w:r>
      <w:r w:rsidR="00227AD4" w:rsidRPr="00DF58B9">
        <w:rPr>
          <w:rFonts w:cs="Arial"/>
          <w:lang w:val="fr-FR"/>
        </w:rPr>
        <w:t>de</w:t>
      </w:r>
      <w:r w:rsidRPr="00DF58B9">
        <w:rPr>
          <w:rFonts w:cs="Arial"/>
          <w:lang w:val="fr-FR"/>
        </w:rPr>
        <w:t xml:space="preserve"> la COP11. </w:t>
      </w:r>
    </w:p>
    <w:p w:rsidR="00050829" w:rsidRPr="00DF58B9" w:rsidRDefault="00050829" w:rsidP="00A76467">
      <w:pPr>
        <w:pStyle w:val="ListParagraph"/>
        <w:spacing w:after="0" w:line="240" w:lineRule="auto"/>
        <w:ind w:left="426"/>
        <w:rPr>
          <w:rFonts w:cs="Arial"/>
          <w:lang w:val="fr-FR"/>
        </w:rPr>
      </w:pPr>
    </w:p>
    <w:p w:rsidR="00447223" w:rsidRPr="00DF58B9" w:rsidRDefault="00A6155E" w:rsidP="00A76467">
      <w:pPr>
        <w:pStyle w:val="ListParagraph"/>
        <w:numPr>
          <w:ilvl w:val="0"/>
          <w:numId w:val="25"/>
        </w:numPr>
        <w:spacing w:after="0" w:line="240" w:lineRule="auto"/>
        <w:ind w:left="426" w:hanging="426"/>
        <w:rPr>
          <w:rFonts w:cs="Arial"/>
          <w:lang w:val="fr-FR"/>
        </w:rPr>
      </w:pPr>
      <w:r w:rsidRPr="00DF58B9">
        <w:rPr>
          <w:rFonts w:cs="Arial"/>
          <w:lang w:val="fr-FR"/>
        </w:rPr>
        <w:t>L’indicateur</w:t>
      </w:r>
      <w:r w:rsidR="000D1AB7" w:rsidRPr="00DF58B9">
        <w:rPr>
          <w:rFonts w:cs="Arial"/>
          <w:lang w:val="fr-FR"/>
        </w:rPr>
        <w:t xml:space="preserve"> 4.1.7.c</w:t>
      </w:r>
      <w:r w:rsidR="00DF7299" w:rsidRPr="00DF58B9">
        <w:rPr>
          <w:rFonts w:cs="Arial"/>
          <w:lang w:val="fr-FR"/>
        </w:rPr>
        <w:t xml:space="preserve"> </w:t>
      </w:r>
      <w:r w:rsidRPr="00DF58B9">
        <w:rPr>
          <w:rFonts w:cs="Arial"/>
          <w:lang w:val="fr-FR"/>
        </w:rPr>
        <w:t>demand</w:t>
      </w:r>
      <w:r w:rsidR="004B78B2" w:rsidRPr="00DF58B9">
        <w:rPr>
          <w:rFonts w:cs="Arial"/>
          <w:lang w:val="fr-FR"/>
        </w:rPr>
        <w:t>ait</w:t>
      </w:r>
      <w:r w:rsidRPr="00DF58B9">
        <w:rPr>
          <w:rFonts w:cs="Arial"/>
          <w:lang w:val="fr-FR"/>
        </w:rPr>
        <w:t xml:space="preserve"> s’il existe des mécanismes de communication en place pour partager l’information sur l’application de Ramsar avec les ministères et services compétents. L</w:t>
      </w:r>
      <w:r w:rsidR="004B78B2" w:rsidRPr="00DF58B9">
        <w:rPr>
          <w:rFonts w:cs="Arial"/>
          <w:lang w:val="fr-FR"/>
        </w:rPr>
        <w:t>a présence d’un</w:t>
      </w:r>
      <w:r w:rsidRPr="00DF58B9">
        <w:rPr>
          <w:rFonts w:cs="Arial"/>
          <w:lang w:val="fr-FR"/>
        </w:rPr>
        <w:t xml:space="preserve"> mécanisme</w:t>
      </w:r>
      <w:r w:rsidR="004B78B2" w:rsidRPr="00DF58B9">
        <w:rPr>
          <w:rFonts w:cs="Arial"/>
          <w:lang w:val="fr-FR"/>
        </w:rPr>
        <w:t xml:space="preserve"> de ce type</w:t>
      </w:r>
      <w:r w:rsidRPr="00DF58B9">
        <w:rPr>
          <w:rFonts w:cs="Arial"/>
          <w:lang w:val="fr-FR"/>
        </w:rPr>
        <w:t xml:space="preserve"> </w:t>
      </w:r>
      <w:r w:rsidR="004B78B2" w:rsidRPr="00DF58B9">
        <w:rPr>
          <w:rFonts w:cs="Arial"/>
          <w:lang w:val="fr-FR"/>
        </w:rPr>
        <w:t>indique s’il y a déjà des</w:t>
      </w:r>
      <w:r w:rsidRPr="00DF58B9">
        <w:rPr>
          <w:rFonts w:cs="Arial"/>
          <w:lang w:val="fr-FR"/>
        </w:rPr>
        <w:t xml:space="preserve"> structures nationales de gestion des zones humides ou plus généralement de la conservation de la biodiversité dans un pays et, en conséquence, si un mécanisme Ramsar spécifique pourrait être inutile ou simplement peu pratique. </w:t>
      </w:r>
      <w:r w:rsidR="00447223" w:rsidRPr="00DF58B9">
        <w:rPr>
          <w:rFonts w:cs="Arial"/>
          <w:lang w:val="fr-FR"/>
        </w:rPr>
        <w:t xml:space="preserve">48% </w:t>
      </w:r>
      <w:r w:rsidRPr="00DF58B9">
        <w:rPr>
          <w:rFonts w:cs="Arial"/>
          <w:lang w:val="fr-FR"/>
        </w:rPr>
        <w:t xml:space="preserve">des Parties ont déclaré avoir un tel mécanisme en place, légèrement moins que les </w:t>
      </w:r>
      <w:r w:rsidR="0023064E" w:rsidRPr="00DF58B9">
        <w:rPr>
          <w:rFonts w:cs="Arial"/>
          <w:lang w:val="fr-FR"/>
        </w:rPr>
        <w:t xml:space="preserve">54% </w:t>
      </w:r>
      <w:r w:rsidR="004B78B2" w:rsidRPr="00DF58B9">
        <w:rPr>
          <w:rFonts w:cs="Arial"/>
          <w:lang w:val="fr-FR"/>
        </w:rPr>
        <w:t>de</w:t>
      </w:r>
      <w:r w:rsidRPr="00DF58B9">
        <w:rPr>
          <w:rFonts w:cs="Arial"/>
          <w:lang w:val="fr-FR"/>
        </w:rPr>
        <w:t xml:space="preserve"> la</w:t>
      </w:r>
      <w:r w:rsidR="0023064E" w:rsidRPr="00DF58B9">
        <w:rPr>
          <w:rFonts w:cs="Arial"/>
          <w:lang w:val="fr-FR"/>
        </w:rPr>
        <w:t xml:space="preserve"> COP11. </w:t>
      </w:r>
    </w:p>
    <w:p w:rsidR="0023064E" w:rsidRPr="00DF58B9" w:rsidRDefault="0023064E" w:rsidP="00A76467">
      <w:pPr>
        <w:pStyle w:val="ListParagraph"/>
        <w:spacing w:after="0" w:line="240" w:lineRule="auto"/>
        <w:ind w:left="426"/>
        <w:rPr>
          <w:rFonts w:cs="Arial"/>
          <w:lang w:val="fr-FR"/>
        </w:rPr>
      </w:pPr>
    </w:p>
    <w:p w:rsidR="00997ED8" w:rsidRPr="00DF58B9" w:rsidRDefault="004B78B2" w:rsidP="00A76467">
      <w:pPr>
        <w:pStyle w:val="ListParagraph"/>
        <w:numPr>
          <w:ilvl w:val="0"/>
          <w:numId w:val="25"/>
        </w:numPr>
        <w:spacing w:after="0" w:line="240" w:lineRule="auto"/>
        <w:ind w:left="426" w:hanging="426"/>
        <w:rPr>
          <w:rFonts w:cs="Arial"/>
          <w:lang w:val="fr-FR"/>
        </w:rPr>
      </w:pPr>
      <w:r w:rsidRPr="00DF58B9">
        <w:rPr>
          <w:rFonts w:cs="Arial"/>
          <w:lang w:val="fr-FR"/>
        </w:rPr>
        <w:t>Le p</w:t>
      </w:r>
      <w:r w:rsidR="00A6155E" w:rsidRPr="00DF58B9">
        <w:rPr>
          <w:rFonts w:cs="Arial"/>
          <w:lang w:val="fr-FR"/>
        </w:rPr>
        <w:t xml:space="preserve">lus préoccupant, cependant, </w:t>
      </w:r>
      <w:r w:rsidRPr="00DF58B9">
        <w:rPr>
          <w:rFonts w:cs="Arial"/>
          <w:lang w:val="fr-FR"/>
        </w:rPr>
        <w:t xml:space="preserve">ce </w:t>
      </w:r>
      <w:r w:rsidR="00A6155E" w:rsidRPr="00DF58B9">
        <w:rPr>
          <w:rFonts w:cs="Arial"/>
          <w:lang w:val="fr-FR"/>
        </w:rPr>
        <w:t xml:space="preserve">sont les pays qui n’ont aucun de ces mécanismes en place : </w:t>
      </w:r>
      <w:r w:rsidRPr="00DF58B9">
        <w:rPr>
          <w:rFonts w:cs="Arial"/>
          <w:lang w:val="fr-FR"/>
        </w:rPr>
        <w:t>ni</w:t>
      </w:r>
      <w:r w:rsidR="00A6155E" w:rsidRPr="00DF58B9">
        <w:rPr>
          <w:rFonts w:cs="Arial"/>
          <w:lang w:val="fr-FR"/>
        </w:rPr>
        <w:t xml:space="preserve"> Comité national Ramsar</w:t>
      </w:r>
      <w:r w:rsidRPr="00DF58B9">
        <w:rPr>
          <w:rFonts w:cs="Arial"/>
          <w:lang w:val="fr-FR"/>
        </w:rPr>
        <w:t>, ni</w:t>
      </w:r>
      <w:r w:rsidR="00A6155E" w:rsidRPr="00DF58B9">
        <w:rPr>
          <w:rFonts w:cs="Arial"/>
          <w:lang w:val="fr-FR"/>
        </w:rPr>
        <w:t xml:space="preserve"> mécanisme de communication fonctionnant à l’échelle des ministères, des services et des agences. L’analyse montre qu’en moyenne 19% des Parties qui soumettent </w:t>
      </w:r>
      <w:r w:rsidRPr="00DF58B9">
        <w:rPr>
          <w:rFonts w:cs="Arial"/>
          <w:lang w:val="fr-FR"/>
        </w:rPr>
        <w:t>un rapport national</w:t>
      </w:r>
      <w:r w:rsidR="00A6155E" w:rsidRPr="00DF58B9">
        <w:rPr>
          <w:rFonts w:cs="Arial"/>
          <w:lang w:val="fr-FR"/>
        </w:rPr>
        <w:t xml:space="preserve"> n’ont aucun de ces mécanismes. </w:t>
      </w:r>
    </w:p>
    <w:p w:rsidR="00993508" w:rsidRPr="00DF58B9" w:rsidRDefault="00993508" w:rsidP="009E36E7">
      <w:pPr>
        <w:spacing w:after="0" w:line="240" w:lineRule="auto"/>
        <w:rPr>
          <w:rFonts w:cs="Arial"/>
          <w:lang w:val="fr-FR"/>
        </w:rPr>
      </w:pPr>
    </w:p>
    <w:p w:rsidR="00997ED8" w:rsidRPr="00DF58B9" w:rsidRDefault="000D1AB7" w:rsidP="009E36E7">
      <w:pPr>
        <w:spacing w:after="0" w:line="240" w:lineRule="auto"/>
        <w:rPr>
          <w:rFonts w:cs="Arial"/>
          <w:b/>
          <w:lang w:val="fr-FR"/>
        </w:rPr>
      </w:pPr>
      <w:r w:rsidRPr="00DF58B9">
        <w:rPr>
          <w:rFonts w:cs="Arial"/>
          <w:b/>
          <w:lang w:val="fr-FR"/>
        </w:rPr>
        <w:t xml:space="preserve">Plans </w:t>
      </w:r>
      <w:r w:rsidR="00A6155E" w:rsidRPr="00DF58B9">
        <w:rPr>
          <w:rFonts w:cs="Arial"/>
          <w:b/>
          <w:lang w:val="fr-FR"/>
        </w:rPr>
        <w:t>et plans de</w:t>
      </w:r>
      <w:r w:rsidRPr="00DF58B9">
        <w:rPr>
          <w:rFonts w:cs="Arial"/>
          <w:b/>
          <w:lang w:val="fr-FR"/>
        </w:rPr>
        <w:t xml:space="preserve"> </w:t>
      </w:r>
      <w:r w:rsidR="00A33DB3" w:rsidRPr="00DF58B9">
        <w:rPr>
          <w:rFonts w:cs="Arial"/>
          <w:b/>
          <w:lang w:val="fr-FR"/>
        </w:rPr>
        <w:t>sect</w:t>
      </w:r>
      <w:r w:rsidR="00805DDC" w:rsidRPr="00DF58B9">
        <w:rPr>
          <w:rFonts w:cs="Arial"/>
          <w:b/>
          <w:lang w:val="fr-FR"/>
        </w:rPr>
        <w:t>eur</w:t>
      </w:r>
      <w:r w:rsidR="00997ED8" w:rsidRPr="00DF58B9">
        <w:rPr>
          <w:rFonts w:cs="Arial"/>
          <w:b/>
          <w:lang w:val="fr-FR"/>
        </w:rPr>
        <w:t xml:space="preserve"> </w:t>
      </w:r>
      <w:r w:rsidR="00A6155E" w:rsidRPr="00DF58B9">
        <w:rPr>
          <w:rFonts w:cs="Arial"/>
          <w:b/>
          <w:lang w:val="fr-FR"/>
        </w:rPr>
        <w:t>pour la CESP zones humides</w:t>
      </w:r>
    </w:p>
    <w:p w:rsidR="000A0707" w:rsidRPr="00DF58B9" w:rsidRDefault="000A0707" w:rsidP="009E36E7">
      <w:pPr>
        <w:spacing w:after="0" w:line="240" w:lineRule="auto"/>
        <w:rPr>
          <w:rFonts w:cs="Arial"/>
          <w:lang w:val="fr-FR"/>
        </w:rPr>
      </w:pPr>
    </w:p>
    <w:p w:rsidR="009A76F7" w:rsidRPr="00DF58B9" w:rsidRDefault="00020C4A" w:rsidP="00A76467">
      <w:pPr>
        <w:pStyle w:val="ListParagraph"/>
        <w:numPr>
          <w:ilvl w:val="0"/>
          <w:numId w:val="25"/>
        </w:numPr>
        <w:spacing w:after="0" w:line="240" w:lineRule="auto"/>
        <w:ind w:left="426" w:hanging="426"/>
        <w:rPr>
          <w:rFonts w:cs="Arial"/>
          <w:lang w:val="fr-FR"/>
        </w:rPr>
      </w:pPr>
      <w:r w:rsidRPr="00DF58B9">
        <w:rPr>
          <w:rFonts w:cs="Arial"/>
          <w:lang w:val="fr-FR"/>
        </w:rPr>
        <w:t>L’indicateur </w:t>
      </w:r>
      <w:r w:rsidR="00997ED8" w:rsidRPr="00DF58B9">
        <w:rPr>
          <w:rFonts w:cs="Arial"/>
          <w:lang w:val="fr-FR"/>
        </w:rPr>
        <w:t xml:space="preserve">4.1.1 </w:t>
      </w:r>
      <w:r w:rsidRPr="00DF58B9">
        <w:rPr>
          <w:rFonts w:cs="Arial"/>
          <w:lang w:val="fr-FR"/>
        </w:rPr>
        <w:t>demand</w:t>
      </w:r>
      <w:r w:rsidR="004B78B2" w:rsidRPr="00DF58B9">
        <w:rPr>
          <w:rFonts w:cs="Arial"/>
          <w:lang w:val="fr-FR"/>
        </w:rPr>
        <w:t>ait</w:t>
      </w:r>
      <w:r w:rsidRPr="00DF58B9">
        <w:rPr>
          <w:rFonts w:cs="Arial"/>
          <w:lang w:val="fr-FR"/>
        </w:rPr>
        <w:t xml:space="preserve"> aux Parties d’indiquer si elles ont un ou des plans d’action pour la CESP zones humides établis aux niveaux national, infranational, du bassin versant et </w:t>
      </w:r>
      <w:r w:rsidR="00805DDC" w:rsidRPr="00DF58B9">
        <w:rPr>
          <w:rFonts w:cs="Arial"/>
          <w:lang w:val="fr-FR"/>
        </w:rPr>
        <w:t xml:space="preserve">au niveau </w:t>
      </w:r>
      <w:r w:rsidRPr="00DF58B9">
        <w:rPr>
          <w:rFonts w:cs="Arial"/>
          <w:lang w:val="fr-FR"/>
        </w:rPr>
        <w:t>local/</w:t>
      </w:r>
      <w:r w:rsidR="00805DDC" w:rsidRPr="00DF58B9">
        <w:rPr>
          <w:rFonts w:cs="Arial"/>
          <w:lang w:val="fr-FR"/>
        </w:rPr>
        <w:t xml:space="preserve">de </w:t>
      </w:r>
      <w:r w:rsidRPr="00DF58B9">
        <w:rPr>
          <w:rFonts w:cs="Arial"/>
          <w:lang w:val="fr-FR"/>
        </w:rPr>
        <w:t>site</w:t>
      </w:r>
      <w:r w:rsidR="00805DDC" w:rsidRPr="00DF58B9">
        <w:rPr>
          <w:rFonts w:cs="Arial"/>
          <w:lang w:val="fr-FR"/>
        </w:rPr>
        <w:t>s</w:t>
      </w:r>
      <w:r w:rsidRPr="00DF58B9">
        <w:rPr>
          <w:rFonts w:cs="Arial"/>
          <w:lang w:val="fr-FR"/>
        </w:rPr>
        <w:t xml:space="preserve">. </w:t>
      </w:r>
      <w:r w:rsidR="00824244" w:rsidRPr="00DF58B9">
        <w:rPr>
          <w:rFonts w:cs="Arial"/>
          <w:lang w:val="fr-FR"/>
        </w:rPr>
        <w:t>27</w:t>
      </w:r>
      <w:r w:rsidR="00997ED8" w:rsidRPr="00DF58B9">
        <w:rPr>
          <w:rFonts w:cs="Arial"/>
          <w:lang w:val="fr-FR"/>
        </w:rPr>
        <w:t>%</w:t>
      </w:r>
      <w:r w:rsidR="009A76F7" w:rsidRPr="00DF58B9">
        <w:rPr>
          <w:rFonts w:cs="Arial"/>
          <w:lang w:val="fr-FR"/>
        </w:rPr>
        <w:t xml:space="preserve"> </w:t>
      </w:r>
      <w:r w:rsidRPr="00DF58B9">
        <w:rPr>
          <w:rFonts w:cs="Arial"/>
          <w:lang w:val="fr-FR"/>
        </w:rPr>
        <w:t xml:space="preserve">des Parties ont </w:t>
      </w:r>
      <w:r w:rsidR="00805DDC" w:rsidRPr="00DF58B9">
        <w:rPr>
          <w:rFonts w:cs="Arial"/>
          <w:lang w:val="fr-FR"/>
        </w:rPr>
        <w:t>déclaré</w:t>
      </w:r>
      <w:r w:rsidRPr="00DF58B9">
        <w:rPr>
          <w:rFonts w:cs="Arial"/>
          <w:lang w:val="fr-FR"/>
        </w:rPr>
        <w:t xml:space="preserve"> avoir un plan au niveau national et 16</w:t>
      </w:r>
      <w:r w:rsidR="009A76F7" w:rsidRPr="00DF58B9">
        <w:rPr>
          <w:rFonts w:cs="Arial"/>
          <w:lang w:val="fr-FR"/>
        </w:rPr>
        <w:t xml:space="preserve">% </w:t>
      </w:r>
      <w:r w:rsidRPr="00DF58B9">
        <w:rPr>
          <w:rFonts w:cs="Arial"/>
          <w:lang w:val="fr-FR"/>
        </w:rPr>
        <w:t xml:space="preserve">au niveau infranational. </w:t>
      </w:r>
      <w:r w:rsidR="00805DDC" w:rsidRPr="00DF58B9">
        <w:rPr>
          <w:rFonts w:cs="Arial"/>
          <w:lang w:val="fr-FR"/>
        </w:rPr>
        <w:t>15% ont déclaré avoir de tels plans a</w:t>
      </w:r>
      <w:r w:rsidRPr="00DF58B9">
        <w:rPr>
          <w:rFonts w:cs="Arial"/>
          <w:lang w:val="fr-FR"/>
        </w:rPr>
        <w:t>u niveau du bassin versant, tandis que</w:t>
      </w:r>
      <w:r w:rsidR="009A76F7" w:rsidRPr="00DF58B9">
        <w:rPr>
          <w:rFonts w:cs="Arial"/>
          <w:lang w:val="fr-FR"/>
        </w:rPr>
        <w:t xml:space="preserve"> 37</w:t>
      </w:r>
      <w:r w:rsidR="009A013C" w:rsidRPr="00DF58B9">
        <w:rPr>
          <w:rFonts w:cs="Arial"/>
          <w:lang w:val="fr-FR"/>
        </w:rPr>
        <w:t xml:space="preserve">% </w:t>
      </w:r>
      <w:r w:rsidR="00805DDC" w:rsidRPr="00DF58B9">
        <w:rPr>
          <w:rFonts w:cs="Arial"/>
          <w:lang w:val="fr-FR"/>
        </w:rPr>
        <w:t>ont indiqué avoir</w:t>
      </w:r>
      <w:r w:rsidRPr="00DF58B9">
        <w:rPr>
          <w:rFonts w:cs="Arial"/>
          <w:lang w:val="fr-FR"/>
        </w:rPr>
        <w:t xml:space="preserve"> un plan au niveau local/ d</w:t>
      </w:r>
      <w:r w:rsidR="00805DDC" w:rsidRPr="00DF58B9">
        <w:rPr>
          <w:rFonts w:cs="Arial"/>
          <w:lang w:val="fr-FR"/>
        </w:rPr>
        <w:t>e</w:t>
      </w:r>
      <w:r w:rsidRPr="00DF58B9">
        <w:rPr>
          <w:rFonts w:cs="Arial"/>
          <w:lang w:val="fr-FR"/>
        </w:rPr>
        <w:t xml:space="preserve"> site</w:t>
      </w:r>
      <w:r w:rsidR="00805DDC" w:rsidRPr="00DF58B9">
        <w:rPr>
          <w:rFonts w:cs="Arial"/>
          <w:lang w:val="fr-FR"/>
        </w:rPr>
        <w:t>s</w:t>
      </w:r>
      <w:r w:rsidRPr="00DF58B9">
        <w:rPr>
          <w:rFonts w:cs="Arial"/>
          <w:lang w:val="fr-FR"/>
        </w:rPr>
        <w:t>. Globalement, ces chiffres correspondent à une amélioration et montrent des progrès par rapport aux chiffres déclarés à la COP11. Au niveau d</w:t>
      </w:r>
      <w:r w:rsidR="00805DDC" w:rsidRPr="00DF58B9">
        <w:rPr>
          <w:rFonts w:cs="Arial"/>
          <w:lang w:val="fr-FR"/>
        </w:rPr>
        <w:t>es</w:t>
      </w:r>
      <w:r w:rsidRPr="00DF58B9">
        <w:rPr>
          <w:rFonts w:cs="Arial"/>
          <w:lang w:val="fr-FR"/>
        </w:rPr>
        <w:t xml:space="preserve"> site</w:t>
      </w:r>
      <w:r w:rsidR="00805DDC" w:rsidRPr="00DF58B9">
        <w:rPr>
          <w:rFonts w:cs="Arial"/>
          <w:lang w:val="fr-FR"/>
        </w:rPr>
        <w:t>s</w:t>
      </w:r>
      <w:r w:rsidRPr="00DF58B9">
        <w:rPr>
          <w:rFonts w:cs="Arial"/>
          <w:lang w:val="fr-FR"/>
        </w:rPr>
        <w:t xml:space="preserve">, il vaut la peine de mentionner que la majeure partie du travail de CESP est menée par les centres pour les zones humides </w:t>
      </w:r>
      <w:r w:rsidR="00805DDC" w:rsidRPr="00DF58B9">
        <w:rPr>
          <w:rFonts w:cs="Arial"/>
          <w:lang w:val="fr-FR"/>
        </w:rPr>
        <w:t xml:space="preserve">se trouvant </w:t>
      </w:r>
      <w:r w:rsidRPr="00DF58B9">
        <w:rPr>
          <w:rFonts w:cs="Arial"/>
          <w:lang w:val="fr-FR"/>
        </w:rPr>
        <w:t>dans les sites.</w:t>
      </w:r>
    </w:p>
    <w:p w:rsidR="005B286C" w:rsidRPr="00DF58B9" w:rsidRDefault="005B286C" w:rsidP="005B286C">
      <w:pPr>
        <w:pStyle w:val="ListParagraph"/>
        <w:spacing w:after="0" w:line="240" w:lineRule="auto"/>
        <w:ind w:left="426"/>
        <w:rPr>
          <w:rFonts w:cs="Arial"/>
          <w:lang w:val="fr-FR"/>
        </w:rPr>
      </w:pPr>
    </w:p>
    <w:p w:rsidR="005B286C" w:rsidRPr="00DF58B9" w:rsidRDefault="00805DDC" w:rsidP="005B286C">
      <w:pPr>
        <w:pStyle w:val="ListParagraph"/>
        <w:numPr>
          <w:ilvl w:val="0"/>
          <w:numId w:val="25"/>
        </w:numPr>
        <w:spacing w:after="0" w:line="240" w:lineRule="auto"/>
        <w:ind w:left="426" w:hanging="426"/>
        <w:rPr>
          <w:rFonts w:cs="Arial"/>
          <w:lang w:val="fr-FR"/>
        </w:rPr>
      </w:pPr>
      <w:r w:rsidRPr="00DF58B9">
        <w:rPr>
          <w:rFonts w:cs="Arial"/>
          <w:lang w:val="fr-FR"/>
        </w:rPr>
        <w:lastRenderedPageBreak/>
        <w:t>E</w:t>
      </w:r>
      <w:r w:rsidR="00404FF7" w:rsidRPr="00DF58B9">
        <w:rPr>
          <w:rFonts w:cs="Arial"/>
          <w:lang w:val="fr-FR"/>
        </w:rPr>
        <w:t>xemple d’initiative de CESP au niveau du bassin</w:t>
      </w:r>
      <w:r w:rsidRPr="00DF58B9">
        <w:rPr>
          <w:rFonts w:cs="Arial"/>
          <w:lang w:val="fr-FR"/>
        </w:rPr>
        <w:t> :</w:t>
      </w:r>
      <w:r w:rsidR="00404FF7" w:rsidRPr="00DF58B9">
        <w:rPr>
          <w:rFonts w:cs="Arial"/>
          <w:lang w:val="fr-FR"/>
        </w:rPr>
        <w:t xml:space="preserve"> la Commission des ressources en eau du </w:t>
      </w:r>
      <w:r w:rsidRPr="00DF58B9">
        <w:rPr>
          <w:rFonts w:cs="Arial"/>
          <w:lang w:val="fr-FR"/>
        </w:rPr>
        <w:t xml:space="preserve">fleuve </w:t>
      </w:r>
      <w:r w:rsidR="005B286C" w:rsidRPr="00DF58B9">
        <w:rPr>
          <w:rFonts w:cs="Arial"/>
          <w:lang w:val="fr-FR"/>
        </w:rPr>
        <w:t>Yangtze</w:t>
      </w:r>
      <w:r w:rsidR="00404FF7" w:rsidRPr="00DF58B9">
        <w:rPr>
          <w:rFonts w:cs="Arial"/>
          <w:lang w:val="fr-FR"/>
        </w:rPr>
        <w:t>, en Chine, renforce l</w:t>
      </w:r>
      <w:r w:rsidRPr="00DF58B9">
        <w:rPr>
          <w:rFonts w:cs="Arial"/>
          <w:lang w:val="fr-FR"/>
        </w:rPr>
        <w:t>es</w:t>
      </w:r>
      <w:r w:rsidR="00404FF7" w:rsidRPr="00DF58B9">
        <w:rPr>
          <w:rFonts w:cs="Arial"/>
          <w:lang w:val="fr-FR"/>
        </w:rPr>
        <w:t xml:space="preserve"> connaissance</w:t>
      </w:r>
      <w:r w:rsidRPr="00DF58B9">
        <w:rPr>
          <w:rFonts w:cs="Arial"/>
          <w:lang w:val="fr-FR"/>
        </w:rPr>
        <w:t>s</w:t>
      </w:r>
      <w:r w:rsidR="00404FF7" w:rsidRPr="00DF58B9">
        <w:rPr>
          <w:rFonts w:cs="Arial"/>
          <w:lang w:val="fr-FR"/>
        </w:rPr>
        <w:t xml:space="preserve"> du public </w:t>
      </w:r>
      <w:r w:rsidRPr="00DF58B9">
        <w:rPr>
          <w:rFonts w:cs="Arial"/>
          <w:lang w:val="fr-FR"/>
        </w:rPr>
        <w:t>en matière de</w:t>
      </w:r>
      <w:r w:rsidR="00404FF7" w:rsidRPr="00DF58B9">
        <w:rPr>
          <w:rFonts w:cs="Arial"/>
          <w:lang w:val="fr-FR"/>
        </w:rPr>
        <w:t xml:space="preserve"> gouvernance et de planification de bassins versants en prépar</w:t>
      </w:r>
      <w:r w:rsidR="003945AF" w:rsidRPr="00DF58B9">
        <w:rPr>
          <w:rFonts w:cs="Arial"/>
          <w:lang w:val="fr-FR"/>
        </w:rPr>
        <w:t>a</w:t>
      </w:r>
      <w:r w:rsidR="00404FF7" w:rsidRPr="00DF58B9">
        <w:rPr>
          <w:rFonts w:cs="Arial"/>
          <w:lang w:val="fr-FR"/>
        </w:rPr>
        <w:t xml:space="preserve">nt des plans d’éducation à l’environnement à moyen et long terme pour le fleuve </w:t>
      </w:r>
      <w:r w:rsidR="005B286C" w:rsidRPr="00DF58B9">
        <w:rPr>
          <w:rFonts w:cs="Arial"/>
          <w:lang w:val="fr-FR"/>
        </w:rPr>
        <w:t>Yangtze</w:t>
      </w:r>
      <w:r w:rsidR="00404FF7" w:rsidRPr="00DF58B9">
        <w:rPr>
          <w:rFonts w:cs="Arial"/>
          <w:lang w:val="fr-FR"/>
        </w:rPr>
        <w:t>, en organisa</w:t>
      </w:r>
      <w:r w:rsidR="003B55E2" w:rsidRPr="00DF58B9">
        <w:rPr>
          <w:rFonts w:cs="Arial"/>
          <w:lang w:val="fr-FR"/>
        </w:rPr>
        <w:t>nt</w:t>
      </w:r>
      <w:r w:rsidR="00404FF7" w:rsidRPr="00DF58B9">
        <w:rPr>
          <w:rFonts w:cs="Arial"/>
          <w:lang w:val="fr-FR"/>
        </w:rPr>
        <w:t xml:space="preserve"> le Forum de conservation du fleuve </w:t>
      </w:r>
      <w:r w:rsidR="005B286C" w:rsidRPr="00DF58B9">
        <w:rPr>
          <w:rFonts w:cs="Arial"/>
          <w:lang w:val="fr-FR"/>
        </w:rPr>
        <w:t xml:space="preserve">Yangtze </w:t>
      </w:r>
      <w:r w:rsidR="00404FF7" w:rsidRPr="00DF58B9">
        <w:rPr>
          <w:rFonts w:cs="Arial"/>
          <w:lang w:val="fr-FR"/>
        </w:rPr>
        <w:t xml:space="preserve">et en </w:t>
      </w:r>
      <w:r w:rsidRPr="00DF58B9">
        <w:rPr>
          <w:rFonts w:cs="Arial"/>
          <w:lang w:val="fr-FR"/>
        </w:rPr>
        <w:t>décernant</w:t>
      </w:r>
      <w:r w:rsidR="00404FF7" w:rsidRPr="00DF58B9">
        <w:rPr>
          <w:rFonts w:cs="Arial"/>
          <w:lang w:val="fr-FR"/>
        </w:rPr>
        <w:t xml:space="preserve"> le Prix </w:t>
      </w:r>
      <w:r w:rsidRPr="00DF58B9">
        <w:rPr>
          <w:rFonts w:cs="Arial"/>
          <w:lang w:val="fr-FR"/>
        </w:rPr>
        <w:t>des</w:t>
      </w:r>
      <w:r w:rsidR="00404FF7" w:rsidRPr="00DF58B9">
        <w:rPr>
          <w:rFonts w:cs="Arial"/>
          <w:lang w:val="fr-FR"/>
        </w:rPr>
        <w:t xml:space="preserve"> médias</w:t>
      </w:r>
      <w:r w:rsidR="00CD78F2" w:rsidRPr="00DF58B9">
        <w:rPr>
          <w:rFonts w:cs="Arial"/>
          <w:lang w:val="fr-FR"/>
        </w:rPr>
        <w:t xml:space="preserve"> </w:t>
      </w:r>
      <w:r w:rsidRPr="00DF58B9">
        <w:rPr>
          <w:rFonts w:cs="Arial"/>
          <w:lang w:val="fr-FR"/>
        </w:rPr>
        <w:t>pour le</w:t>
      </w:r>
      <w:r w:rsidR="00CD78F2" w:rsidRPr="00DF58B9">
        <w:rPr>
          <w:rFonts w:cs="Arial"/>
          <w:lang w:val="fr-FR"/>
        </w:rPr>
        <w:t xml:space="preserve"> fleuve Yangtze</w:t>
      </w:r>
      <w:r w:rsidR="00404FF7" w:rsidRPr="00DF58B9">
        <w:rPr>
          <w:rFonts w:cs="Arial"/>
          <w:lang w:val="fr-FR"/>
        </w:rPr>
        <w:t xml:space="preserve">. </w:t>
      </w:r>
    </w:p>
    <w:p w:rsidR="009A013C" w:rsidRPr="00DF58B9" w:rsidRDefault="009A013C" w:rsidP="00A76467">
      <w:pPr>
        <w:pStyle w:val="ListParagraph"/>
        <w:spacing w:after="0" w:line="240" w:lineRule="auto"/>
        <w:ind w:left="426"/>
        <w:rPr>
          <w:rFonts w:cs="Arial"/>
          <w:lang w:val="fr-FR"/>
        </w:rPr>
      </w:pPr>
    </w:p>
    <w:p w:rsidR="009A013C" w:rsidRPr="00DF58B9" w:rsidRDefault="00CD78F2" w:rsidP="00A76467">
      <w:pPr>
        <w:pStyle w:val="ListParagraph"/>
        <w:numPr>
          <w:ilvl w:val="0"/>
          <w:numId w:val="25"/>
        </w:numPr>
        <w:spacing w:after="0" w:line="240" w:lineRule="auto"/>
        <w:ind w:left="426" w:hanging="426"/>
        <w:rPr>
          <w:rFonts w:cs="Arial"/>
          <w:lang w:val="fr-FR"/>
        </w:rPr>
      </w:pPr>
      <w:r w:rsidRPr="00DF58B9">
        <w:rPr>
          <w:rFonts w:cs="Arial"/>
          <w:lang w:val="fr-FR"/>
        </w:rPr>
        <w:t>Les exemples d’activités de CESP au n</w:t>
      </w:r>
      <w:r w:rsidR="00A3091C" w:rsidRPr="00DF58B9">
        <w:rPr>
          <w:rFonts w:cs="Arial"/>
          <w:lang w:val="fr-FR"/>
        </w:rPr>
        <w:t>iveau d</w:t>
      </w:r>
      <w:r w:rsidR="00805DDC" w:rsidRPr="00DF58B9">
        <w:rPr>
          <w:rFonts w:cs="Arial"/>
          <w:lang w:val="fr-FR"/>
        </w:rPr>
        <w:t xml:space="preserve">e </w:t>
      </w:r>
      <w:r w:rsidR="00A3091C" w:rsidRPr="00DF58B9">
        <w:rPr>
          <w:rFonts w:cs="Arial"/>
          <w:lang w:val="fr-FR"/>
        </w:rPr>
        <w:t>site</w:t>
      </w:r>
      <w:r w:rsidR="00805DDC" w:rsidRPr="00DF58B9">
        <w:rPr>
          <w:rFonts w:cs="Arial"/>
          <w:lang w:val="fr-FR"/>
        </w:rPr>
        <w:t>s</w:t>
      </w:r>
      <w:r w:rsidR="00A3091C" w:rsidRPr="00DF58B9">
        <w:rPr>
          <w:rFonts w:cs="Arial"/>
          <w:lang w:val="fr-FR"/>
        </w:rPr>
        <w:t xml:space="preserve"> comprennent : </w:t>
      </w:r>
    </w:p>
    <w:p w:rsidR="009A013C" w:rsidRPr="00DF58B9" w:rsidRDefault="00805DDC" w:rsidP="00A76467">
      <w:pPr>
        <w:pStyle w:val="ListParagraph"/>
        <w:numPr>
          <w:ilvl w:val="0"/>
          <w:numId w:val="27"/>
        </w:numPr>
        <w:spacing w:after="0" w:line="240" w:lineRule="auto"/>
        <w:ind w:left="851" w:hanging="425"/>
        <w:rPr>
          <w:rFonts w:cs="Arial"/>
          <w:lang w:val="fr-FR"/>
        </w:rPr>
      </w:pPr>
      <w:r w:rsidRPr="00DF58B9">
        <w:rPr>
          <w:rFonts w:cs="Arial"/>
          <w:lang w:val="fr-FR"/>
        </w:rPr>
        <w:t>création</w:t>
      </w:r>
      <w:r w:rsidR="00A3091C" w:rsidRPr="00DF58B9">
        <w:rPr>
          <w:rFonts w:cs="Arial"/>
          <w:lang w:val="fr-FR"/>
        </w:rPr>
        <w:t xml:space="preserve"> de groupes de bénévoles locaux et sur les sites</w:t>
      </w:r>
      <w:r w:rsidR="000B235B" w:rsidRPr="00DF58B9">
        <w:rPr>
          <w:rFonts w:cs="Arial"/>
          <w:lang w:val="fr-FR"/>
        </w:rPr>
        <w:t>,</w:t>
      </w:r>
      <w:r w:rsidR="00A3091C" w:rsidRPr="00DF58B9">
        <w:rPr>
          <w:rFonts w:cs="Arial"/>
          <w:lang w:val="fr-FR"/>
        </w:rPr>
        <w:t xml:space="preserve"> et </w:t>
      </w:r>
      <w:r w:rsidRPr="00DF58B9">
        <w:rPr>
          <w:rFonts w:cs="Arial"/>
          <w:lang w:val="fr-FR"/>
        </w:rPr>
        <w:t xml:space="preserve">élaboration </w:t>
      </w:r>
      <w:r w:rsidR="00A3091C" w:rsidRPr="00DF58B9">
        <w:rPr>
          <w:rFonts w:cs="Arial"/>
          <w:lang w:val="fr-FR"/>
        </w:rPr>
        <w:t xml:space="preserve">d’un dossier CESP pour le Site Ramsar des zones humides du </w:t>
      </w:r>
      <w:r w:rsidR="009A013C" w:rsidRPr="00DF58B9">
        <w:rPr>
          <w:rFonts w:cs="Arial"/>
          <w:lang w:val="fr-FR"/>
        </w:rPr>
        <w:t xml:space="preserve">Kinabantangan – Segama </w:t>
      </w:r>
      <w:r w:rsidR="00A3091C" w:rsidRPr="00DF58B9">
        <w:rPr>
          <w:rFonts w:cs="Arial"/>
          <w:lang w:val="fr-FR"/>
        </w:rPr>
        <w:t xml:space="preserve">en Malaisie; et </w:t>
      </w:r>
    </w:p>
    <w:p w:rsidR="009A013C" w:rsidRPr="00DF58B9" w:rsidRDefault="00A3091C" w:rsidP="00A76467">
      <w:pPr>
        <w:pStyle w:val="ListParagraph"/>
        <w:numPr>
          <w:ilvl w:val="0"/>
          <w:numId w:val="27"/>
        </w:numPr>
        <w:spacing w:after="0" w:line="240" w:lineRule="auto"/>
        <w:ind w:left="851" w:hanging="425"/>
        <w:rPr>
          <w:rFonts w:cs="Arial"/>
          <w:lang w:val="fr-FR"/>
        </w:rPr>
      </w:pPr>
      <w:r w:rsidRPr="00DF58B9">
        <w:rPr>
          <w:rFonts w:cs="Arial"/>
          <w:lang w:val="fr-FR"/>
        </w:rPr>
        <w:t xml:space="preserve">ateliers et formation pour les administrateurs de zones humides </w:t>
      </w:r>
      <w:r w:rsidR="00805DDC" w:rsidRPr="00DF58B9">
        <w:rPr>
          <w:rFonts w:cs="Arial"/>
          <w:lang w:val="fr-FR"/>
        </w:rPr>
        <w:t xml:space="preserve">dans les Émirats arabes unis, </w:t>
      </w:r>
      <w:r w:rsidRPr="00DF58B9">
        <w:rPr>
          <w:rFonts w:cs="Arial"/>
          <w:lang w:val="fr-FR"/>
        </w:rPr>
        <w:t>au</w:t>
      </w:r>
      <w:r w:rsidR="00805DDC" w:rsidRPr="00DF58B9">
        <w:rPr>
          <w:rFonts w:cs="Arial"/>
          <w:lang w:val="fr-FR"/>
        </w:rPr>
        <w:t xml:space="preserve"> Liban, en RDP lao, en Thaïlande</w:t>
      </w:r>
      <w:r w:rsidRPr="00DF58B9">
        <w:rPr>
          <w:rFonts w:cs="Arial"/>
          <w:lang w:val="fr-FR"/>
        </w:rPr>
        <w:t xml:space="preserve"> et au Viet Nam.</w:t>
      </w:r>
    </w:p>
    <w:p w:rsidR="001B33B2" w:rsidRPr="00DF58B9" w:rsidRDefault="001B33B2" w:rsidP="009E36E7">
      <w:pPr>
        <w:spacing w:after="0" w:line="240" w:lineRule="auto"/>
        <w:rPr>
          <w:rFonts w:cs="Arial"/>
          <w:lang w:val="fr-FR"/>
        </w:rPr>
      </w:pPr>
    </w:p>
    <w:p w:rsidR="00806D50" w:rsidRPr="00DF58B9" w:rsidRDefault="00B336A8" w:rsidP="00A76467">
      <w:pPr>
        <w:pStyle w:val="ListParagraph"/>
        <w:numPr>
          <w:ilvl w:val="0"/>
          <w:numId w:val="25"/>
        </w:numPr>
        <w:spacing w:after="0" w:line="240" w:lineRule="auto"/>
        <w:ind w:left="426" w:hanging="426"/>
        <w:rPr>
          <w:rFonts w:cs="Arial"/>
          <w:lang w:val="fr-FR"/>
        </w:rPr>
      </w:pPr>
      <w:r w:rsidRPr="00DF58B9">
        <w:rPr>
          <w:rFonts w:cs="Arial"/>
          <w:lang w:val="fr-FR"/>
        </w:rPr>
        <w:t>Beaucoup de Parties d’Asie de l’Est et du Sud</w:t>
      </w:r>
      <w:r w:rsidRPr="00DF58B9">
        <w:rPr>
          <w:rFonts w:cs="Arial"/>
          <w:lang w:val="fr-FR"/>
        </w:rPr>
        <w:noBreakHyphen/>
        <w:t>Est ont mentionné que les formation</w:t>
      </w:r>
      <w:r w:rsidR="00805DDC" w:rsidRPr="00DF58B9">
        <w:rPr>
          <w:rFonts w:cs="Arial"/>
          <w:lang w:val="fr-FR"/>
        </w:rPr>
        <w:t>s</w:t>
      </w:r>
      <w:r w:rsidRPr="00DF58B9">
        <w:rPr>
          <w:rFonts w:cs="Arial"/>
          <w:lang w:val="fr-FR"/>
        </w:rPr>
        <w:t xml:space="preserve"> pour les administrateurs de sites ont été organisées par le Centre régional Ramsar. Au Japon, le Réseau Ramsar d’administrateurs de sites de</w:t>
      </w:r>
      <w:r w:rsidR="00806D50" w:rsidRPr="00DF58B9">
        <w:rPr>
          <w:rFonts w:cs="Arial"/>
          <w:lang w:val="fr-FR"/>
        </w:rPr>
        <w:t xml:space="preserve"> Hokkaido </w:t>
      </w:r>
      <w:r w:rsidRPr="00DF58B9">
        <w:rPr>
          <w:rFonts w:cs="Arial"/>
          <w:lang w:val="fr-FR"/>
        </w:rPr>
        <w:t xml:space="preserve">a organisé des conférences, des ateliers et des excursions comme </w:t>
      </w:r>
      <w:r w:rsidR="00805DDC" w:rsidRPr="00DF58B9">
        <w:rPr>
          <w:rFonts w:cs="Arial"/>
          <w:lang w:val="fr-FR"/>
        </w:rPr>
        <w:t xml:space="preserve">activités de </w:t>
      </w:r>
      <w:r w:rsidRPr="00DF58B9">
        <w:rPr>
          <w:rFonts w:cs="Arial"/>
          <w:lang w:val="fr-FR"/>
        </w:rPr>
        <w:t>formation pour les administrateurs de zones humides</w:t>
      </w:r>
      <w:r w:rsidR="00805DDC" w:rsidRPr="00DF58B9">
        <w:rPr>
          <w:rFonts w:cs="Arial"/>
          <w:lang w:val="fr-FR"/>
        </w:rPr>
        <w:t>,</w:t>
      </w:r>
      <w:r w:rsidRPr="00DF58B9">
        <w:rPr>
          <w:rFonts w:cs="Arial"/>
          <w:lang w:val="fr-FR"/>
        </w:rPr>
        <w:t xml:space="preserve"> à l’occasion de sa réunion générale annuelle. Au Kazakhstan, cinq cours de formation ont été organisés pour le personnel des sites dans le cadre d’une procédure de routine d’amélioration des compétences </w:t>
      </w:r>
      <w:r w:rsidR="00805DDC" w:rsidRPr="00DF58B9">
        <w:rPr>
          <w:rFonts w:cs="Arial"/>
          <w:lang w:val="fr-FR"/>
        </w:rPr>
        <w:t>du</w:t>
      </w:r>
      <w:r w:rsidRPr="00DF58B9">
        <w:rPr>
          <w:rFonts w:cs="Arial"/>
          <w:lang w:val="fr-FR"/>
        </w:rPr>
        <w:t xml:space="preserve"> personnel des aires protégées en gestion générale et questions de conservation. Une formation au niveau national a également été </w:t>
      </w:r>
      <w:r w:rsidR="00805DDC" w:rsidRPr="00DF58B9">
        <w:rPr>
          <w:rFonts w:cs="Arial"/>
          <w:lang w:val="fr-FR"/>
        </w:rPr>
        <w:t>assurée</w:t>
      </w:r>
      <w:r w:rsidRPr="00DF58B9">
        <w:rPr>
          <w:rFonts w:cs="Arial"/>
          <w:lang w:val="fr-FR"/>
        </w:rPr>
        <w:t xml:space="preserve"> en Thaïlande.</w:t>
      </w:r>
    </w:p>
    <w:p w:rsidR="00BD7298" w:rsidRPr="00DF58B9" w:rsidRDefault="00BD7298" w:rsidP="009E36E7">
      <w:pPr>
        <w:spacing w:after="0" w:line="240" w:lineRule="auto"/>
        <w:rPr>
          <w:rFonts w:cs="Arial"/>
          <w:highlight w:val="yellow"/>
          <w:lang w:val="fr-FR"/>
        </w:rPr>
      </w:pPr>
    </w:p>
    <w:p w:rsidR="00E0527E" w:rsidRPr="00DF58B9" w:rsidRDefault="00805DDC" w:rsidP="009E36E7">
      <w:pPr>
        <w:spacing w:after="0" w:line="240" w:lineRule="auto"/>
        <w:rPr>
          <w:rFonts w:cs="Arial"/>
          <w:b/>
          <w:lang w:val="fr-FR"/>
        </w:rPr>
      </w:pPr>
      <w:r w:rsidRPr="00DF58B9">
        <w:rPr>
          <w:rFonts w:cs="Arial"/>
          <w:b/>
          <w:lang w:val="fr-FR"/>
        </w:rPr>
        <w:t>Création</w:t>
      </w:r>
      <w:r w:rsidR="0044598D" w:rsidRPr="00DF58B9">
        <w:rPr>
          <w:rFonts w:cs="Arial"/>
          <w:b/>
          <w:lang w:val="fr-FR"/>
        </w:rPr>
        <w:t xml:space="preserve"> de centres d’éducation aux zones humides dans les Sites Ramsar et autres zones humides </w:t>
      </w:r>
    </w:p>
    <w:p w:rsidR="00FC4A38" w:rsidRPr="00DF58B9" w:rsidRDefault="00FC4A38" w:rsidP="009E36E7">
      <w:pPr>
        <w:spacing w:after="0" w:line="240" w:lineRule="auto"/>
        <w:rPr>
          <w:rFonts w:cs="Arial"/>
          <w:b/>
          <w:lang w:val="fr-FR"/>
        </w:rPr>
      </w:pPr>
    </w:p>
    <w:p w:rsidR="00E0527E" w:rsidRPr="00DF58B9" w:rsidRDefault="0044598D" w:rsidP="00A76467">
      <w:pPr>
        <w:pStyle w:val="ListParagraph"/>
        <w:numPr>
          <w:ilvl w:val="0"/>
          <w:numId w:val="25"/>
        </w:numPr>
        <w:spacing w:after="0" w:line="240" w:lineRule="auto"/>
        <w:ind w:left="426" w:hanging="426"/>
        <w:rPr>
          <w:rFonts w:cs="Arial"/>
          <w:lang w:val="fr-FR"/>
        </w:rPr>
      </w:pPr>
      <w:r w:rsidRPr="00DF58B9">
        <w:rPr>
          <w:rFonts w:cs="Arial"/>
          <w:lang w:val="fr-FR"/>
        </w:rPr>
        <w:t xml:space="preserve">Le Programme de CESP </w:t>
      </w:r>
      <w:r w:rsidR="00BB1E47" w:rsidRPr="00DF58B9">
        <w:rPr>
          <w:rFonts w:cs="Arial"/>
          <w:lang w:val="fr-FR"/>
        </w:rPr>
        <w:t>attache de l’</w:t>
      </w:r>
      <w:r w:rsidRPr="00DF58B9">
        <w:rPr>
          <w:rFonts w:cs="Arial"/>
          <w:lang w:val="fr-FR"/>
        </w:rPr>
        <w:t xml:space="preserve">importance aux centres pour les zones humides et encourage les Parties à soutenir le rôle des centres pour les zones humides en tant que catalyseurs et acteurs clés des activités de CESP qui soutiennent les objectifs </w:t>
      </w:r>
      <w:r w:rsidR="00BB1E47" w:rsidRPr="00DF58B9">
        <w:rPr>
          <w:rFonts w:cs="Arial"/>
          <w:lang w:val="fr-FR"/>
        </w:rPr>
        <w:t xml:space="preserve">de </w:t>
      </w:r>
      <w:r w:rsidRPr="00DF58B9">
        <w:rPr>
          <w:rFonts w:cs="Arial"/>
          <w:lang w:val="fr-FR"/>
        </w:rPr>
        <w:t xml:space="preserve">Ramsar. Il suggère également aux Parties d’encourager le développement de ces centres comme des lieux clés pour l’apprentissage et la formation aux zones humides et à la CESP relative aux zones humides et de soutenir leur participation à </w:t>
      </w:r>
      <w:r w:rsidR="00E0527E" w:rsidRPr="00DF58B9">
        <w:rPr>
          <w:rFonts w:cs="Arial"/>
          <w:lang w:val="fr-FR"/>
        </w:rPr>
        <w:t>Wetland Link International.</w:t>
      </w:r>
    </w:p>
    <w:p w:rsidR="005B286C" w:rsidRPr="00DF58B9" w:rsidRDefault="005B286C" w:rsidP="005B286C">
      <w:pPr>
        <w:pStyle w:val="ListParagraph"/>
        <w:spacing w:after="0" w:line="240" w:lineRule="auto"/>
        <w:ind w:left="426"/>
        <w:rPr>
          <w:rFonts w:cs="Arial"/>
          <w:lang w:val="fr-FR"/>
        </w:rPr>
      </w:pPr>
    </w:p>
    <w:p w:rsidR="005B286C" w:rsidRPr="00DF58B9" w:rsidRDefault="0044598D" w:rsidP="005B286C">
      <w:pPr>
        <w:pStyle w:val="ListParagraph"/>
        <w:numPr>
          <w:ilvl w:val="0"/>
          <w:numId w:val="25"/>
        </w:numPr>
        <w:spacing w:after="0" w:line="240" w:lineRule="auto"/>
        <w:ind w:left="426" w:hanging="426"/>
        <w:rPr>
          <w:rFonts w:cs="Arial"/>
          <w:lang w:val="fr-FR"/>
        </w:rPr>
      </w:pPr>
      <w:r w:rsidRPr="00DF58B9">
        <w:rPr>
          <w:rFonts w:cs="Arial"/>
          <w:lang w:val="fr-FR"/>
        </w:rPr>
        <w:t xml:space="preserve">Le réseau </w:t>
      </w:r>
      <w:r w:rsidR="005B286C" w:rsidRPr="00DF58B9">
        <w:rPr>
          <w:rFonts w:cs="Arial"/>
          <w:lang w:val="fr-FR"/>
        </w:rPr>
        <w:t xml:space="preserve">Wetland Link International </w:t>
      </w:r>
      <w:r w:rsidRPr="00DF58B9">
        <w:rPr>
          <w:rFonts w:cs="Arial"/>
          <w:lang w:val="fr-FR"/>
        </w:rPr>
        <w:t xml:space="preserve">de centres pour les zones humides est un réseau d’appui pour les centres d’éducation aux zones humides au sein du </w:t>
      </w:r>
      <w:r w:rsidR="005B286C" w:rsidRPr="00DF58B9">
        <w:rPr>
          <w:rFonts w:cs="Arial"/>
          <w:lang w:val="fr-FR"/>
        </w:rPr>
        <w:t xml:space="preserve">Wetlands &amp; Wildfowl Trust (WWT) </w:t>
      </w:r>
      <w:r w:rsidR="00397746" w:rsidRPr="00DF58B9">
        <w:rPr>
          <w:rFonts w:cs="Arial"/>
          <w:lang w:val="fr-FR"/>
        </w:rPr>
        <w:t>basé au Royaume-Uni. Un p</w:t>
      </w:r>
      <w:r w:rsidRPr="00DF58B9">
        <w:rPr>
          <w:rFonts w:cs="Arial"/>
          <w:lang w:val="fr-FR"/>
        </w:rPr>
        <w:t xml:space="preserve">rotocole d’accord a été signé entre le Secrétariat Ramsar et le réseau WLI en 2005 pour renforcer la relation de travail et ce protocole a été </w:t>
      </w:r>
      <w:r w:rsidR="00BB1E47" w:rsidRPr="00DF58B9">
        <w:rPr>
          <w:rFonts w:cs="Arial"/>
          <w:lang w:val="fr-FR"/>
        </w:rPr>
        <w:t>renforcé</w:t>
      </w:r>
      <w:r w:rsidRPr="00DF58B9">
        <w:rPr>
          <w:rFonts w:cs="Arial"/>
          <w:lang w:val="fr-FR"/>
        </w:rPr>
        <w:t xml:space="preserve"> en 2011 par un protocole de coopération avec le WWT reflétant une relation plus large en matière de conservation des zones humides, y compris à travers le WLI. La collaboration avec le WWT représente une plateforme importante de renforcement des capacités et le réseau continue de grandir depuis la COP11. Un</w:t>
      </w:r>
      <w:r w:rsidR="00BB1E47" w:rsidRPr="00DF58B9">
        <w:rPr>
          <w:rFonts w:cs="Arial"/>
          <w:lang w:val="fr-FR"/>
        </w:rPr>
        <w:t xml:space="preserve"> panorama</w:t>
      </w:r>
      <w:r w:rsidRPr="00DF58B9">
        <w:rPr>
          <w:rFonts w:cs="Arial"/>
          <w:lang w:val="fr-FR"/>
        </w:rPr>
        <w:t xml:space="preserve"> des activités entreprises peut être visionné à l’adresse </w:t>
      </w:r>
      <w:hyperlink r:id="rId12" w:history="1">
        <w:r w:rsidR="005B286C" w:rsidRPr="00DF58B9">
          <w:rPr>
            <w:rStyle w:val="Hyperlink"/>
            <w:rFonts w:cs="Arial"/>
            <w:lang w:val="fr-FR"/>
          </w:rPr>
          <w:t>wli.wwt.org.uk</w:t>
        </w:r>
      </w:hyperlink>
      <w:r w:rsidR="005B286C" w:rsidRPr="00DF58B9">
        <w:rPr>
          <w:rFonts w:cs="Arial"/>
          <w:lang w:val="fr-FR"/>
        </w:rPr>
        <w:t>.</w:t>
      </w:r>
    </w:p>
    <w:p w:rsidR="0097210F" w:rsidRPr="00DF58B9" w:rsidRDefault="0097210F" w:rsidP="00A76467">
      <w:pPr>
        <w:pStyle w:val="ListParagraph"/>
        <w:spacing w:after="0" w:line="240" w:lineRule="auto"/>
        <w:ind w:left="426"/>
        <w:rPr>
          <w:rFonts w:cs="Arial"/>
          <w:lang w:val="fr-FR"/>
        </w:rPr>
      </w:pPr>
    </w:p>
    <w:p w:rsidR="001B33B2" w:rsidRPr="00DF58B9" w:rsidRDefault="00F0042D" w:rsidP="00A76467">
      <w:pPr>
        <w:pStyle w:val="ListParagraph"/>
        <w:numPr>
          <w:ilvl w:val="0"/>
          <w:numId w:val="25"/>
        </w:numPr>
        <w:spacing w:after="0" w:line="240" w:lineRule="auto"/>
        <w:ind w:left="426" w:hanging="426"/>
        <w:rPr>
          <w:rFonts w:cs="Arial"/>
          <w:lang w:val="fr-FR"/>
        </w:rPr>
      </w:pPr>
      <w:r w:rsidRPr="00DF58B9">
        <w:rPr>
          <w:rFonts w:cs="Arial"/>
          <w:lang w:val="fr-FR"/>
        </w:rPr>
        <w:t>L’indicateur </w:t>
      </w:r>
      <w:r w:rsidR="00E0527E" w:rsidRPr="00DF58B9">
        <w:rPr>
          <w:rFonts w:cs="Arial"/>
          <w:lang w:val="fr-FR"/>
        </w:rPr>
        <w:t xml:space="preserve">4.1.2 </w:t>
      </w:r>
      <w:r w:rsidRPr="00DF58B9">
        <w:rPr>
          <w:rFonts w:cs="Arial"/>
          <w:lang w:val="fr-FR"/>
        </w:rPr>
        <w:t xml:space="preserve">examinait le nombre de centres pour les zones humides qui avaient été établis dans des Sites Ramsar et autres zones humides et il est évident, si l’on considère les réponses, que certaines Parties n’ont fait rapport que sur les Sites Ramsar tandis que d’autres ont fait rapport plus largement </w:t>
      </w:r>
      <w:r w:rsidR="00BB1E47" w:rsidRPr="00DF58B9">
        <w:rPr>
          <w:rFonts w:cs="Arial"/>
          <w:lang w:val="fr-FR"/>
        </w:rPr>
        <w:t>pour</w:t>
      </w:r>
      <w:r w:rsidRPr="00DF58B9">
        <w:rPr>
          <w:rFonts w:cs="Arial"/>
          <w:lang w:val="fr-FR"/>
        </w:rPr>
        <w:t xml:space="preserve"> toutes les zones humides, ce qui rend la réalisation d’une vue d’ensemble commune difficile. En outre, quelques Parties ont signalé l’existence de nombreux centres dans le champ de texte sans fournir de données numériques.</w:t>
      </w:r>
      <w:r w:rsidR="0035043C" w:rsidRPr="00DF58B9">
        <w:rPr>
          <w:rFonts w:cs="Arial"/>
          <w:lang w:val="fr-FR"/>
        </w:rPr>
        <w:t xml:space="preserve"> </w:t>
      </w:r>
    </w:p>
    <w:p w:rsidR="00985619" w:rsidRPr="00DF58B9" w:rsidRDefault="00985619" w:rsidP="00A76467">
      <w:pPr>
        <w:pStyle w:val="ListParagraph"/>
        <w:spacing w:after="0" w:line="240" w:lineRule="auto"/>
        <w:ind w:left="426"/>
        <w:rPr>
          <w:rFonts w:cs="Arial"/>
          <w:lang w:val="fr-FR"/>
        </w:rPr>
      </w:pPr>
    </w:p>
    <w:p w:rsidR="00E0527E" w:rsidRDefault="00CC25FB" w:rsidP="00A76467">
      <w:pPr>
        <w:pStyle w:val="ListParagraph"/>
        <w:numPr>
          <w:ilvl w:val="0"/>
          <w:numId w:val="25"/>
        </w:numPr>
        <w:spacing w:after="0" w:line="240" w:lineRule="auto"/>
        <w:ind w:left="426" w:hanging="426"/>
        <w:rPr>
          <w:rFonts w:cs="Arial"/>
          <w:lang w:val="fr-FR"/>
        </w:rPr>
      </w:pPr>
      <w:r w:rsidRPr="00DF58B9">
        <w:rPr>
          <w:rFonts w:cs="Arial"/>
          <w:lang w:val="fr-FR"/>
        </w:rPr>
        <w:t>De nombreuses</w:t>
      </w:r>
      <w:r w:rsidR="00F0042D" w:rsidRPr="00DF58B9">
        <w:rPr>
          <w:rFonts w:cs="Arial"/>
          <w:lang w:val="fr-FR"/>
        </w:rPr>
        <w:t xml:space="preserve"> Parties ont signalé</w:t>
      </w:r>
      <w:r w:rsidR="00277CEA" w:rsidRPr="00DF58B9">
        <w:rPr>
          <w:rFonts w:cs="Arial"/>
          <w:lang w:val="fr-FR"/>
        </w:rPr>
        <w:t>,</w:t>
      </w:r>
      <w:r w:rsidR="00F0042D" w:rsidRPr="00DF58B9">
        <w:rPr>
          <w:rFonts w:cs="Arial"/>
          <w:lang w:val="fr-FR"/>
        </w:rPr>
        <w:t xml:space="preserve"> dans les champs de texte</w:t>
      </w:r>
      <w:r w:rsidR="00277CEA" w:rsidRPr="00DF58B9">
        <w:rPr>
          <w:rFonts w:cs="Arial"/>
          <w:lang w:val="fr-FR"/>
        </w:rPr>
        <w:t>,</w:t>
      </w:r>
      <w:r w:rsidR="00F0042D" w:rsidRPr="00DF58B9">
        <w:rPr>
          <w:rFonts w:cs="Arial"/>
          <w:lang w:val="fr-FR"/>
        </w:rPr>
        <w:t xml:space="preserve"> que beaucoup de centres étaient situés dans les </w:t>
      </w:r>
      <w:r w:rsidR="00207B22" w:rsidRPr="00DF58B9">
        <w:rPr>
          <w:rFonts w:cs="Arial"/>
          <w:lang w:val="fr-FR"/>
        </w:rPr>
        <w:t>p</w:t>
      </w:r>
      <w:r w:rsidR="00F0042D" w:rsidRPr="00DF58B9">
        <w:rPr>
          <w:rFonts w:cs="Arial"/>
          <w:lang w:val="fr-FR"/>
        </w:rPr>
        <w:t xml:space="preserve">arcs nationaux et que, </w:t>
      </w:r>
      <w:r w:rsidR="00277CEA" w:rsidRPr="00DF58B9">
        <w:rPr>
          <w:rFonts w:cs="Arial"/>
          <w:lang w:val="fr-FR"/>
        </w:rPr>
        <w:t xml:space="preserve">même </w:t>
      </w:r>
      <w:r w:rsidR="00F0042D" w:rsidRPr="00DF58B9">
        <w:rPr>
          <w:rFonts w:cs="Arial"/>
          <w:lang w:val="fr-FR"/>
        </w:rPr>
        <w:t xml:space="preserve">si certains </w:t>
      </w:r>
      <w:r w:rsidR="00277CEA" w:rsidRPr="00DF58B9">
        <w:rPr>
          <w:rFonts w:cs="Arial"/>
          <w:lang w:val="fr-FR"/>
        </w:rPr>
        <w:t>sont</w:t>
      </w:r>
      <w:r w:rsidR="00F0042D" w:rsidRPr="00DF58B9">
        <w:rPr>
          <w:rFonts w:cs="Arial"/>
          <w:lang w:val="fr-FR"/>
        </w:rPr>
        <w:t xml:space="preserve"> </w:t>
      </w:r>
      <w:r w:rsidR="00277CEA" w:rsidRPr="00DF58B9">
        <w:rPr>
          <w:rFonts w:cs="Arial"/>
          <w:lang w:val="fr-FR"/>
        </w:rPr>
        <w:t xml:space="preserve">dans </w:t>
      </w:r>
      <w:r w:rsidR="00F0042D" w:rsidRPr="00DF58B9">
        <w:rPr>
          <w:rFonts w:cs="Arial"/>
          <w:lang w:val="fr-FR"/>
        </w:rPr>
        <w:t xml:space="preserve">des Sites Ramsar, les centres sont construits et entretenus par le réseau des </w:t>
      </w:r>
      <w:r w:rsidR="00207B22" w:rsidRPr="00DF58B9">
        <w:rPr>
          <w:rFonts w:cs="Arial"/>
          <w:lang w:val="fr-FR"/>
        </w:rPr>
        <w:t>p</w:t>
      </w:r>
      <w:r w:rsidR="00F0042D" w:rsidRPr="00DF58B9">
        <w:rPr>
          <w:rFonts w:cs="Arial"/>
          <w:lang w:val="fr-FR"/>
        </w:rPr>
        <w:t xml:space="preserve">arcs nationaux. </w:t>
      </w:r>
      <w:r w:rsidR="00277CEA" w:rsidRPr="00DF58B9">
        <w:rPr>
          <w:rFonts w:cs="Arial"/>
          <w:lang w:val="fr-FR"/>
        </w:rPr>
        <w:t>L</w:t>
      </w:r>
      <w:r w:rsidR="00F0042D" w:rsidRPr="00DF58B9">
        <w:rPr>
          <w:rFonts w:cs="Arial"/>
          <w:lang w:val="fr-FR"/>
        </w:rPr>
        <w:t xml:space="preserve">es Parties et les Correspondants nationaux CESP en particulier, </w:t>
      </w:r>
      <w:r w:rsidR="00277CEA" w:rsidRPr="00DF58B9">
        <w:rPr>
          <w:rFonts w:cs="Arial"/>
          <w:lang w:val="fr-FR"/>
        </w:rPr>
        <w:t xml:space="preserve">doivent encore relever le défi </w:t>
      </w:r>
      <w:r w:rsidR="00F0042D" w:rsidRPr="00DF58B9">
        <w:rPr>
          <w:rFonts w:cs="Arial"/>
          <w:lang w:val="fr-FR"/>
        </w:rPr>
        <w:t xml:space="preserve">de soutenir et </w:t>
      </w:r>
      <w:r w:rsidR="00F0042D" w:rsidRPr="00DF58B9">
        <w:rPr>
          <w:rFonts w:cs="Arial"/>
          <w:lang w:val="fr-FR"/>
        </w:rPr>
        <w:lastRenderedPageBreak/>
        <w:t xml:space="preserve">d’encourager les centres à produire du matériel pertinent et à mener des activités </w:t>
      </w:r>
      <w:r w:rsidR="00277CEA" w:rsidRPr="00DF58B9">
        <w:rPr>
          <w:rFonts w:cs="Arial"/>
          <w:lang w:val="fr-FR"/>
        </w:rPr>
        <w:t>qui soutiennent</w:t>
      </w:r>
      <w:r w:rsidR="00F0042D" w:rsidRPr="00DF58B9">
        <w:rPr>
          <w:rFonts w:cs="Arial"/>
          <w:lang w:val="fr-FR"/>
        </w:rPr>
        <w:t xml:space="preserve"> l’utilisation rationnelle des zones humides, diffus</w:t>
      </w:r>
      <w:r w:rsidR="00277CEA" w:rsidRPr="00DF58B9">
        <w:rPr>
          <w:rFonts w:cs="Arial"/>
          <w:lang w:val="fr-FR"/>
        </w:rPr>
        <w:t>e</w:t>
      </w:r>
      <w:r w:rsidR="00F0042D" w:rsidRPr="00DF58B9">
        <w:rPr>
          <w:rFonts w:cs="Arial"/>
          <w:lang w:val="fr-FR"/>
        </w:rPr>
        <w:t xml:space="preserve">nt des messages clés </w:t>
      </w:r>
      <w:r w:rsidR="00277CEA" w:rsidRPr="00DF58B9">
        <w:rPr>
          <w:rFonts w:cs="Arial"/>
          <w:lang w:val="fr-FR"/>
        </w:rPr>
        <w:t>sur</w:t>
      </w:r>
      <w:r w:rsidR="00F0042D" w:rsidRPr="00DF58B9">
        <w:rPr>
          <w:rFonts w:cs="Arial"/>
          <w:lang w:val="fr-FR"/>
        </w:rPr>
        <w:t xml:space="preserve"> les zones humides intéressant les visiteurs et </w:t>
      </w:r>
      <w:r w:rsidR="00277CEA" w:rsidRPr="00DF58B9">
        <w:rPr>
          <w:rFonts w:cs="Arial"/>
          <w:lang w:val="fr-FR"/>
        </w:rPr>
        <w:t xml:space="preserve">fassent </w:t>
      </w:r>
      <w:r w:rsidR="00F0042D" w:rsidRPr="00DF58B9">
        <w:rPr>
          <w:rFonts w:cs="Arial"/>
          <w:lang w:val="fr-FR"/>
        </w:rPr>
        <w:t xml:space="preserve">mieux connaître </w:t>
      </w:r>
      <w:r w:rsidR="00277CEA" w:rsidRPr="00DF58B9">
        <w:rPr>
          <w:rFonts w:cs="Arial"/>
          <w:lang w:val="fr-FR"/>
        </w:rPr>
        <w:t xml:space="preserve">la Convention </w:t>
      </w:r>
      <w:r w:rsidR="00F0042D" w:rsidRPr="00DF58B9">
        <w:rPr>
          <w:rFonts w:cs="Arial"/>
          <w:lang w:val="fr-FR"/>
        </w:rPr>
        <w:t>de Ramsar.</w:t>
      </w:r>
    </w:p>
    <w:p w:rsidR="00DF58B9" w:rsidRDefault="00DF58B9" w:rsidP="00DF58B9">
      <w:pPr>
        <w:pStyle w:val="ListParagraph"/>
        <w:spacing w:after="0" w:line="240" w:lineRule="auto"/>
        <w:ind w:left="426"/>
        <w:rPr>
          <w:rFonts w:cs="Arial"/>
          <w:lang w:val="fr-FR"/>
        </w:rPr>
      </w:pPr>
    </w:p>
    <w:p w:rsidR="00DF58B9" w:rsidRPr="00DF58B9" w:rsidRDefault="00DF58B9" w:rsidP="00A76467">
      <w:pPr>
        <w:pStyle w:val="ListParagraph"/>
        <w:numPr>
          <w:ilvl w:val="0"/>
          <w:numId w:val="25"/>
        </w:numPr>
        <w:spacing w:after="0" w:line="240" w:lineRule="auto"/>
        <w:ind w:left="426" w:hanging="426"/>
        <w:rPr>
          <w:rFonts w:cs="Arial"/>
          <w:lang w:val="fr-FR"/>
        </w:rPr>
      </w:pPr>
      <w:r>
        <w:rPr>
          <w:rFonts w:cs="Arial"/>
          <w:lang w:val="fr-FR"/>
        </w:rPr>
        <w:t>En chine, il est prévu que les Sites Ramsar établissent des centres d’éducation en vertu de leurs plans directeurs ou de gestion. Dans le 12</w:t>
      </w:r>
      <w:r w:rsidRPr="00DF58B9">
        <w:rPr>
          <w:rFonts w:cs="Arial"/>
          <w:vertAlign w:val="superscript"/>
          <w:lang w:val="fr-FR"/>
        </w:rPr>
        <w:t>e</w:t>
      </w:r>
      <w:r>
        <w:rPr>
          <w:rFonts w:cs="Arial"/>
          <w:lang w:val="fr-FR"/>
        </w:rPr>
        <w:t xml:space="preserve"> Plan quinquennal du pays pour ‘la mise en œuvre  du Programme national pour la conservation des zones humides (2011-2015), il est prévu que des</w:t>
      </w:r>
      <w:r w:rsidRPr="00DF58B9">
        <w:rPr>
          <w:rFonts w:cs="Arial"/>
          <w:lang w:val="fr-FR"/>
        </w:rPr>
        <w:t xml:space="preserve"> </w:t>
      </w:r>
      <w:r>
        <w:rPr>
          <w:rFonts w:cs="Arial"/>
          <w:lang w:val="fr-FR"/>
        </w:rPr>
        <w:t>centres d’éducation aux zones humides seront établis ou modernisés dans 10 sites de zones humides. Outre les centres parrainés par le gouvernement, les ONG ont aussi créé des centres dans certaines zones humides et dans certains Sites Ramsar.</w:t>
      </w:r>
    </w:p>
    <w:p w:rsidR="003C7232" w:rsidRPr="00DF58B9" w:rsidRDefault="003C7232" w:rsidP="00A76467">
      <w:pPr>
        <w:pStyle w:val="ListParagraph"/>
        <w:spacing w:after="0" w:line="240" w:lineRule="auto"/>
        <w:ind w:left="426"/>
        <w:rPr>
          <w:rFonts w:cs="Arial"/>
          <w:lang w:val="fr-FR"/>
        </w:rPr>
      </w:pPr>
    </w:p>
    <w:p w:rsidR="00E0527E" w:rsidRPr="00DF58B9" w:rsidRDefault="00F0042D" w:rsidP="009E36E7">
      <w:pPr>
        <w:spacing w:after="0" w:line="240" w:lineRule="auto"/>
        <w:rPr>
          <w:rFonts w:cs="Arial"/>
          <w:b/>
          <w:lang w:val="fr-FR"/>
        </w:rPr>
      </w:pPr>
      <w:r w:rsidRPr="00DF58B9">
        <w:rPr>
          <w:rFonts w:cs="Arial"/>
          <w:b/>
          <w:lang w:val="fr-FR"/>
        </w:rPr>
        <w:t xml:space="preserve">Participation du public à la prise de décisions concernant les zones humides </w:t>
      </w:r>
    </w:p>
    <w:p w:rsidR="000A0707" w:rsidRPr="00DF58B9" w:rsidRDefault="000A0707" w:rsidP="009E36E7">
      <w:pPr>
        <w:spacing w:after="0" w:line="240" w:lineRule="auto"/>
        <w:rPr>
          <w:rFonts w:cs="Arial"/>
          <w:b/>
          <w:lang w:val="fr-FR"/>
        </w:rPr>
      </w:pPr>
    </w:p>
    <w:p w:rsidR="00E0527E" w:rsidRPr="00DF58B9" w:rsidRDefault="005A79FA" w:rsidP="007B47B6">
      <w:pPr>
        <w:pStyle w:val="ListParagraph"/>
        <w:numPr>
          <w:ilvl w:val="0"/>
          <w:numId w:val="25"/>
        </w:numPr>
        <w:spacing w:after="0" w:line="240" w:lineRule="auto"/>
        <w:ind w:left="426" w:hanging="426"/>
        <w:rPr>
          <w:rFonts w:cs="Arial"/>
          <w:lang w:val="fr-FR"/>
        </w:rPr>
      </w:pPr>
      <w:r w:rsidRPr="00DF58B9">
        <w:rPr>
          <w:rFonts w:cs="Arial"/>
          <w:lang w:val="fr-FR"/>
        </w:rPr>
        <w:t>Pour de nombreuses questions relatives à la mise en œuvre de la Convention, l</w:t>
      </w:r>
      <w:r w:rsidR="00F0042D" w:rsidRPr="00DF58B9">
        <w:rPr>
          <w:rFonts w:cs="Arial"/>
          <w:lang w:val="fr-FR"/>
        </w:rPr>
        <w:t>’importance de la participation</w:t>
      </w:r>
      <w:r w:rsidRPr="00DF58B9">
        <w:rPr>
          <w:rFonts w:cs="Arial"/>
          <w:lang w:val="fr-FR"/>
        </w:rPr>
        <w:t>,</w:t>
      </w:r>
      <w:r w:rsidR="00F0042D" w:rsidRPr="00DF58B9">
        <w:rPr>
          <w:rFonts w:cs="Arial"/>
          <w:lang w:val="fr-FR"/>
        </w:rPr>
        <w:t xml:space="preserve"> en tant que processus</w:t>
      </w:r>
      <w:r w:rsidRPr="00DF58B9">
        <w:rPr>
          <w:rFonts w:cs="Arial"/>
          <w:lang w:val="fr-FR"/>
        </w:rPr>
        <w:t>,</w:t>
      </w:r>
      <w:r w:rsidR="00F0042D" w:rsidRPr="00DF58B9">
        <w:rPr>
          <w:rFonts w:cs="Arial"/>
          <w:lang w:val="fr-FR"/>
        </w:rPr>
        <w:t xml:space="preserve"> est reflétée implicitement dans l’acronyme CESP. Au niveau mondial, </w:t>
      </w:r>
      <w:r w:rsidR="00363D21" w:rsidRPr="00DF58B9">
        <w:rPr>
          <w:rFonts w:cs="Arial"/>
          <w:lang w:val="fr-FR"/>
        </w:rPr>
        <w:t>75%</w:t>
      </w:r>
      <w:r w:rsidR="00FF7A88" w:rsidRPr="00DF58B9">
        <w:rPr>
          <w:rFonts w:cs="Arial"/>
          <w:lang w:val="fr-FR"/>
        </w:rPr>
        <w:t xml:space="preserve"> </w:t>
      </w:r>
      <w:r w:rsidR="00F0042D" w:rsidRPr="00DF58B9">
        <w:rPr>
          <w:rFonts w:cs="Arial"/>
          <w:lang w:val="fr-FR"/>
        </w:rPr>
        <w:t>des</w:t>
      </w:r>
      <w:r w:rsidR="00E0527E" w:rsidRPr="00DF58B9">
        <w:rPr>
          <w:rFonts w:cs="Arial"/>
          <w:lang w:val="fr-FR"/>
        </w:rPr>
        <w:t xml:space="preserve"> Parties </w:t>
      </w:r>
      <w:r w:rsidR="00F0042D" w:rsidRPr="00DF58B9">
        <w:rPr>
          <w:rFonts w:cs="Arial"/>
          <w:lang w:val="fr-FR"/>
        </w:rPr>
        <w:t>ont répondu qu’elles avaient encouragé la participation à la planification et à la gestion des zones humides</w:t>
      </w:r>
      <w:r w:rsidRPr="00DF58B9">
        <w:rPr>
          <w:rFonts w:cs="Arial"/>
          <w:lang w:val="fr-FR"/>
        </w:rPr>
        <w:t>. Cependant,</w:t>
      </w:r>
      <w:r w:rsidR="00F0042D" w:rsidRPr="00DF58B9">
        <w:rPr>
          <w:rFonts w:cs="Arial"/>
          <w:lang w:val="fr-FR"/>
        </w:rPr>
        <w:t xml:space="preserve"> l’Asie </w:t>
      </w:r>
      <w:r w:rsidRPr="00DF58B9">
        <w:rPr>
          <w:rFonts w:cs="Arial"/>
          <w:lang w:val="fr-FR"/>
        </w:rPr>
        <w:t>donne</w:t>
      </w:r>
      <w:r w:rsidR="00F0042D" w:rsidRPr="00DF58B9">
        <w:rPr>
          <w:rFonts w:cs="Arial"/>
          <w:lang w:val="fr-FR"/>
        </w:rPr>
        <w:t xml:space="preserve"> un pourcentage beaucoup plus faible (</w:t>
      </w:r>
      <w:r w:rsidR="00E0527E" w:rsidRPr="00DF58B9">
        <w:rPr>
          <w:rFonts w:cs="Arial"/>
          <w:lang w:val="fr-FR"/>
        </w:rPr>
        <w:t>43%</w:t>
      </w:r>
      <w:r w:rsidR="00F0042D" w:rsidRPr="00DF58B9">
        <w:rPr>
          <w:rFonts w:cs="Arial"/>
          <w:lang w:val="fr-FR"/>
        </w:rPr>
        <w:t xml:space="preserve">) et les Amériques </w:t>
      </w:r>
      <w:r w:rsidRPr="00DF58B9">
        <w:rPr>
          <w:rFonts w:cs="Arial"/>
          <w:lang w:val="fr-FR"/>
        </w:rPr>
        <w:t xml:space="preserve">un pourcentage </w:t>
      </w:r>
      <w:r w:rsidR="00F0042D" w:rsidRPr="00DF58B9">
        <w:rPr>
          <w:rFonts w:cs="Arial"/>
          <w:lang w:val="fr-FR"/>
        </w:rPr>
        <w:t>beaucoup plus élevé que la moyenne (</w:t>
      </w:r>
      <w:r w:rsidR="00E0527E" w:rsidRPr="00DF58B9">
        <w:rPr>
          <w:rFonts w:cs="Arial"/>
          <w:lang w:val="fr-FR"/>
        </w:rPr>
        <w:t>84%</w:t>
      </w:r>
      <w:r w:rsidR="00F0042D" w:rsidRPr="00DF58B9">
        <w:rPr>
          <w:rFonts w:cs="Arial"/>
          <w:lang w:val="fr-FR"/>
        </w:rPr>
        <w:t>)</w:t>
      </w:r>
      <w:r w:rsidR="00E0527E" w:rsidRPr="00DF58B9">
        <w:rPr>
          <w:rFonts w:cs="Arial"/>
          <w:lang w:val="fr-FR"/>
        </w:rPr>
        <w:t xml:space="preserve">. </w:t>
      </w:r>
      <w:r w:rsidRPr="00DF58B9">
        <w:rPr>
          <w:rFonts w:cs="Arial"/>
          <w:lang w:val="fr-FR"/>
        </w:rPr>
        <w:t xml:space="preserve">Pour un </w:t>
      </w:r>
      <w:r w:rsidR="00F0042D" w:rsidRPr="00DF58B9">
        <w:rPr>
          <w:rFonts w:cs="Arial"/>
          <w:lang w:val="fr-FR"/>
        </w:rPr>
        <w:t>pourcentage important de Parties</w:t>
      </w:r>
      <w:r w:rsidRPr="00DF58B9">
        <w:rPr>
          <w:rFonts w:cs="Arial"/>
          <w:lang w:val="fr-FR"/>
        </w:rPr>
        <w:t xml:space="preserve"> (20% )</w:t>
      </w:r>
      <w:r w:rsidR="00F0042D" w:rsidRPr="00DF58B9">
        <w:rPr>
          <w:rFonts w:cs="Arial"/>
          <w:lang w:val="fr-FR"/>
        </w:rPr>
        <w:t xml:space="preserve"> au plan mondial</w:t>
      </w:r>
      <w:r w:rsidRPr="00DF58B9">
        <w:rPr>
          <w:rFonts w:cs="Arial"/>
          <w:lang w:val="fr-FR"/>
        </w:rPr>
        <w:t>, la réponse à cette question était</w:t>
      </w:r>
      <w:r w:rsidR="00F0042D" w:rsidRPr="00DF58B9">
        <w:rPr>
          <w:rFonts w:cs="Arial"/>
          <w:lang w:val="fr-FR"/>
        </w:rPr>
        <w:t xml:space="preserve"> « en partie ». Il s’agit là d’une réponse très positive bien que la prudence soit de mise car </w:t>
      </w:r>
      <w:r w:rsidRPr="00DF58B9">
        <w:rPr>
          <w:rFonts w:cs="Arial"/>
          <w:lang w:val="fr-FR"/>
        </w:rPr>
        <w:t xml:space="preserve">l’interprétation de </w:t>
      </w:r>
      <w:r w:rsidR="00F0042D" w:rsidRPr="00DF58B9">
        <w:rPr>
          <w:rFonts w:cs="Arial"/>
          <w:lang w:val="fr-FR"/>
        </w:rPr>
        <w:t xml:space="preserve">« participation » peut être plutôt </w:t>
      </w:r>
      <w:r w:rsidR="000B235B" w:rsidRPr="00DF58B9">
        <w:rPr>
          <w:rFonts w:cs="Arial"/>
          <w:lang w:val="fr-FR"/>
        </w:rPr>
        <w:t>subjective</w:t>
      </w:r>
      <w:r w:rsidR="00F0042D" w:rsidRPr="00DF58B9">
        <w:rPr>
          <w:rFonts w:cs="Arial"/>
          <w:lang w:val="fr-FR"/>
        </w:rPr>
        <w:t xml:space="preserve">. </w:t>
      </w:r>
    </w:p>
    <w:p w:rsidR="00FF7A88" w:rsidRPr="00DF58B9" w:rsidRDefault="00FF7A88" w:rsidP="007B47B6">
      <w:pPr>
        <w:pStyle w:val="ListParagraph"/>
        <w:spacing w:after="0" w:line="240" w:lineRule="auto"/>
        <w:ind w:left="426"/>
        <w:rPr>
          <w:rFonts w:cs="Arial"/>
          <w:lang w:val="fr-FR"/>
        </w:rPr>
      </w:pPr>
    </w:p>
    <w:p w:rsidR="00F40C79" w:rsidRPr="00DF58B9" w:rsidRDefault="00207B22" w:rsidP="009E36E7">
      <w:pPr>
        <w:pStyle w:val="ListParagraph"/>
        <w:numPr>
          <w:ilvl w:val="0"/>
          <w:numId w:val="25"/>
        </w:numPr>
        <w:spacing w:after="0" w:line="240" w:lineRule="auto"/>
        <w:ind w:left="426" w:hanging="426"/>
        <w:rPr>
          <w:rFonts w:cs="Arial"/>
          <w:lang w:val="fr-FR"/>
        </w:rPr>
      </w:pPr>
      <w:r w:rsidRPr="00DF58B9">
        <w:rPr>
          <w:rFonts w:cs="Arial"/>
          <w:lang w:val="fr-FR"/>
        </w:rPr>
        <w:t>L’indicateur </w:t>
      </w:r>
      <w:r w:rsidR="007335B8" w:rsidRPr="00DF58B9">
        <w:rPr>
          <w:rFonts w:cs="Arial"/>
          <w:lang w:val="fr-FR"/>
        </w:rPr>
        <w:t xml:space="preserve">4.1.3b </w:t>
      </w:r>
      <w:r w:rsidRPr="00DF58B9">
        <w:rPr>
          <w:rFonts w:cs="Arial"/>
          <w:lang w:val="fr-FR"/>
        </w:rPr>
        <w:t xml:space="preserve">demandait si les Parties font spécifiquement participer les acteurs locaux au choix de nouveaux Sites Ramsar et à la gestion de Sites Ramsar. </w:t>
      </w:r>
      <w:r w:rsidR="005E46A9" w:rsidRPr="00DF58B9">
        <w:rPr>
          <w:rFonts w:cs="Arial"/>
          <w:lang w:val="fr-FR"/>
        </w:rPr>
        <w:t>54</w:t>
      </w:r>
      <w:r w:rsidR="00E0527E" w:rsidRPr="00DF58B9">
        <w:rPr>
          <w:rFonts w:cs="Arial"/>
          <w:lang w:val="fr-FR"/>
        </w:rPr>
        <w:t xml:space="preserve">% </w:t>
      </w:r>
      <w:r w:rsidRPr="00DF58B9">
        <w:rPr>
          <w:rFonts w:cs="Arial"/>
          <w:lang w:val="fr-FR"/>
        </w:rPr>
        <w:t xml:space="preserve">ont répondu par l’affirmative et </w:t>
      </w:r>
      <w:r w:rsidR="00363D21" w:rsidRPr="00DF58B9">
        <w:rPr>
          <w:rFonts w:cs="Arial"/>
          <w:lang w:val="fr-FR"/>
        </w:rPr>
        <w:t>21</w:t>
      </w:r>
      <w:r w:rsidR="00E0527E" w:rsidRPr="00DF58B9">
        <w:rPr>
          <w:rFonts w:cs="Arial"/>
          <w:lang w:val="fr-FR"/>
        </w:rPr>
        <w:t>%</w:t>
      </w:r>
      <w:r w:rsidRPr="00DF58B9">
        <w:rPr>
          <w:rFonts w:cs="Arial"/>
          <w:lang w:val="fr-FR"/>
        </w:rPr>
        <w:t xml:space="preserve"> supplémentaires ont indiqué « en partie ». Les exemples de gestion participative comprennent : </w:t>
      </w:r>
      <w:r w:rsidR="00E0527E" w:rsidRPr="00DF58B9">
        <w:rPr>
          <w:rFonts w:cs="Arial"/>
          <w:lang w:val="fr-FR"/>
        </w:rPr>
        <w:t xml:space="preserve"> </w:t>
      </w:r>
    </w:p>
    <w:p w:rsidR="00F40C79" w:rsidRPr="00DF58B9" w:rsidRDefault="00207B22" w:rsidP="007B47B6">
      <w:pPr>
        <w:pStyle w:val="ListParagraph"/>
        <w:numPr>
          <w:ilvl w:val="0"/>
          <w:numId w:val="27"/>
        </w:numPr>
        <w:spacing w:after="0" w:line="240" w:lineRule="auto"/>
        <w:ind w:left="851" w:hanging="425"/>
        <w:rPr>
          <w:rFonts w:cs="Arial"/>
          <w:lang w:val="fr-FR"/>
        </w:rPr>
      </w:pPr>
      <w:r w:rsidRPr="00DF58B9">
        <w:rPr>
          <w:rFonts w:cs="Arial"/>
          <w:lang w:val="fr-FR"/>
        </w:rPr>
        <w:t xml:space="preserve">En Australie, le processus de planification de la gestion pour la préparation de plans de gestion des parcs nationaux prévoit une période </w:t>
      </w:r>
      <w:r w:rsidR="005A79FA" w:rsidRPr="00DF58B9">
        <w:rPr>
          <w:rFonts w:cs="Arial"/>
          <w:lang w:val="fr-FR"/>
        </w:rPr>
        <w:t xml:space="preserve">officielle </w:t>
      </w:r>
      <w:r w:rsidRPr="00DF58B9">
        <w:rPr>
          <w:rFonts w:cs="Arial"/>
          <w:lang w:val="fr-FR"/>
        </w:rPr>
        <w:t xml:space="preserve">de commentaire public ainsi qu’une consultation avec les principaux acteurs et les communautés locales. </w:t>
      </w:r>
    </w:p>
    <w:p w:rsidR="006F0EDD" w:rsidRPr="00DF58B9" w:rsidRDefault="00207B22" w:rsidP="007B47B6">
      <w:pPr>
        <w:pStyle w:val="ListParagraph"/>
        <w:numPr>
          <w:ilvl w:val="0"/>
          <w:numId w:val="27"/>
        </w:numPr>
        <w:spacing w:after="0" w:line="240" w:lineRule="auto"/>
        <w:ind w:left="851" w:hanging="425"/>
        <w:rPr>
          <w:rFonts w:cs="Arial"/>
          <w:lang w:val="fr-FR"/>
        </w:rPr>
      </w:pPr>
      <w:r w:rsidRPr="00DF58B9">
        <w:rPr>
          <w:rFonts w:cs="Arial"/>
          <w:lang w:val="fr-FR"/>
        </w:rPr>
        <w:t>En Nouvelle-Zélande, la participation des acteurs locaux est un des critères de sélection des nouveaux Sites Ramsar.</w:t>
      </w:r>
    </w:p>
    <w:p w:rsidR="00C276C0" w:rsidRPr="00DF58B9" w:rsidRDefault="00C276C0" w:rsidP="009E36E7">
      <w:pPr>
        <w:spacing w:after="0" w:line="240" w:lineRule="auto"/>
        <w:rPr>
          <w:rFonts w:cs="Arial"/>
          <w:lang w:val="fr-FR"/>
        </w:rPr>
      </w:pPr>
    </w:p>
    <w:p w:rsidR="00E0527E" w:rsidRPr="00DF58B9" w:rsidRDefault="00207B22" w:rsidP="009E36E7">
      <w:pPr>
        <w:spacing w:after="0" w:line="240" w:lineRule="auto"/>
        <w:rPr>
          <w:rFonts w:cs="Arial"/>
          <w:b/>
          <w:lang w:val="fr-FR"/>
        </w:rPr>
      </w:pPr>
      <w:r w:rsidRPr="00DF58B9">
        <w:rPr>
          <w:rFonts w:cs="Arial"/>
          <w:b/>
          <w:lang w:val="fr-FR"/>
        </w:rPr>
        <w:t xml:space="preserve">Évaluation des besoins de formation nationaux et locaux et des possibilités de formation pour les administrateurs de zones humides </w:t>
      </w:r>
    </w:p>
    <w:p w:rsidR="000A0707" w:rsidRPr="00DF58B9" w:rsidRDefault="000A0707" w:rsidP="009E36E7">
      <w:pPr>
        <w:spacing w:after="0" w:line="240" w:lineRule="auto"/>
        <w:rPr>
          <w:rFonts w:cs="Arial"/>
          <w:b/>
          <w:lang w:val="fr-FR"/>
        </w:rPr>
      </w:pPr>
    </w:p>
    <w:p w:rsidR="00E0527E" w:rsidRPr="00DF58B9" w:rsidRDefault="00207B22" w:rsidP="007B47B6">
      <w:pPr>
        <w:pStyle w:val="ListParagraph"/>
        <w:numPr>
          <w:ilvl w:val="0"/>
          <w:numId w:val="25"/>
        </w:numPr>
        <w:spacing w:after="0" w:line="240" w:lineRule="auto"/>
        <w:ind w:left="426" w:hanging="426"/>
        <w:rPr>
          <w:rFonts w:cs="Arial"/>
          <w:lang w:val="fr-FR"/>
        </w:rPr>
      </w:pPr>
      <w:r w:rsidRPr="00DF58B9">
        <w:rPr>
          <w:rFonts w:cs="Arial"/>
          <w:lang w:val="fr-FR"/>
        </w:rPr>
        <w:t>La formation et le renforcement des capacités font partie intégrante d’une gestion des zones humides réussie et</w:t>
      </w:r>
      <w:r w:rsidR="005A79FA" w:rsidRPr="00DF58B9">
        <w:rPr>
          <w:rFonts w:cs="Arial"/>
          <w:lang w:val="fr-FR"/>
        </w:rPr>
        <w:t xml:space="preserve">, dans leurs rapports, </w:t>
      </w:r>
      <w:r w:rsidRPr="00DF58B9">
        <w:rPr>
          <w:rFonts w:cs="Arial"/>
          <w:lang w:val="fr-FR"/>
        </w:rPr>
        <w:t xml:space="preserve">les Parties citent fréquemment </w:t>
      </w:r>
      <w:r w:rsidR="005A79FA" w:rsidRPr="00DF58B9">
        <w:rPr>
          <w:rFonts w:cs="Arial"/>
          <w:lang w:val="fr-FR"/>
        </w:rPr>
        <w:t>les besoins de</w:t>
      </w:r>
      <w:r w:rsidRPr="00DF58B9">
        <w:rPr>
          <w:rFonts w:cs="Arial"/>
          <w:lang w:val="fr-FR"/>
        </w:rPr>
        <w:t xml:space="preserve"> formation et d</w:t>
      </w:r>
      <w:r w:rsidR="005A79FA" w:rsidRPr="00DF58B9">
        <w:rPr>
          <w:rFonts w:cs="Arial"/>
          <w:lang w:val="fr-FR"/>
        </w:rPr>
        <w:t>e</w:t>
      </w:r>
      <w:r w:rsidRPr="00DF58B9">
        <w:rPr>
          <w:rFonts w:cs="Arial"/>
          <w:lang w:val="fr-FR"/>
        </w:rPr>
        <w:t xml:space="preserve"> renforcement des capacités. Le Programme de CESP actuel </w:t>
      </w:r>
      <w:r w:rsidR="005A79FA" w:rsidRPr="00DF58B9">
        <w:rPr>
          <w:rFonts w:cs="Arial"/>
          <w:lang w:val="fr-FR"/>
        </w:rPr>
        <w:t>met en évidence</w:t>
      </w:r>
      <w:r w:rsidRPr="00DF58B9">
        <w:rPr>
          <w:rFonts w:cs="Arial"/>
          <w:lang w:val="fr-FR"/>
        </w:rPr>
        <w:t xml:space="preserve"> la nécessité</w:t>
      </w:r>
      <w:r w:rsidR="005A79FA" w:rsidRPr="00DF58B9">
        <w:rPr>
          <w:rFonts w:cs="Arial"/>
          <w:lang w:val="fr-FR"/>
        </w:rPr>
        <w:t>,</w:t>
      </w:r>
      <w:r w:rsidRPr="00DF58B9">
        <w:rPr>
          <w:rFonts w:cs="Arial"/>
          <w:lang w:val="fr-FR"/>
        </w:rPr>
        <w:t xml:space="preserve"> pour les pays</w:t>
      </w:r>
      <w:r w:rsidR="005A79FA" w:rsidRPr="00DF58B9">
        <w:rPr>
          <w:rFonts w:cs="Arial"/>
          <w:lang w:val="fr-FR"/>
        </w:rPr>
        <w:t>,</w:t>
      </w:r>
      <w:r w:rsidRPr="00DF58B9">
        <w:rPr>
          <w:rFonts w:cs="Arial"/>
          <w:lang w:val="fr-FR"/>
        </w:rPr>
        <w:t xml:space="preserve"> de réviser les besoins et capacités en matière de CESP et </w:t>
      </w:r>
      <w:r w:rsidR="005A79FA" w:rsidRPr="00DF58B9">
        <w:rPr>
          <w:rFonts w:cs="Arial"/>
          <w:lang w:val="fr-FR"/>
        </w:rPr>
        <w:t>de définir</w:t>
      </w:r>
      <w:r w:rsidRPr="00DF58B9">
        <w:rPr>
          <w:rFonts w:cs="Arial"/>
          <w:lang w:val="fr-FR"/>
        </w:rPr>
        <w:t xml:space="preserve"> les priorités de formation et de renforcement des capacités ainsi que d’examiner les besoins de formation nationaux et locaux à un niveau plus général. </w:t>
      </w:r>
    </w:p>
    <w:p w:rsidR="000A0707" w:rsidRPr="00DF58B9" w:rsidRDefault="000A0707" w:rsidP="007B47B6">
      <w:pPr>
        <w:pStyle w:val="ListParagraph"/>
        <w:spacing w:after="0" w:line="240" w:lineRule="auto"/>
        <w:ind w:left="426"/>
        <w:rPr>
          <w:rFonts w:cs="Arial"/>
          <w:lang w:val="fr-FR"/>
        </w:rPr>
      </w:pPr>
    </w:p>
    <w:p w:rsidR="0035043C" w:rsidRPr="00DF58B9" w:rsidRDefault="00207B22" w:rsidP="007B47B6">
      <w:pPr>
        <w:pStyle w:val="ListParagraph"/>
        <w:numPr>
          <w:ilvl w:val="0"/>
          <w:numId w:val="25"/>
        </w:numPr>
        <w:spacing w:after="0" w:line="240" w:lineRule="auto"/>
        <w:ind w:left="426" w:hanging="426"/>
        <w:rPr>
          <w:rFonts w:cs="Arial"/>
          <w:lang w:val="fr-FR"/>
        </w:rPr>
      </w:pPr>
      <w:r w:rsidRPr="00DF58B9">
        <w:rPr>
          <w:rFonts w:cs="Arial"/>
          <w:lang w:val="fr-FR"/>
        </w:rPr>
        <w:t xml:space="preserve">Les </w:t>
      </w:r>
      <w:r w:rsidR="00B62832" w:rsidRPr="00DF58B9">
        <w:rPr>
          <w:rFonts w:cs="Arial"/>
          <w:lang w:val="fr-FR"/>
        </w:rPr>
        <w:t>rapports</w:t>
      </w:r>
      <w:r w:rsidRPr="00DF58B9">
        <w:rPr>
          <w:rFonts w:cs="Arial"/>
          <w:lang w:val="fr-FR"/>
        </w:rPr>
        <w:t xml:space="preserve"> nationaux demandaient si les Parties avaient </w:t>
      </w:r>
      <w:r w:rsidR="005A79FA" w:rsidRPr="00DF58B9">
        <w:rPr>
          <w:rFonts w:cs="Arial"/>
          <w:lang w:val="fr-FR"/>
        </w:rPr>
        <w:t>évaluer l</w:t>
      </w:r>
      <w:r w:rsidRPr="00DF58B9">
        <w:rPr>
          <w:rFonts w:cs="Arial"/>
          <w:lang w:val="fr-FR"/>
        </w:rPr>
        <w:t>es besoins nationaux et locaux de formation pour la mise en œuvre de la Convention</w:t>
      </w:r>
      <w:bookmarkStart w:id="0" w:name="_GoBack"/>
      <w:bookmarkEnd w:id="0"/>
      <w:r w:rsidRPr="00DF58B9">
        <w:rPr>
          <w:rFonts w:cs="Arial"/>
          <w:lang w:val="fr-FR"/>
        </w:rPr>
        <w:t xml:space="preserve"> </w:t>
      </w:r>
      <w:r w:rsidR="00E0527E" w:rsidRPr="00DF58B9">
        <w:rPr>
          <w:rFonts w:cs="Arial"/>
          <w:lang w:val="fr-FR"/>
        </w:rPr>
        <w:t>(</w:t>
      </w:r>
      <w:r w:rsidRPr="00DF58B9">
        <w:rPr>
          <w:rFonts w:cs="Arial"/>
          <w:lang w:val="fr-FR"/>
        </w:rPr>
        <w:t>indicateur </w:t>
      </w:r>
      <w:r w:rsidR="00E0527E" w:rsidRPr="00DF58B9">
        <w:rPr>
          <w:rFonts w:cs="Arial"/>
          <w:lang w:val="fr-FR"/>
        </w:rPr>
        <w:t xml:space="preserve">4.1.4). </w:t>
      </w:r>
      <w:r w:rsidRPr="00DF58B9">
        <w:rPr>
          <w:rFonts w:cs="Arial"/>
          <w:lang w:val="fr-FR"/>
        </w:rPr>
        <w:t xml:space="preserve">Les résultats montrent que </w:t>
      </w:r>
      <w:r w:rsidR="00363D21" w:rsidRPr="00DF58B9">
        <w:rPr>
          <w:rFonts w:cs="Arial"/>
          <w:lang w:val="fr-FR"/>
        </w:rPr>
        <w:t>20</w:t>
      </w:r>
      <w:r w:rsidR="00E0527E" w:rsidRPr="00DF58B9">
        <w:rPr>
          <w:rFonts w:cs="Arial"/>
          <w:lang w:val="fr-FR"/>
        </w:rPr>
        <w:t xml:space="preserve">% </w:t>
      </w:r>
      <w:r w:rsidRPr="00DF58B9">
        <w:rPr>
          <w:rFonts w:cs="Arial"/>
          <w:lang w:val="fr-FR"/>
        </w:rPr>
        <w:t>des</w:t>
      </w:r>
      <w:r w:rsidR="00E0527E" w:rsidRPr="00DF58B9">
        <w:rPr>
          <w:rFonts w:cs="Arial"/>
          <w:lang w:val="fr-FR"/>
        </w:rPr>
        <w:t xml:space="preserve"> Parties </w:t>
      </w:r>
      <w:r w:rsidRPr="00DF58B9">
        <w:rPr>
          <w:rFonts w:cs="Arial"/>
          <w:lang w:val="fr-FR"/>
        </w:rPr>
        <w:t>l’ont fait tandis que</w:t>
      </w:r>
      <w:r w:rsidR="00E0527E" w:rsidRPr="00DF58B9">
        <w:rPr>
          <w:rFonts w:cs="Arial"/>
          <w:lang w:val="fr-FR"/>
        </w:rPr>
        <w:t xml:space="preserve"> </w:t>
      </w:r>
      <w:r w:rsidR="00363D21" w:rsidRPr="00DF58B9">
        <w:rPr>
          <w:rFonts w:cs="Arial"/>
          <w:lang w:val="fr-FR"/>
        </w:rPr>
        <w:t>47</w:t>
      </w:r>
      <w:r w:rsidR="00E0527E" w:rsidRPr="00DF58B9">
        <w:rPr>
          <w:rFonts w:cs="Arial"/>
          <w:lang w:val="fr-FR"/>
        </w:rPr>
        <w:t xml:space="preserve">% </w:t>
      </w:r>
      <w:r w:rsidRPr="00DF58B9">
        <w:rPr>
          <w:rFonts w:cs="Arial"/>
          <w:lang w:val="fr-FR"/>
        </w:rPr>
        <w:t>des</w:t>
      </w:r>
      <w:r w:rsidR="00E0527E" w:rsidRPr="00DF58B9">
        <w:rPr>
          <w:rFonts w:cs="Arial"/>
          <w:lang w:val="fr-FR"/>
        </w:rPr>
        <w:t xml:space="preserve"> Parties </w:t>
      </w:r>
      <w:r w:rsidRPr="00DF58B9">
        <w:rPr>
          <w:rFonts w:cs="Arial"/>
          <w:lang w:val="fr-FR"/>
        </w:rPr>
        <w:t xml:space="preserve">ont répondu « non ». Davantage d’efforts doivent être </w:t>
      </w:r>
      <w:r w:rsidR="005A79FA" w:rsidRPr="00DF58B9">
        <w:rPr>
          <w:rFonts w:cs="Arial"/>
          <w:lang w:val="fr-FR"/>
        </w:rPr>
        <w:t>déployés</w:t>
      </w:r>
      <w:r w:rsidRPr="00DF58B9">
        <w:rPr>
          <w:rFonts w:cs="Arial"/>
          <w:lang w:val="fr-FR"/>
        </w:rPr>
        <w:t xml:space="preserve"> pour étudier les besoins de formation afin de faciliter l’élaboration de possibilités de formation appropriées. </w:t>
      </w:r>
      <w:r w:rsidR="00E0527E" w:rsidRPr="00DF58B9">
        <w:rPr>
          <w:rFonts w:cs="Arial"/>
          <w:lang w:val="fr-FR"/>
        </w:rPr>
        <w:t xml:space="preserve"> </w:t>
      </w:r>
    </w:p>
    <w:p w:rsidR="00E0527E" w:rsidRPr="00DF58B9" w:rsidRDefault="00E0527E" w:rsidP="007B47B6">
      <w:pPr>
        <w:pStyle w:val="ListParagraph"/>
        <w:spacing w:after="0" w:line="240" w:lineRule="auto"/>
        <w:ind w:left="426"/>
        <w:rPr>
          <w:rFonts w:cs="Arial"/>
          <w:lang w:val="fr-FR"/>
        </w:rPr>
      </w:pPr>
    </w:p>
    <w:p w:rsidR="00054BA9" w:rsidRPr="00DF58B9" w:rsidRDefault="00207B22" w:rsidP="007B47B6">
      <w:pPr>
        <w:pStyle w:val="ListParagraph"/>
        <w:numPr>
          <w:ilvl w:val="0"/>
          <w:numId w:val="25"/>
        </w:numPr>
        <w:spacing w:after="0" w:line="240" w:lineRule="auto"/>
        <w:ind w:left="426" w:hanging="426"/>
        <w:rPr>
          <w:rFonts w:cs="Arial"/>
          <w:lang w:val="fr-FR"/>
        </w:rPr>
      </w:pPr>
      <w:r w:rsidRPr="00DF58B9">
        <w:rPr>
          <w:rFonts w:cs="Arial"/>
          <w:lang w:val="fr-FR"/>
        </w:rPr>
        <w:t>L’indicateur </w:t>
      </w:r>
      <w:r w:rsidR="00956A2A" w:rsidRPr="00DF58B9">
        <w:rPr>
          <w:rFonts w:cs="Arial"/>
          <w:lang w:val="fr-FR"/>
        </w:rPr>
        <w:t xml:space="preserve">4.1.5 </w:t>
      </w:r>
      <w:r w:rsidRPr="00DF58B9">
        <w:rPr>
          <w:rFonts w:cs="Arial"/>
          <w:lang w:val="fr-FR"/>
        </w:rPr>
        <w:t xml:space="preserve">montre comment de nombreuses possibilités de formation pour les administrateurs de zones humides ont été fournies soit dans les Sites Ramsar, soit dans d’autres zones humides. Globalement, les Parties </w:t>
      </w:r>
      <w:r w:rsidR="005A79FA" w:rsidRPr="00DF58B9">
        <w:rPr>
          <w:rFonts w:cs="Arial"/>
          <w:lang w:val="fr-FR"/>
        </w:rPr>
        <w:t>indiquent</w:t>
      </w:r>
      <w:r w:rsidRPr="00DF58B9">
        <w:rPr>
          <w:rFonts w:cs="Arial"/>
          <w:lang w:val="fr-FR"/>
        </w:rPr>
        <w:t xml:space="preserve"> qu’il y a plus de possibilités de formation </w:t>
      </w:r>
      <w:r w:rsidRPr="00DF58B9">
        <w:rPr>
          <w:rFonts w:cs="Arial"/>
          <w:lang w:val="fr-FR"/>
        </w:rPr>
        <w:lastRenderedPageBreak/>
        <w:t>dans les Sites Ramsar que dans d’autres zones humides en général. Les réponses</w:t>
      </w:r>
      <w:r w:rsidR="005A79FA" w:rsidRPr="00DF58B9">
        <w:rPr>
          <w:rFonts w:cs="Arial"/>
          <w:lang w:val="fr-FR"/>
        </w:rPr>
        <w:t>,</w:t>
      </w:r>
      <w:r w:rsidRPr="00DF58B9">
        <w:rPr>
          <w:rFonts w:cs="Arial"/>
          <w:lang w:val="fr-FR"/>
        </w:rPr>
        <w:t xml:space="preserve"> </w:t>
      </w:r>
      <w:r w:rsidR="005A79FA" w:rsidRPr="00DF58B9">
        <w:rPr>
          <w:rFonts w:cs="Arial"/>
          <w:lang w:val="fr-FR"/>
        </w:rPr>
        <w:t>dans le champ de texte,</w:t>
      </w:r>
      <w:r w:rsidRPr="00DF58B9">
        <w:rPr>
          <w:rFonts w:cs="Arial"/>
          <w:lang w:val="fr-FR"/>
        </w:rPr>
        <w:t xml:space="preserve"> indiquaient un mélange semblable d’approches avec des activités uniques de formation, des activités régulières aux niveaux national et local et des activités de formation en collaboration avec les pays voisins. Beaucoup de Parties </w:t>
      </w:r>
      <w:r w:rsidR="005A79FA" w:rsidRPr="00DF58B9">
        <w:rPr>
          <w:rFonts w:cs="Arial"/>
          <w:lang w:val="fr-FR"/>
        </w:rPr>
        <w:t>notent que</w:t>
      </w:r>
      <w:r w:rsidRPr="00DF58B9">
        <w:rPr>
          <w:rFonts w:cs="Arial"/>
          <w:lang w:val="fr-FR"/>
        </w:rPr>
        <w:t>, souvent, les activités de formation ne sont pas spécifiquement axées sur Ramsar</w:t>
      </w:r>
      <w:r w:rsidR="005A79FA" w:rsidRPr="00DF58B9">
        <w:rPr>
          <w:rFonts w:cs="Arial"/>
          <w:lang w:val="fr-FR"/>
        </w:rPr>
        <w:t>. Ce</w:t>
      </w:r>
      <w:r w:rsidRPr="00DF58B9">
        <w:rPr>
          <w:rFonts w:cs="Arial"/>
          <w:lang w:val="fr-FR"/>
        </w:rPr>
        <w:t xml:space="preserve"> sont des activités de formation </w:t>
      </w:r>
      <w:r w:rsidR="005A79FA" w:rsidRPr="00DF58B9">
        <w:rPr>
          <w:rFonts w:cs="Arial"/>
          <w:lang w:val="fr-FR"/>
        </w:rPr>
        <w:t>plus générales</w:t>
      </w:r>
      <w:r w:rsidRPr="00DF58B9">
        <w:rPr>
          <w:rFonts w:cs="Arial"/>
          <w:lang w:val="fr-FR"/>
        </w:rPr>
        <w:t xml:space="preserve"> pour les administrateurs de parcs nationaux et/ou d</w:t>
      </w:r>
      <w:r w:rsidR="005A79FA" w:rsidRPr="00DF58B9">
        <w:rPr>
          <w:rFonts w:cs="Arial"/>
          <w:lang w:val="fr-FR"/>
        </w:rPr>
        <w:t>’</w:t>
      </w:r>
      <w:r w:rsidRPr="00DF58B9">
        <w:rPr>
          <w:rFonts w:cs="Arial"/>
          <w:lang w:val="fr-FR"/>
        </w:rPr>
        <w:t xml:space="preserve">aires protégées.  </w:t>
      </w:r>
      <w:r w:rsidR="00175216" w:rsidRPr="00DF58B9">
        <w:rPr>
          <w:rFonts w:cs="Arial"/>
          <w:lang w:val="fr-FR"/>
        </w:rPr>
        <w:t xml:space="preserve"> </w:t>
      </w:r>
    </w:p>
    <w:p w:rsidR="000A0707" w:rsidRPr="00DF58B9" w:rsidRDefault="000A0707" w:rsidP="007B47B6">
      <w:pPr>
        <w:pStyle w:val="ListParagraph"/>
        <w:spacing w:after="0" w:line="240" w:lineRule="auto"/>
        <w:ind w:left="426"/>
        <w:rPr>
          <w:rFonts w:cs="Arial"/>
          <w:lang w:val="fr-FR"/>
        </w:rPr>
      </w:pPr>
    </w:p>
    <w:p w:rsidR="00175216" w:rsidRPr="00DF58B9" w:rsidRDefault="005A79FA" w:rsidP="007B47B6">
      <w:pPr>
        <w:pStyle w:val="ListParagraph"/>
        <w:numPr>
          <w:ilvl w:val="0"/>
          <w:numId w:val="25"/>
        </w:numPr>
        <w:spacing w:after="0" w:line="240" w:lineRule="auto"/>
        <w:ind w:left="426" w:hanging="426"/>
        <w:rPr>
          <w:rFonts w:cs="Arial"/>
          <w:lang w:val="fr-FR"/>
        </w:rPr>
      </w:pPr>
      <w:r w:rsidRPr="00DF58B9">
        <w:rPr>
          <w:rFonts w:cs="Arial"/>
          <w:lang w:val="fr-FR"/>
        </w:rPr>
        <w:t>Au cours de</w:t>
      </w:r>
      <w:r w:rsidR="00207B22" w:rsidRPr="00DF58B9">
        <w:rPr>
          <w:rFonts w:cs="Arial"/>
          <w:lang w:val="fr-FR"/>
        </w:rPr>
        <w:t xml:space="preserve"> la période triennale, la Convention a continué de bénéficier </w:t>
      </w:r>
      <w:r w:rsidRPr="00DF58B9">
        <w:rPr>
          <w:rFonts w:cs="Arial"/>
          <w:lang w:val="fr-FR"/>
        </w:rPr>
        <w:t xml:space="preserve">des activités </w:t>
      </w:r>
      <w:r w:rsidR="00207B22" w:rsidRPr="00DF58B9">
        <w:rPr>
          <w:rFonts w:cs="Arial"/>
          <w:lang w:val="fr-FR"/>
        </w:rPr>
        <w:t>de</w:t>
      </w:r>
      <w:r w:rsidRPr="00DF58B9">
        <w:rPr>
          <w:rFonts w:cs="Arial"/>
          <w:lang w:val="fr-FR"/>
        </w:rPr>
        <w:t>s</w:t>
      </w:r>
      <w:r w:rsidR="00207B22" w:rsidRPr="00DF58B9">
        <w:rPr>
          <w:rFonts w:cs="Arial"/>
          <w:lang w:val="fr-FR"/>
        </w:rPr>
        <w:t xml:space="preserve"> quatre Centres régionaux Ramsar (CRR), situés au Panama pour les Amériques, en Ouganda pour l’Afrique de l’Est et en République islamique d’Iran et en République de Corée pour l’Asie de l’Ouest et central</w:t>
      </w:r>
      <w:r w:rsidR="001A338A" w:rsidRPr="00DF58B9">
        <w:rPr>
          <w:rFonts w:cs="Arial"/>
          <w:lang w:val="fr-FR"/>
        </w:rPr>
        <w:t>e</w:t>
      </w:r>
      <w:r w:rsidR="00207B22" w:rsidRPr="00DF58B9">
        <w:rPr>
          <w:rFonts w:cs="Arial"/>
          <w:lang w:val="fr-FR"/>
        </w:rPr>
        <w:t xml:space="preserve"> et l’Asie de l’Est, respectivement. Ces centres sont fréquemment mentionnés dans les </w:t>
      </w:r>
      <w:r w:rsidRPr="00DF58B9">
        <w:rPr>
          <w:rFonts w:cs="Arial"/>
          <w:lang w:val="fr-FR"/>
        </w:rPr>
        <w:t>champs de texte</w:t>
      </w:r>
      <w:r w:rsidR="00CF4CFA" w:rsidRPr="00DF58B9">
        <w:rPr>
          <w:rFonts w:cs="Arial"/>
          <w:lang w:val="fr-FR"/>
        </w:rPr>
        <w:t xml:space="preserve"> des rapports nationaux</w:t>
      </w:r>
      <w:r w:rsidR="00207B22" w:rsidRPr="00DF58B9">
        <w:rPr>
          <w:rFonts w:cs="Arial"/>
          <w:lang w:val="fr-FR"/>
        </w:rPr>
        <w:t xml:space="preserve"> concernant la formation et le renforcement des capacités. </w:t>
      </w:r>
    </w:p>
    <w:p w:rsidR="000A0707" w:rsidRPr="00DF58B9" w:rsidRDefault="000A0707" w:rsidP="007B47B6">
      <w:pPr>
        <w:pStyle w:val="ListParagraph"/>
        <w:spacing w:after="0" w:line="240" w:lineRule="auto"/>
        <w:ind w:left="426"/>
        <w:rPr>
          <w:rFonts w:cs="Arial"/>
          <w:lang w:val="fr-FR"/>
        </w:rPr>
      </w:pPr>
    </w:p>
    <w:p w:rsidR="00E0527E" w:rsidRPr="00DF58B9" w:rsidRDefault="00E0527E" w:rsidP="007B47B6">
      <w:pPr>
        <w:pStyle w:val="ListParagraph"/>
        <w:numPr>
          <w:ilvl w:val="0"/>
          <w:numId w:val="25"/>
        </w:numPr>
        <w:spacing w:after="0" w:line="240" w:lineRule="auto"/>
        <w:ind w:left="426" w:hanging="426"/>
        <w:rPr>
          <w:rFonts w:cs="Arial"/>
          <w:lang w:val="fr-FR"/>
        </w:rPr>
      </w:pPr>
      <w:r w:rsidRPr="00DF58B9">
        <w:rPr>
          <w:rFonts w:cs="Arial"/>
          <w:lang w:val="fr-FR"/>
        </w:rPr>
        <w:t>I</w:t>
      </w:r>
      <w:r w:rsidR="00207B22" w:rsidRPr="00DF58B9">
        <w:rPr>
          <w:rFonts w:cs="Arial"/>
          <w:lang w:val="fr-FR"/>
        </w:rPr>
        <w:t xml:space="preserve">l convient également de signaler que la Convention bénéficie de diverses activités de formation aux zones humides menées par les cinq Organisations internationales partenaires de Ramsar, </w:t>
      </w:r>
      <w:r w:rsidR="00CF4CFA" w:rsidRPr="00DF58B9">
        <w:rPr>
          <w:rFonts w:cs="Arial"/>
          <w:lang w:val="fr-FR"/>
        </w:rPr>
        <w:t>souvent</w:t>
      </w:r>
      <w:r w:rsidR="00207B22" w:rsidRPr="00DF58B9">
        <w:rPr>
          <w:rFonts w:cs="Arial"/>
          <w:lang w:val="fr-FR"/>
        </w:rPr>
        <w:t xml:space="preserve"> associées à des projets et programmes </w:t>
      </w:r>
      <w:r w:rsidR="00CF4CFA" w:rsidRPr="00DF58B9">
        <w:rPr>
          <w:rFonts w:cs="Arial"/>
          <w:lang w:val="fr-FR"/>
        </w:rPr>
        <w:t>de</w:t>
      </w:r>
      <w:r w:rsidR="00207B22" w:rsidRPr="00DF58B9">
        <w:rPr>
          <w:rFonts w:cs="Arial"/>
          <w:lang w:val="fr-FR"/>
        </w:rPr>
        <w:t xml:space="preserve"> gestion des zones humides.</w:t>
      </w:r>
    </w:p>
    <w:p w:rsidR="00E0527E" w:rsidRPr="00DF58B9" w:rsidRDefault="00E0527E" w:rsidP="009E36E7">
      <w:pPr>
        <w:spacing w:after="0" w:line="240" w:lineRule="auto"/>
        <w:rPr>
          <w:rFonts w:cs="Arial"/>
          <w:lang w:val="fr-FR"/>
        </w:rPr>
      </w:pPr>
    </w:p>
    <w:p w:rsidR="00E0527E" w:rsidRPr="00DF58B9" w:rsidRDefault="00207B22" w:rsidP="009E36E7">
      <w:pPr>
        <w:spacing w:after="0" w:line="240" w:lineRule="auto"/>
        <w:rPr>
          <w:rFonts w:cs="Arial"/>
          <w:b/>
          <w:lang w:val="fr-FR"/>
        </w:rPr>
      </w:pPr>
      <w:r w:rsidRPr="00DF58B9">
        <w:rPr>
          <w:rFonts w:cs="Arial"/>
          <w:b/>
          <w:lang w:val="fr-FR"/>
        </w:rPr>
        <w:t>Célébr</w:t>
      </w:r>
      <w:r w:rsidR="000B235B" w:rsidRPr="00DF58B9">
        <w:rPr>
          <w:rFonts w:cs="Arial"/>
          <w:b/>
          <w:lang w:val="fr-FR"/>
        </w:rPr>
        <w:t>ation de</w:t>
      </w:r>
      <w:r w:rsidRPr="00DF58B9">
        <w:rPr>
          <w:rFonts w:cs="Arial"/>
          <w:b/>
          <w:lang w:val="fr-FR"/>
        </w:rPr>
        <w:t xml:space="preserve"> la Journée mondiale des zones humides </w:t>
      </w:r>
    </w:p>
    <w:p w:rsidR="000A0707" w:rsidRPr="00DF58B9" w:rsidRDefault="000A0707" w:rsidP="009E36E7">
      <w:pPr>
        <w:spacing w:after="0" w:line="240" w:lineRule="auto"/>
        <w:rPr>
          <w:rFonts w:cs="Arial"/>
          <w:lang w:val="fr-FR"/>
        </w:rPr>
      </w:pPr>
    </w:p>
    <w:p w:rsidR="0002010E" w:rsidRPr="00DF58B9" w:rsidRDefault="00207B22" w:rsidP="007B47B6">
      <w:pPr>
        <w:pStyle w:val="ListParagraph"/>
        <w:numPr>
          <w:ilvl w:val="0"/>
          <w:numId w:val="25"/>
        </w:numPr>
        <w:spacing w:after="0" w:line="240" w:lineRule="auto"/>
        <w:ind w:left="426" w:hanging="426"/>
        <w:rPr>
          <w:rFonts w:cs="Arial"/>
          <w:lang w:val="fr-FR"/>
        </w:rPr>
      </w:pPr>
      <w:r w:rsidRPr="00DF58B9">
        <w:rPr>
          <w:rFonts w:cs="Arial"/>
          <w:lang w:val="fr-FR"/>
        </w:rPr>
        <w:t xml:space="preserve">La Journée mondiale des zones humides est l’événement le plus important de la Convention en matière de sensibilisation et l’appui électronique </w:t>
      </w:r>
      <w:r w:rsidR="00CF4CFA" w:rsidRPr="00DF58B9">
        <w:rPr>
          <w:rFonts w:cs="Arial"/>
          <w:lang w:val="fr-FR"/>
        </w:rPr>
        <w:t xml:space="preserve">ainsi que les publications produites par le Secrétariat </w:t>
      </w:r>
      <w:r w:rsidRPr="00DF58B9">
        <w:rPr>
          <w:rFonts w:cs="Arial"/>
          <w:lang w:val="fr-FR"/>
        </w:rPr>
        <w:t xml:space="preserve">pour cette activité sont généreusement financés par le Fonds pour l’eau </w:t>
      </w:r>
      <w:r w:rsidR="00B20979" w:rsidRPr="00DF58B9">
        <w:rPr>
          <w:rFonts w:cs="Arial"/>
          <w:lang w:val="fr-FR"/>
        </w:rPr>
        <w:t>Dano</w:t>
      </w:r>
      <w:r w:rsidR="00896015" w:rsidRPr="00DF58B9">
        <w:rPr>
          <w:rFonts w:cs="Arial"/>
          <w:lang w:val="fr-FR"/>
        </w:rPr>
        <w:t>n</w:t>
      </w:r>
      <w:r w:rsidR="00B20979" w:rsidRPr="00DF58B9">
        <w:rPr>
          <w:rFonts w:cs="Arial"/>
          <w:lang w:val="fr-FR"/>
        </w:rPr>
        <w:t>e</w:t>
      </w:r>
      <w:r w:rsidR="00AA68EC" w:rsidRPr="00DF58B9">
        <w:rPr>
          <w:rFonts w:cs="Arial"/>
          <w:lang w:val="fr-FR"/>
        </w:rPr>
        <w:noBreakHyphen/>
      </w:r>
      <w:r w:rsidR="00B20979" w:rsidRPr="00DF58B9">
        <w:rPr>
          <w:rFonts w:cs="Arial"/>
          <w:lang w:val="fr-FR"/>
        </w:rPr>
        <w:t>Evian.</w:t>
      </w:r>
      <w:r w:rsidR="00067A6C" w:rsidRPr="00DF58B9">
        <w:rPr>
          <w:rFonts w:cs="Arial"/>
          <w:lang w:val="fr-FR"/>
        </w:rPr>
        <w:t xml:space="preserve"> </w:t>
      </w:r>
      <w:r w:rsidR="00AA68EC" w:rsidRPr="00DF58B9">
        <w:rPr>
          <w:rFonts w:cs="Arial"/>
          <w:lang w:val="fr-FR"/>
        </w:rPr>
        <w:t xml:space="preserve">Les </w:t>
      </w:r>
      <w:r w:rsidR="00B20979" w:rsidRPr="00DF58B9">
        <w:rPr>
          <w:rFonts w:cs="Arial"/>
          <w:lang w:val="fr-FR"/>
        </w:rPr>
        <w:t xml:space="preserve">Parties </w:t>
      </w:r>
      <w:r w:rsidR="00AA68EC" w:rsidRPr="00DF58B9">
        <w:rPr>
          <w:rFonts w:cs="Arial"/>
          <w:lang w:val="fr-FR"/>
        </w:rPr>
        <w:t>ont adopté la Journée mondiale des zones humides avec enthousiasme (indicateur </w:t>
      </w:r>
      <w:r w:rsidR="00E0527E" w:rsidRPr="00DF58B9">
        <w:rPr>
          <w:rFonts w:cs="Arial"/>
          <w:lang w:val="fr-FR"/>
        </w:rPr>
        <w:t xml:space="preserve">4.1.8) </w:t>
      </w:r>
      <w:r w:rsidR="00AA68EC" w:rsidRPr="00DF58B9">
        <w:rPr>
          <w:rFonts w:cs="Arial"/>
          <w:lang w:val="fr-FR"/>
        </w:rPr>
        <w:t xml:space="preserve">durant </w:t>
      </w:r>
      <w:r w:rsidR="00CF4CFA" w:rsidRPr="00DF58B9">
        <w:rPr>
          <w:rFonts w:cs="Arial"/>
          <w:lang w:val="fr-FR"/>
        </w:rPr>
        <w:t>la période</w:t>
      </w:r>
      <w:r w:rsidR="00AA68EC" w:rsidRPr="00DF58B9">
        <w:rPr>
          <w:rFonts w:cs="Arial"/>
          <w:lang w:val="fr-FR"/>
        </w:rPr>
        <w:t xml:space="preserve"> observé</w:t>
      </w:r>
      <w:r w:rsidR="00CF4CFA" w:rsidRPr="00DF58B9">
        <w:rPr>
          <w:rFonts w:cs="Arial"/>
          <w:lang w:val="fr-FR"/>
        </w:rPr>
        <w:t>e</w:t>
      </w:r>
      <w:r w:rsidR="00AA68EC" w:rsidRPr="00DF58B9">
        <w:rPr>
          <w:rFonts w:cs="Arial"/>
          <w:lang w:val="fr-FR"/>
        </w:rPr>
        <w:t xml:space="preserve">; 89% des Parties ont déclaré avoir réalisé des activités de JMZ depuis la COP11. Les analyses de la JMZ par </w:t>
      </w:r>
      <w:r w:rsidR="001C544D" w:rsidRPr="00DF58B9">
        <w:rPr>
          <w:rFonts w:cs="Arial"/>
          <w:lang w:val="fr-FR"/>
        </w:rPr>
        <w:t xml:space="preserve">Futerra (2013) </w:t>
      </w:r>
      <w:r w:rsidR="00AA68EC" w:rsidRPr="00DF58B9">
        <w:rPr>
          <w:rFonts w:cs="Arial"/>
          <w:lang w:val="fr-FR"/>
        </w:rPr>
        <w:t xml:space="preserve">et les Services </w:t>
      </w:r>
      <w:r w:rsidR="001C544D" w:rsidRPr="00DF58B9">
        <w:rPr>
          <w:rFonts w:cs="Arial"/>
          <w:lang w:val="fr-FR"/>
        </w:rPr>
        <w:t xml:space="preserve">Artemis (2009) </w:t>
      </w:r>
      <w:r w:rsidR="00CF4CFA" w:rsidRPr="00DF58B9">
        <w:rPr>
          <w:rFonts w:cs="Arial"/>
          <w:lang w:val="fr-FR"/>
        </w:rPr>
        <w:t>soulignent</w:t>
      </w:r>
      <w:r w:rsidR="00AA68EC" w:rsidRPr="00DF58B9">
        <w:rPr>
          <w:rFonts w:cs="Arial"/>
          <w:lang w:val="fr-FR"/>
        </w:rPr>
        <w:t xml:space="preserve"> la nécessité de définir le but et le public cible de la Journée mondiale des zones humides avec plus de précision. </w:t>
      </w:r>
      <w:r w:rsidR="00CF4CFA" w:rsidRPr="00DF58B9">
        <w:rPr>
          <w:rFonts w:cs="Arial"/>
          <w:lang w:val="fr-FR"/>
        </w:rPr>
        <w:t>Elles</w:t>
      </w:r>
      <w:r w:rsidR="00AA68EC" w:rsidRPr="00DF58B9">
        <w:rPr>
          <w:rFonts w:cs="Arial"/>
          <w:lang w:val="fr-FR"/>
        </w:rPr>
        <w:t xml:space="preserve"> recommandent également de </w:t>
      </w:r>
      <w:r w:rsidR="00CF4CFA" w:rsidRPr="00DF58B9">
        <w:rPr>
          <w:rFonts w:cs="Arial"/>
          <w:lang w:val="fr-FR"/>
        </w:rPr>
        <w:t>recourir</w:t>
      </w:r>
      <w:r w:rsidR="00AA68EC" w:rsidRPr="00DF58B9">
        <w:rPr>
          <w:rFonts w:cs="Arial"/>
          <w:lang w:val="fr-FR"/>
        </w:rPr>
        <w:t xml:space="preserve"> aux médias électroniques et </w:t>
      </w:r>
      <w:r w:rsidR="00CF4CFA" w:rsidRPr="00DF58B9">
        <w:rPr>
          <w:rFonts w:cs="Arial"/>
          <w:lang w:val="fr-FR"/>
        </w:rPr>
        <w:t>de définir</w:t>
      </w:r>
      <w:r w:rsidR="00AA68EC" w:rsidRPr="00DF58B9">
        <w:rPr>
          <w:rFonts w:cs="Arial"/>
          <w:lang w:val="fr-FR"/>
        </w:rPr>
        <w:t xml:space="preserve"> comment obtenir </w:t>
      </w:r>
      <w:r w:rsidR="00CF4CFA" w:rsidRPr="00DF58B9">
        <w:rPr>
          <w:rFonts w:cs="Arial"/>
          <w:lang w:val="fr-FR"/>
        </w:rPr>
        <w:t>l</w:t>
      </w:r>
      <w:r w:rsidR="00AA68EC" w:rsidRPr="00DF58B9">
        <w:rPr>
          <w:rFonts w:cs="Arial"/>
          <w:lang w:val="fr-FR"/>
        </w:rPr>
        <w:t xml:space="preserve">e changement. </w:t>
      </w:r>
    </w:p>
    <w:p w:rsidR="0002010E" w:rsidRPr="00DF58B9" w:rsidRDefault="0002010E" w:rsidP="007B47B6">
      <w:pPr>
        <w:pStyle w:val="ListParagraph"/>
        <w:spacing w:after="0" w:line="240" w:lineRule="auto"/>
        <w:ind w:left="426"/>
        <w:rPr>
          <w:rFonts w:cs="Arial"/>
          <w:lang w:val="fr-FR"/>
        </w:rPr>
      </w:pPr>
    </w:p>
    <w:p w:rsidR="001C544D" w:rsidRPr="00DF58B9" w:rsidRDefault="005504EB" w:rsidP="007B47B6">
      <w:pPr>
        <w:pStyle w:val="ListParagraph"/>
        <w:numPr>
          <w:ilvl w:val="0"/>
          <w:numId w:val="25"/>
        </w:numPr>
        <w:spacing w:after="0" w:line="240" w:lineRule="auto"/>
        <w:ind w:left="426" w:hanging="426"/>
        <w:rPr>
          <w:rFonts w:cs="Arial"/>
          <w:lang w:val="fr-FR"/>
        </w:rPr>
      </w:pPr>
      <w:r w:rsidRPr="00DF58B9">
        <w:rPr>
          <w:rFonts w:cs="Arial"/>
          <w:lang w:val="fr-FR"/>
        </w:rPr>
        <w:t>Pour</w:t>
      </w:r>
      <w:r w:rsidR="001C544D" w:rsidRPr="00DF58B9">
        <w:rPr>
          <w:rFonts w:cs="Arial"/>
          <w:lang w:val="fr-FR"/>
        </w:rPr>
        <w:t xml:space="preserve"> 2015</w:t>
      </w:r>
      <w:r w:rsidRPr="00DF58B9">
        <w:rPr>
          <w:rFonts w:cs="Arial"/>
          <w:lang w:val="fr-FR"/>
        </w:rPr>
        <w:t>, l</w:t>
      </w:r>
      <w:r w:rsidR="000B235B" w:rsidRPr="00DF58B9">
        <w:rPr>
          <w:rFonts w:cs="Arial"/>
          <w:lang w:val="fr-FR"/>
        </w:rPr>
        <w:t xml:space="preserve">a JMZ a </w:t>
      </w:r>
      <w:r w:rsidRPr="00DF58B9">
        <w:rPr>
          <w:rFonts w:cs="Arial"/>
          <w:lang w:val="fr-FR"/>
        </w:rPr>
        <w:t xml:space="preserve">ciblé les jeunes de 15 à 24 ans, un groupe idéaliste et </w:t>
      </w:r>
      <w:r w:rsidR="00CF4CFA" w:rsidRPr="00DF58B9">
        <w:rPr>
          <w:rFonts w:cs="Arial"/>
          <w:lang w:val="fr-FR"/>
        </w:rPr>
        <w:t>féru</w:t>
      </w:r>
      <w:r w:rsidRPr="00DF58B9">
        <w:rPr>
          <w:rFonts w:cs="Arial"/>
          <w:lang w:val="fr-FR"/>
        </w:rPr>
        <w:t xml:space="preserve"> de technologies qui peut </w:t>
      </w:r>
      <w:r w:rsidR="00CF4CFA" w:rsidRPr="00DF58B9">
        <w:rPr>
          <w:rFonts w:cs="Arial"/>
          <w:lang w:val="fr-FR"/>
        </w:rPr>
        <w:t>jouer le rôle de</w:t>
      </w:r>
      <w:r w:rsidRPr="00DF58B9">
        <w:rPr>
          <w:rFonts w:cs="Arial"/>
          <w:lang w:val="fr-FR"/>
        </w:rPr>
        <w:t xml:space="preserve"> « passeur </w:t>
      </w:r>
      <w:r w:rsidR="00CF4CFA" w:rsidRPr="00DF58B9">
        <w:rPr>
          <w:rFonts w:cs="Arial"/>
          <w:lang w:val="fr-FR"/>
        </w:rPr>
        <w:t>d’idées</w:t>
      </w:r>
      <w:r w:rsidRPr="00DF58B9">
        <w:rPr>
          <w:rFonts w:cs="Arial"/>
          <w:lang w:val="fr-FR"/>
        </w:rPr>
        <w:t xml:space="preserve">» vers </w:t>
      </w:r>
      <w:r w:rsidR="00CF4CFA" w:rsidRPr="00DF58B9">
        <w:rPr>
          <w:rFonts w:cs="Arial"/>
          <w:lang w:val="fr-FR"/>
        </w:rPr>
        <w:t>les</w:t>
      </w:r>
      <w:r w:rsidRPr="00DF58B9">
        <w:rPr>
          <w:rFonts w:cs="Arial"/>
          <w:lang w:val="fr-FR"/>
        </w:rPr>
        <w:t xml:space="preserve"> familles </w:t>
      </w:r>
      <w:r w:rsidR="00CF4CFA" w:rsidRPr="00DF58B9">
        <w:rPr>
          <w:rFonts w:cs="Arial"/>
          <w:lang w:val="fr-FR"/>
        </w:rPr>
        <w:t>puis le grand public</w:t>
      </w:r>
      <w:r w:rsidRPr="00DF58B9">
        <w:rPr>
          <w:rFonts w:cs="Arial"/>
          <w:lang w:val="fr-FR"/>
        </w:rPr>
        <w:t xml:space="preserve"> en général. En parallèle, un site web de la JMZ </w:t>
      </w:r>
      <w:r w:rsidR="005A14BC" w:rsidRPr="00DF58B9">
        <w:rPr>
          <w:rFonts w:cs="Arial"/>
          <w:lang w:val="fr-FR"/>
        </w:rPr>
        <w:t>(</w:t>
      </w:r>
      <w:hyperlink r:id="rId13" w:history="1">
        <w:r w:rsidR="005A14BC" w:rsidRPr="00DF58B9">
          <w:rPr>
            <w:rStyle w:val="Hyperlink"/>
            <w:rFonts w:cs="Arial"/>
            <w:lang w:val="fr-FR"/>
          </w:rPr>
          <w:t>www.worldwetlandsday.org/fr/</w:t>
        </w:r>
      </w:hyperlink>
      <w:r w:rsidR="005A14BC" w:rsidRPr="00DF58B9">
        <w:rPr>
          <w:rFonts w:cs="Arial"/>
          <w:lang w:val="fr-FR"/>
        </w:rPr>
        <w:t xml:space="preserve">) </w:t>
      </w:r>
      <w:r w:rsidRPr="00DF58B9">
        <w:rPr>
          <w:rFonts w:cs="Arial"/>
          <w:lang w:val="fr-FR"/>
        </w:rPr>
        <w:t>a été établi pour servir de point focal mondial. Un concours de photos sur les zones humides a eu lieu pour encourager les jeunes à faire eux</w:t>
      </w:r>
      <w:r w:rsidRPr="00DF58B9">
        <w:rPr>
          <w:rFonts w:cs="Arial"/>
          <w:lang w:val="fr-FR"/>
        </w:rPr>
        <w:noBreakHyphen/>
        <w:t>mêmes l’expérience des zones humides, et a attiré plus de 2200 </w:t>
      </w:r>
      <w:r w:rsidR="00CF4CFA" w:rsidRPr="00DF58B9">
        <w:rPr>
          <w:rFonts w:cs="Arial"/>
          <w:lang w:val="fr-FR"/>
        </w:rPr>
        <w:t>inscriptions</w:t>
      </w:r>
      <w:r w:rsidRPr="00DF58B9">
        <w:rPr>
          <w:rFonts w:cs="Arial"/>
          <w:lang w:val="fr-FR"/>
        </w:rPr>
        <w:t xml:space="preserve"> de 80 pays. Une bibliothèque de matériel pour les enseignants et les organisateurs a été mise à disposition pour téléchargement.</w:t>
      </w:r>
      <w:r w:rsidR="00067A6C" w:rsidRPr="00DF58B9">
        <w:rPr>
          <w:rFonts w:cs="Arial"/>
          <w:lang w:val="fr-FR"/>
        </w:rPr>
        <w:t xml:space="preserve"> </w:t>
      </w:r>
      <w:r w:rsidR="001C544D" w:rsidRPr="00DF58B9">
        <w:rPr>
          <w:rFonts w:cs="Arial"/>
          <w:lang w:val="fr-FR"/>
        </w:rPr>
        <w:t xml:space="preserve"> </w:t>
      </w:r>
    </w:p>
    <w:p w:rsidR="001C544D" w:rsidRPr="00DF58B9" w:rsidRDefault="001C544D" w:rsidP="007B47B6">
      <w:pPr>
        <w:pStyle w:val="ListParagraph"/>
        <w:spacing w:after="0" w:line="240" w:lineRule="auto"/>
        <w:ind w:left="426"/>
        <w:rPr>
          <w:rFonts w:cs="Arial"/>
          <w:lang w:val="fr-FR"/>
        </w:rPr>
      </w:pPr>
    </w:p>
    <w:p w:rsidR="00E0527E" w:rsidRPr="00DF58B9" w:rsidRDefault="00553F6B" w:rsidP="007B47B6">
      <w:pPr>
        <w:pStyle w:val="ListParagraph"/>
        <w:numPr>
          <w:ilvl w:val="0"/>
          <w:numId w:val="25"/>
        </w:numPr>
        <w:spacing w:after="0" w:line="240" w:lineRule="auto"/>
        <w:ind w:left="426" w:hanging="426"/>
        <w:rPr>
          <w:rFonts w:cs="Arial"/>
          <w:lang w:val="fr-FR"/>
        </w:rPr>
      </w:pPr>
      <w:r w:rsidRPr="00DF58B9">
        <w:rPr>
          <w:rFonts w:cs="Arial"/>
          <w:lang w:val="fr-FR"/>
        </w:rPr>
        <w:t xml:space="preserve">Cette période triennale a été témoin </w:t>
      </w:r>
      <w:r w:rsidR="00CF4CFA" w:rsidRPr="00DF58B9">
        <w:rPr>
          <w:rFonts w:cs="Arial"/>
          <w:lang w:val="fr-FR"/>
        </w:rPr>
        <w:t>de l’essor des activités de la JMZ,</w:t>
      </w:r>
      <w:r w:rsidRPr="00DF58B9">
        <w:rPr>
          <w:rFonts w:cs="Arial"/>
          <w:lang w:val="fr-FR"/>
        </w:rPr>
        <w:t xml:space="preserve"> </w:t>
      </w:r>
      <w:r w:rsidR="00CF4CFA" w:rsidRPr="00DF58B9">
        <w:rPr>
          <w:rFonts w:cs="Arial"/>
          <w:lang w:val="fr-FR"/>
        </w:rPr>
        <w:t xml:space="preserve"> </w:t>
      </w:r>
      <w:r w:rsidRPr="00DF58B9">
        <w:rPr>
          <w:rFonts w:cs="Arial"/>
          <w:lang w:val="fr-FR"/>
        </w:rPr>
        <w:t>soulignant</w:t>
      </w:r>
      <w:r w:rsidR="00CF4CFA" w:rsidRPr="00DF58B9">
        <w:rPr>
          <w:rFonts w:cs="Arial"/>
          <w:lang w:val="fr-FR"/>
        </w:rPr>
        <w:t>, une fois encore,</w:t>
      </w:r>
      <w:r w:rsidRPr="00DF58B9">
        <w:rPr>
          <w:rFonts w:cs="Arial"/>
          <w:lang w:val="fr-FR"/>
        </w:rPr>
        <w:t xml:space="preserve"> que les Parties considèrent cette journée de campagne comme un outil précieux pour sensibiliser aux questions relatives aux zones humides. Les mentions fréquentes de la JMZ dans les </w:t>
      </w:r>
      <w:r w:rsidR="00CF4CFA" w:rsidRPr="00DF58B9">
        <w:rPr>
          <w:rFonts w:cs="Arial"/>
          <w:lang w:val="fr-FR"/>
        </w:rPr>
        <w:t>champs de texte</w:t>
      </w:r>
      <w:r w:rsidRPr="00DF58B9">
        <w:rPr>
          <w:rFonts w:cs="Arial"/>
          <w:lang w:val="fr-FR"/>
        </w:rPr>
        <w:t xml:space="preserve"> des </w:t>
      </w:r>
      <w:r w:rsidR="00B62832" w:rsidRPr="00DF58B9">
        <w:rPr>
          <w:rFonts w:cs="Arial"/>
          <w:lang w:val="fr-FR"/>
        </w:rPr>
        <w:t>rapports</w:t>
      </w:r>
      <w:r w:rsidRPr="00DF58B9">
        <w:rPr>
          <w:rFonts w:cs="Arial"/>
          <w:lang w:val="fr-FR"/>
        </w:rPr>
        <w:t xml:space="preserve"> nationaux en sont un autre indicateur. Le site web de la Convention enregistre chaque année les rapports reçus pour la JMZ. Les chiffres mentionnés ci</w:t>
      </w:r>
      <w:r w:rsidRPr="00DF58B9">
        <w:rPr>
          <w:rFonts w:cs="Arial"/>
          <w:lang w:val="fr-FR"/>
        </w:rPr>
        <w:noBreakHyphen/>
        <w:t>dessous sont une sous</w:t>
      </w:r>
      <w:r w:rsidRPr="00DF58B9">
        <w:rPr>
          <w:rFonts w:cs="Arial"/>
          <w:lang w:val="fr-FR"/>
        </w:rPr>
        <w:noBreakHyphen/>
        <w:t xml:space="preserve">estimation parce que beaucoup d’autres activités ont lieu </w:t>
      </w:r>
      <w:r w:rsidR="00CF4CFA" w:rsidRPr="00DF58B9">
        <w:rPr>
          <w:rFonts w:cs="Arial"/>
          <w:lang w:val="fr-FR"/>
        </w:rPr>
        <w:t>sans être</w:t>
      </w:r>
      <w:r w:rsidRPr="00DF58B9">
        <w:rPr>
          <w:rFonts w:cs="Arial"/>
          <w:lang w:val="fr-FR"/>
        </w:rPr>
        <w:t xml:space="preserve"> enregistrées.</w:t>
      </w:r>
      <w:r w:rsidR="00067A6C" w:rsidRPr="00DF58B9">
        <w:rPr>
          <w:rFonts w:cs="Arial"/>
          <w:lang w:val="fr-FR"/>
        </w:rPr>
        <w:t xml:space="preserve"> </w:t>
      </w:r>
    </w:p>
    <w:p w:rsidR="00663A7A" w:rsidRPr="00DF58B9" w:rsidRDefault="00663A7A" w:rsidP="009E36E7">
      <w:pPr>
        <w:spacing w:after="0" w:line="240" w:lineRule="auto"/>
        <w:rPr>
          <w:rFonts w:cs="Arial"/>
          <w:lang w:val="fr-FR"/>
        </w:rPr>
      </w:pPr>
    </w:p>
    <w:p w:rsidR="00663A7A" w:rsidRPr="00DF58B9" w:rsidRDefault="00A27F71" w:rsidP="00553F6B">
      <w:pPr>
        <w:keepNext/>
        <w:keepLines/>
        <w:spacing w:after="0" w:line="240" w:lineRule="auto"/>
        <w:rPr>
          <w:rFonts w:cs="Arial"/>
          <w:b/>
          <w:lang w:val="fr-FR"/>
        </w:rPr>
      </w:pPr>
      <w:r w:rsidRPr="00DF58B9">
        <w:rPr>
          <w:rFonts w:cs="Arial"/>
          <w:b/>
          <w:lang w:val="fr-FR"/>
        </w:rPr>
        <w:lastRenderedPageBreak/>
        <w:t>Table</w:t>
      </w:r>
      <w:r w:rsidR="00553F6B" w:rsidRPr="00DF58B9">
        <w:rPr>
          <w:rFonts w:cs="Arial"/>
          <w:b/>
          <w:lang w:val="fr-FR"/>
        </w:rPr>
        <w:t>au</w:t>
      </w:r>
      <w:r w:rsidRPr="00DF58B9">
        <w:rPr>
          <w:rFonts w:cs="Arial"/>
          <w:b/>
          <w:lang w:val="fr-FR"/>
        </w:rPr>
        <w:t xml:space="preserve"> 2</w:t>
      </w:r>
      <w:r w:rsidR="00553F6B" w:rsidRPr="00DF58B9">
        <w:rPr>
          <w:rFonts w:cs="Arial"/>
          <w:b/>
          <w:lang w:val="fr-FR"/>
        </w:rPr>
        <w:t> </w:t>
      </w:r>
      <w:r w:rsidRPr="00DF58B9">
        <w:rPr>
          <w:rFonts w:cs="Arial"/>
          <w:b/>
          <w:lang w:val="fr-FR"/>
        </w:rPr>
        <w:t xml:space="preserve">: </w:t>
      </w:r>
      <w:r w:rsidR="00553F6B" w:rsidRPr="00DF58B9">
        <w:rPr>
          <w:rFonts w:cs="Arial"/>
          <w:b/>
          <w:lang w:val="fr-FR"/>
        </w:rPr>
        <w:t>Indicateurs de la Journée mondiale des zones humides</w:t>
      </w:r>
    </w:p>
    <w:tbl>
      <w:tblPr>
        <w:tblStyle w:val="TableGrid"/>
        <w:tblW w:w="0" w:type="auto"/>
        <w:tblInd w:w="108" w:type="dxa"/>
        <w:tblLayout w:type="fixed"/>
        <w:tblLook w:val="04A0"/>
      </w:tblPr>
      <w:tblGrid>
        <w:gridCol w:w="3828"/>
        <w:gridCol w:w="1653"/>
        <w:gridCol w:w="1654"/>
        <w:gridCol w:w="1654"/>
      </w:tblGrid>
      <w:tr w:rsidR="00A27F71" w:rsidRPr="00DF58B9" w:rsidTr="00A27F71">
        <w:tc>
          <w:tcPr>
            <w:tcW w:w="3828" w:type="dxa"/>
          </w:tcPr>
          <w:p w:rsidR="00A27F71" w:rsidRPr="00DF58B9" w:rsidRDefault="00A27F71" w:rsidP="00553F6B">
            <w:pPr>
              <w:keepNext/>
              <w:keepLines/>
              <w:rPr>
                <w:rFonts w:cs="Arial"/>
                <w:lang w:val="fr-FR"/>
              </w:rPr>
            </w:pPr>
          </w:p>
        </w:tc>
        <w:tc>
          <w:tcPr>
            <w:tcW w:w="1653" w:type="dxa"/>
          </w:tcPr>
          <w:p w:rsidR="00A27F71" w:rsidRPr="00DF58B9" w:rsidRDefault="00A27F71" w:rsidP="00553F6B">
            <w:pPr>
              <w:keepNext/>
              <w:keepLines/>
              <w:rPr>
                <w:rFonts w:cs="Arial"/>
                <w:b/>
                <w:lang w:val="fr-FR"/>
              </w:rPr>
            </w:pPr>
            <w:r w:rsidRPr="00DF58B9">
              <w:rPr>
                <w:rFonts w:cs="Arial"/>
                <w:b/>
                <w:lang w:val="fr-FR"/>
              </w:rPr>
              <w:t>2013</w:t>
            </w:r>
          </w:p>
        </w:tc>
        <w:tc>
          <w:tcPr>
            <w:tcW w:w="1654" w:type="dxa"/>
          </w:tcPr>
          <w:p w:rsidR="00A27F71" w:rsidRPr="00DF58B9" w:rsidRDefault="00A27F71" w:rsidP="00553F6B">
            <w:pPr>
              <w:keepNext/>
              <w:keepLines/>
              <w:rPr>
                <w:rFonts w:cs="Arial"/>
                <w:b/>
                <w:lang w:val="fr-FR"/>
              </w:rPr>
            </w:pPr>
            <w:r w:rsidRPr="00DF58B9">
              <w:rPr>
                <w:rFonts w:cs="Arial"/>
                <w:b/>
                <w:lang w:val="fr-FR"/>
              </w:rPr>
              <w:t>2014</w:t>
            </w:r>
          </w:p>
        </w:tc>
        <w:tc>
          <w:tcPr>
            <w:tcW w:w="1654" w:type="dxa"/>
          </w:tcPr>
          <w:p w:rsidR="00A27F71" w:rsidRPr="00DF58B9" w:rsidRDefault="00A27F71" w:rsidP="00553F6B">
            <w:pPr>
              <w:keepNext/>
              <w:keepLines/>
              <w:rPr>
                <w:rFonts w:cs="Arial"/>
                <w:b/>
                <w:lang w:val="fr-FR"/>
              </w:rPr>
            </w:pPr>
            <w:r w:rsidRPr="00DF58B9">
              <w:rPr>
                <w:rFonts w:cs="Arial"/>
                <w:b/>
                <w:lang w:val="fr-FR"/>
              </w:rPr>
              <w:t>2015</w:t>
            </w:r>
          </w:p>
        </w:tc>
      </w:tr>
      <w:tr w:rsidR="00A27F71" w:rsidRPr="00DF58B9" w:rsidTr="00A27F71">
        <w:tc>
          <w:tcPr>
            <w:tcW w:w="3828" w:type="dxa"/>
          </w:tcPr>
          <w:p w:rsidR="00A27F71" w:rsidRPr="00DF58B9" w:rsidRDefault="00A27F71" w:rsidP="00553F6B">
            <w:pPr>
              <w:keepNext/>
              <w:keepLines/>
              <w:rPr>
                <w:rFonts w:cs="Arial"/>
                <w:lang w:val="fr-FR"/>
              </w:rPr>
            </w:pPr>
            <w:r w:rsidRPr="00DF58B9">
              <w:rPr>
                <w:rFonts w:cs="Arial"/>
                <w:lang w:val="fr-FR"/>
              </w:rPr>
              <w:t>N</w:t>
            </w:r>
            <w:r w:rsidR="00553F6B" w:rsidRPr="00DF58B9">
              <w:rPr>
                <w:rFonts w:cs="Arial"/>
                <w:lang w:val="fr-FR"/>
              </w:rPr>
              <w:t xml:space="preserve">ombre d’activités de JMZ déclarées </w:t>
            </w:r>
          </w:p>
        </w:tc>
        <w:tc>
          <w:tcPr>
            <w:tcW w:w="1653" w:type="dxa"/>
          </w:tcPr>
          <w:p w:rsidR="00A27F71" w:rsidRPr="00DF58B9" w:rsidRDefault="00A27F71" w:rsidP="00553F6B">
            <w:pPr>
              <w:keepNext/>
              <w:keepLines/>
              <w:rPr>
                <w:rFonts w:cs="Arial"/>
                <w:lang w:val="fr-FR"/>
              </w:rPr>
            </w:pPr>
            <w:r w:rsidRPr="00DF58B9">
              <w:rPr>
                <w:rFonts w:cs="Arial"/>
                <w:lang w:val="fr-FR"/>
              </w:rPr>
              <w:t>904</w:t>
            </w:r>
          </w:p>
        </w:tc>
        <w:tc>
          <w:tcPr>
            <w:tcW w:w="1654" w:type="dxa"/>
          </w:tcPr>
          <w:p w:rsidR="00A27F71" w:rsidRPr="00DF58B9" w:rsidRDefault="00A27F71" w:rsidP="00553F6B">
            <w:pPr>
              <w:keepNext/>
              <w:keepLines/>
              <w:rPr>
                <w:rFonts w:cs="Arial"/>
                <w:lang w:val="fr-FR"/>
              </w:rPr>
            </w:pPr>
            <w:r w:rsidRPr="00DF58B9">
              <w:rPr>
                <w:rFonts w:cs="Arial"/>
                <w:lang w:val="fr-FR"/>
              </w:rPr>
              <w:t>820</w:t>
            </w:r>
          </w:p>
        </w:tc>
        <w:tc>
          <w:tcPr>
            <w:tcW w:w="1654" w:type="dxa"/>
          </w:tcPr>
          <w:p w:rsidR="00A27F71" w:rsidRPr="00DF58B9" w:rsidRDefault="00553F6B" w:rsidP="00553F6B">
            <w:pPr>
              <w:keepNext/>
              <w:keepLines/>
              <w:rPr>
                <w:rFonts w:cs="Arial"/>
                <w:lang w:val="fr-FR"/>
              </w:rPr>
            </w:pPr>
            <w:r w:rsidRPr="00DF58B9">
              <w:rPr>
                <w:rFonts w:cs="Arial"/>
                <w:lang w:val="fr-FR"/>
              </w:rPr>
              <w:t xml:space="preserve">en voie de </w:t>
            </w:r>
            <w:r w:rsidR="00A27F71" w:rsidRPr="00DF58B9">
              <w:rPr>
                <w:rFonts w:cs="Arial"/>
                <w:lang w:val="fr-FR"/>
              </w:rPr>
              <w:t xml:space="preserve">compilation </w:t>
            </w:r>
          </w:p>
        </w:tc>
      </w:tr>
      <w:tr w:rsidR="00A27F71" w:rsidRPr="00DF58B9" w:rsidTr="00A27F71">
        <w:tc>
          <w:tcPr>
            <w:tcW w:w="3828" w:type="dxa"/>
          </w:tcPr>
          <w:p w:rsidR="00A27F71" w:rsidRPr="00DF58B9" w:rsidRDefault="00A27F71" w:rsidP="00553F6B">
            <w:pPr>
              <w:keepNext/>
              <w:keepLines/>
              <w:rPr>
                <w:rFonts w:cs="Arial"/>
                <w:lang w:val="fr-FR"/>
              </w:rPr>
            </w:pPr>
            <w:r w:rsidRPr="00DF58B9">
              <w:rPr>
                <w:rFonts w:cs="Arial"/>
                <w:lang w:val="fr-FR"/>
              </w:rPr>
              <w:t>N</w:t>
            </w:r>
            <w:r w:rsidR="00553F6B" w:rsidRPr="00DF58B9">
              <w:rPr>
                <w:rFonts w:cs="Arial"/>
                <w:lang w:val="fr-FR"/>
              </w:rPr>
              <w:t>ombre de pays participants</w:t>
            </w:r>
          </w:p>
        </w:tc>
        <w:tc>
          <w:tcPr>
            <w:tcW w:w="1653" w:type="dxa"/>
          </w:tcPr>
          <w:p w:rsidR="00A27F71" w:rsidRPr="00DF58B9" w:rsidRDefault="00A27F71" w:rsidP="00553F6B">
            <w:pPr>
              <w:keepNext/>
              <w:keepLines/>
              <w:rPr>
                <w:rFonts w:cs="Arial"/>
                <w:lang w:val="fr-FR"/>
              </w:rPr>
            </w:pPr>
            <w:r w:rsidRPr="00DF58B9">
              <w:rPr>
                <w:rFonts w:cs="Arial"/>
                <w:lang w:val="fr-FR"/>
              </w:rPr>
              <w:t>48</w:t>
            </w:r>
          </w:p>
        </w:tc>
        <w:tc>
          <w:tcPr>
            <w:tcW w:w="1654" w:type="dxa"/>
          </w:tcPr>
          <w:p w:rsidR="00A27F71" w:rsidRPr="00DF58B9" w:rsidRDefault="00A27F71" w:rsidP="00553F6B">
            <w:pPr>
              <w:keepNext/>
              <w:keepLines/>
              <w:rPr>
                <w:rFonts w:cs="Arial"/>
                <w:lang w:val="fr-FR"/>
              </w:rPr>
            </w:pPr>
            <w:r w:rsidRPr="00DF58B9">
              <w:rPr>
                <w:rFonts w:cs="Arial"/>
                <w:lang w:val="fr-FR"/>
              </w:rPr>
              <w:t>77</w:t>
            </w:r>
          </w:p>
        </w:tc>
        <w:tc>
          <w:tcPr>
            <w:tcW w:w="1654" w:type="dxa"/>
          </w:tcPr>
          <w:p w:rsidR="00A27F71" w:rsidRPr="00DF58B9" w:rsidRDefault="00553F6B" w:rsidP="00553F6B">
            <w:pPr>
              <w:keepNext/>
              <w:keepLines/>
              <w:rPr>
                <w:rFonts w:cs="Arial"/>
                <w:lang w:val="fr-FR"/>
              </w:rPr>
            </w:pPr>
            <w:r w:rsidRPr="00DF58B9">
              <w:rPr>
                <w:rFonts w:cs="Arial"/>
                <w:lang w:val="fr-FR"/>
              </w:rPr>
              <w:t xml:space="preserve">en voie de </w:t>
            </w:r>
            <w:r w:rsidR="00A27F71" w:rsidRPr="00DF58B9">
              <w:rPr>
                <w:rFonts w:cs="Arial"/>
                <w:lang w:val="fr-FR"/>
              </w:rPr>
              <w:t>compilation</w:t>
            </w:r>
          </w:p>
        </w:tc>
      </w:tr>
      <w:tr w:rsidR="00A27F71" w:rsidRPr="00DF58B9" w:rsidTr="00A27F71">
        <w:tc>
          <w:tcPr>
            <w:tcW w:w="3828" w:type="dxa"/>
          </w:tcPr>
          <w:p w:rsidR="00A27F71" w:rsidRPr="00DF58B9" w:rsidRDefault="00A27F71" w:rsidP="00553F6B">
            <w:pPr>
              <w:keepNext/>
              <w:keepLines/>
              <w:rPr>
                <w:rFonts w:cs="Arial"/>
                <w:lang w:val="fr-FR"/>
              </w:rPr>
            </w:pPr>
            <w:r w:rsidRPr="00DF58B9">
              <w:rPr>
                <w:rFonts w:cs="Arial"/>
                <w:lang w:val="fr-FR"/>
              </w:rPr>
              <w:t>N</w:t>
            </w:r>
            <w:r w:rsidR="00553F6B" w:rsidRPr="00DF58B9">
              <w:rPr>
                <w:rFonts w:cs="Arial"/>
                <w:lang w:val="fr-FR"/>
              </w:rPr>
              <w:t>ombre de téléchargements de matériel de la JMZ</w:t>
            </w:r>
          </w:p>
        </w:tc>
        <w:tc>
          <w:tcPr>
            <w:tcW w:w="1653" w:type="dxa"/>
          </w:tcPr>
          <w:p w:rsidR="00A27F71" w:rsidRPr="00DF58B9" w:rsidRDefault="00A27F71" w:rsidP="00553F6B">
            <w:pPr>
              <w:keepNext/>
              <w:keepLines/>
              <w:rPr>
                <w:rFonts w:cs="Arial"/>
                <w:lang w:val="fr-FR"/>
              </w:rPr>
            </w:pPr>
            <w:r w:rsidRPr="00DF58B9">
              <w:rPr>
                <w:rFonts w:cs="Arial"/>
                <w:lang w:val="fr-FR"/>
              </w:rPr>
              <w:t>N/A</w:t>
            </w:r>
          </w:p>
        </w:tc>
        <w:tc>
          <w:tcPr>
            <w:tcW w:w="1654" w:type="dxa"/>
          </w:tcPr>
          <w:p w:rsidR="00A27F71" w:rsidRPr="00DF58B9" w:rsidRDefault="00A27F71" w:rsidP="00553F6B">
            <w:pPr>
              <w:keepNext/>
              <w:keepLines/>
              <w:rPr>
                <w:rFonts w:cs="Arial"/>
                <w:lang w:val="fr-FR"/>
              </w:rPr>
            </w:pPr>
            <w:r w:rsidRPr="00DF58B9">
              <w:rPr>
                <w:rFonts w:cs="Arial"/>
                <w:lang w:val="fr-FR"/>
              </w:rPr>
              <w:t>N/A</w:t>
            </w:r>
          </w:p>
        </w:tc>
        <w:tc>
          <w:tcPr>
            <w:tcW w:w="1654" w:type="dxa"/>
          </w:tcPr>
          <w:p w:rsidR="00A27F71" w:rsidRPr="00DF58B9" w:rsidRDefault="00553F6B" w:rsidP="00553F6B">
            <w:pPr>
              <w:keepNext/>
              <w:keepLines/>
              <w:rPr>
                <w:rFonts w:cs="Arial"/>
                <w:lang w:val="fr-FR"/>
              </w:rPr>
            </w:pPr>
            <w:r w:rsidRPr="00DF58B9">
              <w:rPr>
                <w:rFonts w:cs="Arial"/>
                <w:lang w:val="fr-FR"/>
              </w:rPr>
              <w:t>113 </w:t>
            </w:r>
            <w:r w:rsidR="00A27F71" w:rsidRPr="00DF58B9">
              <w:rPr>
                <w:rFonts w:cs="Arial"/>
                <w:lang w:val="fr-FR"/>
              </w:rPr>
              <w:t>464</w:t>
            </w:r>
          </w:p>
        </w:tc>
      </w:tr>
    </w:tbl>
    <w:p w:rsidR="000A0707" w:rsidRPr="00DF58B9" w:rsidRDefault="000A0707" w:rsidP="009E36E7">
      <w:pPr>
        <w:spacing w:after="0" w:line="240" w:lineRule="auto"/>
        <w:rPr>
          <w:rFonts w:cs="Arial"/>
          <w:lang w:val="fr-FR"/>
        </w:rPr>
      </w:pPr>
    </w:p>
    <w:p w:rsidR="00A27F71" w:rsidRPr="00DF58B9" w:rsidRDefault="00A27F71" w:rsidP="009E36E7">
      <w:pPr>
        <w:spacing w:after="0" w:line="240" w:lineRule="auto"/>
        <w:rPr>
          <w:rFonts w:cs="Arial"/>
          <w:lang w:val="fr-FR"/>
        </w:rPr>
      </w:pPr>
    </w:p>
    <w:p w:rsidR="00B20979" w:rsidRPr="00DF58B9" w:rsidRDefault="000D03D4" w:rsidP="007B47B6">
      <w:pPr>
        <w:pStyle w:val="ListParagraph"/>
        <w:numPr>
          <w:ilvl w:val="0"/>
          <w:numId w:val="25"/>
        </w:numPr>
        <w:spacing w:after="0" w:line="240" w:lineRule="auto"/>
        <w:ind w:left="426" w:hanging="426"/>
        <w:rPr>
          <w:rFonts w:cs="Arial"/>
          <w:lang w:val="fr-FR"/>
        </w:rPr>
      </w:pPr>
      <w:r w:rsidRPr="00DF58B9">
        <w:rPr>
          <w:rFonts w:cs="Arial"/>
          <w:lang w:val="fr-FR"/>
        </w:rPr>
        <w:t>Dur</w:t>
      </w:r>
      <w:r w:rsidR="00553F6B" w:rsidRPr="00DF58B9">
        <w:rPr>
          <w:rFonts w:cs="Arial"/>
          <w:lang w:val="fr-FR"/>
        </w:rPr>
        <w:t xml:space="preserve">ant cette période triennale, le Secrétariat a fait des efforts particuliers pour élaborer des thèmes pour la JMZ et des messages en coordination avec d’autres grands partenaires et en écho à des problèmes plus </w:t>
      </w:r>
      <w:r w:rsidR="005322E2" w:rsidRPr="00DF58B9">
        <w:rPr>
          <w:rFonts w:cs="Arial"/>
          <w:lang w:val="fr-FR"/>
        </w:rPr>
        <w:t>généraux</w:t>
      </w:r>
      <w:r w:rsidR="00553F6B" w:rsidRPr="00DF58B9">
        <w:rPr>
          <w:rFonts w:cs="Arial"/>
          <w:lang w:val="fr-FR"/>
        </w:rPr>
        <w:t xml:space="preserve"> au niveau international : </w:t>
      </w:r>
    </w:p>
    <w:p w:rsidR="00B20979" w:rsidRPr="00DF58B9" w:rsidRDefault="00553F6B" w:rsidP="007B47B6">
      <w:pPr>
        <w:pStyle w:val="ListParagraph"/>
        <w:numPr>
          <w:ilvl w:val="0"/>
          <w:numId w:val="27"/>
        </w:numPr>
        <w:spacing w:after="0" w:line="240" w:lineRule="auto"/>
        <w:ind w:left="851" w:hanging="425"/>
        <w:rPr>
          <w:rFonts w:cs="Arial"/>
          <w:lang w:val="fr-FR"/>
        </w:rPr>
      </w:pPr>
      <w:r w:rsidRPr="00DF58B9">
        <w:rPr>
          <w:rFonts w:cs="Arial"/>
          <w:lang w:val="fr-FR"/>
        </w:rPr>
        <w:t>E</w:t>
      </w:r>
      <w:r w:rsidR="000D03D4" w:rsidRPr="00DF58B9">
        <w:rPr>
          <w:rFonts w:cs="Arial"/>
          <w:lang w:val="fr-FR"/>
        </w:rPr>
        <w:t>n 2013</w:t>
      </w:r>
      <w:r w:rsidRPr="00DF58B9">
        <w:rPr>
          <w:rFonts w:cs="Arial"/>
          <w:lang w:val="fr-FR"/>
        </w:rPr>
        <w:t xml:space="preserve">, le Secrétariat a collaboré avec l’UNESCO et l’Année internationale de la coopération </w:t>
      </w:r>
      <w:r w:rsidR="00F775E0" w:rsidRPr="00DF58B9">
        <w:rPr>
          <w:rFonts w:cs="Arial"/>
          <w:lang w:val="fr-FR"/>
        </w:rPr>
        <w:t>dans le domaine de</w:t>
      </w:r>
      <w:r w:rsidRPr="00DF58B9">
        <w:rPr>
          <w:rFonts w:cs="Arial"/>
          <w:lang w:val="fr-FR"/>
        </w:rPr>
        <w:t xml:space="preserve"> l’eau </w:t>
      </w:r>
      <w:r w:rsidR="00AF5F8C" w:rsidRPr="00DF58B9">
        <w:rPr>
          <w:rFonts w:cs="Arial"/>
          <w:lang w:val="fr-FR"/>
        </w:rPr>
        <w:t xml:space="preserve">déclarée par </w:t>
      </w:r>
      <w:r w:rsidRPr="00DF58B9">
        <w:rPr>
          <w:rFonts w:cs="Arial"/>
          <w:lang w:val="fr-FR"/>
        </w:rPr>
        <w:t xml:space="preserve">l’ONU avec le thème correspondant pour la JMZ « Les zones humides </w:t>
      </w:r>
      <w:r w:rsidR="00F775E0" w:rsidRPr="00DF58B9">
        <w:rPr>
          <w:rFonts w:cs="Arial"/>
          <w:lang w:val="fr-FR"/>
        </w:rPr>
        <w:t>protègent</w:t>
      </w:r>
      <w:r w:rsidRPr="00DF58B9">
        <w:rPr>
          <w:rFonts w:cs="Arial"/>
          <w:lang w:val="fr-FR"/>
        </w:rPr>
        <w:t xml:space="preserve"> l’eau ». </w:t>
      </w:r>
      <w:r w:rsidR="000D03D4" w:rsidRPr="00DF58B9">
        <w:rPr>
          <w:rFonts w:cs="Arial"/>
          <w:lang w:val="fr-FR"/>
        </w:rPr>
        <w:t xml:space="preserve"> </w:t>
      </w:r>
    </w:p>
    <w:p w:rsidR="000D03D4" w:rsidRPr="00DF58B9" w:rsidRDefault="00CD241C" w:rsidP="007B47B6">
      <w:pPr>
        <w:pStyle w:val="ListParagraph"/>
        <w:numPr>
          <w:ilvl w:val="0"/>
          <w:numId w:val="27"/>
        </w:numPr>
        <w:spacing w:after="0" w:line="240" w:lineRule="auto"/>
        <w:ind w:left="851" w:hanging="425"/>
        <w:rPr>
          <w:rFonts w:cs="Arial"/>
          <w:lang w:val="fr-FR"/>
        </w:rPr>
      </w:pPr>
      <w:r w:rsidRPr="00DF58B9">
        <w:rPr>
          <w:rFonts w:cs="Arial"/>
          <w:lang w:val="fr-FR"/>
        </w:rPr>
        <w:t>E</w:t>
      </w:r>
      <w:r w:rsidR="000D03D4" w:rsidRPr="00DF58B9">
        <w:rPr>
          <w:rFonts w:cs="Arial"/>
          <w:lang w:val="fr-FR"/>
        </w:rPr>
        <w:t xml:space="preserve">n 2014, </w:t>
      </w:r>
      <w:r w:rsidRPr="00DF58B9">
        <w:rPr>
          <w:rFonts w:cs="Arial"/>
          <w:lang w:val="fr-FR"/>
        </w:rPr>
        <w:t>pour commémorer l’Année internationale de l’agriculture familiale, le Secrétariat a coopéré avec l’</w:t>
      </w:r>
      <w:r w:rsidR="00B20979" w:rsidRPr="00DF58B9">
        <w:rPr>
          <w:rFonts w:cs="Arial"/>
          <w:lang w:val="fr-FR"/>
        </w:rPr>
        <w:t xml:space="preserve">International Water Management Institute </w:t>
      </w:r>
      <w:r w:rsidRPr="00DF58B9">
        <w:rPr>
          <w:rFonts w:cs="Arial"/>
          <w:lang w:val="fr-FR"/>
        </w:rPr>
        <w:t xml:space="preserve">et l’Organisation des Nations Unies pour l’alimentation et l’agriculture afin de souligner le thème « Les zones humides et l’agriculture : </w:t>
      </w:r>
      <w:r w:rsidR="00AF5F8C" w:rsidRPr="00DF58B9">
        <w:rPr>
          <w:rFonts w:cs="Arial"/>
          <w:lang w:val="fr-FR"/>
        </w:rPr>
        <w:t>P</w:t>
      </w:r>
      <w:r w:rsidRPr="00DF58B9">
        <w:rPr>
          <w:rFonts w:cs="Arial"/>
          <w:lang w:val="fr-FR"/>
        </w:rPr>
        <w:t xml:space="preserve">artenaires </w:t>
      </w:r>
      <w:r w:rsidR="00AF5F8C" w:rsidRPr="00DF58B9">
        <w:rPr>
          <w:rFonts w:cs="Arial"/>
          <w:lang w:val="fr-FR"/>
        </w:rPr>
        <w:t>de</w:t>
      </w:r>
      <w:r w:rsidRPr="00DF58B9">
        <w:rPr>
          <w:rFonts w:cs="Arial"/>
          <w:lang w:val="fr-FR"/>
        </w:rPr>
        <w:t xml:space="preserve"> la croissance ».</w:t>
      </w:r>
    </w:p>
    <w:p w:rsidR="0028788C" w:rsidRPr="00DF58B9" w:rsidRDefault="00CD241C" w:rsidP="007B47B6">
      <w:pPr>
        <w:pStyle w:val="ListParagraph"/>
        <w:numPr>
          <w:ilvl w:val="0"/>
          <w:numId w:val="27"/>
        </w:numPr>
        <w:spacing w:after="0" w:line="240" w:lineRule="auto"/>
        <w:ind w:left="851" w:hanging="425"/>
        <w:rPr>
          <w:rFonts w:cs="Arial"/>
          <w:lang w:val="fr-FR"/>
        </w:rPr>
      </w:pPr>
      <w:r w:rsidRPr="00DF58B9">
        <w:rPr>
          <w:rFonts w:cs="Arial"/>
          <w:lang w:val="fr-FR"/>
        </w:rPr>
        <w:t>Pour </w:t>
      </w:r>
      <w:r w:rsidR="00B20979" w:rsidRPr="00DF58B9">
        <w:rPr>
          <w:rFonts w:cs="Arial"/>
          <w:lang w:val="fr-FR"/>
        </w:rPr>
        <w:t xml:space="preserve">2015, </w:t>
      </w:r>
      <w:r w:rsidRPr="00DF58B9">
        <w:rPr>
          <w:rFonts w:cs="Arial"/>
          <w:lang w:val="fr-FR"/>
        </w:rPr>
        <w:t xml:space="preserve">le thème « Les zones humides pour notre avenir » a été adopté en conjonction avec le thème pour la </w:t>
      </w:r>
      <w:r w:rsidR="00B20979" w:rsidRPr="00DF58B9">
        <w:rPr>
          <w:rFonts w:cs="Arial"/>
          <w:lang w:val="fr-FR"/>
        </w:rPr>
        <w:t>COP12.</w:t>
      </w:r>
      <w:r w:rsidR="00067A6C" w:rsidRPr="00DF58B9">
        <w:rPr>
          <w:rFonts w:cs="Arial"/>
          <w:lang w:val="fr-FR"/>
        </w:rPr>
        <w:t xml:space="preserve"> </w:t>
      </w:r>
      <w:r w:rsidRPr="00DF58B9">
        <w:rPr>
          <w:rFonts w:cs="Arial"/>
          <w:lang w:val="fr-FR"/>
        </w:rPr>
        <w:t>Cette année a aussi vu un changement majeur dans les mécanismes de la journée</w:t>
      </w:r>
      <w:r w:rsidR="00AF5F8C" w:rsidRPr="00DF58B9">
        <w:rPr>
          <w:rFonts w:cs="Arial"/>
          <w:lang w:val="fr-FR"/>
        </w:rPr>
        <w:t>,</w:t>
      </w:r>
      <w:r w:rsidRPr="00DF58B9">
        <w:rPr>
          <w:rFonts w:cs="Arial"/>
          <w:lang w:val="fr-FR"/>
        </w:rPr>
        <w:t xml:space="preserve"> </w:t>
      </w:r>
      <w:r w:rsidR="00AF5F8C" w:rsidRPr="00DF58B9">
        <w:rPr>
          <w:rFonts w:cs="Arial"/>
          <w:lang w:val="fr-FR"/>
        </w:rPr>
        <w:t>décrit</w:t>
      </w:r>
      <w:r w:rsidRPr="00DF58B9">
        <w:rPr>
          <w:rFonts w:cs="Arial"/>
          <w:lang w:val="fr-FR"/>
        </w:rPr>
        <w:t xml:space="preserve"> plus en détail ci</w:t>
      </w:r>
      <w:r w:rsidRPr="00DF58B9">
        <w:rPr>
          <w:rFonts w:cs="Arial"/>
          <w:lang w:val="fr-FR"/>
        </w:rPr>
        <w:noBreakHyphen/>
        <w:t xml:space="preserve">après. </w:t>
      </w:r>
    </w:p>
    <w:p w:rsidR="00101D74" w:rsidRPr="00DF58B9" w:rsidRDefault="00101D74" w:rsidP="009E36E7">
      <w:pPr>
        <w:spacing w:after="0" w:line="240" w:lineRule="auto"/>
        <w:rPr>
          <w:rFonts w:cs="Arial"/>
          <w:lang w:val="fr-FR"/>
        </w:rPr>
      </w:pPr>
    </w:p>
    <w:p w:rsidR="00E0527E" w:rsidRPr="00DF58B9" w:rsidRDefault="00CD241C" w:rsidP="007B47B6">
      <w:pPr>
        <w:pStyle w:val="ListParagraph"/>
        <w:numPr>
          <w:ilvl w:val="0"/>
          <w:numId w:val="25"/>
        </w:numPr>
        <w:spacing w:after="0" w:line="240" w:lineRule="auto"/>
        <w:ind w:left="426" w:hanging="426"/>
        <w:rPr>
          <w:rFonts w:cs="Arial"/>
          <w:lang w:val="fr-FR"/>
        </w:rPr>
      </w:pPr>
      <w:r w:rsidRPr="00DF58B9">
        <w:rPr>
          <w:rFonts w:cs="Arial"/>
          <w:lang w:val="fr-FR"/>
        </w:rPr>
        <w:t xml:space="preserve">Durant la période triennale, </w:t>
      </w:r>
      <w:r w:rsidR="00824401" w:rsidRPr="00DF58B9">
        <w:rPr>
          <w:rFonts w:cs="Arial"/>
          <w:lang w:val="fr-FR"/>
        </w:rPr>
        <w:t>89%</w:t>
      </w:r>
      <w:r w:rsidR="00DB1B63" w:rsidRPr="00DF58B9">
        <w:rPr>
          <w:rFonts w:cs="Arial"/>
          <w:lang w:val="fr-FR"/>
        </w:rPr>
        <w:t xml:space="preserve"> </w:t>
      </w:r>
      <w:r w:rsidRPr="00DF58B9">
        <w:rPr>
          <w:rFonts w:cs="Arial"/>
          <w:lang w:val="fr-FR"/>
        </w:rPr>
        <w:t xml:space="preserve">des </w:t>
      </w:r>
      <w:r w:rsidR="00DB1B63" w:rsidRPr="00DF58B9">
        <w:rPr>
          <w:rFonts w:cs="Arial"/>
          <w:lang w:val="fr-FR"/>
        </w:rPr>
        <w:t xml:space="preserve">Parties </w:t>
      </w:r>
      <w:r w:rsidRPr="00DF58B9">
        <w:rPr>
          <w:rFonts w:cs="Arial"/>
          <w:lang w:val="fr-FR"/>
        </w:rPr>
        <w:t xml:space="preserve">ont adapté du matériel de JMZ pour une utilisation locale. Beaucoup d’autres activités durant la période triennale méritent d’être mentionnées. </w:t>
      </w:r>
      <w:r w:rsidR="00FE2CC4" w:rsidRPr="00DF58B9">
        <w:rPr>
          <w:rFonts w:cs="Arial"/>
          <w:lang w:val="fr-FR"/>
        </w:rPr>
        <w:t>En v</w:t>
      </w:r>
      <w:r w:rsidRPr="00DF58B9">
        <w:rPr>
          <w:rFonts w:cs="Arial"/>
          <w:lang w:val="fr-FR"/>
        </w:rPr>
        <w:t>oici une sélection illustr</w:t>
      </w:r>
      <w:r w:rsidR="00FE2CC4" w:rsidRPr="00DF58B9">
        <w:rPr>
          <w:rFonts w:cs="Arial"/>
          <w:lang w:val="fr-FR"/>
        </w:rPr>
        <w:t>ant</w:t>
      </w:r>
      <w:r w:rsidRPr="00DF58B9">
        <w:rPr>
          <w:rFonts w:cs="Arial"/>
          <w:lang w:val="fr-FR"/>
        </w:rPr>
        <w:t xml:space="preserve"> l’ampleur des activités de la JMZ : </w:t>
      </w:r>
    </w:p>
    <w:p w:rsidR="00DB1B63" w:rsidRPr="00DF58B9" w:rsidRDefault="00DB1B63" w:rsidP="009E36E7">
      <w:pPr>
        <w:spacing w:after="0" w:line="240" w:lineRule="auto"/>
        <w:rPr>
          <w:rFonts w:cs="Arial"/>
          <w:lang w:val="fr-FR"/>
        </w:rPr>
      </w:pPr>
    </w:p>
    <w:p w:rsidR="00721C0F" w:rsidRPr="00DF58B9" w:rsidRDefault="00FE2CC4" w:rsidP="007B47B6">
      <w:pPr>
        <w:pStyle w:val="ListParagraph"/>
        <w:numPr>
          <w:ilvl w:val="0"/>
          <w:numId w:val="27"/>
        </w:numPr>
        <w:spacing w:after="0" w:line="240" w:lineRule="auto"/>
        <w:ind w:left="851" w:hanging="425"/>
        <w:rPr>
          <w:rFonts w:cs="Arial"/>
          <w:lang w:val="fr-FR"/>
        </w:rPr>
      </w:pPr>
      <w:r w:rsidRPr="00DF58B9">
        <w:rPr>
          <w:rFonts w:cs="Arial"/>
          <w:lang w:val="fr-FR"/>
        </w:rPr>
        <w:t>En France, l</w:t>
      </w:r>
      <w:r w:rsidR="00CD241C" w:rsidRPr="00DF58B9">
        <w:rPr>
          <w:rFonts w:cs="Arial"/>
          <w:lang w:val="fr-FR"/>
        </w:rPr>
        <w:t xml:space="preserve">e système extrêmement </w:t>
      </w:r>
      <w:r w:rsidRPr="00DF58B9">
        <w:rPr>
          <w:rFonts w:cs="Arial"/>
          <w:lang w:val="fr-FR"/>
        </w:rPr>
        <w:t>développé</w:t>
      </w:r>
      <w:r w:rsidR="00CD241C" w:rsidRPr="00DF58B9">
        <w:rPr>
          <w:rFonts w:cs="Arial"/>
          <w:lang w:val="fr-FR"/>
        </w:rPr>
        <w:t xml:space="preserve"> de la JMZ a donné quelque </w:t>
      </w:r>
      <w:r w:rsidR="00721C0F" w:rsidRPr="00DF58B9">
        <w:rPr>
          <w:rFonts w:cs="Arial"/>
          <w:lang w:val="fr-FR"/>
        </w:rPr>
        <w:t>481</w:t>
      </w:r>
      <w:r w:rsidR="00CD241C" w:rsidRPr="00DF58B9">
        <w:rPr>
          <w:rFonts w:cs="Arial"/>
          <w:lang w:val="fr-FR"/>
        </w:rPr>
        <w:t> activités de JMZ en 2014 uniquement, allant d’excursions pour les écol</w:t>
      </w:r>
      <w:r w:rsidRPr="00DF58B9">
        <w:rPr>
          <w:rFonts w:cs="Arial"/>
          <w:lang w:val="fr-FR"/>
        </w:rPr>
        <w:t>i</w:t>
      </w:r>
      <w:r w:rsidR="00CD241C" w:rsidRPr="00DF58B9">
        <w:rPr>
          <w:rFonts w:cs="Arial"/>
          <w:lang w:val="fr-FR"/>
        </w:rPr>
        <w:t>e</w:t>
      </w:r>
      <w:r w:rsidRPr="00DF58B9">
        <w:rPr>
          <w:rFonts w:cs="Arial"/>
          <w:lang w:val="fr-FR"/>
        </w:rPr>
        <w:t>r</w:t>
      </w:r>
      <w:r w:rsidR="00CD241C" w:rsidRPr="00DF58B9">
        <w:rPr>
          <w:rFonts w:cs="Arial"/>
          <w:lang w:val="fr-FR"/>
        </w:rPr>
        <w:t>s à des activités d</w:t>
      </w:r>
      <w:r w:rsidR="000B235B" w:rsidRPr="00DF58B9">
        <w:rPr>
          <w:rFonts w:cs="Arial"/>
          <w:lang w:val="fr-FR"/>
        </w:rPr>
        <w:t>e communication</w:t>
      </w:r>
      <w:r w:rsidR="00CD241C" w:rsidRPr="00DF58B9">
        <w:rPr>
          <w:rFonts w:cs="Arial"/>
          <w:lang w:val="fr-FR"/>
        </w:rPr>
        <w:t xml:space="preserve">. </w:t>
      </w:r>
      <w:r w:rsidR="00721C0F" w:rsidRPr="00DF58B9">
        <w:rPr>
          <w:rFonts w:cs="Arial"/>
          <w:lang w:val="fr-FR"/>
        </w:rPr>
        <w:t xml:space="preserve"> </w:t>
      </w:r>
    </w:p>
    <w:p w:rsidR="007B47B6" w:rsidRPr="00DF58B9" w:rsidRDefault="007B47B6" w:rsidP="007B47B6">
      <w:pPr>
        <w:pStyle w:val="ListParagraph"/>
        <w:spacing w:after="0" w:line="240" w:lineRule="auto"/>
        <w:ind w:left="851"/>
        <w:rPr>
          <w:rFonts w:cs="Arial"/>
          <w:lang w:val="fr-FR"/>
        </w:rPr>
      </w:pPr>
    </w:p>
    <w:p w:rsidR="00721C0F" w:rsidRPr="00DF58B9" w:rsidRDefault="00CD241C" w:rsidP="007B47B6">
      <w:pPr>
        <w:pStyle w:val="ListParagraph"/>
        <w:numPr>
          <w:ilvl w:val="0"/>
          <w:numId w:val="27"/>
        </w:numPr>
        <w:spacing w:after="0" w:line="240" w:lineRule="auto"/>
        <w:ind w:left="851" w:hanging="425"/>
        <w:rPr>
          <w:rFonts w:cs="Arial"/>
          <w:lang w:val="fr-FR"/>
        </w:rPr>
      </w:pPr>
      <w:r w:rsidRPr="00DF58B9">
        <w:rPr>
          <w:rFonts w:cs="Arial"/>
          <w:lang w:val="fr-FR"/>
        </w:rPr>
        <w:t>E</w:t>
      </w:r>
      <w:r w:rsidR="00721C0F" w:rsidRPr="00DF58B9">
        <w:rPr>
          <w:rFonts w:cs="Arial"/>
          <w:lang w:val="fr-FR"/>
        </w:rPr>
        <w:t xml:space="preserve">n 2013, </w:t>
      </w:r>
      <w:r w:rsidRPr="00DF58B9">
        <w:rPr>
          <w:rFonts w:cs="Arial"/>
          <w:lang w:val="fr-FR"/>
        </w:rPr>
        <w:t xml:space="preserve">l’Estonie a soutenu la JMZ par toute une gamme d’activités. Les représentants du Conseil de l’environnement, du Centre de gestion des forêts d’État, de l’Université </w:t>
      </w:r>
      <w:r w:rsidR="00FE2CC4" w:rsidRPr="00DF58B9">
        <w:rPr>
          <w:rFonts w:cs="Arial"/>
          <w:lang w:val="fr-FR"/>
        </w:rPr>
        <w:t>e</w:t>
      </w:r>
      <w:r w:rsidRPr="00DF58B9">
        <w:rPr>
          <w:rFonts w:cs="Arial"/>
          <w:lang w:val="fr-FR"/>
        </w:rPr>
        <w:t>stonie</w:t>
      </w:r>
      <w:r w:rsidR="00FE2CC4" w:rsidRPr="00DF58B9">
        <w:rPr>
          <w:rFonts w:cs="Arial"/>
          <w:lang w:val="fr-FR"/>
        </w:rPr>
        <w:t>nne</w:t>
      </w:r>
      <w:r w:rsidRPr="00DF58B9">
        <w:rPr>
          <w:rFonts w:cs="Arial"/>
          <w:lang w:val="fr-FR"/>
        </w:rPr>
        <w:t xml:space="preserve"> des sciences de la vie et des guides nature locaux se sont associés pour organiser des excursions pédagogiques dans de nombreux sites, </w:t>
      </w:r>
      <w:r w:rsidR="00FE2CC4" w:rsidRPr="00DF58B9">
        <w:rPr>
          <w:rFonts w:cs="Arial"/>
          <w:lang w:val="fr-FR"/>
        </w:rPr>
        <w:t>tels que</w:t>
      </w:r>
      <w:r w:rsidRPr="00DF58B9">
        <w:rPr>
          <w:rFonts w:cs="Arial"/>
          <w:lang w:val="fr-FR"/>
        </w:rPr>
        <w:t xml:space="preserve"> la Réserve naturelle de </w:t>
      </w:r>
      <w:r w:rsidR="00721C0F" w:rsidRPr="00DF58B9">
        <w:rPr>
          <w:rFonts w:cs="Arial"/>
          <w:lang w:val="fr-FR"/>
        </w:rPr>
        <w:t xml:space="preserve">Silma, </w:t>
      </w:r>
      <w:r w:rsidRPr="00DF58B9">
        <w:rPr>
          <w:rFonts w:cs="Arial"/>
          <w:lang w:val="fr-FR"/>
        </w:rPr>
        <w:t xml:space="preserve">le Parc national de </w:t>
      </w:r>
      <w:r w:rsidR="00721C0F" w:rsidRPr="00DF58B9">
        <w:rPr>
          <w:rFonts w:cs="Arial"/>
          <w:lang w:val="fr-FR"/>
        </w:rPr>
        <w:t xml:space="preserve">Soomaa </w:t>
      </w:r>
      <w:r w:rsidRPr="00DF58B9">
        <w:rPr>
          <w:rFonts w:cs="Arial"/>
          <w:lang w:val="fr-FR"/>
        </w:rPr>
        <w:t xml:space="preserve">et la baie de </w:t>
      </w:r>
      <w:r w:rsidR="00721C0F" w:rsidRPr="00DF58B9">
        <w:rPr>
          <w:rFonts w:cs="Arial"/>
          <w:lang w:val="fr-FR"/>
        </w:rPr>
        <w:t xml:space="preserve">Käina </w:t>
      </w:r>
      <w:r w:rsidRPr="00DF58B9">
        <w:rPr>
          <w:rFonts w:cs="Arial"/>
          <w:lang w:val="fr-FR"/>
        </w:rPr>
        <w:t xml:space="preserve">à </w:t>
      </w:r>
      <w:r w:rsidR="00721C0F" w:rsidRPr="00DF58B9">
        <w:rPr>
          <w:rFonts w:cs="Arial"/>
          <w:lang w:val="fr-FR"/>
        </w:rPr>
        <w:t xml:space="preserve">Hiiumaa. </w:t>
      </w:r>
    </w:p>
    <w:p w:rsidR="007B47B6" w:rsidRPr="00DF58B9" w:rsidRDefault="007B47B6" w:rsidP="007B47B6">
      <w:pPr>
        <w:pStyle w:val="ListParagraph"/>
        <w:rPr>
          <w:rFonts w:cs="Arial"/>
          <w:lang w:val="fr-FR"/>
        </w:rPr>
      </w:pPr>
    </w:p>
    <w:p w:rsidR="00CD120D" w:rsidRPr="00DF58B9" w:rsidRDefault="00296F70" w:rsidP="007B47B6">
      <w:pPr>
        <w:pStyle w:val="ListParagraph"/>
        <w:numPr>
          <w:ilvl w:val="0"/>
          <w:numId w:val="27"/>
        </w:numPr>
        <w:spacing w:after="0" w:line="240" w:lineRule="auto"/>
        <w:ind w:left="851" w:hanging="425"/>
        <w:rPr>
          <w:rFonts w:cs="Arial"/>
          <w:lang w:val="fr-FR"/>
        </w:rPr>
      </w:pPr>
      <w:r w:rsidRPr="00DF58B9">
        <w:rPr>
          <w:rFonts w:cs="Arial"/>
          <w:lang w:val="fr-FR"/>
        </w:rPr>
        <w:t xml:space="preserve">Le matériel pour la JMZ </w:t>
      </w:r>
      <w:r w:rsidR="00CD120D" w:rsidRPr="00DF58B9">
        <w:rPr>
          <w:rFonts w:cs="Arial"/>
          <w:lang w:val="fr-FR"/>
        </w:rPr>
        <w:t xml:space="preserve">2014 </w:t>
      </w:r>
      <w:r w:rsidRPr="00DF58B9">
        <w:rPr>
          <w:rFonts w:cs="Arial"/>
          <w:lang w:val="fr-FR"/>
        </w:rPr>
        <w:t xml:space="preserve">sur l’agriculture et les zones humides a été adapté et traduit par </w:t>
      </w:r>
      <w:r w:rsidR="00FE2CC4" w:rsidRPr="00DF58B9">
        <w:rPr>
          <w:rFonts w:cs="Arial"/>
          <w:lang w:val="fr-FR"/>
        </w:rPr>
        <w:t>de nombreux pays</w:t>
      </w:r>
      <w:r w:rsidRPr="00DF58B9">
        <w:rPr>
          <w:rFonts w:cs="Arial"/>
          <w:lang w:val="fr-FR"/>
        </w:rPr>
        <w:t xml:space="preserve"> tels que la Chine, la Colombie, l’Espagne, la France, la Grèce, </w:t>
      </w:r>
      <w:r w:rsidR="00FE2CC4" w:rsidRPr="00DF58B9">
        <w:rPr>
          <w:rFonts w:cs="Arial"/>
          <w:lang w:val="fr-FR"/>
        </w:rPr>
        <w:t xml:space="preserve">la </w:t>
      </w:r>
      <w:r w:rsidR="00486B8A" w:rsidRPr="00DF58B9">
        <w:rPr>
          <w:rFonts w:cs="Arial"/>
          <w:lang w:val="fr-FR"/>
        </w:rPr>
        <w:t xml:space="preserve">Grenade, </w:t>
      </w:r>
      <w:r w:rsidRPr="00DF58B9">
        <w:rPr>
          <w:rFonts w:cs="Arial"/>
          <w:lang w:val="fr-FR"/>
        </w:rPr>
        <w:t>l’Inde, l’Iran, l’Iraq, le Japon, Madagascar, le Myanmar et la RDP lao.</w:t>
      </w:r>
    </w:p>
    <w:p w:rsidR="007B47B6" w:rsidRPr="00DF58B9" w:rsidRDefault="007B47B6" w:rsidP="007B47B6">
      <w:pPr>
        <w:pStyle w:val="ListParagraph"/>
        <w:rPr>
          <w:rFonts w:cs="Arial"/>
          <w:lang w:val="fr-FR"/>
        </w:rPr>
      </w:pPr>
    </w:p>
    <w:p w:rsidR="00721C0F" w:rsidRPr="00DF58B9" w:rsidRDefault="00296F70" w:rsidP="007B47B6">
      <w:pPr>
        <w:pStyle w:val="ListParagraph"/>
        <w:numPr>
          <w:ilvl w:val="0"/>
          <w:numId w:val="27"/>
        </w:numPr>
        <w:spacing w:after="0" w:line="240" w:lineRule="auto"/>
        <w:ind w:left="851" w:hanging="425"/>
        <w:rPr>
          <w:rFonts w:cs="Arial"/>
          <w:lang w:val="fr-FR"/>
        </w:rPr>
      </w:pPr>
      <w:r w:rsidRPr="00DF58B9">
        <w:rPr>
          <w:rFonts w:cs="Arial"/>
          <w:lang w:val="fr-FR"/>
        </w:rPr>
        <w:t xml:space="preserve">Le </w:t>
      </w:r>
      <w:r w:rsidR="00721C0F" w:rsidRPr="00DF58B9">
        <w:rPr>
          <w:rFonts w:cs="Arial"/>
          <w:lang w:val="fr-FR"/>
        </w:rPr>
        <w:t xml:space="preserve">Bangladesh </w:t>
      </w:r>
      <w:r w:rsidRPr="00DF58B9">
        <w:rPr>
          <w:rFonts w:cs="Arial"/>
          <w:lang w:val="fr-FR"/>
        </w:rPr>
        <w:t>a fait écho au thème sur l’eau de la JMZ </w:t>
      </w:r>
      <w:r w:rsidR="00721C0F" w:rsidRPr="00DF58B9">
        <w:rPr>
          <w:rFonts w:cs="Arial"/>
          <w:lang w:val="fr-FR"/>
        </w:rPr>
        <w:t>2013</w:t>
      </w:r>
      <w:r w:rsidRPr="00DF58B9">
        <w:rPr>
          <w:rFonts w:cs="Arial"/>
          <w:lang w:val="fr-FR"/>
        </w:rPr>
        <w:t xml:space="preserve"> avec des affiches produites par le Projet de remise en état de la biodiversité des zones humides et par la Mission mondiale pour la paix à </w:t>
      </w:r>
      <w:r w:rsidR="00721C0F" w:rsidRPr="00DF58B9">
        <w:rPr>
          <w:rFonts w:cs="Arial"/>
          <w:lang w:val="fr-FR"/>
        </w:rPr>
        <w:t>Dhaka.</w:t>
      </w:r>
    </w:p>
    <w:p w:rsidR="007B47B6" w:rsidRPr="00DF58B9" w:rsidRDefault="007B47B6" w:rsidP="007B47B6">
      <w:pPr>
        <w:pStyle w:val="ListParagraph"/>
        <w:spacing w:after="0" w:line="240" w:lineRule="auto"/>
        <w:ind w:left="851"/>
        <w:rPr>
          <w:rFonts w:cs="Arial"/>
          <w:lang w:val="fr-FR"/>
        </w:rPr>
      </w:pPr>
    </w:p>
    <w:p w:rsidR="00721C0F" w:rsidRPr="00DF58B9" w:rsidRDefault="00296F70" w:rsidP="007B47B6">
      <w:pPr>
        <w:pStyle w:val="ListParagraph"/>
        <w:numPr>
          <w:ilvl w:val="0"/>
          <w:numId w:val="27"/>
        </w:numPr>
        <w:spacing w:after="0" w:line="240" w:lineRule="auto"/>
        <w:ind w:left="851" w:hanging="425"/>
        <w:rPr>
          <w:rFonts w:cs="Arial"/>
          <w:lang w:val="fr-FR"/>
        </w:rPr>
      </w:pPr>
      <w:r w:rsidRPr="00DF58B9">
        <w:rPr>
          <w:rFonts w:cs="Arial"/>
          <w:lang w:val="fr-FR"/>
        </w:rPr>
        <w:t>Le Gouvernement australien a publié le 22</w:t>
      </w:r>
      <w:r w:rsidRPr="00DF58B9">
        <w:rPr>
          <w:rFonts w:cs="Arial"/>
          <w:vertAlign w:val="superscript"/>
          <w:lang w:val="fr-FR"/>
        </w:rPr>
        <w:t>e</w:t>
      </w:r>
      <w:r w:rsidRPr="00DF58B9">
        <w:rPr>
          <w:rFonts w:cs="Arial"/>
          <w:lang w:val="fr-FR"/>
        </w:rPr>
        <w:t xml:space="preserve"> numéro de </w:t>
      </w:r>
      <w:r w:rsidR="00721C0F" w:rsidRPr="00DF58B9">
        <w:rPr>
          <w:rFonts w:cs="Arial"/>
          <w:i/>
          <w:lang w:val="fr-FR"/>
        </w:rPr>
        <w:t>Wetlands Australia</w:t>
      </w:r>
      <w:r w:rsidR="00721C0F" w:rsidRPr="00DF58B9">
        <w:rPr>
          <w:rFonts w:cs="Arial"/>
          <w:lang w:val="fr-FR"/>
        </w:rPr>
        <w:t xml:space="preserve"> </w:t>
      </w:r>
      <w:r w:rsidRPr="00DF58B9">
        <w:rPr>
          <w:rFonts w:cs="Arial"/>
          <w:lang w:val="fr-FR"/>
        </w:rPr>
        <w:t>avec le thème</w:t>
      </w:r>
      <w:r w:rsidR="00FE2CC4" w:rsidRPr="00DF58B9">
        <w:rPr>
          <w:rFonts w:cs="Arial"/>
          <w:lang w:val="fr-FR"/>
        </w:rPr>
        <w:t xml:space="preserve"> suivant :</w:t>
      </w:r>
      <w:r w:rsidRPr="00DF58B9">
        <w:rPr>
          <w:rFonts w:cs="Arial"/>
          <w:lang w:val="fr-FR"/>
        </w:rPr>
        <w:t xml:space="preserve"> Les zones humides et la gestion de l’eau pour soutenir la JMZ 2013. </w:t>
      </w:r>
    </w:p>
    <w:p w:rsidR="007B47B6" w:rsidRPr="00DF58B9" w:rsidRDefault="007B47B6" w:rsidP="007B47B6">
      <w:pPr>
        <w:pStyle w:val="ListParagraph"/>
        <w:rPr>
          <w:rFonts w:cs="Arial"/>
          <w:lang w:val="fr-FR"/>
        </w:rPr>
      </w:pPr>
    </w:p>
    <w:p w:rsidR="001E1AFB" w:rsidRPr="00DF58B9" w:rsidRDefault="00166C5B" w:rsidP="007B47B6">
      <w:pPr>
        <w:pStyle w:val="ListParagraph"/>
        <w:numPr>
          <w:ilvl w:val="0"/>
          <w:numId w:val="27"/>
        </w:numPr>
        <w:spacing w:after="0" w:line="240" w:lineRule="auto"/>
        <w:ind w:left="851" w:hanging="425"/>
        <w:rPr>
          <w:rFonts w:cs="Arial"/>
          <w:lang w:val="fr-FR"/>
        </w:rPr>
      </w:pPr>
      <w:r w:rsidRPr="00DF58B9">
        <w:rPr>
          <w:rFonts w:cs="Arial"/>
          <w:lang w:val="fr-FR"/>
        </w:rPr>
        <w:lastRenderedPageBreak/>
        <w:t xml:space="preserve">Le Bureau chinois de conservation et </w:t>
      </w:r>
      <w:r w:rsidR="004720B1" w:rsidRPr="00DF58B9">
        <w:rPr>
          <w:rFonts w:cs="Arial"/>
          <w:lang w:val="fr-FR"/>
        </w:rPr>
        <w:t xml:space="preserve">de </w:t>
      </w:r>
      <w:r w:rsidRPr="00DF58B9">
        <w:rPr>
          <w:rFonts w:cs="Arial"/>
          <w:lang w:val="fr-FR"/>
        </w:rPr>
        <w:t xml:space="preserve">gestion des zones humides de l’Administration d’État des forêts, l’Institut de recherche sur les zones humides de l’Académie </w:t>
      </w:r>
      <w:r w:rsidR="000B235B" w:rsidRPr="00DF58B9">
        <w:rPr>
          <w:rFonts w:cs="Arial"/>
          <w:lang w:val="fr-FR"/>
        </w:rPr>
        <w:t xml:space="preserve">chinoise </w:t>
      </w:r>
      <w:r w:rsidRPr="00DF58B9">
        <w:rPr>
          <w:rFonts w:cs="Arial"/>
          <w:lang w:val="fr-FR"/>
        </w:rPr>
        <w:t xml:space="preserve">des forêts et le Parc des zones humides de </w:t>
      </w:r>
      <w:r w:rsidR="009C6BA9" w:rsidRPr="00DF58B9">
        <w:rPr>
          <w:rFonts w:cs="Arial"/>
          <w:lang w:val="fr-FR"/>
        </w:rPr>
        <w:t>Hong</w:t>
      </w:r>
      <w:r w:rsidRPr="00DF58B9">
        <w:rPr>
          <w:rFonts w:cs="Arial"/>
          <w:lang w:val="fr-FR"/>
        </w:rPr>
        <w:t> </w:t>
      </w:r>
      <w:r w:rsidR="009C6BA9" w:rsidRPr="00DF58B9">
        <w:rPr>
          <w:rFonts w:cs="Arial"/>
          <w:lang w:val="fr-FR"/>
        </w:rPr>
        <w:t xml:space="preserve">Kong </w:t>
      </w:r>
      <w:r w:rsidRPr="00DF58B9">
        <w:rPr>
          <w:rFonts w:cs="Arial"/>
          <w:lang w:val="fr-FR"/>
        </w:rPr>
        <w:t xml:space="preserve">se sont associés pour la JMZ 2013 </w:t>
      </w:r>
      <w:r w:rsidR="00FE2CC4" w:rsidRPr="00DF58B9">
        <w:rPr>
          <w:rFonts w:cs="Arial"/>
          <w:lang w:val="fr-FR"/>
        </w:rPr>
        <w:t>et ont produit</w:t>
      </w:r>
      <w:r w:rsidRPr="00DF58B9">
        <w:rPr>
          <w:rFonts w:cs="Arial"/>
          <w:lang w:val="fr-FR"/>
        </w:rPr>
        <w:t xml:space="preserve"> toute une gamme d’affiches et de brochures adaptées. </w:t>
      </w:r>
    </w:p>
    <w:p w:rsidR="007B47B6" w:rsidRPr="00DF58B9" w:rsidRDefault="007B47B6" w:rsidP="007B47B6">
      <w:pPr>
        <w:pStyle w:val="ListParagraph"/>
        <w:rPr>
          <w:rFonts w:cs="Arial"/>
          <w:lang w:val="fr-FR"/>
        </w:rPr>
      </w:pPr>
    </w:p>
    <w:p w:rsidR="000A0707" w:rsidRPr="00DF58B9" w:rsidRDefault="00166C5B" w:rsidP="007B47B6">
      <w:pPr>
        <w:pStyle w:val="ListParagraph"/>
        <w:numPr>
          <w:ilvl w:val="0"/>
          <w:numId w:val="27"/>
        </w:numPr>
        <w:spacing w:after="0" w:line="240" w:lineRule="auto"/>
        <w:ind w:left="851" w:hanging="425"/>
        <w:rPr>
          <w:rFonts w:cs="Arial"/>
          <w:lang w:val="fr-FR"/>
        </w:rPr>
      </w:pPr>
      <w:r w:rsidRPr="00DF58B9">
        <w:rPr>
          <w:rFonts w:cs="Arial"/>
          <w:lang w:val="fr-FR"/>
        </w:rPr>
        <w:t>E</w:t>
      </w:r>
      <w:r w:rsidR="001E1AFB" w:rsidRPr="00DF58B9">
        <w:rPr>
          <w:rFonts w:cs="Arial"/>
          <w:lang w:val="fr-FR"/>
        </w:rPr>
        <w:t xml:space="preserve">n 2015, </w:t>
      </w:r>
      <w:r w:rsidR="00C14CC9" w:rsidRPr="00DF58B9">
        <w:rPr>
          <w:rFonts w:cs="Arial"/>
          <w:lang w:val="fr-FR"/>
        </w:rPr>
        <w:t>le Secrétaire général de</w:t>
      </w:r>
      <w:r w:rsidR="001E1AFB" w:rsidRPr="00DF58B9">
        <w:rPr>
          <w:rFonts w:cs="Arial"/>
          <w:lang w:val="fr-FR"/>
        </w:rPr>
        <w:t xml:space="preserve"> Ramsar </w:t>
      </w:r>
      <w:r w:rsidR="00C14CC9" w:rsidRPr="00DF58B9">
        <w:rPr>
          <w:rFonts w:cs="Arial"/>
          <w:lang w:val="fr-FR"/>
        </w:rPr>
        <w:t>a été invité à assister aux cérémonies de la JMZ en Ouganda, organisées par le Ministère de l’environnement de l’Ouganda</w:t>
      </w:r>
      <w:r w:rsidR="00FE2CC4" w:rsidRPr="00DF58B9">
        <w:rPr>
          <w:rFonts w:cs="Arial"/>
          <w:lang w:val="fr-FR"/>
        </w:rPr>
        <w:t xml:space="preserve"> et</w:t>
      </w:r>
      <w:r w:rsidR="00C14CC9" w:rsidRPr="00DF58B9">
        <w:rPr>
          <w:rFonts w:cs="Arial"/>
          <w:lang w:val="fr-FR"/>
        </w:rPr>
        <w:t xml:space="preserve"> le Centre Ramsar pour l’Afrique de l’Est dans le site de la baie de </w:t>
      </w:r>
      <w:r w:rsidR="001E1AFB" w:rsidRPr="00DF58B9">
        <w:rPr>
          <w:rFonts w:cs="Arial"/>
          <w:lang w:val="fr-FR"/>
        </w:rPr>
        <w:t xml:space="preserve">Lutembe </w:t>
      </w:r>
      <w:r w:rsidR="00C14CC9" w:rsidRPr="00DF58B9">
        <w:rPr>
          <w:rFonts w:cs="Arial"/>
          <w:lang w:val="fr-FR"/>
        </w:rPr>
        <w:t xml:space="preserve">sur les rives du lac </w:t>
      </w:r>
      <w:r w:rsidR="001E1AFB" w:rsidRPr="00DF58B9">
        <w:rPr>
          <w:rFonts w:cs="Arial"/>
          <w:lang w:val="fr-FR"/>
        </w:rPr>
        <w:t xml:space="preserve">Victoria. </w:t>
      </w:r>
      <w:r w:rsidR="00FE2CC4" w:rsidRPr="00DF58B9">
        <w:rPr>
          <w:rFonts w:cs="Arial"/>
          <w:lang w:val="fr-FR"/>
        </w:rPr>
        <w:t>P</w:t>
      </w:r>
      <w:r w:rsidR="00C14CC9" w:rsidRPr="00DF58B9">
        <w:rPr>
          <w:rFonts w:cs="Arial"/>
          <w:lang w:val="fr-FR"/>
        </w:rPr>
        <w:t xml:space="preserve">lus de </w:t>
      </w:r>
      <w:r w:rsidR="001E1AFB" w:rsidRPr="00DF58B9">
        <w:rPr>
          <w:rFonts w:cs="Arial"/>
          <w:lang w:val="fr-FR"/>
        </w:rPr>
        <w:t>500</w:t>
      </w:r>
      <w:r w:rsidR="00C14CC9" w:rsidRPr="00DF58B9">
        <w:rPr>
          <w:rFonts w:cs="Arial"/>
          <w:lang w:val="fr-FR"/>
        </w:rPr>
        <w:t> personnes</w:t>
      </w:r>
      <w:r w:rsidR="00FE2CC4" w:rsidRPr="00DF58B9">
        <w:rPr>
          <w:rFonts w:cs="Arial"/>
          <w:lang w:val="fr-FR"/>
        </w:rPr>
        <w:t>,</w:t>
      </w:r>
      <w:r w:rsidR="00C14CC9" w:rsidRPr="00DF58B9">
        <w:rPr>
          <w:rFonts w:cs="Arial"/>
          <w:lang w:val="fr-FR"/>
        </w:rPr>
        <w:t xml:space="preserve"> dont les communautés locales, des jeunes, la presse et des administrateurs et praticiens de zones humides</w:t>
      </w:r>
      <w:r w:rsidR="00FE2CC4" w:rsidRPr="00DF58B9">
        <w:rPr>
          <w:rFonts w:cs="Arial"/>
          <w:lang w:val="fr-FR"/>
        </w:rPr>
        <w:t xml:space="preserve"> ont assistés aux </w:t>
      </w:r>
      <w:r w:rsidR="00AE1454" w:rsidRPr="00DF58B9">
        <w:rPr>
          <w:rFonts w:cs="Arial"/>
          <w:lang w:val="fr-FR"/>
        </w:rPr>
        <w:t>cérémonies</w:t>
      </w:r>
      <w:r w:rsidR="00C14CC9" w:rsidRPr="00DF58B9">
        <w:rPr>
          <w:rFonts w:cs="Arial"/>
          <w:lang w:val="fr-FR"/>
        </w:rPr>
        <w:t xml:space="preserve">. </w:t>
      </w:r>
    </w:p>
    <w:p w:rsidR="001C544D" w:rsidRPr="00DF58B9" w:rsidRDefault="001C544D" w:rsidP="009E36E7">
      <w:pPr>
        <w:pStyle w:val="ListParagraph"/>
        <w:spacing w:after="0" w:line="240" w:lineRule="auto"/>
        <w:ind w:left="1080"/>
        <w:rPr>
          <w:rFonts w:cs="Arial"/>
          <w:lang w:val="fr-FR"/>
        </w:rPr>
      </w:pPr>
    </w:p>
    <w:p w:rsidR="00E0527E" w:rsidRPr="00DF58B9" w:rsidRDefault="00C14CC9" w:rsidP="00A31D43">
      <w:pPr>
        <w:pStyle w:val="ListParagraph"/>
        <w:numPr>
          <w:ilvl w:val="0"/>
          <w:numId w:val="25"/>
        </w:numPr>
        <w:spacing w:after="0" w:line="240" w:lineRule="auto"/>
        <w:ind w:left="426" w:hanging="426"/>
        <w:rPr>
          <w:rFonts w:cs="Arial"/>
          <w:lang w:val="fr-FR"/>
        </w:rPr>
      </w:pPr>
      <w:r w:rsidRPr="00DF58B9">
        <w:rPr>
          <w:rFonts w:cs="Arial"/>
          <w:lang w:val="fr-FR"/>
        </w:rPr>
        <w:t xml:space="preserve">À l’avenir, la stratégie proposée consistera à utiliser la Journée mondiale des zones humides pour souligner le message </w:t>
      </w:r>
      <w:r w:rsidR="00FE2CC4" w:rsidRPr="00DF58B9">
        <w:rPr>
          <w:rFonts w:cs="Arial"/>
          <w:lang w:val="fr-FR"/>
        </w:rPr>
        <w:t xml:space="preserve">central </w:t>
      </w:r>
      <w:r w:rsidRPr="00DF58B9">
        <w:rPr>
          <w:rFonts w:cs="Arial"/>
          <w:lang w:val="fr-FR"/>
        </w:rPr>
        <w:t>de Ramsar</w:t>
      </w:r>
      <w:r w:rsidR="00FE2CC4" w:rsidRPr="00DF58B9">
        <w:rPr>
          <w:rFonts w:cs="Arial"/>
          <w:lang w:val="fr-FR"/>
        </w:rPr>
        <w:t>, à savoir</w:t>
      </w:r>
      <w:r w:rsidRPr="00DF58B9">
        <w:rPr>
          <w:rFonts w:cs="Arial"/>
          <w:lang w:val="fr-FR"/>
        </w:rPr>
        <w:t xml:space="preserve"> que les zones humides sont la source du développement durable. Dans ce cadre, l’attention du Secrétariat est de coordonner des thèmes spécifiques avec d’autres grandes organisations internationales, relatifs à des initiatives annuelles majeures et d’obtenir un accord sur le calendrier coordonné pour les journées de sensibilisation internationale afin d’atténuer la concurrence et la redondance. </w:t>
      </w:r>
    </w:p>
    <w:p w:rsidR="00E0527E" w:rsidRPr="00DF58B9" w:rsidRDefault="00E0527E" w:rsidP="009E36E7">
      <w:pPr>
        <w:spacing w:after="0" w:line="240" w:lineRule="auto"/>
        <w:rPr>
          <w:rFonts w:cs="Arial"/>
          <w:lang w:val="fr-FR"/>
        </w:rPr>
      </w:pPr>
    </w:p>
    <w:p w:rsidR="00E0527E" w:rsidRPr="00DF58B9" w:rsidRDefault="00CF731D" w:rsidP="009E36E7">
      <w:pPr>
        <w:spacing w:after="0" w:line="240" w:lineRule="auto"/>
        <w:rPr>
          <w:rFonts w:cs="Arial"/>
          <w:b/>
          <w:lang w:val="fr-FR"/>
        </w:rPr>
      </w:pPr>
      <w:r w:rsidRPr="00DF58B9">
        <w:rPr>
          <w:rFonts w:cs="Arial"/>
          <w:b/>
          <w:lang w:val="fr-FR"/>
        </w:rPr>
        <w:t xml:space="preserve">Le recours à des campagnes, programmes et projets pour sensibiliser à l’importance des zones humides pour l’homme et les espèces sauvages et aux avantages/services écosystémiques fournis par les zones humides </w:t>
      </w:r>
    </w:p>
    <w:p w:rsidR="000A0707" w:rsidRPr="00DF58B9" w:rsidRDefault="000A0707" w:rsidP="009E36E7">
      <w:pPr>
        <w:spacing w:after="0" w:line="240" w:lineRule="auto"/>
        <w:rPr>
          <w:rFonts w:cs="Arial"/>
          <w:lang w:val="fr-FR"/>
        </w:rPr>
      </w:pPr>
    </w:p>
    <w:p w:rsidR="00CD120D" w:rsidRPr="00DF58B9" w:rsidRDefault="00CF731D" w:rsidP="00A31D43">
      <w:pPr>
        <w:pStyle w:val="ListParagraph"/>
        <w:numPr>
          <w:ilvl w:val="0"/>
          <w:numId w:val="25"/>
        </w:numPr>
        <w:spacing w:after="0" w:line="240" w:lineRule="auto"/>
        <w:ind w:left="426" w:hanging="426"/>
        <w:rPr>
          <w:rFonts w:cs="Arial"/>
          <w:lang w:val="fr-FR"/>
        </w:rPr>
      </w:pPr>
      <w:r w:rsidRPr="00DF58B9">
        <w:rPr>
          <w:rFonts w:cs="Arial"/>
          <w:lang w:val="fr-FR"/>
        </w:rPr>
        <w:t>Les réponses à l’indicateur </w:t>
      </w:r>
      <w:r w:rsidR="00E0527E" w:rsidRPr="00DF58B9">
        <w:rPr>
          <w:rFonts w:cs="Arial"/>
          <w:lang w:val="fr-FR"/>
        </w:rPr>
        <w:t xml:space="preserve">4.1.9 </w:t>
      </w:r>
      <w:r w:rsidR="00AE1454" w:rsidRPr="00DF58B9">
        <w:rPr>
          <w:rFonts w:cs="Arial"/>
          <w:lang w:val="fr-FR"/>
        </w:rPr>
        <w:t>indiquent</w:t>
      </w:r>
      <w:r w:rsidR="008400CF" w:rsidRPr="00DF58B9">
        <w:rPr>
          <w:rFonts w:cs="Arial"/>
          <w:lang w:val="fr-FR"/>
        </w:rPr>
        <w:t xml:space="preserve"> une augmentation de</w:t>
      </w:r>
      <w:r w:rsidR="00AE1454" w:rsidRPr="00DF58B9">
        <w:rPr>
          <w:rFonts w:cs="Arial"/>
          <w:lang w:val="fr-FR"/>
        </w:rPr>
        <w:t>s</w:t>
      </w:r>
      <w:r w:rsidR="008400CF" w:rsidRPr="00DF58B9">
        <w:rPr>
          <w:rFonts w:cs="Arial"/>
          <w:lang w:val="fr-FR"/>
        </w:rPr>
        <w:t xml:space="preserve"> réponses positives et une diversité impressionnante d’activités dans toutes les régions pour sensibiliser aux zones humides. Pour toutes les régions, la proportion de Parties </w:t>
      </w:r>
      <w:r w:rsidR="00AE1454" w:rsidRPr="00DF58B9">
        <w:rPr>
          <w:rFonts w:cs="Arial"/>
          <w:lang w:val="fr-FR"/>
        </w:rPr>
        <w:t>ayant répondu</w:t>
      </w:r>
      <w:r w:rsidR="008400CF" w:rsidRPr="00DF58B9">
        <w:rPr>
          <w:rFonts w:cs="Arial"/>
          <w:lang w:val="fr-FR"/>
        </w:rPr>
        <w:t xml:space="preserve"> de manière positive à cet indicateur a augmenté de </w:t>
      </w:r>
      <w:r w:rsidR="00DB1B63" w:rsidRPr="00DF58B9">
        <w:rPr>
          <w:rFonts w:cs="Arial"/>
          <w:lang w:val="fr-FR"/>
        </w:rPr>
        <w:t>82</w:t>
      </w:r>
      <w:r w:rsidR="00E0527E" w:rsidRPr="00DF58B9">
        <w:rPr>
          <w:rFonts w:cs="Arial"/>
          <w:lang w:val="fr-FR"/>
        </w:rPr>
        <w:t xml:space="preserve">% </w:t>
      </w:r>
      <w:r w:rsidR="008400CF" w:rsidRPr="00DF58B9">
        <w:rPr>
          <w:rFonts w:cs="Arial"/>
          <w:lang w:val="fr-FR"/>
        </w:rPr>
        <w:t>à la</w:t>
      </w:r>
      <w:r w:rsidR="0035043C" w:rsidRPr="00DF58B9">
        <w:rPr>
          <w:rFonts w:cs="Arial"/>
          <w:lang w:val="fr-FR"/>
        </w:rPr>
        <w:t xml:space="preserve"> </w:t>
      </w:r>
      <w:r w:rsidR="00E0527E" w:rsidRPr="00DF58B9">
        <w:rPr>
          <w:rFonts w:cs="Arial"/>
          <w:lang w:val="fr-FR"/>
        </w:rPr>
        <w:t>COP1</w:t>
      </w:r>
      <w:r w:rsidR="00DB1B63" w:rsidRPr="00DF58B9">
        <w:rPr>
          <w:rFonts w:cs="Arial"/>
          <w:lang w:val="fr-FR"/>
        </w:rPr>
        <w:t>1</w:t>
      </w:r>
      <w:r w:rsidR="00E0527E" w:rsidRPr="00DF58B9">
        <w:rPr>
          <w:rFonts w:cs="Arial"/>
          <w:lang w:val="fr-FR"/>
        </w:rPr>
        <w:t xml:space="preserve"> </w:t>
      </w:r>
      <w:r w:rsidR="008400CF" w:rsidRPr="00DF58B9">
        <w:rPr>
          <w:rFonts w:cs="Arial"/>
          <w:lang w:val="fr-FR"/>
        </w:rPr>
        <w:t>à</w:t>
      </w:r>
      <w:r w:rsidR="00E0527E" w:rsidRPr="00DF58B9">
        <w:rPr>
          <w:rFonts w:cs="Arial"/>
          <w:lang w:val="fr-FR"/>
        </w:rPr>
        <w:t xml:space="preserve"> </w:t>
      </w:r>
      <w:r w:rsidR="00824401" w:rsidRPr="00DF58B9">
        <w:rPr>
          <w:rFonts w:cs="Arial"/>
          <w:lang w:val="fr-FR"/>
        </w:rPr>
        <w:t>89</w:t>
      </w:r>
      <w:r w:rsidR="00E0527E" w:rsidRPr="00DF58B9">
        <w:rPr>
          <w:rFonts w:cs="Arial"/>
          <w:lang w:val="fr-FR"/>
        </w:rPr>
        <w:t xml:space="preserve">% </w:t>
      </w:r>
      <w:r w:rsidR="008400CF" w:rsidRPr="00DF58B9">
        <w:rPr>
          <w:rFonts w:cs="Arial"/>
          <w:lang w:val="fr-FR"/>
        </w:rPr>
        <w:t xml:space="preserve">au niveau mondial à la </w:t>
      </w:r>
      <w:r w:rsidR="00E0527E" w:rsidRPr="00DF58B9">
        <w:rPr>
          <w:rFonts w:cs="Arial"/>
          <w:lang w:val="fr-FR"/>
        </w:rPr>
        <w:t>COP1</w:t>
      </w:r>
      <w:r w:rsidR="00DB1B63" w:rsidRPr="00DF58B9">
        <w:rPr>
          <w:rFonts w:cs="Arial"/>
          <w:lang w:val="fr-FR"/>
        </w:rPr>
        <w:t>2</w:t>
      </w:r>
      <w:r w:rsidR="00E0527E" w:rsidRPr="00DF58B9">
        <w:rPr>
          <w:rFonts w:cs="Arial"/>
          <w:lang w:val="fr-FR"/>
        </w:rPr>
        <w:t xml:space="preserve">, </w:t>
      </w:r>
      <w:r w:rsidR="008400CF" w:rsidRPr="00DF58B9">
        <w:rPr>
          <w:rFonts w:cs="Arial"/>
          <w:lang w:val="fr-FR"/>
        </w:rPr>
        <w:t xml:space="preserve">avec </w:t>
      </w:r>
      <w:r w:rsidR="00AE1454" w:rsidRPr="00DF58B9">
        <w:rPr>
          <w:rFonts w:cs="Arial"/>
          <w:lang w:val="fr-FR"/>
        </w:rPr>
        <w:t xml:space="preserve">une distribution égale </w:t>
      </w:r>
      <w:r w:rsidR="008400CF" w:rsidRPr="00DF58B9">
        <w:rPr>
          <w:rFonts w:cs="Arial"/>
          <w:lang w:val="fr-FR"/>
        </w:rPr>
        <w:t xml:space="preserve">des réponses par région. Le pourcentage de réponses négatives est resté stable, à </w:t>
      </w:r>
      <w:r w:rsidR="00E0527E" w:rsidRPr="00DF58B9">
        <w:rPr>
          <w:rFonts w:cs="Arial"/>
          <w:lang w:val="fr-FR"/>
        </w:rPr>
        <w:t>13</w:t>
      </w:r>
      <w:r w:rsidR="001C544D" w:rsidRPr="00DF58B9">
        <w:rPr>
          <w:rFonts w:cs="Arial"/>
          <w:lang w:val="fr-FR"/>
        </w:rPr>
        <w:t>%</w:t>
      </w:r>
      <w:r w:rsidR="00924E37" w:rsidRPr="00DF58B9">
        <w:rPr>
          <w:rFonts w:cs="Arial"/>
          <w:lang w:val="fr-FR"/>
        </w:rPr>
        <w:t>.</w:t>
      </w:r>
      <w:r w:rsidR="001C544D" w:rsidRPr="00DF58B9">
        <w:rPr>
          <w:rFonts w:cs="Arial"/>
          <w:lang w:val="fr-FR"/>
        </w:rPr>
        <w:t xml:space="preserve"> </w:t>
      </w:r>
      <w:r w:rsidR="008400CF" w:rsidRPr="00DF58B9">
        <w:rPr>
          <w:rFonts w:cs="Arial"/>
          <w:lang w:val="fr-FR"/>
        </w:rPr>
        <w:t>Dans les champs de texte de cet indicateur, les pays ont noté qu’ils utilisent d’autres journées internationales pour sensibiliser aux questions relatives aux zones humides.</w:t>
      </w:r>
      <w:r w:rsidR="00CD120D" w:rsidRPr="00DF58B9">
        <w:rPr>
          <w:rFonts w:cs="Arial"/>
          <w:lang w:val="fr-FR"/>
        </w:rPr>
        <w:t xml:space="preserve"> </w:t>
      </w:r>
    </w:p>
    <w:p w:rsidR="000A0707" w:rsidRPr="00DF58B9" w:rsidRDefault="000A0707" w:rsidP="00A31D43">
      <w:pPr>
        <w:pStyle w:val="ListParagraph"/>
        <w:spacing w:after="0" w:line="240" w:lineRule="auto"/>
        <w:ind w:left="426"/>
        <w:rPr>
          <w:rFonts w:cs="Arial"/>
          <w:lang w:val="fr-FR"/>
        </w:rPr>
      </w:pPr>
    </w:p>
    <w:p w:rsidR="005E1547" w:rsidRPr="00DF58B9" w:rsidRDefault="00163888" w:rsidP="00A31D43">
      <w:pPr>
        <w:pStyle w:val="ListParagraph"/>
        <w:numPr>
          <w:ilvl w:val="0"/>
          <w:numId w:val="25"/>
        </w:numPr>
        <w:spacing w:after="0" w:line="240" w:lineRule="auto"/>
        <w:ind w:left="426" w:hanging="426"/>
        <w:rPr>
          <w:rFonts w:cs="Arial"/>
          <w:lang w:val="fr-FR"/>
        </w:rPr>
      </w:pPr>
      <w:r w:rsidRPr="00DF58B9">
        <w:rPr>
          <w:rFonts w:cs="Arial"/>
          <w:lang w:val="fr-FR"/>
        </w:rPr>
        <w:t xml:space="preserve">Reconnaissant l’absence critique de sensibilisation du public aux services et avantages écosystémiques qu’offrent les zones humides, le Secrétariat a fait de grands progrès durant la période triennale dans son rôle de centre d’échange pour la communication relative à la Convention de Ramsar, en améliorant notamment les points suivants : </w:t>
      </w:r>
    </w:p>
    <w:p w:rsidR="005E1547" w:rsidRPr="00DF58B9" w:rsidRDefault="00163888" w:rsidP="00A31D43">
      <w:pPr>
        <w:pStyle w:val="ListParagraph"/>
        <w:numPr>
          <w:ilvl w:val="0"/>
          <w:numId w:val="27"/>
        </w:numPr>
        <w:spacing w:after="0" w:line="240" w:lineRule="auto"/>
        <w:ind w:left="851" w:hanging="425"/>
        <w:rPr>
          <w:rFonts w:cs="Arial"/>
          <w:lang w:val="fr-FR"/>
        </w:rPr>
      </w:pPr>
      <w:r w:rsidRPr="00DF58B9">
        <w:rPr>
          <w:rFonts w:cs="Arial"/>
          <w:lang w:val="fr-FR"/>
        </w:rPr>
        <w:t>Un site web totalement revisité (</w:t>
      </w:r>
      <w:hyperlink r:id="rId14" w:history="1">
        <w:r w:rsidR="0007435C" w:rsidRPr="00DF58B9">
          <w:rPr>
            <w:lang w:val="fr-FR"/>
          </w:rPr>
          <w:t>www.ramsar.org</w:t>
        </w:r>
      </w:hyperlink>
      <w:r w:rsidR="0007435C" w:rsidRPr="00DF58B9">
        <w:rPr>
          <w:rFonts w:cs="Arial"/>
          <w:lang w:val="fr-FR"/>
        </w:rPr>
        <w:t xml:space="preserve">) </w:t>
      </w:r>
      <w:r w:rsidRPr="00DF58B9">
        <w:rPr>
          <w:rFonts w:cs="Arial"/>
          <w:lang w:val="fr-FR"/>
        </w:rPr>
        <w:t xml:space="preserve">est en ligne depuis la fin de 2014; ce site sera renforcé avec des capacités améliorées de recherche et d’archivage des documents. </w:t>
      </w:r>
    </w:p>
    <w:p w:rsidR="005E1547" w:rsidRPr="00DF58B9" w:rsidRDefault="00163888"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Une version complètement </w:t>
      </w:r>
      <w:r w:rsidR="00AE1454" w:rsidRPr="00DF58B9">
        <w:rPr>
          <w:rFonts w:cs="Arial"/>
          <w:lang w:val="fr-FR"/>
        </w:rPr>
        <w:t>revue</w:t>
      </w:r>
      <w:r w:rsidRPr="00DF58B9">
        <w:rPr>
          <w:rFonts w:cs="Arial"/>
          <w:lang w:val="fr-FR"/>
        </w:rPr>
        <w:t xml:space="preserve"> et plus conviviale du Service d’information sur les Sites Ramsar </w:t>
      </w:r>
      <w:r w:rsidR="0094098D" w:rsidRPr="00DF58B9">
        <w:rPr>
          <w:rFonts w:cs="Arial"/>
          <w:lang w:val="fr-FR"/>
        </w:rPr>
        <w:t>(</w:t>
      </w:r>
      <w:hyperlink r:id="rId15" w:history="1">
        <w:r w:rsidR="0094098D" w:rsidRPr="00DF58B9">
          <w:rPr>
            <w:lang w:val="fr-FR"/>
          </w:rPr>
          <w:t>https://rsis.ramsar.org</w:t>
        </w:r>
      </w:hyperlink>
      <w:r w:rsidR="00336C0E" w:rsidRPr="00DF58B9">
        <w:rPr>
          <w:rFonts w:cs="Arial"/>
          <w:lang w:val="fr-FR"/>
        </w:rPr>
        <w:t xml:space="preserve">) </w:t>
      </w:r>
      <w:r w:rsidRPr="00DF58B9">
        <w:rPr>
          <w:rFonts w:cs="Arial"/>
          <w:lang w:val="fr-FR"/>
        </w:rPr>
        <w:t xml:space="preserve">a été lancée vers le milieu de l’année 2014. Cela permet aux Parties de mettre </w:t>
      </w:r>
      <w:r w:rsidR="00AE1454" w:rsidRPr="00DF58B9">
        <w:rPr>
          <w:rFonts w:cs="Arial"/>
          <w:lang w:val="fr-FR"/>
        </w:rPr>
        <w:t xml:space="preserve">plus facilement </w:t>
      </w:r>
      <w:r w:rsidRPr="00DF58B9">
        <w:rPr>
          <w:rFonts w:cs="Arial"/>
          <w:lang w:val="fr-FR"/>
        </w:rPr>
        <w:t xml:space="preserve">à jour l’information sur les Sites et au public de visionner des informations détaillées sur chaque Site Ramsar. </w:t>
      </w:r>
    </w:p>
    <w:p w:rsidR="005E1547" w:rsidRPr="00DF58B9" w:rsidRDefault="00163888"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Une utilisation </w:t>
      </w:r>
      <w:r w:rsidR="00AE1454" w:rsidRPr="00DF58B9">
        <w:rPr>
          <w:rFonts w:cs="Arial"/>
          <w:lang w:val="fr-FR"/>
        </w:rPr>
        <w:t>très</w:t>
      </w:r>
      <w:r w:rsidRPr="00DF58B9">
        <w:rPr>
          <w:rFonts w:cs="Arial"/>
          <w:lang w:val="fr-FR"/>
        </w:rPr>
        <w:t xml:space="preserve"> élargie des réseaux sociaux, particulièrement pour la Journée mondiale des zones humides 2015, comme on le voit dans le tableau 3.  </w:t>
      </w:r>
    </w:p>
    <w:p w:rsidR="001E1AFB" w:rsidRPr="00DF58B9" w:rsidRDefault="001E1AFB" w:rsidP="009E36E7">
      <w:pPr>
        <w:spacing w:after="0" w:line="240" w:lineRule="auto"/>
        <w:rPr>
          <w:rFonts w:cs="Arial"/>
          <w:lang w:val="fr-FR"/>
        </w:rPr>
      </w:pPr>
    </w:p>
    <w:p w:rsidR="00DB48D2" w:rsidRPr="00DF58B9" w:rsidRDefault="00DB48D2" w:rsidP="00DB48D2">
      <w:pPr>
        <w:spacing w:after="0" w:line="240" w:lineRule="auto"/>
        <w:rPr>
          <w:rFonts w:cs="Arial"/>
          <w:b/>
          <w:lang w:val="fr-FR"/>
        </w:rPr>
      </w:pPr>
      <w:r w:rsidRPr="00DF58B9">
        <w:rPr>
          <w:rFonts w:cs="Arial"/>
          <w:b/>
          <w:lang w:val="fr-FR"/>
        </w:rPr>
        <w:t>Table</w:t>
      </w:r>
      <w:r w:rsidR="00163888" w:rsidRPr="00DF58B9">
        <w:rPr>
          <w:rFonts w:cs="Arial"/>
          <w:b/>
          <w:lang w:val="fr-FR"/>
        </w:rPr>
        <w:t>au</w:t>
      </w:r>
      <w:r w:rsidRPr="00DF58B9">
        <w:rPr>
          <w:rFonts w:cs="Arial"/>
          <w:b/>
          <w:lang w:val="fr-FR"/>
        </w:rPr>
        <w:t xml:space="preserve"> 3</w:t>
      </w:r>
      <w:r w:rsidR="00163888" w:rsidRPr="00DF58B9">
        <w:rPr>
          <w:rFonts w:cs="Arial"/>
          <w:b/>
          <w:lang w:val="fr-FR"/>
        </w:rPr>
        <w:t xml:space="preserve"> : Contact avec les réseaux sociaux</w:t>
      </w:r>
      <w:r w:rsidRPr="00DF58B9">
        <w:rPr>
          <w:rFonts w:cs="Arial"/>
          <w:b/>
          <w:lang w:val="fr-FR"/>
        </w:rPr>
        <w:t>, 2013-2015</w:t>
      </w:r>
    </w:p>
    <w:tbl>
      <w:tblPr>
        <w:tblStyle w:val="TableGrid"/>
        <w:tblW w:w="0" w:type="auto"/>
        <w:tblInd w:w="108" w:type="dxa"/>
        <w:tblLook w:val="04A0"/>
      </w:tblPr>
      <w:tblGrid>
        <w:gridCol w:w="2585"/>
        <w:gridCol w:w="1973"/>
        <w:gridCol w:w="1973"/>
        <w:gridCol w:w="1974"/>
      </w:tblGrid>
      <w:tr w:rsidR="001E1AFB" w:rsidRPr="00DF58B9" w:rsidTr="00A27F71">
        <w:tc>
          <w:tcPr>
            <w:tcW w:w="2585" w:type="dxa"/>
          </w:tcPr>
          <w:p w:rsidR="001E1AFB" w:rsidRPr="00DF58B9" w:rsidRDefault="001E1AFB" w:rsidP="009E36E7">
            <w:pPr>
              <w:pStyle w:val="ListParagraph"/>
              <w:ind w:left="0"/>
              <w:rPr>
                <w:rFonts w:cs="Arial"/>
                <w:lang w:val="fr-FR"/>
              </w:rPr>
            </w:pPr>
          </w:p>
        </w:tc>
        <w:tc>
          <w:tcPr>
            <w:tcW w:w="1973" w:type="dxa"/>
          </w:tcPr>
          <w:p w:rsidR="001E1AFB" w:rsidRPr="00DF58B9" w:rsidRDefault="001E1AFB" w:rsidP="009E36E7">
            <w:pPr>
              <w:pStyle w:val="ListParagraph"/>
              <w:ind w:left="0"/>
              <w:rPr>
                <w:rFonts w:cs="Arial"/>
                <w:b/>
                <w:lang w:val="fr-FR"/>
              </w:rPr>
            </w:pPr>
            <w:r w:rsidRPr="00DF58B9">
              <w:rPr>
                <w:rFonts w:cs="Arial"/>
                <w:b/>
                <w:lang w:val="fr-FR"/>
              </w:rPr>
              <w:t>2013</w:t>
            </w:r>
          </w:p>
        </w:tc>
        <w:tc>
          <w:tcPr>
            <w:tcW w:w="1973" w:type="dxa"/>
          </w:tcPr>
          <w:p w:rsidR="001E1AFB" w:rsidRPr="00DF58B9" w:rsidRDefault="001E1AFB" w:rsidP="009E36E7">
            <w:pPr>
              <w:pStyle w:val="ListParagraph"/>
              <w:ind w:left="0"/>
              <w:rPr>
                <w:rFonts w:cs="Arial"/>
                <w:b/>
                <w:lang w:val="fr-FR"/>
              </w:rPr>
            </w:pPr>
            <w:r w:rsidRPr="00DF58B9">
              <w:rPr>
                <w:rFonts w:cs="Arial"/>
                <w:b/>
                <w:lang w:val="fr-FR"/>
              </w:rPr>
              <w:t>2014</w:t>
            </w:r>
          </w:p>
        </w:tc>
        <w:tc>
          <w:tcPr>
            <w:tcW w:w="1974" w:type="dxa"/>
          </w:tcPr>
          <w:p w:rsidR="001E1AFB" w:rsidRPr="00DF58B9" w:rsidRDefault="001E1AFB" w:rsidP="00661C02">
            <w:pPr>
              <w:pStyle w:val="ListParagraph"/>
              <w:ind w:left="0"/>
              <w:rPr>
                <w:rFonts w:cs="Arial"/>
                <w:b/>
                <w:lang w:val="fr-FR"/>
              </w:rPr>
            </w:pPr>
            <w:r w:rsidRPr="00DF58B9">
              <w:rPr>
                <w:rFonts w:cs="Arial"/>
                <w:b/>
                <w:lang w:val="fr-FR"/>
              </w:rPr>
              <w:t>2015</w:t>
            </w:r>
            <w:r w:rsidR="00661C02" w:rsidRPr="00DF58B9">
              <w:rPr>
                <w:rFonts w:cs="Arial"/>
                <w:b/>
                <w:lang w:val="fr-FR"/>
              </w:rPr>
              <w:t xml:space="preserve"> </w:t>
            </w:r>
            <w:r w:rsidR="00235034" w:rsidRPr="00DF58B9">
              <w:rPr>
                <w:rFonts w:cs="Arial"/>
                <w:b/>
                <w:lang w:val="fr-FR"/>
              </w:rPr>
              <w:t>(</w:t>
            </w:r>
            <w:r w:rsidR="006F091A" w:rsidRPr="00DF58B9">
              <w:rPr>
                <w:rFonts w:cs="Arial"/>
                <w:b/>
                <w:lang w:val="fr-FR"/>
              </w:rPr>
              <w:t>jusqu’au 1</w:t>
            </w:r>
            <w:r w:rsidR="006F091A" w:rsidRPr="00DF58B9">
              <w:rPr>
                <w:rFonts w:cs="Arial"/>
                <w:b/>
                <w:vertAlign w:val="superscript"/>
                <w:lang w:val="fr-FR"/>
              </w:rPr>
              <w:t>er</w:t>
            </w:r>
            <w:r w:rsidR="006F091A" w:rsidRPr="00DF58B9">
              <w:rPr>
                <w:rFonts w:cs="Arial"/>
                <w:b/>
                <w:lang w:val="fr-FR"/>
              </w:rPr>
              <w:t> mars</w:t>
            </w:r>
            <w:r w:rsidRPr="00DF58B9">
              <w:rPr>
                <w:rFonts w:cs="Arial"/>
                <w:b/>
                <w:lang w:val="fr-FR"/>
              </w:rPr>
              <w:t>)</w:t>
            </w:r>
          </w:p>
        </w:tc>
      </w:tr>
      <w:tr w:rsidR="001E1AFB" w:rsidRPr="00DF58B9" w:rsidTr="00A27F71">
        <w:tc>
          <w:tcPr>
            <w:tcW w:w="2585" w:type="dxa"/>
          </w:tcPr>
          <w:p w:rsidR="001E1AFB" w:rsidRPr="00DF58B9" w:rsidRDefault="001E1AFB" w:rsidP="009E36E7">
            <w:pPr>
              <w:pStyle w:val="ListParagraph"/>
              <w:ind w:left="0"/>
              <w:rPr>
                <w:rFonts w:cs="Arial"/>
                <w:lang w:val="fr-FR"/>
              </w:rPr>
            </w:pPr>
            <w:r w:rsidRPr="00DF58B9">
              <w:rPr>
                <w:rFonts w:cs="Arial"/>
                <w:lang w:val="fr-FR"/>
              </w:rPr>
              <w:t>Facebook Likes</w:t>
            </w:r>
          </w:p>
        </w:tc>
        <w:tc>
          <w:tcPr>
            <w:tcW w:w="1973" w:type="dxa"/>
          </w:tcPr>
          <w:p w:rsidR="001E1AFB" w:rsidRPr="00DF58B9" w:rsidRDefault="00163888" w:rsidP="009E36E7">
            <w:pPr>
              <w:pStyle w:val="ListParagraph"/>
              <w:ind w:left="0"/>
              <w:rPr>
                <w:rFonts w:cs="Arial"/>
                <w:lang w:val="fr-FR"/>
              </w:rPr>
            </w:pPr>
            <w:r w:rsidRPr="00DF58B9">
              <w:rPr>
                <w:rFonts w:cs="Arial"/>
                <w:lang w:val="fr-FR"/>
              </w:rPr>
              <w:t>100 </w:t>
            </w:r>
            <w:r w:rsidR="001E1AFB" w:rsidRPr="00DF58B9">
              <w:rPr>
                <w:rFonts w:cs="Arial"/>
                <w:lang w:val="fr-FR"/>
              </w:rPr>
              <w:t>711</w:t>
            </w:r>
          </w:p>
        </w:tc>
        <w:tc>
          <w:tcPr>
            <w:tcW w:w="1973" w:type="dxa"/>
          </w:tcPr>
          <w:p w:rsidR="001E1AFB" w:rsidRPr="00DF58B9" w:rsidRDefault="00163888" w:rsidP="009E36E7">
            <w:pPr>
              <w:pStyle w:val="ListParagraph"/>
              <w:ind w:left="0"/>
              <w:rPr>
                <w:rFonts w:cs="Arial"/>
                <w:lang w:val="fr-FR"/>
              </w:rPr>
            </w:pPr>
            <w:r w:rsidRPr="00DF58B9">
              <w:rPr>
                <w:rFonts w:cs="Arial"/>
                <w:lang w:val="fr-FR"/>
              </w:rPr>
              <w:t>142 </w:t>
            </w:r>
            <w:r w:rsidR="001E1AFB" w:rsidRPr="00DF58B9">
              <w:rPr>
                <w:rFonts w:cs="Arial"/>
                <w:lang w:val="fr-FR"/>
              </w:rPr>
              <w:t>123</w:t>
            </w:r>
          </w:p>
        </w:tc>
        <w:tc>
          <w:tcPr>
            <w:tcW w:w="1974" w:type="dxa"/>
          </w:tcPr>
          <w:p w:rsidR="001E1AFB" w:rsidRPr="00DF58B9" w:rsidRDefault="00163888" w:rsidP="009E36E7">
            <w:pPr>
              <w:pStyle w:val="ListParagraph"/>
              <w:ind w:left="0"/>
              <w:rPr>
                <w:rFonts w:cs="Arial"/>
                <w:lang w:val="fr-FR"/>
              </w:rPr>
            </w:pPr>
            <w:r w:rsidRPr="00DF58B9">
              <w:rPr>
                <w:rFonts w:cs="Arial"/>
                <w:lang w:val="fr-FR"/>
              </w:rPr>
              <w:t>143 </w:t>
            </w:r>
            <w:r w:rsidR="001E1AFB" w:rsidRPr="00DF58B9">
              <w:rPr>
                <w:rFonts w:cs="Arial"/>
                <w:lang w:val="fr-FR"/>
              </w:rPr>
              <w:t>873</w:t>
            </w:r>
          </w:p>
        </w:tc>
      </w:tr>
      <w:tr w:rsidR="001E1AFB" w:rsidRPr="00DF58B9" w:rsidTr="00A27F71">
        <w:tc>
          <w:tcPr>
            <w:tcW w:w="2585" w:type="dxa"/>
          </w:tcPr>
          <w:p w:rsidR="001E1AFB" w:rsidRPr="00DF58B9" w:rsidRDefault="001E1AFB" w:rsidP="009E36E7">
            <w:pPr>
              <w:pStyle w:val="ListParagraph"/>
              <w:ind w:left="0"/>
              <w:rPr>
                <w:rFonts w:cs="Arial"/>
                <w:lang w:val="fr-FR"/>
              </w:rPr>
            </w:pPr>
            <w:r w:rsidRPr="00DF58B9">
              <w:rPr>
                <w:rFonts w:cs="Arial"/>
                <w:lang w:val="fr-FR"/>
              </w:rPr>
              <w:t>Twitter Followers</w:t>
            </w:r>
          </w:p>
        </w:tc>
        <w:tc>
          <w:tcPr>
            <w:tcW w:w="1973" w:type="dxa"/>
          </w:tcPr>
          <w:p w:rsidR="001E1AFB" w:rsidRPr="00DF58B9" w:rsidRDefault="001E1AFB" w:rsidP="009E36E7">
            <w:pPr>
              <w:pStyle w:val="ListParagraph"/>
              <w:ind w:left="0"/>
              <w:rPr>
                <w:rFonts w:cs="Arial"/>
                <w:lang w:val="fr-FR"/>
              </w:rPr>
            </w:pPr>
            <w:r w:rsidRPr="00DF58B9">
              <w:rPr>
                <w:rFonts w:cs="Arial"/>
                <w:lang w:val="fr-FR"/>
              </w:rPr>
              <w:t>823</w:t>
            </w:r>
          </w:p>
        </w:tc>
        <w:tc>
          <w:tcPr>
            <w:tcW w:w="1973" w:type="dxa"/>
          </w:tcPr>
          <w:p w:rsidR="001E1AFB" w:rsidRPr="00DF58B9" w:rsidRDefault="00163888" w:rsidP="009E36E7">
            <w:pPr>
              <w:pStyle w:val="ListParagraph"/>
              <w:ind w:left="0"/>
              <w:rPr>
                <w:rFonts w:cs="Arial"/>
                <w:lang w:val="fr-FR"/>
              </w:rPr>
            </w:pPr>
            <w:r w:rsidRPr="00DF58B9">
              <w:rPr>
                <w:rFonts w:cs="Arial"/>
                <w:lang w:val="fr-FR"/>
              </w:rPr>
              <w:t>3</w:t>
            </w:r>
            <w:r w:rsidR="001E1AFB" w:rsidRPr="00DF58B9">
              <w:rPr>
                <w:rFonts w:cs="Arial"/>
                <w:lang w:val="fr-FR"/>
              </w:rPr>
              <w:t>097</w:t>
            </w:r>
          </w:p>
        </w:tc>
        <w:tc>
          <w:tcPr>
            <w:tcW w:w="1974" w:type="dxa"/>
          </w:tcPr>
          <w:p w:rsidR="001E1AFB" w:rsidRPr="00DF58B9" w:rsidRDefault="00163888" w:rsidP="009E36E7">
            <w:pPr>
              <w:pStyle w:val="ListParagraph"/>
              <w:ind w:left="0"/>
              <w:rPr>
                <w:rFonts w:cs="Arial"/>
                <w:lang w:val="fr-FR"/>
              </w:rPr>
            </w:pPr>
            <w:r w:rsidRPr="00DF58B9">
              <w:rPr>
                <w:rFonts w:cs="Arial"/>
                <w:lang w:val="fr-FR"/>
              </w:rPr>
              <w:t>3</w:t>
            </w:r>
            <w:r w:rsidR="001E1AFB" w:rsidRPr="00DF58B9">
              <w:rPr>
                <w:rFonts w:cs="Arial"/>
                <w:lang w:val="fr-FR"/>
              </w:rPr>
              <w:t>851</w:t>
            </w:r>
          </w:p>
        </w:tc>
      </w:tr>
      <w:tr w:rsidR="001E1AFB" w:rsidRPr="00DF58B9" w:rsidTr="00A27F71">
        <w:tc>
          <w:tcPr>
            <w:tcW w:w="2585" w:type="dxa"/>
          </w:tcPr>
          <w:p w:rsidR="001E1AFB" w:rsidRPr="00DF58B9" w:rsidRDefault="001E1AFB" w:rsidP="009E36E7">
            <w:pPr>
              <w:pStyle w:val="ListParagraph"/>
              <w:ind w:left="0"/>
              <w:rPr>
                <w:rFonts w:cs="Arial"/>
                <w:lang w:val="fr-FR"/>
              </w:rPr>
            </w:pPr>
            <w:r w:rsidRPr="00DF58B9">
              <w:rPr>
                <w:rFonts w:cs="Arial"/>
                <w:lang w:val="fr-FR"/>
              </w:rPr>
              <w:t>You Tube</w:t>
            </w:r>
            <w:r w:rsidR="00067A6C" w:rsidRPr="00DF58B9">
              <w:rPr>
                <w:rFonts w:cs="Arial"/>
                <w:lang w:val="fr-FR"/>
              </w:rPr>
              <w:t xml:space="preserve"> </w:t>
            </w:r>
            <w:r w:rsidRPr="00DF58B9">
              <w:rPr>
                <w:rFonts w:cs="Arial"/>
                <w:lang w:val="fr-FR"/>
              </w:rPr>
              <w:t xml:space="preserve">views </w:t>
            </w:r>
          </w:p>
        </w:tc>
        <w:tc>
          <w:tcPr>
            <w:tcW w:w="1973" w:type="dxa"/>
          </w:tcPr>
          <w:p w:rsidR="001E1AFB" w:rsidRPr="00DF58B9" w:rsidRDefault="001E1AFB" w:rsidP="009E36E7">
            <w:pPr>
              <w:pStyle w:val="ListParagraph"/>
              <w:ind w:left="0"/>
              <w:rPr>
                <w:rFonts w:cs="Arial"/>
                <w:lang w:val="fr-FR"/>
              </w:rPr>
            </w:pPr>
            <w:r w:rsidRPr="00DF58B9">
              <w:rPr>
                <w:rFonts w:cs="Arial"/>
                <w:lang w:val="fr-FR"/>
              </w:rPr>
              <w:t>236</w:t>
            </w:r>
          </w:p>
        </w:tc>
        <w:tc>
          <w:tcPr>
            <w:tcW w:w="1973" w:type="dxa"/>
          </w:tcPr>
          <w:p w:rsidR="001E1AFB" w:rsidRPr="00DF58B9" w:rsidRDefault="005E46A9" w:rsidP="009E36E7">
            <w:pPr>
              <w:pStyle w:val="ListParagraph"/>
              <w:ind w:left="0"/>
              <w:rPr>
                <w:rFonts w:cs="Arial"/>
                <w:lang w:val="fr-FR"/>
              </w:rPr>
            </w:pPr>
            <w:r w:rsidRPr="00DF58B9">
              <w:rPr>
                <w:rFonts w:cs="Arial"/>
                <w:lang w:val="fr-FR"/>
              </w:rPr>
              <w:t>390</w:t>
            </w:r>
          </w:p>
        </w:tc>
        <w:tc>
          <w:tcPr>
            <w:tcW w:w="1974" w:type="dxa"/>
          </w:tcPr>
          <w:p w:rsidR="001E1AFB" w:rsidRPr="00DF58B9" w:rsidRDefault="001E1AFB" w:rsidP="009E36E7">
            <w:pPr>
              <w:pStyle w:val="ListParagraph"/>
              <w:ind w:left="0"/>
              <w:rPr>
                <w:rFonts w:cs="Arial"/>
                <w:lang w:val="fr-FR"/>
              </w:rPr>
            </w:pPr>
            <w:r w:rsidRPr="00DF58B9">
              <w:rPr>
                <w:rFonts w:cs="Arial"/>
                <w:lang w:val="fr-FR"/>
              </w:rPr>
              <w:t>453</w:t>
            </w:r>
          </w:p>
        </w:tc>
      </w:tr>
      <w:tr w:rsidR="001E1AFB" w:rsidRPr="00DF58B9" w:rsidTr="00A27F71">
        <w:tc>
          <w:tcPr>
            <w:tcW w:w="2585" w:type="dxa"/>
          </w:tcPr>
          <w:p w:rsidR="001E1AFB" w:rsidRPr="00DF58B9" w:rsidRDefault="001E1AFB" w:rsidP="009E36E7">
            <w:pPr>
              <w:pStyle w:val="ListParagraph"/>
              <w:ind w:left="0"/>
              <w:rPr>
                <w:rFonts w:cs="Arial"/>
                <w:lang w:val="fr-FR"/>
              </w:rPr>
            </w:pPr>
            <w:r w:rsidRPr="00DF58B9">
              <w:rPr>
                <w:rFonts w:cs="Arial"/>
                <w:lang w:val="fr-FR"/>
              </w:rPr>
              <w:t xml:space="preserve">Instagram </w:t>
            </w:r>
          </w:p>
        </w:tc>
        <w:tc>
          <w:tcPr>
            <w:tcW w:w="1973" w:type="dxa"/>
          </w:tcPr>
          <w:p w:rsidR="001E1AFB" w:rsidRPr="00DF58B9" w:rsidRDefault="00C57BC8" w:rsidP="009E36E7">
            <w:pPr>
              <w:pStyle w:val="ListParagraph"/>
              <w:ind w:left="0"/>
              <w:rPr>
                <w:rFonts w:cs="Arial"/>
                <w:lang w:val="fr-FR"/>
              </w:rPr>
            </w:pPr>
            <w:r w:rsidRPr="00DF58B9">
              <w:rPr>
                <w:rFonts w:cs="Arial"/>
                <w:lang w:val="fr-FR"/>
              </w:rPr>
              <w:t>N/A</w:t>
            </w:r>
          </w:p>
        </w:tc>
        <w:tc>
          <w:tcPr>
            <w:tcW w:w="1973" w:type="dxa"/>
          </w:tcPr>
          <w:p w:rsidR="001E1AFB" w:rsidRPr="00DF58B9" w:rsidRDefault="00C57BC8" w:rsidP="009E36E7">
            <w:pPr>
              <w:pStyle w:val="ListParagraph"/>
              <w:ind w:left="0"/>
              <w:rPr>
                <w:rFonts w:cs="Arial"/>
                <w:lang w:val="fr-FR"/>
              </w:rPr>
            </w:pPr>
            <w:r w:rsidRPr="00DF58B9">
              <w:rPr>
                <w:rFonts w:cs="Arial"/>
                <w:lang w:val="fr-FR"/>
              </w:rPr>
              <w:t>N/A</w:t>
            </w:r>
          </w:p>
        </w:tc>
        <w:tc>
          <w:tcPr>
            <w:tcW w:w="1974" w:type="dxa"/>
          </w:tcPr>
          <w:p w:rsidR="001E1AFB" w:rsidRPr="00DF58B9" w:rsidRDefault="001E1AFB" w:rsidP="009E36E7">
            <w:pPr>
              <w:pStyle w:val="ListParagraph"/>
              <w:ind w:left="0"/>
              <w:rPr>
                <w:rFonts w:cs="Arial"/>
                <w:lang w:val="fr-FR"/>
              </w:rPr>
            </w:pPr>
            <w:r w:rsidRPr="00DF58B9">
              <w:rPr>
                <w:rFonts w:cs="Arial"/>
                <w:lang w:val="fr-FR"/>
              </w:rPr>
              <w:t>84</w:t>
            </w:r>
          </w:p>
        </w:tc>
      </w:tr>
    </w:tbl>
    <w:p w:rsidR="005E1547" w:rsidRPr="00DF58B9" w:rsidRDefault="005E1547" w:rsidP="009E36E7">
      <w:pPr>
        <w:spacing w:after="0" w:line="240" w:lineRule="auto"/>
        <w:rPr>
          <w:rFonts w:cs="Arial"/>
          <w:lang w:val="fr-FR"/>
        </w:rPr>
      </w:pPr>
    </w:p>
    <w:p w:rsidR="00DB48D2" w:rsidRPr="00DF58B9" w:rsidRDefault="00DB48D2" w:rsidP="009E36E7">
      <w:pPr>
        <w:spacing w:after="0" w:line="240" w:lineRule="auto"/>
        <w:rPr>
          <w:rFonts w:cs="Arial"/>
          <w:lang w:val="fr-FR"/>
        </w:rPr>
      </w:pPr>
    </w:p>
    <w:p w:rsidR="001E1AFB" w:rsidRPr="00DF58B9" w:rsidRDefault="00235034" w:rsidP="00A31D43">
      <w:pPr>
        <w:pStyle w:val="ListParagraph"/>
        <w:numPr>
          <w:ilvl w:val="0"/>
          <w:numId w:val="25"/>
        </w:numPr>
        <w:spacing w:after="0" w:line="240" w:lineRule="auto"/>
        <w:ind w:left="426" w:hanging="426"/>
        <w:rPr>
          <w:rFonts w:cs="Arial"/>
          <w:lang w:val="fr-FR"/>
        </w:rPr>
      </w:pPr>
      <w:r w:rsidRPr="00DF58B9">
        <w:rPr>
          <w:rFonts w:cs="Arial"/>
          <w:lang w:val="fr-FR"/>
        </w:rPr>
        <w:t>Les plateformes de réseaux sociaux</w:t>
      </w:r>
      <w:r w:rsidR="004053F3" w:rsidRPr="00DF58B9">
        <w:rPr>
          <w:rFonts w:cs="Arial"/>
          <w:lang w:val="fr-FR"/>
        </w:rPr>
        <w:t>,</w:t>
      </w:r>
      <w:r w:rsidRPr="00DF58B9">
        <w:rPr>
          <w:rFonts w:cs="Arial"/>
          <w:lang w:val="fr-FR"/>
        </w:rPr>
        <w:t xml:space="preserve"> comme l’indiquent les chiffres ci</w:t>
      </w:r>
      <w:r w:rsidRPr="00DF58B9">
        <w:rPr>
          <w:rFonts w:cs="Arial"/>
          <w:lang w:val="fr-FR"/>
        </w:rPr>
        <w:noBreakHyphen/>
        <w:t>dessus</w:t>
      </w:r>
      <w:r w:rsidR="004053F3" w:rsidRPr="00DF58B9">
        <w:rPr>
          <w:rFonts w:cs="Arial"/>
          <w:lang w:val="fr-FR"/>
        </w:rPr>
        <w:t>,</w:t>
      </w:r>
      <w:r w:rsidRPr="00DF58B9">
        <w:rPr>
          <w:rFonts w:cs="Arial"/>
          <w:lang w:val="fr-FR"/>
        </w:rPr>
        <w:t xml:space="preserve"> continuent de prendre de l’expansion chaque année. Ces plateformes</w:t>
      </w:r>
      <w:r w:rsidR="004053F3" w:rsidRPr="00DF58B9">
        <w:rPr>
          <w:rFonts w:cs="Arial"/>
          <w:lang w:val="fr-FR"/>
        </w:rPr>
        <w:t>,</w:t>
      </w:r>
      <w:r w:rsidRPr="00DF58B9">
        <w:rPr>
          <w:rFonts w:cs="Arial"/>
          <w:lang w:val="fr-FR"/>
        </w:rPr>
        <w:t xml:space="preserve"> </w:t>
      </w:r>
      <w:r w:rsidR="002A5D6F" w:rsidRPr="00DF58B9">
        <w:rPr>
          <w:rFonts w:cs="Arial"/>
          <w:lang w:val="fr-FR"/>
        </w:rPr>
        <w:t>comme indiqué précédemment</w:t>
      </w:r>
      <w:r w:rsidR="004053F3" w:rsidRPr="00DF58B9">
        <w:rPr>
          <w:rFonts w:cs="Arial"/>
          <w:lang w:val="fr-FR"/>
        </w:rPr>
        <w:t>,</w:t>
      </w:r>
      <w:r w:rsidR="002A5D6F" w:rsidRPr="00DF58B9">
        <w:rPr>
          <w:rFonts w:cs="Arial"/>
          <w:lang w:val="fr-FR"/>
        </w:rPr>
        <w:t xml:space="preserve"> sont un canal idéal pour communiquer directement avec un public plus jeune et de plus en plus connecté sur le plan électronique. Le pouvoir croissant et l’utilité des réseaux sociaux sont évidents avec les plus de 2200 </w:t>
      </w:r>
      <w:r w:rsidR="00AE1454" w:rsidRPr="00DF58B9">
        <w:rPr>
          <w:rFonts w:cs="Arial"/>
          <w:lang w:val="fr-FR"/>
        </w:rPr>
        <w:t>inscriptions</w:t>
      </w:r>
      <w:r w:rsidR="002A5D6F" w:rsidRPr="00DF58B9">
        <w:rPr>
          <w:rFonts w:cs="Arial"/>
          <w:lang w:val="fr-FR"/>
        </w:rPr>
        <w:t xml:space="preserve"> de 80 pays pour le concours de photos de la JMZ 2015 </w:t>
      </w:r>
      <w:r w:rsidR="00AE1454" w:rsidRPr="00DF58B9">
        <w:rPr>
          <w:rFonts w:cs="Arial"/>
          <w:lang w:val="fr-FR"/>
        </w:rPr>
        <w:t xml:space="preserve">réservé aux jeunes </w:t>
      </w:r>
      <w:r w:rsidR="002A5D6F" w:rsidRPr="00DF58B9">
        <w:rPr>
          <w:rFonts w:cs="Arial"/>
          <w:lang w:val="fr-FR"/>
        </w:rPr>
        <w:t xml:space="preserve">qui a été principalement promu sur les réseaux sociaux. Ces canaux offrent une possibilité d’informer, éduquer et faire participer un plus grand public et complètent </w:t>
      </w:r>
      <w:r w:rsidR="000B235B" w:rsidRPr="00DF58B9">
        <w:rPr>
          <w:rFonts w:cs="Arial"/>
          <w:lang w:val="fr-FR"/>
        </w:rPr>
        <w:t>l</w:t>
      </w:r>
      <w:r w:rsidR="002A5D6F" w:rsidRPr="00DF58B9">
        <w:rPr>
          <w:rFonts w:cs="Arial"/>
          <w:lang w:val="fr-FR"/>
        </w:rPr>
        <w:t xml:space="preserve">es </w:t>
      </w:r>
      <w:r w:rsidR="0002609E" w:rsidRPr="00DF58B9">
        <w:rPr>
          <w:rFonts w:cs="Arial"/>
          <w:lang w:val="fr-FR"/>
        </w:rPr>
        <w:t>canaux traditionnels déjà établis.</w:t>
      </w:r>
      <w:r w:rsidR="001E1AFB" w:rsidRPr="00DF58B9">
        <w:rPr>
          <w:rFonts w:cs="Arial"/>
          <w:lang w:val="fr-FR"/>
        </w:rPr>
        <w:tab/>
      </w:r>
      <w:r w:rsidR="001E1AFB" w:rsidRPr="00DF58B9">
        <w:rPr>
          <w:rFonts w:cs="Arial"/>
          <w:lang w:val="fr-FR"/>
        </w:rPr>
        <w:tab/>
      </w:r>
      <w:r w:rsidR="001E1AFB" w:rsidRPr="00DF58B9">
        <w:rPr>
          <w:rFonts w:cs="Arial"/>
          <w:lang w:val="fr-FR"/>
        </w:rPr>
        <w:tab/>
      </w:r>
    </w:p>
    <w:p w:rsidR="0007435C" w:rsidRPr="00DF58B9" w:rsidRDefault="0007435C" w:rsidP="00A31D43">
      <w:pPr>
        <w:pStyle w:val="ListParagraph"/>
        <w:spacing w:after="0" w:line="240" w:lineRule="auto"/>
        <w:ind w:left="426"/>
        <w:rPr>
          <w:rFonts w:cs="Arial"/>
          <w:lang w:val="fr-FR"/>
        </w:rPr>
      </w:pPr>
    </w:p>
    <w:p w:rsidR="00E0527E" w:rsidRPr="00DF58B9" w:rsidRDefault="0002609E" w:rsidP="00A31D43">
      <w:pPr>
        <w:pStyle w:val="ListParagraph"/>
        <w:numPr>
          <w:ilvl w:val="0"/>
          <w:numId w:val="25"/>
        </w:numPr>
        <w:spacing w:after="0" w:line="240" w:lineRule="auto"/>
        <w:ind w:left="426" w:hanging="426"/>
        <w:rPr>
          <w:rFonts w:cs="Arial"/>
          <w:lang w:val="fr-FR"/>
        </w:rPr>
      </w:pPr>
      <w:r w:rsidRPr="00DF58B9">
        <w:rPr>
          <w:rFonts w:cs="Arial"/>
          <w:lang w:val="fr-FR"/>
        </w:rPr>
        <w:t xml:space="preserve">Le Secrétariat continue de maintenir la vaste gamme de listes de courriels pour faciliter la communication et le partage de l’information au sein de la Convention et avec le public : </w:t>
      </w:r>
    </w:p>
    <w:p w:rsidR="00E0527E" w:rsidRPr="00DF58B9" w:rsidRDefault="00AE1454"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Le </w:t>
      </w:r>
      <w:r w:rsidR="0002609E" w:rsidRPr="00DF58B9">
        <w:rPr>
          <w:rFonts w:cs="Arial"/>
          <w:lang w:val="fr-FR"/>
        </w:rPr>
        <w:t xml:space="preserve">Forum des zones humides </w:t>
      </w:r>
      <w:r w:rsidR="00E0527E" w:rsidRPr="00DF58B9">
        <w:rPr>
          <w:rFonts w:cs="Arial"/>
          <w:lang w:val="fr-FR"/>
        </w:rPr>
        <w:t>Ramsar</w:t>
      </w:r>
      <w:r w:rsidR="0002609E" w:rsidRPr="00DF58B9">
        <w:rPr>
          <w:rFonts w:cs="Arial"/>
          <w:lang w:val="fr-FR"/>
        </w:rPr>
        <w:t> </w:t>
      </w:r>
      <w:r w:rsidR="00E0527E" w:rsidRPr="00DF58B9">
        <w:rPr>
          <w:rFonts w:cs="Arial"/>
          <w:lang w:val="fr-FR"/>
        </w:rPr>
        <w:t xml:space="preserve">: </w:t>
      </w:r>
      <w:r w:rsidR="0002609E" w:rsidRPr="00DF58B9">
        <w:rPr>
          <w:rFonts w:cs="Arial"/>
          <w:lang w:val="fr-FR"/>
        </w:rPr>
        <w:t xml:space="preserve">une liste ouverte, non modérée pour les nouvelles, les opinions et les questions sur tout ce qui relève des zones humides. </w:t>
      </w:r>
    </w:p>
    <w:p w:rsidR="00924E37"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Le Réseau </w:t>
      </w:r>
      <w:r w:rsidR="00E0527E" w:rsidRPr="00DF58B9">
        <w:rPr>
          <w:rFonts w:cs="Arial"/>
          <w:lang w:val="fr-FR"/>
        </w:rPr>
        <w:t>Ramsar (</w:t>
      </w:r>
      <w:r w:rsidRPr="00DF58B9">
        <w:rPr>
          <w:rFonts w:cs="Arial"/>
          <w:lang w:val="fr-FR"/>
        </w:rPr>
        <w:t xml:space="preserve">trois listes séparées en anglais, français et espagnol) : des listes </w:t>
      </w:r>
      <w:r w:rsidR="00AE1454" w:rsidRPr="00DF58B9">
        <w:rPr>
          <w:rFonts w:cs="Arial"/>
          <w:lang w:val="fr-FR"/>
        </w:rPr>
        <w:t>réservées aux</w:t>
      </w:r>
      <w:r w:rsidRPr="00DF58B9">
        <w:rPr>
          <w:rFonts w:cs="Arial"/>
          <w:lang w:val="fr-FR"/>
        </w:rPr>
        <w:t xml:space="preserve"> chefs des Autorités administratives et </w:t>
      </w:r>
      <w:r w:rsidR="00AE1454" w:rsidRPr="00DF58B9">
        <w:rPr>
          <w:rFonts w:cs="Arial"/>
          <w:lang w:val="fr-FR"/>
        </w:rPr>
        <w:t>aux</w:t>
      </w:r>
      <w:r w:rsidRPr="00DF58B9">
        <w:rPr>
          <w:rFonts w:cs="Arial"/>
          <w:lang w:val="fr-FR"/>
        </w:rPr>
        <w:t xml:space="preserve"> Correspondants nationaux avec des annonces concernant tous les nouveaux Sites Ramsar et toutes les nouvelles Parties, des rapports du Comité permanent, etc.</w:t>
      </w:r>
    </w:p>
    <w:p w:rsidR="00E0527E" w:rsidRPr="00DF58B9" w:rsidRDefault="00AE1454" w:rsidP="00A31D43">
      <w:pPr>
        <w:pStyle w:val="ListParagraph"/>
        <w:numPr>
          <w:ilvl w:val="0"/>
          <w:numId w:val="27"/>
        </w:numPr>
        <w:spacing w:after="0" w:line="240" w:lineRule="auto"/>
        <w:ind w:left="851" w:hanging="425"/>
        <w:rPr>
          <w:rFonts w:cs="Arial"/>
          <w:lang w:val="fr-FR"/>
        </w:rPr>
      </w:pPr>
      <w:r w:rsidRPr="00DF58B9">
        <w:rPr>
          <w:rFonts w:cs="Arial"/>
          <w:lang w:val="fr-FR"/>
        </w:rPr>
        <w:t>L</w:t>
      </w:r>
      <w:r w:rsidR="0002609E" w:rsidRPr="00DF58B9">
        <w:rPr>
          <w:rFonts w:cs="Arial"/>
          <w:lang w:val="fr-FR"/>
        </w:rPr>
        <w:t xml:space="preserve">es listes de courriel de CESP (en anglais, français et espagnol) : listes ouvertes, non modérées, qui </w:t>
      </w:r>
      <w:r w:rsidRPr="00DF58B9">
        <w:rPr>
          <w:rFonts w:cs="Arial"/>
          <w:lang w:val="fr-FR"/>
        </w:rPr>
        <w:t>s’adressent à</w:t>
      </w:r>
      <w:r w:rsidR="0002609E" w:rsidRPr="00DF58B9">
        <w:rPr>
          <w:rFonts w:cs="Arial"/>
          <w:lang w:val="fr-FR"/>
        </w:rPr>
        <w:t xml:space="preserve"> tous les Correspondants CESP désignés ainsi qu</w:t>
      </w:r>
      <w:r w:rsidRPr="00DF58B9">
        <w:rPr>
          <w:rFonts w:cs="Arial"/>
          <w:lang w:val="fr-FR"/>
        </w:rPr>
        <w:t>’à</w:t>
      </w:r>
      <w:r w:rsidR="0002609E" w:rsidRPr="00DF58B9">
        <w:rPr>
          <w:rFonts w:cs="Arial"/>
          <w:lang w:val="fr-FR"/>
        </w:rPr>
        <w:t xml:space="preserve"> beaucoup d’autres personnes intéressées par la CESP zones humides. </w:t>
      </w:r>
    </w:p>
    <w:p w:rsidR="00A31D43" w:rsidRPr="00DF58B9" w:rsidRDefault="00A31D43" w:rsidP="00A31D43">
      <w:pPr>
        <w:pStyle w:val="ListParagraph"/>
        <w:spacing w:after="0" w:line="240" w:lineRule="auto"/>
        <w:ind w:left="851"/>
        <w:rPr>
          <w:rFonts w:cs="Arial"/>
          <w:lang w:val="fr-FR"/>
        </w:rPr>
      </w:pPr>
    </w:p>
    <w:p w:rsidR="00876A01" w:rsidRPr="00DF58B9" w:rsidRDefault="0002609E" w:rsidP="00A31D43">
      <w:pPr>
        <w:pStyle w:val="ListParagraph"/>
        <w:numPr>
          <w:ilvl w:val="0"/>
          <w:numId w:val="25"/>
        </w:numPr>
        <w:spacing w:after="0" w:line="240" w:lineRule="auto"/>
        <w:ind w:left="426" w:hanging="426"/>
        <w:rPr>
          <w:rFonts w:cs="Arial"/>
          <w:lang w:val="fr-FR"/>
        </w:rPr>
      </w:pPr>
      <w:r w:rsidRPr="00DF58B9">
        <w:rPr>
          <w:rFonts w:cs="Arial"/>
          <w:lang w:val="fr-FR"/>
        </w:rPr>
        <w:t xml:space="preserve">Le Secrétariat a </w:t>
      </w:r>
      <w:r w:rsidR="00AE1454" w:rsidRPr="00DF58B9">
        <w:rPr>
          <w:rFonts w:cs="Arial"/>
          <w:lang w:val="fr-FR"/>
        </w:rPr>
        <w:t>préparé</w:t>
      </w:r>
      <w:r w:rsidRPr="00DF58B9">
        <w:rPr>
          <w:rFonts w:cs="Arial"/>
          <w:lang w:val="fr-FR"/>
        </w:rPr>
        <w:t xml:space="preserve"> </w:t>
      </w:r>
      <w:r w:rsidR="00AE1454" w:rsidRPr="00DF58B9">
        <w:rPr>
          <w:rFonts w:cs="Arial"/>
          <w:lang w:val="fr-FR"/>
        </w:rPr>
        <w:t>une grande diversité</w:t>
      </w:r>
      <w:r w:rsidRPr="00DF58B9">
        <w:rPr>
          <w:rFonts w:cs="Arial"/>
          <w:lang w:val="fr-FR"/>
        </w:rPr>
        <w:t xml:space="preserve"> de publications durant la période triennale : </w:t>
      </w:r>
    </w:p>
    <w:p w:rsidR="005E46A9"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Le Rapport </w:t>
      </w:r>
      <w:r w:rsidR="005E46A9" w:rsidRPr="00DF58B9">
        <w:rPr>
          <w:rFonts w:cs="Arial"/>
          <w:lang w:val="fr-FR"/>
        </w:rPr>
        <w:t>Economics of Ecosystems and Biodiversity (TEEB)</w:t>
      </w:r>
      <w:r w:rsidRPr="00DF58B9">
        <w:rPr>
          <w:rFonts w:cs="Arial"/>
          <w:lang w:val="fr-FR"/>
        </w:rPr>
        <w:t xml:space="preserve"> </w:t>
      </w:r>
      <w:r w:rsidR="005E46A9" w:rsidRPr="00DF58B9">
        <w:rPr>
          <w:rFonts w:cs="Arial"/>
          <w:lang w:val="fr-FR"/>
        </w:rPr>
        <w:t>for Water and Wetlands (2013)</w:t>
      </w:r>
      <w:r w:rsidRPr="00DF58B9">
        <w:rPr>
          <w:rFonts w:cs="Arial"/>
          <w:lang w:val="fr-FR"/>
        </w:rPr>
        <w:t>.</w:t>
      </w:r>
    </w:p>
    <w:p w:rsidR="00E0527E"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Le matériel de la Journée mondiale des zones humides a été préparé et envoyé en 2013 et 2014 à plus de 4000 contacts comprenant les Parties, des ONG, des écoles, des administrateurs de sites et d’autres institutions. Pour 2015, la distribution s’est faite uniquement par </w:t>
      </w:r>
      <w:r w:rsidR="00AE1454" w:rsidRPr="00DF58B9">
        <w:rPr>
          <w:rFonts w:cs="Arial"/>
          <w:lang w:val="fr-FR"/>
        </w:rPr>
        <w:t>voie</w:t>
      </w:r>
      <w:r w:rsidRPr="00DF58B9">
        <w:rPr>
          <w:rFonts w:cs="Arial"/>
          <w:lang w:val="fr-FR"/>
        </w:rPr>
        <w:t xml:space="preserve"> électronique.</w:t>
      </w:r>
    </w:p>
    <w:p w:rsidR="0094098D"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Quatre bulletins du GEST ont été publiés entre juin 2012 et le milieu de 2013. </w:t>
      </w:r>
      <w:r w:rsidR="00985619" w:rsidRPr="00DF58B9">
        <w:rPr>
          <w:rFonts w:cs="Arial"/>
          <w:lang w:val="fr-FR"/>
        </w:rPr>
        <w:br/>
      </w:r>
    </w:p>
    <w:p w:rsidR="005E0819" w:rsidRPr="00DF58B9" w:rsidRDefault="0002609E" w:rsidP="00A31D43">
      <w:pPr>
        <w:pStyle w:val="ListParagraph"/>
        <w:numPr>
          <w:ilvl w:val="0"/>
          <w:numId w:val="25"/>
        </w:numPr>
        <w:spacing w:after="0" w:line="240" w:lineRule="auto"/>
        <w:ind w:left="426" w:hanging="426"/>
        <w:rPr>
          <w:rFonts w:cs="Arial"/>
          <w:lang w:val="fr-FR"/>
        </w:rPr>
      </w:pPr>
      <w:r w:rsidRPr="00DF58B9">
        <w:rPr>
          <w:rFonts w:cs="Arial"/>
          <w:lang w:val="fr-FR"/>
        </w:rPr>
        <w:t>Un plan révisé de communication-CESP pour le Secrétariat Ramsar est fourni dans un document d’information à la COP12. Il présente un ensemble complet de mesures de CESP proposées pour la prochaine période triennale qui :</w:t>
      </w:r>
    </w:p>
    <w:p w:rsidR="005E0819"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soutiennent le 4</w:t>
      </w:r>
      <w:r w:rsidRPr="00DF58B9">
        <w:rPr>
          <w:rFonts w:cs="Arial"/>
          <w:vertAlign w:val="superscript"/>
          <w:lang w:val="fr-FR"/>
        </w:rPr>
        <w:t>e</w:t>
      </w:r>
      <w:r w:rsidRPr="00DF58B9">
        <w:rPr>
          <w:rFonts w:cs="Arial"/>
          <w:lang w:val="fr-FR"/>
        </w:rPr>
        <w:t xml:space="preserve"> Plan stratégique Ramsar et ses objectifs; </w:t>
      </w:r>
    </w:p>
    <w:p w:rsidR="005E0819"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s’alignent sur les </w:t>
      </w:r>
      <w:r w:rsidR="00272FAA" w:rsidRPr="00DF58B9">
        <w:rPr>
          <w:rFonts w:cs="Arial"/>
          <w:lang w:val="fr-FR"/>
        </w:rPr>
        <w:t>neuf</w:t>
      </w:r>
      <w:r w:rsidRPr="00DF58B9">
        <w:rPr>
          <w:rFonts w:cs="Arial"/>
          <w:lang w:val="fr-FR"/>
        </w:rPr>
        <w:t xml:space="preserve"> Stratégies de CESP et 42 objectifs stratégiques; </w:t>
      </w:r>
    </w:p>
    <w:p w:rsidR="00985619"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suivent les messages clairement définis fondés sur ce qui précède; et </w:t>
      </w:r>
    </w:p>
    <w:p w:rsidR="000A0707" w:rsidRPr="00DF58B9" w:rsidRDefault="0002609E" w:rsidP="00A31D43">
      <w:pPr>
        <w:pStyle w:val="ListParagraph"/>
        <w:numPr>
          <w:ilvl w:val="0"/>
          <w:numId w:val="27"/>
        </w:numPr>
        <w:spacing w:after="0" w:line="240" w:lineRule="auto"/>
        <w:ind w:left="851" w:hanging="425"/>
        <w:rPr>
          <w:rFonts w:cs="Arial"/>
          <w:lang w:val="fr-FR"/>
        </w:rPr>
      </w:pPr>
      <w:r w:rsidRPr="00DF58B9">
        <w:rPr>
          <w:rFonts w:cs="Arial"/>
          <w:lang w:val="fr-FR"/>
        </w:rPr>
        <w:t xml:space="preserve">précisent que les praticiens et décideurs politiques responsables des zones humides sont les principaux publics cibles. </w:t>
      </w:r>
    </w:p>
    <w:sectPr w:rsidR="000A0707" w:rsidRPr="00DF58B9" w:rsidSect="009E36E7">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6C" w:rsidRDefault="00B2456C" w:rsidP="009E36E7">
      <w:pPr>
        <w:spacing w:after="0" w:line="240" w:lineRule="auto"/>
      </w:pPr>
      <w:r>
        <w:separator/>
      </w:r>
    </w:p>
  </w:endnote>
  <w:endnote w:type="continuationSeparator" w:id="0">
    <w:p w:rsidR="00B2456C" w:rsidRDefault="00B2456C" w:rsidP="009E3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22" w:rsidRPr="009E36E7" w:rsidRDefault="00207B22" w:rsidP="009E36E7">
    <w:pPr>
      <w:pStyle w:val="Footer"/>
      <w:tabs>
        <w:tab w:val="clear" w:pos="9360"/>
        <w:tab w:val="right" w:pos="9072"/>
      </w:tabs>
      <w:rPr>
        <w:sz w:val="20"/>
        <w:szCs w:val="20"/>
      </w:rPr>
    </w:pPr>
    <w:r w:rsidRPr="009D62A2">
      <w:rPr>
        <w:sz w:val="20"/>
        <w:szCs w:val="20"/>
      </w:rPr>
      <w:t>Ramsar COP12 D</w:t>
    </w:r>
    <w:r>
      <w:rPr>
        <w:sz w:val="20"/>
        <w:szCs w:val="20"/>
      </w:rPr>
      <w:t>OC.18</w:t>
    </w:r>
    <w:r w:rsidRPr="009D62A2">
      <w:rPr>
        <w:sz w:val="20"/>
        <w:szCs w:val="20"/>
      </w:rPr>
      <w:tab/>
    </w:r>
    <w:r w:rsidRPr="009D62A2">
      <w:rPr>
        <w:sz w:val="20"/>
        <w:szCs w:val="20"/>
      </w:rPr>
      <w:tab/>
    </w:r>
    <w:r w:rsidR="00B72726" w:rsidRPr="009D62A2">
      <w:rPr>
        <w:sz w:val="20"/>
        <w:szCs w:val="20"/>
      </w:rPr>
      <w:fldChar w:fldCharType="begin"/>
    </w:r>
    <w:r w:rsidRPr="009D62A2">
      <w:rPr>
        <w:sz w:val="20"/>
        <w:szCs w:val="20"/>
      </w:rPr>
      <w:instrText xml:space="preserve"> PAGE   \* MERGEFORMAT </w:instrText>
    </w:r>
    <w:r w:rsidR="00B72726" w:rsidRPr="009D62A2">
      <w:rPr>
        <w:sz w:val="20"/>
        <w:szCs w:val="20"/>
      </w:rPr>
      <w:fldChar w:fldCharType="separate"/>
    </w:r>
    <w:r w:rsidR="008B6980">
      <w:rPr>
        <w:noProof/>
        <w:sz w:val="20"/>
        <w:szCs w:val="20"/>
      </w:rPr>
      <w:t>12</w:t>
    </w:r>
    <w:r w:rsidR="00B72726" w:rsidRPr="009D62A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6C" w:rsidRDefault="00B2456C" w:rsidP="009E36E7">
      <w:pPr>
        <w:spacing w:after="0" w:line="240" w:lineRule="auto"/>
      </w:pPr>
      <w:r>
        <w:separator/>
      </w:r>
    </w:p>
  </w:footnote>
  <w:footnote w:type="continuationSeparator" w:id="0">
    <w:p w:rsidR="00B2456C" w:rsidRDefault="00B2456C" w:rsidP="009E3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AF83E0"/>
    <w:multiLevelType w:val="hybridMultilevel"/>
    <w:tmpl w:val="97C67A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D116F46"/>
    <w:multiLevelType w:val="hybridMultilevel"/>
    <w:tmpl w:val="53649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D595132"/>
    <w:multiLevelType w:val="hybridMultilevel"/>
    <w:tmpl w:val="40F6AEE2"/>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A40E6"/>
    <w:multiLevelType w:val="hybridMultilevel"/>
    <w:tmpl w:val="E1B6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E36B7"/>
    <w:multiLevelType w:val="hybridMultilevel"/>
    <w:tmpl w:val="96304BA4"/>
    <w:lvl w:ilvl="0" w:tplc="EAD23906">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10652B4A"/>
    <w:multiLevelType w:val="hybridMultilevel"/>
    <w:tmpl w:val="F1E2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A4E28"/>
    <w:multiLevelType w:val="hybridMultilevel"/>
    <w:tmpl w:val="200A6B62"/>
    <w:lvl w:ilvl="0" w:tplc="488C90E0">
      <w:start w:val="1"/>
      <w:numFmt w:val="bullet"/>
      <w:lvlText w:val="•"/>
      <w:lvlJc w:val="left"/>
      <w:pPr>
        <w:ind w:left="1440" w:hanging="360"/>
      </w:pPr>
      <w:rPr>
        <w:rFonts w:ascii="Garamond" w:hAnsi="Garamond" w:hint="default"/>
        <w:lang w:val="en-U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CA2D1A"/>
    <w:multiLevelType w:val="hybridMultilevel"/>
    <w:tmpl w:val="FD14A89E"/>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37EBF"/>
    <w:multiLevelType w:val="hybridMultilevel"/>
    <w:tmpl w:val="4D1CB39A"/>
    <w:lvl w:ilvl="0" w:tplc="EAD2390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E3A4376"/>
    <w:multiLevelType w:val="hybridMultilevel"/>
    <w:tmpl w:val="76CCFAD6"/>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5600A5"/>
    <w:multiLevelType w:val="hybridMultilevel"/>
    <w:tmpl w:val="F212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6645B0"/>
    <w:multiLevelType w:val="hybridMultilevel"/>
    <w:tmpl w:val="59BC0932"/>
    <w:lvl w:ilvl="0" w:tplc="488C90E0">
      <w:start w:val="1"/>
      <w:numFmt w:val="bullet"/>
      <w:lvlText w:val="•"/>
      <w:lvlJc w:val="left"/>
      <w:pPr>
        <w:ind w:left="1440" w:hanging="360"/>
      </w:pPr>
      <w:rPr>
        <w:rFonts w:ascii="Garamond" w:hAnsi="Garamond" w:hint="default"/>
        <w:lang w:val="en-U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20B2D41"/>
    <w:multiLevelType w:val="hybridMultilevel"/>
    <w:tmpl w:val="83220E5C"/>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14555E"/>
    <w:multiLevelType w:val="hybridMultilevel"/>
    <w:tmpl w:val="7E10C1E6"/>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297977"/>
    <w:multiLevelType w:val="hybridMultilevel"/>
    <w:tmpl w:val="48EE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E06F45"/>
    <w:multiLevelType w:val="hybridMultilevel"/>
    <w:tmpl w:val="E5F8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8534CE"/>
    <w:multiLevelType w:val="hybridMultilevel"/>
    <w:tmpl w:val="8A4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F03BCB"/>
    <w:multiLevelType w:val="hybridMultilevel"/>
    <w:tmpl w:val="4E20A236"/>
    <w:lvl w:ilvl="0" w:tplc="488C90E0">
      <w:start w:val="1"/>
      <w:numFmt w:val="bullet"/>
      <w:lvlText w:val="•"/>
      <w:lvlJc w:val="left"/>
      <w:pPr>
        <w:ind w:left="720" w:hanging="360"/>
      </w:pPr>
      <w:rPr>
        <w:rFonts w:ascii="Garamond" w:hAnsi="Garamond"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57D21"/>
    <w:multiLevelType w:val="hybridMultilevel"/>
    <w:tmpl w:val="6346E80E"/>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347A39"/>
    <w:multiLevelType w:val="hybridMultilevel"/>
    <w:tmpl w:val="679E6F32"/>
    <w:lvl w:ilvl="0" w:tplc="488C90E0">
      <w:start w:val="1"/>
      <w:numFmt w:val="bullet"/>
      <w:lvlText w:val="•"/>
      <w:lvlJc w:val="left"/>
      <w:pPr>
        <w:ind w:left="786" w:hanging="360"/>
      </w:pPr>
      <w:rPr>
        <w:rFonts w:ascii="Garamond" w:hAnsi="Garamond" w:hint="default"/>
        <w:lang w:val="en-US"/>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4E8634FB"/>
    <w:multiLevelType w:val="hybridMultilevel"/>
    <w:tmpl w:val="6760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91434A"/>
    <w:multiLevelType w:val="hybridMultilevel"/>
    <w:tmpl w:val="5F08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032BD"/>
    <w:multiLevelType w:val="hybridMultilevel"/>
    <w:tmpl w:val="0AA0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92B6C"/>
    <w:multiLevelType w:val="hybridMultilevel"/>
    <w:tmpl w:val="00F8858A"/>
    <w:lvl w:ilvl="0" w:tplc="EAD2390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6EF2C27"/>
    <w:multiLevelType w:val="hybridMultilevel"/>
    <w:tmpl w:val="1CDA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D7026A"/>
    <w:multiLevelType w:val="hybridMultilevel"/>
    <w:tmpl w:val="95102D76"/>
    <w:lvl w:ilvl="0" w:tplc="EAD239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053C10"/>
    <w:multiLevelType w:val="hybridMultilevel"/>
    <w:tmpl w:val="D9D2FE62"/>
    <w:lvl w:ilvl="0" w:tplc="08090001">
      <w:start w:val="1"/>
      <w:numFmt w:val="bullet"/>
      <w:lvlText w:val=""/>
      <w:lvlJc w:val="left"/>
      <w:pPr>
        <w:ind w:left="1440" w:hanging="360"/>
      </w:pPr>
      <w:rPr>
        <w:rFonts w:ascii="Symbol" w:hAnsi="Symbol" w:hint="default"/>
        <w:lang w:val="en-U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E1B1FC3"/>
    <w:multiLevelType w:val="hybridMultilevel"/>
    <w:tmpl w:val="68B0C510"/>
    <w:lvl w:ilvl="0" w:tplc="EAD23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5"/>
  </w:num>
  <w:num w:numId="4">
    <w:abstractNumId w:val="15"/>
  </w:num>
  <w:num w:numId="5">
    <w:abstractNumId w:val="2"/>
  </w:num>
  <w:num w:numId="6">
    <w:abstractNumId w:val="8"/>
  </w:num>
  <w:num w:numId="7">
    <w:abstractNumId w:val="27"/>
  </w:num>
  <w:num w:numId="8">
    <w:abstractNumId w:val="25"/>
  </w:num>
  <w:num w:numId="9">
    <w:abstractNumId w:val="9"/>
  </w:num>
  <w:num w:numId="10">
    <w:abstractNumId w:val="13"/>
  </w:num>
  <w:num w:numId="11">
    <w:abstractNumId w:val="23"/>
  </w:num>
  <w:num w:numId="12">
    <w:abstractNumId w:val="6"/>
  </w:num>
  <w:num w:numId="13">
    <w:abstractNumId w:val="4"/>
  </w:num>
  <w:num w:numId="14">
    <w:abstractNumId w:val="12"/>
  </w:num>
  <w:num w:numId="15">
    <w:abstractNumId w:val="17"/>
  </w:num>
  <w:num w:numId="16">
    <w:abstractNumId w:val="24"/>
  </w:num>
  <w:num w:numId="17">
    <w:abstractNumId w:val="10"/>
  </w:num>
  <w:num w:numId="18">
    <w:abstractNumId w:val="20"/>
  </w:num>
  <w:num w:numId="19">
    <w:abstractNumId w:val="19"/>
  </w:num>
  <w:num w:numId="20">
    <w:abstractNumId w:val="16"/>
  </w:num>
  <w:num w:numId="21">
    <w:abstractNumId w:val="0"/>
  </w:num>
  <w:num w:numId="22">
    <w:abstractNumId w:val="1"/>
  </w:num>
  <w:num w:numId="23">
    <w:abstractNumId w:val="14"/>
  </w:num>
  <w:num w:numId="24">
    <w:abstractNumId w:val="3"/>
  </w:num>
  <w:num w:numId="25">
    <w:abstractNumId w:val="22"/>
  </w:num>
  <w:num w:numId="26">
    <w:abstractNumId w:val="11"/>
  </w:num>
  <w:num w:numId="27">
    <w:abstractNumId w:val="2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0835"/>
    <w:rsid w:val="00007188"/>
    <w:rsid w:val="00015268"/>
    <w:rsid w:val="0002010E"/>
    <w:rsid w:val="00020C4A"/>
    <w:rsid w:val="0002609E"/>
    <w:rsid w:val="0004480D"/>
    <w:rsid w:val="00047D16"/>
    <w:rsid w:val="00050829"/>
    <w:rsid w:val="00051766"/>
    <w:rsid w:val="0005403B"/>
    <w:rsid w:val="00054BA9"/>
    <w:rsid w:val="000575E8"/>
    <w:rsid w:val="00067A6C"/>
    <w:rsid w:val="0007435C"/>
    <w:rsid w:val="0008654B"/>
    <w:rsid w:val="000A059B"/>
    <w:rsid w:val="000A0707"/>
    <w:rsid w:val="000B235B"/>
    <w:rsid w:val="000C4FA5"/>
    <w:rsid w:val="000D03D4"/>
    <w:rsid w:val="000D1AB7"/>
    <w:rsid w:val="000E4B32"/>
    <w:rsid w:val="00101D74"/>
    <w:rsid w:val="00106742"/>
    <w:rsid w:val="00107468"/>
    <w:rsid w:val="00116967"/>
    <w:rsid w:val="0012096C"/>
    <w:rsid w:val="00133718"/>
    <w:rsid w:val="00155F35"/>
    <w:rsid w:val="00163888"/>
    <w:rsid w:val="00166A04"/>
    <w:rsid w:val="00166C5B"/>
    <w:rsid w:val="00175216"/>
    <w:rsid w:val="001941A6"/>
    <w:rsid w:val="001A338A"/>
    <w:rsid w:val="001A5C17"/>
    <w:rsid w:val="001B33B2"/>
    <w:rsid w:val="001C0B72"/>
    <w:rsid w:val="001C544D"/>
    <w:rsid w:val="001D62F0"/>
    <w:rsid w:val="001E02EA"/>
    <w:rsid w:val="001E1AFB"/>
    <w:rsid w:val="001E51D9"/>
    <w:rsid w:val="00201EA3"/>
    <w:rsid w:val="00206A6D"/>
    <w:rsid w:val="00207B22"/>
    <w:rsid w:val="00227AD4"/>
    <w:rsid w:val="0023064E"/>
    <w:rsid w:val="00232F50"/>
    <w:rsid w:val="00235034"/>
    <w:rsid w:val="00255E12"/>
    <w:rsid w:val="00267B46"/>
    <w:rsid w:val="00271B0A"/>
    <w:rsid w:val="00272FAA"/>
    <w:rsid w:val="00277CEA"/>
    <w:rsid w:val="0028788C"/>
    <w:rsid w:val="00295556"/>
    <w:rsid w:val="00296F70"/>
    <w:rsid w:val="002A5D6F"/>
    <w:rsid w:val="002A67EC"/>
    <w:rsid w:val="002B1782"/>
    <w:rsid w:val="002C585C"/>
    <w:rsid w:val="002F33CE"/>
    <w:rsid w:val="002F736E"/>
    <w:rsid w:val="00327987"/>
    <w:rsid w:val="00336C0E"/>
    <w:rsid w:val="00344875"/>
    <w:rsid w:val="0034786E"/>
    <w:rsid w:val="0035043C"/>
    <w:rsid w:val="00363D21"/>
    <w:rsid w:val="00367FA9"/>
    <w:rsid w:val="00374A8A"/>
    <w:rsid w:val="003945AF"/>
    <w:rsid w:val="00397746"/>
    <w:rsid w:val="003A0DBF"/>
    <w:rsid w:val="003B45DC"/>
    <w:rsid w:val="003B55E2"/>
    <w:rsid w:val="003C7232"/>
    <w:rsid w:val="00402DB9"/>
    <w:rsid w:val="00404FF7"/>
    <w:rsid w:val="004053F3"/>
    <w:rsid w:val="004068AF"/>
    <w:rsid w:val="00424AA7"/>
    <w:rsid w:val="00435CAC"/>
    <w:rsid w:val="004366A6"/>
    <w:rsid w:val="0044598D"/>
    <w:rsid w:val="00447223"/>
    <w:rsid w:val="004652FB"/>
    <w:rsid w:val="00471BC1"/>
    <w:rsid w:val="004720B1"/>
    <w:rsid w:val="004779B1"/>
    <w:rsid w:val="00481680"/>
    <w:rsid w:val="00482442"/>
    <w:rsid w:val="00483AC4"/>
    <w:rsid w:val="00486B8A"/>
    <w:rsid w:val="00492997"/>
    <w:rsid w:val="004A4BC4"/>
    <w:rsid w:val="004B6E23"/>
    <w:rsid w:val="004B78B2"/>
    <w:rsid w:val="004C69D0"/>
    <w:rsid w:val="004D71CE"/>
    <w:rsid w:val="004F5EC5"/>
    <w:rsid w:val="005059D7"/>
    <w:rsid w:val="005322E2"/>
    <w:rsid w:val="00535EAB"/>
    <w:rsid w:val="005504EB"/>
    <w:rsid w:val="00550DAE"/>
    <w:rsid w:val="00553F6B"/>
    <w:rsid w:val="0055754F"/>
    <w:rsid w:val="00566A25"/>
    <w:rsid w:val="005806D8"/>
    <w:rsid w:val="005A14BC"/>
    <w:rsid w:val="005A3210"/>
    <w:rsid w:val="005A79FA"/>
    <w:rsid w:val="005B286C"/>
    <w:rsid w:val="005B6710"/>
    <w:rsid w:val="005E0819"/>
    <w:rsid w:val="005E1547"/>
    <w:rsid w:val="005E46A9"/>
    <w:rsid w:val="0060464B"/>
    <w:rsid w:val="006427B4"/>
    <w:rsid w:val="00644B14"/>
    <w:rsid w:val="0065278B"/>
    <w:rsid w:val="00661C02"/>
    <w:rsid w:val="00663A7A"/>
    <w:rsid w:val="006660C0"/>
    <w:rsid w:val="006779CF"/>
    <w:rsid w:val="00677E5F"/>
    <w:rsid w:val="0068464E"/>
    <w:rsid w:val="006941CD"/>
    <w:rsid w:val="006A3C34"/>
    <w:rsid w:val="006B544C"/>
    <w:rsid w:val="006B6436"/>
    <w:rsid w:val="006C04CE"/>
    <w:rsid w:val="006C0835"/>
    <w:rsid w:val="006F091A"/>
    <w:rsid w:val="006F0EDD"/>
    <w:rsid w:val="006F5B79"/>
    <w:rsid w:val="00706CAD"/>
    <w:rsid w:val="00714AF4"/>
    <w:rsid w:val="00721C0F"/>
    <w:rsid w:val="007335B8"/>
    <w:rsid w:val="00746D8F"/>
    <w:rsid w:val="00752A07"/>
    <w:rsid w:val="0075678D"/>
    <w:rsid w:val="00766AB1"/>
    <w:rsid w:val="007742AD"/>
    <w:rsid w:val="00774984"/>
    <w:rsid w:val="0078176D"/>
    <w:rsid w:val="00785BAD"/>
    <w:rsid w:val="0079477D"/>
    <w:rsid w:val="00794B62"/>
    <w:rsid w:val="007B47B6"/>
    <w:rsid w:val="007D64A2"/>
    <w:rsid w:val="007F2299"/>
    <w:rsid w:val="007F366F"/>
    <w:rsid w:val="00805DDC"/>
    <w:rsid w:val="00806D50"/>
    <w:rsid w:val="00824244"/>
    <w:rsid w:val="00824401"/>
    <w:rsid w:val="00836FF4"/>
    <w:rsid w:val="008400CF"/>
    <w:rsid w:val="00876A01"/>
    <w:rsid w:val="00890B73"/>
    <w:rsid w:val="00891249"/>
    <w:rsid w:val="008923AC"/>
    <w:rsid w:val="00896015"/>
    <w:rsid w:val="008B6980"/>
    <w:rsid w:val="008C14E4"/>
    <w:rsid w:val="00906A07"/>
    <w:rsid w:val="00906F5A"/>
    <w:rsid w:val="009126DD"/>
    <w:rsid w:val="0091460C"/>
    <w:rsid w:val="009217F8"/>
    <w:rsid w:val="00924E37"/>
    <w:rsid w:val="0094098D"/>
    <w:rsid w:val="00946669"/>
    <w:rsid w:val="00952D7C"/>
    <w:rsid w:val="00956A2A"/>
    <w:rsid w:val="0097210F"/>
    <w:rsid w:val="00985619"/>
    <w:rsid w:val="009910BB"/>
    <w:rsid w:val="00993508"/>
    <w:rsid w:val="00997ED8"/>
    <w:rsid w:val="009A013C"/>
    <w:rsid w:val="009A0666"/>
    <w:rsid w:val="009A76F7"/>
    <w:rsid w:val="009B6313"/>
    <w:rsid w:val="009C6BA9"/>
    <w:rsid w:val="009D11B1"/>
    <w:rsid w:val="009E36E7"/>
    <w:rsid w:val="009F5E11"/>
    <w:rsid w:val="00A02076"/>
    <w:rsid w:val="00A27F71"/>
    <w:rsid w:val="00A30406"/>
    <w:rsid w:val="00A308D2"/>
    <w:rsid w:val="00A3091C"/>
    <w:rsid w:val="00A31D43"/>
    <w:rsid w:val="00A33DB3"/>
    <w:rsid w:val="00A56FF7"/>
    <w:rsid w:val="00A6155E"/>
    <w:rsid w:val="00A66585"/>
    <w:rsid w:val="00A6691C"/>
    <w:rsid w:val="00A75DCB"/>
    <w:rsid w:val="00A76467"/>
    <w:rsid w:val="00A8156D"/>
    <w:rsid w:val="00A86F70"/>
    <w:rsid w:val="00A870A8"/>
    <w:rsid w:val="00A947E5"/>
    <w:rsid w:val="00AA36D1"/>
    <w:rsid w:val="00AA68EC"/>
    <w:rsid w:val="00AC488F"/>
    <w:rsid w:val="00AD0306"/>
    <w:rsid w:val="00AD32D3"/>
    <w:rsid w:val="00AE1454"/>
    <w:rsid w:val="00AF5F8C"/>
    <w:rsid w:val="00B07B82"/>
    <w:rsid w:val="00B14DA4"/>
    <w:rsid w:val="00B20979"/>
    <w:rsid w:val="00B2456C"/>
    <w:rsid w:val="00B305B2"/>
    <w:rsid w:val="00B3167B"/>
    <w:rsid w:val="00B336A8"/>
    <w:rsid w:val="00B56DC5"/>
    <w:rsid w:val="00B608D5"/>
    <w:rsid w:val="00B62832"/>
    <w:rsid w:val="00B72726"/>
    <w:rsid w:val="00B9335A"/>
    <w:rsid w:val="00BA5309"/>
    <w:rsid w:val="00BA5B37"/>
    <w:rsid w:val="00BB1E47"/>
    <w:rsid w:val="00BB53B4"/>
    <w:rsid w:val="00BC0246"/>
    <w:rsid w:val="00BD7298"/>
    <w:rsid w:val="00BF5B81"/>
    <w:rsid w:val="00C054C9"/>
    <w:rsid w:val="00C14CC9"/>
    <w:rsid w:val="00C15C30"/>
    <w:rsid w:val="00C21EB6"/>
    <w:rsid w:val="00C2428B"/>
    <w:rsid w:val="00C26DF8"/>
    <w:rsid w:val="00C276C0"/>
    <w:rsid w:val="00C35039"/>
    <w:rsid w:val="00C357EF"/>
    <w:rsid w:val="00C40A64"/>
    <w:rsid w:val="00C40E88"/>
    <w:rsid w:val="00C413A1"/>
    <w:rsid w:val="00C46C37"/>
    <w:rsid w:val="00C565F2"/>
    <w:rsid w:val="00C57BC8"/>
    <w:rsid w:val="00C70FEB"/>
    <w:rsid w:val="00C713D3"/>
    <w:rsid w:val="00C77BEC"/>
    <w:rsid w:val="00CB4BE0"/>
    <w:rsid w:val="00CC25FB"/>
    <w:rsid w:val="00CC2C8A"/>
    <w:rsid w:val="00CC39B7"/>
    <w:rsid w:val="00CD120D"/>
    <w:rsid w:val="00CD241C"/>
    <w:rsid w:val="00CD78F2"/>
    <w:rsid w:val="00CE3EC1"/>
    <w:rsid w:val="00CF4CFA"/>
    <w:rsid w:val="00CF731D"/>
    <w:rsid w:val="00D13BEF"/>
    <w:rsid w:val="00D22367"/>
    <w:rsid w:val="00D36F32"/>
    <w:rsid w:val="00D432B3"/>
    <w:rsid w:val="00D63123"/>
    <w:rsid w:val="00D72968"/>
    <w:rsid w:val="00D729BB"/>
    <w:rsid w:val="00D92F12"/>
    <w:rsid w:val="00DB1B63"/>
    <w:rsid w:val="00DB48D2"/>
    <w:rsid w:val="00DB5C30"/>
    <w:rsid w:val="00DC0CCF"/>
    <w:rsid w:val="00DC544B"/>
    <w:rsid w:val="00DE5315"/>
    <w:rsid w:val="00DF2C21"/>
    <w:rsid w:val="00DF58B9"/>
    <w:rsid w:val="00DF5D60"/>
    <w:rsid w:val="00DF7299"/>
    <w:rsid w:val="00E00C40"/>
    <w:rsid w:val="00E0527E"/>
    <w:rsid w:val="00E30322"/>
    <w:rsid w:val="00E358C6"/>
    <w:rsid w:val="00E5312D"/>
    <w:rsid w:val="00E532B3"/>
    <w:rsid w:val="00E53D1B"/>
    <w:rsid w:val="00E57B1B"/>
    <w:rsid w:val="00E666FB"/>
    <w:rsid w:val="00E70732"/>
    <w:rsid w:val="00E74A7B"/>
    <w:rsid w:val="00E8105E"/>
    <w:rsid w:val="00E86D11"/>
    <w:rsid w:val="00EA1F51"/>
    <w:rsid w:val="00EF5078"/>
    <w:rsid w:val="00F0042D"/>
    <w:rsid w:val="00F40697"/>
    <w:rsid w:val="00F40C79"/>
    <w:rsid w:val="00F52A0D"/>
    <w:rsid w:val="00F61528"/>
    <w:rsid w:val="00F64F36"/>
    <w:rsid w:val="00F766A3"/>
    <w:rsid w:val="00F775E0"/>
    <w:rsid w:val="00F77792"/>
    <w:rsid w:val="00F9493E"/>
    <w:rsid w:val="00F9593E"/>
    <w:rsid w:val="00F97039"/>
    <w:rsid w:val="00FA2C42"/>
    <w:rsid w:val="00FA7699"/>
    <w:rsid w:val="00FB5EC1"/>
    <w:rsid w:val="00FB6D8B"/>
    <w:rsid w:val="00FC4A38"/>
    <w:rsid w:val="00FD6E5D"/>
    <w:rsid w:val="00FE2A0B"/>
    <w:rsid w:val="00FE2CC4"/>
    <w:rsid w:val="00FF7A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07"/>
  </w:style>
  <w:style w:type="paragraph" w:styleId="Heading3">
    <w:name w:val="heading 3"/>
    <w:basedOn w:val="Normal"/>
    <w:link w:val="Heading3Char"/>
    <w:uiPriority w:val="9"/>
    <w:qFormat/>
    <w:rsid w:val="00876A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B1"/>
    <w:pPr>
      <w:ind w:left="720"/>
      <w:contextualSpacing/>
    </w:pPr>
  </w:style>
  <w:style w:type="character" w:styleId="Hyperlink">
    <w:name w:val="Hyperlink"/>
    <w:basedOn w:val="DefaultParagraphFont"/>
    <w:uiPriority w:val="99"/>
    <w:unhideWhenUsed/>
    <w:rsid w:val="004779B1"/>
    <w:rPr>
      <w:color w:val="0000FF" w:themeColor="hyperlink"/>
      <w:u w:val="single"/>
    </w:rPr>
  </w:style>
  <w:style w:type="paragraph" w:styleId="BalloonText">
    <w:name w:val="Balloon Text"/>
    <w:basedOn w:val="Normal"/>
    <w:link w:val="BalloonTextChar"/>
    <w:uiPriority w:val="99"/>
    <w:semiHidden/>
    <w:unhideWhenUsed/>
    <w:rsid w:val="0099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D8"/>
    <w:rPr>
      <w:rFonts w:ascii="Tahoma" w:hAnsi="Tahoma" w:cs="Tahoma"/>
      <w:sz w:val="16"/>
      <w:szCs w:val="16"/>
    </w:rPr>
  </w:style>
  <w:style w:type="paragraph" w:customStyle="1" w:styleId="Default">
    <w:name w:val="Default"/>
    <w:rsid w:val="00F40C79"/>
    <w:pPr>
      <w:widowControl w:val="0"/>
      <w:autoSpaceDE w:val="0"/>
      <w:autoSpaceDN w:val="0"/>
      <w:adjustRightInd w:val="0"/>
      <w:spacing w:after="0" w:line="240" w:lineRule="auto"/>
    </w:pPr>
    <w:rPr>
      <w:rFonts w:ascii="Garamond" w:eastAsia="Times New Roman" w:hAnsi="Garamond" w:cs="Garamond"/>
      <w:color w:val="000000"/>
      <w:sz w:val="24"/>
      <w:szCs w:val="24"/>
      <w:lang w:val="en-US"/>
    </w:rPr>
  </w:style>
  <w:style w:type="table" w:styleId="TableGrid">
    <w:name w:val="Table Grid"/>
    <w:basedOn w:val="TableNormal"/>
    <w:uiPriority w:val="59"/>
    <w:rsid w:val="001E1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7987"/>
    <w:rPr>
      <w:sz w:val="16"/>
      <w:szCs w:val="16"/>
    </w:rPr>
  </w:style>
  <w:style w:type="paragraph" w:styleId="CommentText">
    <w:name w:val="annotation text"/>
    <w:basedOn w:val="Normal"/>
    <w:link w:val="CommentTextChar"/>
    <w:uiPriority w:val="99"/>
    <w:semiHidden/>
    <w:unhideWhenUsed/>
    <w:rsid w:val="00327987"/>
    <w:pPr>
      <w:spacing w:line="240" w:lineRule="auto"/>
    </w:pPr>
    <w:rPr>
      <w:sz w:val="20"/>
      <w:szCs w:val="20"/>
    </w:rPr>
  </w:style>
  <w:style w:type="character" w:customStyle="1" w:styleId="CommentTextChar">
    <w:name w:val="Comment Text Char"/>
    <w:basedOn w:val="DefaultParagraphFont"/>
    <w:link w:val="CommentText"/>
    <w:uiPriority w:val="99"/>
    <w:semiHidden/>
    <w:rsid w:val="00327987"/>
    <w:rPr>
      <w:sz w:val="20"/>
      <w:szCs w:val="20"/>
    </w:rPr>
  </w:style>
  <w:style w:type="paragraph" w:styleId="CommentSubject">
    <w:name w:val="annotation subject"/>
    <w:basedOn w:val="CommentText"/>
    <w:next w:val="CommentText"/>
    <w:link w:val="CommentSubjectChar"/>
    <w:uiPriority w:val="99"/>
    <w:semiHidden/>
    <w:unhideWhenUsed/>
    <w:rsid w:val="00327987"/>
    <w:rPr>
      <w:b/>
      <w:bCs/>
    </w:rPr>
  </w:style>
  <w:style w:type="character" w:customStyle="1" w:styleId="CommentSubjectChar">
    <w:name w:val="Comment Subject Char"/>
    <w:basedOn w:val="CommentTextChar"/>
    <w:link w:val="CommentSubject"/>
    <w:uiPriority w:val="99"/>
    <w:semiHidden/>
    <w:rsid w:val="00327987"/>
    <w:rPr>
      <w:b/>
      <w:bCs/>
      <w:sz w:val="20"/>
      <w:szCs w:val="20"/>
    </w:rPr>
  </w:style>
  <w:style w:type="paragraph" w:styleId="Revision">
    <w:name w:val="Revision"/>
    <w:hidden/>
    <w:uiPriority w:val="99"/>
    <w:semiHidden/>
    <w:rsid w:val="00402DB9"/>
    <w:pPr>
      <w:spacing w:after="0" w:line="240" w:lineRule="auto"/>
    </w:pPr>
  </w:style>
  <w:style w:type="character" w:customStyle="1" w:styleId="Heading3Char">
    <w:name w:val="Heading 3 Char"/>
    <w:basedOn w:val="DefaultParagraphFont"/>
    <w:link w:val="Heading3"/>
    <w:uiPriority w:val="9"/>
    <w:rsid w:val="00876A01"/>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semiHidden/>
    <w:unhideWhenUsed/>
    <w:rsid w:val="009E36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6E7"/>
  </w:style>
  <w:style w:type="paragraph" w:styleId="Footer">
    <w:name w:val="footer"/>
    <w:basedOn w:val="Normal"/>
    <w:link w:val="FooterChar"/>
    <w:uiPriority w:val="99"/>
    <w:unhideWhenUsed/>
    <w:rsid w:val="009E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E7"/>
  </w:style>
  <w:style w:type="character" w:styleId="FollowedHyperlink">
    <w:name w:val="FollowedHyperlink"/>
    <w:basedOn w:val="DefaultParagraphFont"/>
    <w:uiPriority w:val="99"/>
    <w:semiHidden/>
    <w:unhideWhenUsed/>
    <w:rsid w:val="00B316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542358">
      <w:bodyDiv w:val="1"/>
      <w:marLeft w:val="0"/>
      <w:marRight w:val="0"/>
      <w:marTop w:val="0"/>
      <w:marBottom w:val="0"/>
      <w:divBdr>
        <w:top w:val="none" w:sz="0" w:space="0" w:color="auto"/>
        <w:left w:val="none" w:sz="0" w:space="0" w:color="auto"/>
        <w:bottom w:val="none" w:sz="0" w:space="0" w:color="auto"/>
        <w:right w:val="none" w:sz="0" w:space="0" w:color="auto"/>
      </w:divBdr>
      <w:divsChild>
        <w:div w:id="1201435797">
          <w:marLeft w:val="0"/>
          <w:marRight w:val="0"/>
          <w:marTop w:val="0"/>
          <w:marBottom w:val="0"/>
          <w:divBdr>
            <w:top w:val="none" w:sz="0" w:space="0" w:color="auto"/>
            <w:left w:val="none" w:sz="0" w:space="0" w:color="auto"/>
            <w:bottom w:val="none" w:sz="0" w:space="0" w:color="auto"/>
            <w:right w:val="none" w:sz="0" w:space="0" w:color="auto"/>
          </w:divBdr>
        </w:div>
        <w:div w:id="530191188">
          <w:marLeft w:val="0"/>
          <w:marRight w:val="0"/>
          <w:marTop w:val="0"/>
          <w:marBottom w:val="0"/>
          <w:divBdr>
            <w:top w:val="none" w:sz="0" w:space="0" w:color="auto"/>
            <w:left w:val="none" w:sz="0" w:space="0" w:color="auto"/>
            <w:bottom w:val="none" w:sz="0" w:space="0" w:color="auto"/>
            <w:right w:val="none" w:sz="0" w:space="0" w:color="auto"/>
          </w:divBdr>
        </w:div>
      </w:divsChild>
    </w:div>
    <w:div w:id="618993716">
      <w:bodyDiv w:val="1"/>
      <w:marLeft w:val="0"/>
      <w:marRight w:val="0"/>
      <w:marTop w:val="0"/>
      <w:marBottom w:val="0"/>
      <w:divBdr>
        <w:top w:val="none" w:sz="0" w:space="0" w:color="auto"/>
        <w:left w:val="none" w:sz="0" w:space="0" w:color="auto"/>
        <w:bottom w:val="none" w:sz="0" w:space="0" w:color="auto"/>
        <w:right w:val="none" w:sz="0" w:space="0" w:color="auto"/>
      </w:divBdr>
    </w:div>
    <w:div w:id="2000814335">
      <w:bodyDiv w:val="1"/>
      <w:marLeft w:val="0"/>
      <w:marRight w:val="0"/>
      <w:marTop w:val="0"/>
      <w:marBottom w:val="0"/>
      <w:divBdr>
        <w:top w:val="none" w:sz="0" w:space="0" w:color="auto"/>
        <w:left w:val="none" w:sz="0" w:space="0" w:color="auto"/>
        <w:bottom w:val="none" w:sz="0" w:space="0" w:color="auto"/>
        <w:right w:val="none" w:sz="0" w:space="0" w:color="auto"/>
      </w:divBdr>
      <w:divsChild>
        <w:div w:id="1013190169">
          <w:marLeft w:val="0"/>
          <w:marRight w:val="0"/>
          <w:marTop w:val="0"/>
          <w:marBottom w:val="0"/>
          <w:divBdr>
            <w:top w:val="none" w:sz="0" w:space="0" w:color="auto"/>
            <w:left w:val="none" w:sz="0" w:space="0" w:color="auto"/>
            <w:bottom w:val="none" w:sz="0" w:space="0" w:color="auto"/>
            <w:right w:val="none" w:sz="0" w:space="0" w:color="auto"/>
          </w:divBdr>
        </w:div>
        <w:div w:id="139520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wetlandsday.org/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HGLNA01.IUCN.SYS\DATA\CC98\COMMON\COPs\COP12\COP12%20documents\Info%20Docs\COP12%20DOC18%20CEPA%20review\wli.ww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rsis.ramsar.org" TargetMode="External"/><Relationship Id="rId10" Type="http://schemas.openxmlformats.org/officeDocument/2006/relationships/hyperlink" Target="http://www.teebweb.org/water-and-wetlands-training-demonstrates-vital-role-of-valuation-in-policy-and-decision-making-for-the-wise-use-of-wetland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worldwetlandsday.org/fr/" TargetMode="External"/><Relationship Id="rId14" Type="http://schemas.openxmlformats.org/officeDocument/2006/relationships/hyperlink" Target="http://www.ramsar.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Sheet1!$A$2</c:f>
              <c:strCache>
                <c:ptCount val="1"/>
                <c:pt idx="0">
                  <c:v>COP11</c:v>
                </c:pt>
              </c:strCache>
            </c:strRef>
          </c:tx>
          <c:cat>
            <c:strRef>
              <c:f>Sheet1!$B$1:$E$1</c:f>
              <c:strCache>
                <c:ptCount val="4"/>
                <c:pt idx="0">
                  <c:v>AANFP</c:v>
                </c:pt>
                <c:pt idx="1">
                  <c:v>CEPA-GOV</c:v>
                </c:pt>
                <c:pt idx="2">
                  <c:v>CEPA-NGO</c:v>
                </c:pt>
                <c:pt idx="3">
                  <c:v>STRP </c:v>
                </c:pt>
              </c:strCache>
            </c:strRef>
          </c:cat>
          <c:val>
            <c:numRef>
              <c:f>Sheet1!$B$2:$E$2</c:f>
              <c:numCache>
                <c:formatCode>General</c:formatCode>
                <c:ptCount val="4"/>
                <c:pt idx="0">
                  <c:v>98</c:v>
                </c:pt>
                <c:pt idx="1">
                  <c:v>74</c:v>
                </c:pt>
                <c:pt idx="2">
                  <c:v>69</c:v>
                </c:pt>
                <c:pt idx="3">
                  <c:v>85</c:v>
                </c:pt>
              </c:numCache>
            </c:numRef>
          </c:val>
        </c:ser>
        <c:ser>
          <c:idx val="1"/>
          <c:order val="1"/>
          <c:tx>
            <c:strRef>
              <c:f>Sheet1!$A$3</c:f>
              <c:strCache>
                <c:ptCount val="1"/>
                <c:pt idx="0">
                  <c:v>COP12</c:v>
                </c:pt>
              </c:strCache>
            </c:strRef>
          </c:tx>
          <c:cat>
            <c:strRef>
              <c:f>Sheet1!$B$1:$E$1</c:f>
              <c:strCache>
                <c:ptCount val="4"/>
                <c:pt idx="0">
                  <c:v>AANFP</c:v>
                </c:pt>
                <c:pt idx="1">
                  <c:v>CEPA-GOV</c:v>
                </c:pt>
                <c:pt idx="2">
                  <c:v>CEPA-NGO</c:v>
                </c:pt>
                <c:pt idx="3">
                  <c:v>STRP </c:v>
                </c:pt>
              </c:strCache>
            </c:strRef>
          </c:cat>
          <c:val>
            <c:numRef>
              <c:f>Sheet1!$B$3:$E$3</c:f>
              <c:numCache>
                <c:formatCode>0</c:formatCode>
                <c:ptCount val="4"/>
                <c:pt idx="0">
                  <c:v>99.240000000000023</c:v>
                </c:pt>
                <c:pt idx="1">
                  <c:v>80.149999999999991</c:v>
                </c:pt>
                <c:pt idx="2">
                  <c:v>69.47</c:v>
                </c:pt>
                <c:pt idx="3">
                  <c:v>86.26</c:v>
                </c:pt>
              </c:numCache>
            </c:numRef>
          </c:val>
        </c:ser>
        <c:dLbls/>
        <c:axId val="106694528"/>
        <c:axId val="106696064"/>
      </c:barChart>
      <c:catAx>
        <c:axId val="106694528"/>
        <c:scaling>
          <c:orientation val="minMax"/>
        </c:scaling>
        <c:axPos val="b"/>
        <c:numFmt formatCode="General" sourceLinked="0"/>
        <c:tickLblPos val="nextTo"/>
        <c:crossAx val="106696064"/>
        <c:crosses val="autoZero"/>
        <c:auto val="1"/>
        <c:lblAlgn val="ctr"/>
        <c:lblOffset val="100"/>
      </c:catAx>
      <c:valAx>
        <c:axId val="106696064"/>
        <c:scaling>
          <c:orientation val="minMax"/>
          <c:max val="100"/>
          <c:min val="0"/>
        </c:scaling>
        <c:axPos val="l"/>
        <c:majorGridlines/>
        <c:numFmt formatCode="General" sourceLinked="1"/>
        <c:tickLblPos val="nextTo"/>
        <c:crossAx val="106694528"/>
        <c:crosses val="autoZero"/>
        <c:crossBetween val="between"/>
        <c:majorUnit val="20"/>
        <c:minorUnit val="4"/>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2C70-7E1A-4243-8BD2-F74CFF58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5712</Words>
  <Characters>32559</Characters>
  <Application>Microsoft Office Word</Application>
  <DocSecurity>0</DocSecurity>
  <Lines>271</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38195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Ramsar\OsekuFrainierS</dc:creator>
  <cp:lastModifiedBy>Ramsar\JenningsE</cp:lastModifiedBy>
  <cp:revision>2</cp:revision>
  <cp:lastPrinted>2015-03-27T15:26:00Z</cp:lastPrinted>
  <dcterms:created xsi:type="dcterms:W3CDTF">2015-04-07T16:18:00Z</dcterms:created>
  <dcterms:modified xsi:type="dcterms:W3CDTF">2015-04-07T16:18:00Z</dcterms:modified>
</cp:coreProperties>
</file>