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E7" w:rsidRPr="00837B0B" w:rsidRDefault="009E36E7" w:rsidP="009E36E7">
      <w:pPr>
        <w:spacing w:after="0" w:line="240" w:lineRule="auto"/>
        <w:jc w:val="center"/>
        <w:rPr>
          <w:b/>
          <w:sz w:val="25"/>
          <w:szCs w:val="25"/>
        </w:rPr>
      </w:pPr>
      <w:r>
        <w:rPr>
          <w:noProof/>
          <w:sz w:val="25"/>
          <w:szCs w:val="25"/>
          <w:lang w:val="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b/>
          <w:sz w:val="25"/>
          <w:szCs w:val="25"/>
        </w:rPr>
        <w:t>12</w:t>
      </w:r>
      <w:r w:rsidRPr="00837B0B">
        <w:rPr>
          <w:b/>
          <w:sz w:val="25"/>
          <w:szCs w:val="25"/>
          <w:vertAlign w:val="superscript"/>
        </w:rPr>
        <w:t>th</w:t>
      </w:r>
      <w:r w:rsidRPr="00837B0B">
        <w:rPr>
          <w:b/>
          <w:sz w:val="25"/>
          <w:szCs w:val="25"/>
        </w:rPr>
        <w:t xml:space="preserve"> Meeting of the Conference of the Parties to </w:t>
      </w:r>
      <w:r w:rsidRPr="00837B0B">
        <w:rPr>
          <w:b/>
          <w:sz w:val="25"/>
          <w:szCs w:val="25"/>
        </w:rPr>
        <w:br/>
        <w:t>the Convention on Wetlands (Ramsar, Iran, 1971)</w:t>
      </w:r>
    </w:p>
    <w:p w:rsidR="009E36E7" w:rsidRPr="00837B0B" w:rsidRDefault="009E36E7" w:rsidP="009E36E7">
      <w:pPr>
        <w:spacing w:after="0" w:line="240" w:lineRule="auto"/>
        <w:jc w:val="center"/>
        <w:rPr>
          <w:sz w:val="25"/>
          <w:szCs w:val="25"/>
        </w:rPr>
      </w:pPr>
    </w:p>
    <w:p w:rsidR="009E36E7" w:rsidRDefault="009E36E7" w:rsidP="009E36E7">
      <w:pPr>
        <w:tabs>
          <w:tab w:val="left" w:pos="3828"/>
        </w:tabs>
        <w:spacing w:after="0" w:line="240" w:lineRule="auto"/>
        <w:jc w:val="center"/>
        <w:rPr>
          <w:b/>
          <w:sz w:val="25"/>
          <w:szCs w:val="25"/>
        </w:rPr>
      </w:pPr>
      <w:r w:rsidRPr="00837B0B">
        <w:rPr>
          <w:b/>
          <w:sz w:val="25"/>
          <w:szCs w:val="25"/>
        </w:rPr>
        <w:t>Punta del Este, Uruguay, 1-9 June 2015</w:t>
      </w:r>
    </w:p>
    <w:p w:rsidR="009E36E7" w:rsidRDefault="009E36E7" w:rsidP="009E36E7">
      <w:pPr>
        <w:tabs>
          <w:tab w:val="left" w:pos="3828"/>
        </w:tabs>
        <w:jc w:val="center"/>
        <w:rPr>
          <w:b/>
          <w:sz w:val="25"/>
          <w:szCs w:val="25"/>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E36E7" w:rsidRPr="00837B0B" w:rsidTr="009E36E7">
        <w:trPr>
          <w:trHeight w:val="170"/>
        </w:trPr>
        <w:tc>
          <w:tcPr>
            <w:tcW w:w="4528" w:type="dxa"/>
          </w:tcPr>
          <w:p w:rsidR="009E36E7" w:rsidRPr="009379AB" w:rsidRDefault="009E36E7" w:rsidP="009E36E7">
            <w:pPr>
              <w:spacing w:after="0" w:line="240" w:lineRule="auto"/>
              <w:rPr>
                <w:b/>
                <w:sz w:val="25"/>
                <w:szCs w:val="25"/>
              </w:rPr>
            </w:pPr>
          </w:p>
        </w:tc>
        <w:tc>
          <w:tcPr>
            <w:tcW w:w="4602" w:type="dxa"/>
          </w:tcPr>
          <w:p w:rsidR="009E36E7" w:rsidRPr="009379AB" w:rsidRDefault="009E36E7" w:rsidP="009E36E7">
            <w:pPr>
              <w:spacing w:after="0" w:line="240" w:lineRule="auto"/>
              <w:jc w:val="right"/>
              <w:rPr>
                <w:b/>
                <w:sz w:val="25"/>
                <w:szCs w:val="25"/>
              </w:rPr>
            </w:pPr>
            <w:r w:rsidRPr="00837B0B">
              <w:rPr>
                <w:b/>
                <w:sz w:val="25"/>
                <w:szCs w:val="25"/>
              </w:rPr>
              <w:t xml:space="preserve">Ramsar COP12 </w:t>
            </w:r>
            <w:r>
              <w:rPr>
                <w:b/>
                <w:sz w:val="25"/>
                <w:szCs w:val="25"/>
              </w:rPr>
              <w:t>DOC.18</w:t>
            </w:r>
          </w:p>
        </w:tc>
      </w:tr>
    </w:tbl>
    <w:p w:rsidR="009E36E7" w:rsidRPr="009E36E7" w:rsidRDefault="009E36E7" w:rsidP="009E36E7">
      <w:pPr>
        <w:spacing w:after="0" w:line="240" w:lineRule="auto"/>
        <w:ind w:right="17"/>
        <w:jc w:val="center"/>
        <w:rPr>
          <w:rFonts w:eastAsia="Times New Roman" w:cs="Times New Roman"/>
          <w:b/>
          <w:bCs/>
          <w:sz w:val="28"/>
          <w:szCs w:val="28"/>
          <w:lang w:eastAsia="el-GR"/>
        </w:rPr>
      </w:pPr>
    </w:p>
    <w:p w:rsidR="0012096C" w:rsidRPr="009E36E7" w:rsidRDefault="00F64F36" w:rsidP="009E36E7">
      <w:pPr>
        <w:spacing w:after="0" w:line="240" w:lineRule="auto"/>
        <w:ind w:right="17"/>
        <w:jc w:val="center"/>
        <w:rPr>
          <w:rFonts w:eastAsia="Times New Roman" w:cs="Times New Roman"/>
          <w:b/>
          <w:bCs/>
          <w:sz w:val="28"/>
          <w:szCs w:val="28"/>
          <w:lang w:eastAsia="el-GR"/>
        </w:rPr>
      </w:pPr>
      <w:r w:rsidRPr="009E36E7">
        <w:rPr>
          <w:rFonts w:eastAsia="Times New Roman" w:cs="Times New Roman"/>
          <w:b/>
          <w:bCs/>
          <w:sz w:val="28"/>
          <w:szCs w:val="28"/>
          <w:lang w:eastAsia="el-GR"/>
        </w:rPr>
        <w:t>Report on</w:t>
      </w:r>
      <w:r w:rsidR="004779B1" w:rsidRPr="009E36E7">
        <w:rPr>
          <w:rFonts w:eastAsia="Times New Roman" w:cs="Times New Roman"/>
          <w:b/>
          <w:bCs/>
          <w:sz w:val="28"/>
          <w:szCs w:val="28"/>
          <w:lang w:eastAsia="el-GR"/>
        </w:rPr>
        <w:t xml:space="preserve"> the implementation of the Convention’s CEPA</w:t>
      </w:r>
      <w:r w:rsidR="00CC2C8A" w:rsidRPr="009E36E7">
        <w:rPr>
          <w:rFonts w:eastAsia="Times New Roman" w:cs="Times New Roman"/>
          <w:b/>
          <w:bCs/>
          <w:sz w:val="28"/>
          <w:szCs w:val="28"/>
          <w:lang w:eastAsia="el-GR"/>
        </w:rPr>
        <w:t xml:space="preserve"> </w:t>
      </w:r>
      <w:r w:rsidR="004779B1" w:rsidRPr="009E36E7">
        <w:rPr>
          <w:rFonts w:eastAsia="Times New Roman" w:cs="Times New Roman"/>
          <w:b/>
          <w:bCs/>
          <w:sz w:val="28"/>
          <w:szCs w:val="28"/>
          <w:lang w:eastAsia="el-GR"/>
        </w:rPr>
        <w:t xml:space="preserve">Programme </w:t>
      </w:r>
      <w:r w:rsidR="009E36E7">
        <w:rPr>
          <w:rFonts w:eastAsia="Times New Roman" w:cs="Times New Roman"/>
          <w:b/>
          <w:bCs/>
          <w:sz w:val="28"/>
          <w:szCs w:val="28"/>
          <w:lang w:eastAsia="el-GR"/>
        </w:rPr>
        <w:br/>
      </w:r>
      <w:r w:rsidR="004779B1" w:rsidRPr="009E36E7">
        <w:rPr>
          <w:rFonts w:eastAsia="Times New Roman" w:cs="Times New Roman"/>
          <w:b/>
          <w:bCs/>
          <w:sz w:val="28"/>
          <w:szCs w:val="28"/>
          <w:lang w:eastAsia="el-GR"/>
        </w:rPr>
        <w:t>2009-2015</w:t>
      </w:r>
    </w:p>
    <w:p w:rsidR="004779B1" w:rsidRPr="009E36E7" w:rsidRDefault="004779B1" w:rsidP="009E36E7">
      <w:pPr>
        <w:spacing w:after="0" w:line="240" w:lineRule="auto"/>
        <w:ind w:right="17"/>
        <w:jc w:val="center"/>
        <w:rPr>
          <w:rFonts w:eastAsia="Times New Roman" w:cs="Times New Roman"/>
          <w:b/>
          <w:bCs/>
          <w:sz w:val="28"/>
          <w:szCs w:val="28"/>
          <w:lang w:eastAsia="el-GR"/>
        </w:rPr>
      </w:pPr>
    </w:p>
    <w:p w:rsidR="004779B1" w:rsidRPr="009E36E7" w:rsidRDefault="004779B1" w:rsidP="009E36E7">
      <w:pPr>
        <w:spacing w:after="0" w:line="240" w:lineRule="auto"/>
        <w:rPr>
          <w:rFonts w:cs="Arial"/>
          <w:b/>
          <w:sz w:val="24"/>
          <w:szCs w:val="24"/>
        </w:rPr>
      </w:pPr>
      <w:r w:rsidRPr="009E36E7">
        <w:rPr>
          <w:rFonts w:cs="Arial"/>
          <w:b/>
          <w:sz w:val="24"/>
          <w:szCs w:val="24"/>
        </w:rPr>
        <w:t>Introduction</w:t>
      </w:r>
    </w:p>
    <w:p w:rsidR="00677E5F" w:rsidRPr="009E36E7" w:rsidRDefault="00677E5F" w:rsidP="009E36E7">
      <w:pPr>
        <w:spacing w:after="0" w:line="240" w:lineRule="auto"/>
        <w:rPr>
          <w:rFonts w:cs="Arial"/>
          <w:b/>
        </w:rPr>
      </w:pPr>
    </w:p>
    <w:p w:rsidR="004779B1" w:rsidRPr="00A76467" w:rsidRDefault="004779B1" w:rsidP="00A76467">
      <w:pPr>
        <w:pStyle w:val="ListParagraph"/>
        <w:numPr>
          <w:ilvl w:val="0"/>
          <w:numId w:val="25"/>
        </w:numPr>
        <w:spacing w:after="0" w:line="240" w:lineRule="auto"/>
        <w:ind w:left="426" w:hanging="426"/>
        <w:rPr>
          <w:rFonts w:cs="Arial"/>
        </w:rPr>
      </w:pPr>
      <w:r w:rsidRPr="00A76467">
        <w:rPr>
          <w:rFonts w:cs="Arial"/>
        </w:rPr>
        <w:t xml:space="preserve">A </w:t>
      </w:r>
      <w:r w:rsidR="00067A6C">
        <w:rPr>
          <w:rFonts w:cs="Arial"/>
        </w:rPr>
        <w:t>‘</w:t>
      </w:r>
      <w:r w:rsidRPr="00A76467">
        <w:rPr>
          <w:rFonts w:cs="Arial"/>
        </w:rPr>
        <w:t>Communication, Education, and Public Awareness</w:t>
      </w:r>
      <w:r w:rsidR="00067A6C">
        <w:rPr>
          <w:rFonts w:cs="Arial"/>
        </w:rPr>
        <w:t>’</w:t>
      </w:r>
      <w:r w:rsidRPr="00A76467">
        <w:rPr>
          <w:rFonts w:cs="Arial"/>
        </w:rPr>
        <w:t xml:space="preserve"> (CEPA) Programme was first</w:t>
      </w:r>
      <w:r w:rsidR="00C565F2" w:rsidRPr="00A76467">
        <w:rPr>
          <w:rFonts w:cs="Arial"/>
        </w:rPr>
        <w:t xml:space="preserve"> </w:t>
      </w:r>
      <w:r w:rsidRPr="00A76467">
        <w:rPr>
          <w:rFonts w:cs="Arial"/>
        </w:rPr>
        <w:t>adopted in 1999 at the 7</w:t>
      </w:r>
      <w:r w:rsidRPr="00067A6C">
        <w:rPr>
          <w:rFonts w:cs="Arial"/>
          <w:vertAlign w:val="superscript"/>
        </w:rPr>
        <w:t>th</w:t>
      </w:r>
      <w:r w:rsidRPr="00A76467">
        <w:rPr>
          <w:rFonts w:cs="Arial"/>
        </w:rPr>
        <w:t xml:space="preserve"> meeting of the Conference of the Contracting Parties (COP7)</w:t>
      </w:r>
      <w:r w:rsidR="00C565F2" w:rsidRPr="00A76467">
        <w:rPr>
          <w:rFonts w:cs="Arial"/>
        </w:rPr>
        <w:t xml:space="preserve"> </w:t>
      </w:r>
      <w:r w:rsidRPr="00A76467">
        <w:rPr>
          <w:rFonts w:cs="Arial"/>
        </w:rPr>
        <w:t>through Resolution VII.9</w:t>
      </w:r>
      <w:r w:rsidR="00067A6C">
        <w:rPr>
          <w:rFonts w:cs="Arial"/>
        </w:rPr>
        <w:t>,</w:t>
      </w:r>
      <w:r w:rsidRPr="00A76467">
        <w:rPr>
          <w:rFonts w:cs="Arial"/>
        </w:rPr>
        <w:t xml:space="preserve"> and then superseded by Resolution VIII.31 at COP8. The</w:t>
      </w:r>
      <w:r w:rsidR="00C565F2" w:rsidRPr="00A76467">
        <w:rPr>
          <w:rFonts w:cs="Arial"/>
        </w:rPr>
        <w:t xml:space="preserve"> </w:t>
      </w:r>
      <w:r w:rsidRPr="00A76467">
        <w:rPr>
          <w:rFonts w:cs="Arial"/>
        </w:rPr>
        <w:t>Parties adopted the current CEPA Programme 2009-2015 through Resolution X.8 at</w:t>
      </w:r>
      <w:r w:rsidR="00C565F2" w:rsidRPr="00A76467">
        <w:rPr>
          <w:rFonts w:cs="Arial"/>
        </w:rPr>
        <w:t xml:space="preserve"> </w:t>
      </w:r>
      <w:r w:rsidRPr="00A76467">
        <w:rPr>
          <w:rFonts w:cs="Arial"/>
        </w:rPr>
        <w:t>COP10 in 2008</w:t>
      </w:r>
      <w:r w:rsidR="00CB4BE0" w:rsidRPr="00A76467">
        <w:rPr>
          <w:rFonts w:cs="Arial"/>
        </w:rPr>
        <w:t>. This</w:t>
      </w:r>
      <w:r w:rsidRPr="00A76467">
        <w:rPr>
          <w:rFonts w:cs="Arial"/>
        </w:rPr>
        <w:t xml:space="preserve"> provide</w:t>
      </w:r>
      <w:r w:rsidR="004652FB" w:rsidRPr="00A76467">
        <w:rPr>
          <w:rFonts w:cs="Arial"/>
        </w:rPr>
        <w:t>d</w:t>
      </w:r>
      <w:r w:rsidRPr="00A76467">
        <w:rPr>
          <w:rFonts w:cs="Arial"/>
        </w:rPr>
        <w:t xml:space="preserve"> a six-year programme of work that recognizes the importance</w:t>
      </w:r>
      <w:r w:rsidR="00C565F2" w:rsidRPr="00A76467">
        <w:rPr>
          <w:rFonts w:cs="Arial"/>
        </w:rPr>
        <w:t xml:space="preserve"> </w:t>
      </w:r>
      <w:r w:rsidRPr="00A76467">
        <w:rPr>
          <w:rFonts w:cs="Arial"/>
        </w:rPr>
        <w:t>of communication, education, participation and awareness as central and cross-cutting</w:t>
      </w:r>
      <w:r w:rsidR="00C565F2" w:rsidRPr="00A76467">
        <w:rPr>
          <w:rFonts w:cs="Arial"/>
        </w:rPr>
        <w:t xml:space="preserve"> </w:t>
      </w:r>
      <w:r w:rsidRPr="00A76467">
        <w:rPr>
          <w:rFonts w:cs="Arial"/>
        </w:rPr>
        <w:t xml:space="preserve">elements for implementing the Ramsar Convention. </w:t>
      </w:r>
    </w:p>
    <w:p w:rsidR="000A0707" w:rsidRPr="009E36E7" w:rsidRDefault="000A0707" w:rsidP="00A76467">
      <w:pPr>
        <w:spacing w:after="0" w:line="240" w:lineRule="auto"/>
        <w:ind w:left="426" w:hanging="426"/>
        <w:rPr>
          <w:rFonts w:cs="Arial"/>
        </w:rPr>
      </w:pPr>
    </w:p>
    <w:p w:rsidR="007F2299" w:rsidRPr="00A76467" w:rsidRDefault="004779B1" w:rsidP="00A76467">
      <w:pPr>
        <w:pStyle w:val="ListParagraph"/>
        <w:numPr>
          <w:ilvl w:val="0"/>
          <w:numId w:val="25"/>
        </w:numPr>
        <w:spacing w:after="0" w:line="240" w:lineRule="auto"/>
        <w:ind w:left="426" w:hanging="426"/>
        <w:rPr>
          <w:rFonts w:cs="Arial"/>
        </w:rPr>
      </w:pPr>
      <w:r w:rsidRPr="00A76467">
        <w:rPr>
          <w:rFonts w:cs="Arial"/>
        </w:rPr>
        <w:t xml:space="preserve">This overview of the implementation of the Programme </w:t>
      </w:r>
      <w:r w:rsidR="00F64F36" w:rsidRPr="00A76467">
        <w:rPr>
          <w:rFonts w:cs="Arial"/>
        </w:rPr>
        <w:t xml:space="preserve">covers the period </w:t>
      </w:r>
      <w:r w:rsidR="0075678D" w:rsidRPr="00A76467">
        <w:rPr>
          <w:rFonts w:cs="Arial"/>
        </w:rPr>
        <w:t>from the closing of COP 11 on</w:t>
      </w:r>
      <w:r w:rsidR="00F64F36" w:rsidRPr="00A76467">
        <w:rPr>
          <w:rFonts w:cs="Arial"/>
        </w:rPr>
        <w:t xml:space="preserve"> </w:t>
      </w:r>
      <w:r w:rsidR="005A3210" w:rsidRPr="00A76467">
        <w:rPr>
          <w:rFonts w:cs="Arial"/>
        </w:rPr>
        <w:t xml:space="preserve">13 </w:t>
      </w:r>
      <w:r w:rsidR="00DC0CCF" w:rsidRPr="00A76467">
        <w:rPr>
          <w:rFonts w:cs="Arial"/>
        </w:rPr>
        <w:t>July 2012</w:t>
      </w:r>
      <w:r w:rsidR="00F64F36" w:rsidRPr="00A76467">
        <w:rPr>
          <w:rFonts w:cs="Arial"/>
        </w:rPr>
        <w:t xml:space="preserve"> until 1 March 2015. It </w:t>
      </w:r>
      <w:r w:rsidR="00271B0A" w:rsidRPr="00A76467">
        <w:rPr>
          <w:rFonts w:cs="Arial"/>
        </w:rPr>
        <w:t>is based partly</w:t>
      </w:r>
      <w:r w:rsidRPr="00A76467">
        <w:rPr>
          <w:rFonts w:cs="Arial"/>
        </w:rPr>
        <w:t xml:space="preserve"> on the </w:t>
      </w:r>
      <w:r w:rsidR="005A3210" w:rsidRPr="00A76467">
        <w:rPr>
          <w:rFonts w:cs="Arial"/>
        </w:rPr>
        <w:t>131</w:t>
      </w:r>
      <w:r w:rsidRPr="00A76467">
        <w:rPr>
          <w:rFonts w:cs="Arial"/>
        </w:rPr>
        <w:t xml:space="preserve"> completed COP1</w:t>
      </w:r>
      <w:r w:rsidR="00CC2C8A" w:rsidRPr="00A76467">
        <w:rPr>
          <w:rFonts w:cs="Arial"/>
        </w:rPr>
        <w:t>2</w:t>
      </w:r>
      <w:r w:rsidRPr="00A76467">
        <w:rPr>
          <w:rFonts w:cs="Arial"/>
        </w:rPr>
        <w:t xml:space="preserve"> National Reports</w:t>
      </w:r>
      <w:r w:rsidR="00CC2C8A" w:rsidRPr="00A76467">
        <w:rPr>
          <w:rFonts w:cs="Arial"/>
        </w:rPr>
        <w:t xml:space="preserve"> </w:t>
      </w:r>
      <w:r w:rsidRPr="00A76467">
        <w:rPr>
          <w:rFonts w:cs="Arial"/>
        </w:rPr>
        <w:t>submitted to the Secretariat</w:t>
      </w:r>
      <w:r w:rsidR="00CC2C8A" w:rsidRPr="00A76467">
        <w:rPr>
          <w:rFonts w:cs="Arial"/>
        </w:rPr>
        <w:t xml:space="preserve"> by mid-October 2014</w:t>
      </w:r>
      <w:r w:rsidRPr="00A76467">
        <w:rPr>
          <w:rFonts w:cs="Arial"/>
        </w:rPr>
        <w:t>. It includes the key CEPA indicators under</w:t>
      </w:r>
      <w:r w:rsidR="00CC2C8A" w:rsidRPr="00A76467">
        <w:rPr>
          <w:rFonts w:cs="Arial"/>
        </w:rPr>
        <w:t xml:space="preserve"> </w:t>
      </w:r>
      <w:r w:rsidRPr="00A76467">
        <w:rPr>
          <w:rFonts w:cs="Arial"/>
        </w:rPr>
        <w:t>Strategy 4.1 on supporting and assisting the implementation of the CEPA Programme, but</w:t>
      </w:r>
      <w:r w:rsidR="00CC2C8A" w:rsidRPr="00A76467">
        <w:rPr>
          <w:rFonts w:cs="Arial"/>
        </w:rPr>
        <w:t xml:space="preserve"> </w:t>
      </w:r>
      <w:r w:rsidRPr="00A76467">
        <w:rPr>
          <w:rFonts w:cs="Arial"/>
        </w:rPr>
        <w:t>also makes reference to other relevant indicators</w:t>
      </w:r>
      <w:r w:rsidR="00067A6C">
        <w:rPr>
          <w:rFonts w:cs="Arial"/>
        </w:rPr>
        <w:t>,</w:t>
      </w:r>
      <w:r w:rsidRPr="00A76467">
        <w:rPr>
          <w:rFonts w:cs="Arial"/>
        </w:rPr>
        <w:t xml:space="preserve"> reflecting CEPA as a cross-cutting area of</w:t>
      </w:r>
      <w:r w:rsidR="00CC2C8A" w:rsidRPr="00A76467">
        <w:rPr>
          <w:rFonts w:cs="Arial"/>
        </w:rPr>
        <w:t xml:space="preserve"> </w:t>
      </w:r>
      <w:r w:rsidRPr="00A76467">
        <w:rPr>
          <w:rFonts w:cs="Arial"/>
        </w:rPr>
        <w:t xml:space="preserve">work within the Convention. </w:t>
      </w:r>
    </w:p>
    <w:p w:rsidR="007F2299" w:rsidRPr="009E36E7" w:rsidRDefault="007F2299" w:rsidP="00A76467">
      <w:pPr>
        <w:spacing w:after="0" w:line="240" w:lineRule="auto"/>
        <w:ind w:left="426" w:hanging="426"/>
        <w:rPr>
          <w:rFonts w:cs="Arial"/>
        </w:rPr>
      </w:pPr>
    </w:p>
    <w:p w:rsidR="000A0707" w:rsidRPr="00A76467" w:rsidRDefault="00067A6C" w:rsidP="00A76467">
      <w:pPr>
        <w:pStyle w:val="ListParagraph"/>
        <w:numPr>
          <w:ilvl w:val="0"/>
          <w:numId w:val="25"/>
        </w:numPr>
        <w:spacing w:after="0" w:line="240" w:lineRule="auto"/>
        <w:ind w:left="426" w:hanging="426"/>
        <w:rPr>
          <w:rFonts w:cs="Arial"/>
        </w:rPr>
      </w:pPr>
      <w:r>
        <w:rPr>
          <w:rFonts w:cs="Arial"/>
        </w:rPr>
        <w:t>T</w:t>
      </w:r>
      <w:r w:rsidR="004779B1" w:rsidRPr="00A76467">
        <w:rPr>
          <w:rFonts w:cs="Arial"/>
        </w:rPr>
        <w:t>he Programme identifies other ‘responsible</w:t>
      </w:r>
      <w:r w:rsidR="00CC2C8A" w:rsidRPr="00A76467">
        <w:rPr>
          <w:rFonts w:cs="Arial"/>
        </w:rPr>
        <w:t xml:space="preserve"> </w:t>
      </w:r>
      <w:r w:rsidR="004779B1" w:rsidRPr="00A76467">
        <w:rPr>
          <w:rFonts w:cs="Arial"/>
        </w:rPr>
        <w:t>bodies and collaborative partners’ as implementers, and this report also reflects upon key</w:t>
      </w:r>
      <w:r w:rsidR="00CC2C8A" w:rsidRPr="00A76467">
        <w:rPr>
          <w:rFonts w:cs="Arial"/>
        </w:rPr>
        <w:t xml:space="preserve"> </w:t>
      </w:r>
      <w:r w:rsidR="004779B1" w:rsidRPr="00A76467">
        <w:rPr>
          <w:rFonts w:cs="Arial"/>
        </w:rPr>
        <w:t>elements of CEPA implementation by such bodies, including the Secretariat, the CEPA</w:t>
      </w:r>
      <w:r w:rsidR="00CC2C8A" w:rsidRPr="00A76467">
        <w:rPr>
          <w:rFonts w:cs="Arial"/>
        </w:rPr>
        <w:t xml:space="preserve"> </w:t>
      </w:r>
      <w:r w:rsidR="004779B1" w:rsidRPr="00A76467">
        <w:rPr>
          <w:rFonts w:cs="Arial"/>
        </w:rPr>
        <w:t>Oversight Panel, and the Ramsar Regional Centres endorsed by the Convention as Ramsar</w:t>
      </w:r>
      <w:r w:rsidR="00CC2C8A" w:rsidRPr="00A76467">
        <w:rPr>
          <w:rFonts w:cs="Arial"/>
        </w:rPr>
        <w:t xml:space="preserve"> </w:t>
      </w:r>
      <w:r w:rsidR="004779B1" w:rsidRPr="00A76467">
        <w:rPr>
          <w:rFonts w:cs="Arial"/>
        </w:rPr>
        <w:t>Regional Initiatives.</w:t>
      </w:r>
    </w:p>
    <w:p w:rsidR="004779B1" w:rsidRDefault="004779B1" w:rsidP="009E36E7">
      <w:pPr>
        <w:spacing w:after="0" w:line="240" w:lineRule="auto"/>
        <w:rPr>
          <w:rFonts w:cs="Arial"/>
        </w:rPr>
      </w:pPr>
    </w:p>
    <w:p w:rsidR="00A76467" w:rsidRPr="009E36E7" w:rsidRDefault="00A76467" w:rsidP="009E36E7">
      <w:pPr>
        <w:spacing w:after="0" w:line="240" w:lineRule="auto"/>
        <w:rPr>
          <w:rFonts w:cs="Arial"/>
        </w:rPr>
      </w:pPr>
    </w:p>
    <w:p w:rsidR="004779B1" w:rsidRPr="009E36E7" w:rsidRDefault="004779B1" w:rsidP="009E36E7">
      <w:pPr>
        <w:spacing w:after="0" w:line="240" w:lineRule="auto"/>
        <w:rPr>
          <w:rFonts w:cs="Arial"/>
          <w:b/>
          <w:sz w:val="24"/>
          <w:szCs w:val="24"/>
        </w:rPr>
      </w:pPr>
      <w:r w:rsidRPr="009E36E7">
        <w:rPr>
          <w:rFonts w:cs="Arial"/>
          <w:b/>
          <w:sz w:val="24"/>
          <w:szCs w:val="24"/>
        </w:rPr>
        <w:t>Main achievements since COP</w:t>
      </w:r>
      <w:r w:rsidR="00C2428B" w:rsidRPr="009E36E7">
        <w:rPr>
          <w:rFonts w:cs="Arial"/>
          <w:b/>
          <w:sz w:val="24"/>
          <w:szCs w:val="24"/>
        </w:rPr>
        <w:t xml:space="preserve"> 11</w:t>
      </w:r>
    </w:p>
    <w:p w:rsidR="000A0707" w:rsidRPr="009E36E7" w:rsidRDefault="000A0707" w:rsidP="009E36E7">
      <w:pPr>
        <w:spacing w:after="0" w:line="240" w:lineRule="auto"/>
        <w:rPr>
          <w:rFonts w:cs="Arial"/>
          <w:b/>
        </w:rPr>
      </w:pPr>
    </w:p>
    <w:p w:rsidR="00435CAC" w:rsidRPr="009E36E7" w:rsidRDefault="004779B1" w:rsidP="00A76467">
      <w:pPr>
        <w:pStyle w:val="ListParagraph"/>
        <w:numPr>
          <w:ilvl w:val="0"/>
          <w:numId w:val="25"/>
        </w:numPr>
        <w:spacing w:after="0" w:line="240" w:lineRule="auto"/>
        <w:ind w:left="426" w:hanging="426"/>
        <w:rPr>
          <w:rFonts w:cs="Arial"/>
        </w:rPr>
      </w:pPr>
      <w:r w:rsidRPr="009E36E7">
        <w:rPr>
          <w:rFonts w:cs="Arial"/>
        </w:rPr>
        <w:t>In identifying the most successful aspects of implementation during the triennium in</w:t>
      </w:r>
      <w:r w:rsidR="00C565F2" w:rsidRPr="009E36E7">
        <w:rPr>
          <w:rFonts w:cs="Arial"/>
        </w:rPr>
        <w:t xml:space="preserve"> </w:t>
      </w:r>
      <w:r w:rsidRPr="009E36E7">
        <w:rPr>
          <w:rFonts w:cs="Arial"/>
        </w:rPr>
        <w:t xml:space="preserve">Section B of their National Reports, Parties often </w:t>
      </w:r>
      <w:r w:rsidR="001C544D" w:rsidRPr="009E36E7">
        <w:rPr>
          <w:rFonts w:cs="Arial"/>
        </w:rPr>
        <w:t>produced long</w:t>
      </w:r>
      <w:r w:rsidR="007F2299" w:rsidRPr="009E36E7">
        <w:rPr>
          <w:rFonts w:cs="Arial"/>
        </w:rPr>
        <w:t xml:space="preserve"> and detailed</w:t>
      </w:r>
      <w:r w:rsidRPr="009E36E7">
        <w:rPr>
          <w:rFonts w:cs="Arial"/>
        </w:rPr>
        <w:t xml:space="preserve"> lists</w:t>
      </w:r>
      <w:r w:rsidR="007F2299" w:rsidRPr="009E36E7">
        <w:rPr>
          <w:rFonts w:cs="Arial"/>
        </w:rPr>
        <w:t xml:space="preserve">. Some repeated </w:t>
      </w:r>
      <w:r w:rsidR="001C544D" w:rsidRPr="009E36E7">
        <w:rPr>
          <w:rFonts w:cs="Arial"/>
        </w:rPr>
        <w:t>highlights included</w:t>
      </w:r>
      <w:r w:rsidR="00435CAC" w:rsidRPr="009E36E7">
        <w:rPr>
          <w:rFonts w:cs="Arial"/>
        </w:rPr>
        <w:t>:</w:t>
      </w:r>
    </w:p>
    <w:p w:rsidR="004779B1" w:rsidRPr="009E36E7" w:rsidRDefault="004779B1" w:rsidP="00A76467">
      <w:pPr>
        <w:pStyle w:val="ListParagraph"/>
        <w:numPr>
          <w:ilvl w:val="0"/>
          <w:numId w:val="27"/>
        </w:numPr>
        <w:spacing w:after="0" w:line="240" w:lineRule="auto"/>
        <w:ind w:left="851" w:hanging="425"/>
        <w:rPr>
          <w:rFonts w:cs="Arial"/>
        </w:rPr>
      </w:pPr>
      <w:r w:rsidRPr="009E36E7">
        <w:rPr>
          <w:rFonts w:cs="Arial"/>
        </w:rPr>
        <w:t>celebrating World Wetlands Day</w:t>
      </w:r>
      <w:r w:rsidR="00F64F36" w:rsidRPr="009E36E7">
        <w:rPr>
          <w:rFonts w:cs="Arial"/>
        </w:rPr>
        <w:t xml:space="preserve"> and supporting this event with activities at national and local levels</w:t>
      </w:r>
      <w:r w:rsidR="00067A6C">
        <w:rPr>
          <w:rFonts w:cs="Arial"/>
        </w:rPr>
        <w:t>;</w:t>
      </w:r>
    </w:p>
    <w:p w:rsidR="00F64F36" w:rsidRPr="009E36E7" w:rsidRDefault="00F64F36" w:rsidP="00A76467">
      <w:pPr>
        <w:pStyle w:val="ListParagraph"/>
        <w:numPr>
          <w:ilvl w:val="0"/>
          <w:numId w:val="27"/>
        </w:numPr>
        <w:spacing w:after="0" w:line="240" w:lineRule="auto"/>
        <w:ind w:left="851" w:hanging="425"/>
        <w:rPr>
          <w:rFonts w:cs="Arial"/>
        </w:rPr>
      </w:pPr>
      <w:r w:rsidRPr="009E36E7">
        <w:rPr>
          <w:rFonts w:cs="Arial"/>
        </w:rPr>
        <w:t>incorporating CEPA expertise and tools into river basin planning and management</w:t>
      </w:r>
      <w:r w:rsidR="00067A6C">
        <w:rPr>
          <w:rFonts w:cs="Arial"/>
        </w:rPr>
        <w:t>;</w:t>
      </w:r>
    </w:p>
    <w:p w:rsidR="00F64F36" w:rsidRPr="009E36E7" w:rsidRDefault="00F64F36" w:rsidP="00A76467">
      <w:pPr>
        <w:pStyle w:val="ListParagraph"/>
        <w:numPr>
          <w:ilvl w:val="0"/>
          <w:numId w:val="27"/>
        </w:numPr>
        <w:spacing w:after="0" w:line="240" w:lineRule="auto"/>
        <w:ind w:left="851" w:hanging="425"/>
        <w:rPr>
          <w:rFonts w:cs="Arial"/>
        </w:rPr>
      </w:pPr>
      <w:r w:rsidRPr="009E36E7">
        <w:rPr>
          <w:rFonts w:cs="Arial"/>
        </w:rPr>
        <w:t>setting up practitioner networks, including twinning arrangements at national and international levels, for knowledge sharing and training</w:t>
      </w:r>
      <w:r w:rsidR="00067A6C">
        <w:rPr>
          <w:rFonts w:cs="Arial"/>
        </w:rPr>
        <w:t>;</w:t>
      </w:r>
    </w:p>
    <w:p w:rsidR="004652FB" w:rsidRPr="009E36E7" w:rsidRDefault="00F64F36" w:rsidP="00A76467">
      <w:pPr>
        <w:pStyle w:val="ListParagraph"/>
        <w:numPr>
          <w:ilvl w:val="0"/>
          <w:numId w:val="27"/>
        </w:numPr>
        <w:spacing w:after="0" w:line="240" w:lineRule="auto"/>
        <w:ind w:left="851" w:hanging="425"/>
        <w:rPr>
          <w:rFonts w:cs="Arial"/>
        </w:rPr>
      </w:pPr>
      <w:r w:rsidRPr="009E36E7">
        <w:rPr>
          <w:rFonts w:cs="Arial"/>
        </w:rPr>
        <w:t xml:space="preserve">activities by the Ramsar Regional Centres (RRCs) </w:t>
      </w:r>
      <w:r w:rsidR="004652FB" w:rsidRPr="009E36E7">
        <w:rPr>
          <w:rFonts w:cs="Arial"/>
        </w:rPr>
        <w:t xml:space="preserve">in </w:t>
      </w:r>
      <w:r w:rsidRPr="009E36E7">
        <w:rPr>
          <w:rFonts w:cs="Arial"/>
        </w:rPr>
        <w:t xml:space="preserve">Central and West Asia </w:t>
      </w:r>
      <w:r w:rsidR="004652FB" w:rsidRPr="009E36E7">
        <w:rPr>
          <w:rFonts w:cs="Arial"/>
        </w:rPr>
        <w:t>(</w:t>
      </w:r>
      <w:r w:rsidRPr="009E36E7">
        <w:rPr>
          <w:rFonts w:cs="Arial"/>
        </w:rPr>
        <w:t>I.R. Iran</w:t>
      </w:r>
      <w:r w:rsidR="004652FB" w:rsidRPr="009E36E7">
        <w:rPr>
          <w:rFonts w:cs="Arial"/>
        </w:rPr>
        <w:t>), East Asia (R.O.Korea)</w:t>
      </w:r>
      <w:r w:rsidRPr="009E36E7">
        <w:rPr>
          <w:rFonts w:cs="Arial"/>
        </w:rPr>
        <w:t>,</w:t>
      </w:r>
      <w:r w:rsidR="00067A6C">
        <w:rPr>
          <w:rFonts w:cs="Arial"/>
        </w:rPr>
        <w:t xml:space="preserve"> </w:t>
      </w:r>
      <w:r w:rsidR="00CC39B7" w:rsidRPr="009E36E7">
        <w:rPr>
          <w:rFonts w:cs="Arial"/>
        </w:rPr>
        <w:t>East Africa</w:t>
      </w:r>
      <w:r w:rsidR="00677E5F" w:rsidRPr="009E36E7">
        <w:rPr>
          <w:rFonts w:cs="Arial"/>
        </w:rPr>
        <w:t xml:space="preserve"> (Uganda)</w:t>
      </w:r>
      <w:r w:rsidR="00CC39B7" w:rsidRPr="009E36E7">
        <w:rPr>
          <w:rFonts w:cs="Arial"/>
        </w:rPr>
        <w:t xml:space="preserve">, and </w:t>
      </w:r>
      <w:r w:rsidR="00677E5F" w:rsidRPr="009E36E7">
        <w:rPr>
          <w:rFonts w:cs="Arial"/>
        </w:rPr>
        <w:t>the RRC for Training and Research in the Western Hemisphere (Panama)</w:t>
      </w:r>
      <w:r w:rsidR="00067A6C">
        <w:rPr>
          <w:rFonts w:cs="Arial"/>
        </w:rPr>
        <w:t>;</w:t>
      </w:r>
    </w:p>
    <w:p w:rsidR="004779B1" w:rsidRPr="009E36E7" w:rsidRDefault="004779B1" w:rsidP="00A76467">
      <w:pPr>
        <w:pStyle w:val="ListParagraph"/>
        <w:numPr>
          <w:ilvl w:val="0"/>
          <w:numId w:val="27"/>
        </w:numPr>
        <w:spacing w:after="0" w:line="240" w:lineRule="auto"/>
        <w:ind w:left="851" w:hanging="425"/>
        <w:rPr>
          <w:rFonts w:cs="Arial"/>
        </w:rPr>
      </w:pPr>
      <w:r w:rsidRPr="009E36E7">
        <w:rPr>
          <w:rFonts w:cs="Arial"/>
        </w:rPr>
        <w:t>encouraging greater involvement of national governments, municipalities, local</w:t>
      </w:r>
      <w:r w:rsidR="004652FB" w:rsidRPr="009E36E7">
        <w:rPr>
          <w:rFonts w:cs="Arial"/>
        </w:rPr>
        <w:t xml:space="preserve"> </w:t>
      </w:r>
      <w:r w:rsidRPr="009E36E7">
        <w:rPr>
          <w:rFonts w:cs="Arial"/>
        </w:rPr>
        <w:t xml:space="preserve">communities, indigenous people, and NGOs in </w:t>
      </w:r>
      <w:r w:rsidR="004652FB" w:rsidRPr="009E36E7">
        <w:rPr>
          <w:rFonts w:cs="Arial"/>
        </w:rPr>
        <w:t>site designation and management</w:t>
      </w:r>
      <w:r w:rsidR="00067A6C">
        <w:rPr>
          <w:rFonts w:cs="Arial"/>
        </w:rPr>
        <w:t>; and</w:t>
      </w:r>
    </w:p>
    <w:p w:rsidR="000A0707" w:rsidRDefault="007F2299" w:rsidP="00A76467">
      <w:pPr>
        <w:pStyle w:val="ListParagraph"/>
        <w:numPr>
          <w:ilvl w:val="0"/>
          <w:numId w:val="27"/>
        </w:numPr>
        <w:spacing w:after="0" w:line="240" w:lineRule="auto"/>
        <w:ind w:left="851" w:hanging="425"/>
        <w:rPr>
          <w:rFonts w:cs="Arial"/>
        </w:rPr>
      </w:pPr>
      <w:r w:rsidRPr="009E36E7">
        <w:rPr>
          <w:rFonts w:cs="Arial"/>
        </w:rPr>
        <w:lastRenderedPageBreak/>
        <w:t xml:space="preserve"> </w:t>
      </w:r>
      <w:r w:rsidR="00067A6C">
        <w:rPr>
          <w:rFonts w:cs="Arial"/>
        </w:rPr>
        <w:t>actions</w:t>
      </w:r>
      <w:r w:rsidR="00067A6C" w:rsidRPr="009E36E7">
        <w:rPr>
          <w:rFonts w:cs="Arial"/>
        </w:rPr>
        <w:t xml:space="preserve"> </w:t>
      </w:r>
      <w:r w:rsidRPr="009E36E7">
        <w:rPr>
          <w:rFonts w:cs="Arial"/>
        </w:rPr>
        <w:t xml:space="preserve">within the context of </w:t>
      </w:r>
      <w:r w:rsidR="004652FB" w:rsidRPr="009E36E7">
        <w:rPr>
          <w:rFonts w:cs="Arial"/>
        </w:rPr>
        <w:t xml:space="preserve">Regional </w:t>
      </w:r>
      <w:r w:rsidR="00067A6C">
        <w:rPr>
          <w:rFonts w:cs="Arial"/>
        </w:rPr>
        <w:t>initiatives</w:t>
      </w:r>
      <w:r w:rsidR="00067A6C" w:rsidRPr="009E36E7">
        <w:rPr>
          <w:rFonts w:cs="Arial"/>
        </w:rPr>
        <w:t xml:space="preserve"> </w:t>
      </w:r>
      <w:r w:rsidR="004652FB" w:rsidRPr="009E36E7">
        <w:rPr>
          <w:rFonts w:cs="Arial"/>
        </w:rPr>
        <w:t>such as the East Asian – Australasian Flyway Partnership</w:t>
      </w:r>
      <w:r w:rsidR="00677E5F" w:rsidRPr="009E36E7">
        <w:rPr>
          <w:rFonts w:cs="Arial"/>
        </w:rPr>
        <w:t>, the Mediterranean Wetlands Initiative, and the Caribbean Wetlands Regional Initiative</w:t>
      </w:r>
    </w:p>
    <w:p w:rsidR="00A76467" w:rsidRPr="00A76467" w:rsidRDefault="00A76467" w:rsidP="00A76467">
      <w:pPr>
        <w:spacing w:after="0" w:line="240" w:lineRule="auto"/>
        <w:ind w:left="426"/>
        <w:rPr>
          <w:rFonts w:cs="Arial"/>
        </w:rPr>
      </w:pPr>
    </w:p>
    <w:p w:rsidR="000A0707" w:rsidRPr="00A76467" w:rsidRDefault="00CC2C8A" w:rsidP="00A76467">
      <w:pPr>
        <w:pStyle w:val="ListParagraph"/>
        <w:numPr>
          <w:ilvl w:val="0"/>
          <w:numId w:val="25"/>
        </w:numPr>
        <w:spacing w:after="0" w:line="240" w:lineRule="auto"/>
        <w:ind w:left="426" w:hanging="426"/>
        <w:rPr>
          <w:rFonts w:cs="Arial"/>
        </w:rPr>
      </w:pPr>
      <w:r w:rsidRPr="00A76467">
        <w:rPr>
          <w:rFonts w:cs="Arial"/>
        </w:rPr>
        <w:t>The</w:t>
      </w:r>
      <w:r w:rsidR="004779B1" w:rsidRPr="00A76467">
        <w:rPr>
          <w:rFonts w:cs="Arial"/>
        </w:rPr>
        <w:t xml:space="preserve"> Secretariat</w:t>
      </w:r>
      <w:r w:rsidRPr="00A76467">
        <w:rPr>
          <w:rFonts w:cs="Arial"/>
        </w:rPr>
        <w:t>’s contribution to</w:t>
      </w:r>
      <w:r w:rsidR="004779B1" w:rsidRPr="00A76467">
        <w:rPr>
          <w:rFonts w:cs="Arial"/>
        </w:rPr>
        <w:t xml:space="preserve"> CEPA implementation</w:t>
      </w:r>
      <w:r w:rsidRPr="00A76467">
        <w:rPr>
          <w:rFonts w:cs="Arial"/>
        </w:rPr>
        <w:t xml:space="preserve"> has </w:t>
      </w:r>
      <w:r w:rsidR="00107468" w:rsidRPr="00A76467">
        <w:rPr>
          <w:rFonts w:cs="Arial"/>
        </w:rPr>
        <w:t>continued</w:t>
      </w:r>
      <w:r w:rsidRPr="00A76467">
        <w:rPr>
          <w:rFonts w:cs="Arial"/>
        </w:rPr>
        <w:t xml:space="preserve"> over the three-year p</w:t>
      </w:r>
      <w:r w:rsidR="001A5C17" w:rsidRPr="00A76467">
        <w:rPr>
          <w:rFonts w:cs="Arial"/>
        </w:rPr>
        <w:t>eriod.</w:t>
      </w:r>
      <w:r w:rsidR="00067A6C">
        <w:rPr>
          <w:rFonts w:cs="Arial"/>
        </w:rPr>
        <w:t xml:space="preserve"> </w:t>
      </w:r>
      <w:r w:rsidR="00FD6E5D" w:rsidRPr="00A76467">
        <w:rPr>
          <w:rFonts w:cs="Arial"/>
        </w:rPr>
        <w:t xml:space="preserve">In particular, </w:t>
      </w:r>
      <w:r w:rsidR="001A5C17" w:rsidRPr="00A76467">
        <w:rPr>
          <w:rFonts w:cs="Arial"/>
        </w:rPr>
        <w:t xml:space="preserve">World Wetlands Day activities grew year on year, and for 2015, a new approach for the day was adopted, specifically targeting </w:t>
      </w:r>
      <w:r w:rsidR="00FD6E5D" w:rsidRPr="00A76467">
        <w:rPr>
          <w:rFonts w:cs="Arial"/>
        </w:rPr>
        <w:t xml:space="preserve">the </w:t>
      </w:r>
      <w:r w:rsidR="001A5C17" w:rsidRPr="00A76467">
        <w:rPr>
          <w:rFonts w:cs="Arial"/>
        </w:rPr>
        <w:t xml:space="preserve">youth </w:t>
      </w:r>
      <w:r w:rsidR="00FD6E5D" w:rsidRPr="00A76467">
        <w:rPr>
          <w:rFonts w:cs="Arial"/>
        </w:rPr>
        <w:t xml:space="preserve">audience </w:t>
      </w:r>
      <w:r w:rsidR="001A5C17" w:rsidRPr="00A76467">
        <w:rPr>
          <w:rFonts w:cs="Arial"/>
        </w:rPr>
        <w:t xml:space="preserve">as transmitters to a wider public. This saw the Secretariat create a dedicated multi-lingual </w:t>
      </w:r>
      <w:r w:rsidR="00FD6E5D" w:rsidRPr="00A76467">
        <w:rPr>
          <w:rFonts w:cs="Arial"/>
        </w:rPr>
        <w:t xml:space="preserve">WWD </w:t>
      </w:r>
      <w:r w:rsidR="001A5C17" w:rsidRPr="00A76467">
        <w:rPr>
          <w:rFonts w:cs="Arial"/>
        </w:rPr>
        <w:t>website (</w:t>
      </w:r>
      <w:hyperlink r:id="rId9" w:history="1">
        <w:r w:rsidR="001A5C17" w:rsidRPr="00A76467">
          <w:rPr>
            <w:rStyle w:val="Hyperlink"/>
            <w:rFonts w:cs="Arial"/>
          </w:rPr>
          <w:t>www.worldwetlandsday.org</w:t>
        </w:r>
      </w:hyperlink>
      <w:r w:rsidR="001A5C17" w:rsidRPr="00A76467">
        <w:rPr>
          <w:rFonts w:cs="Arial"/>
        </w:rPr>
        <w:t xml:space="preserve">) and a </w:t>
      </w:r>
      <w:r w:rsidR="00FD6E5D" w:rsidRPr="00A76467">
        <w:rPr>
          <w:rFonts w:cs="Arial"/>
        </w:rPr>
        <w:t xml:space="preserve">wetlands </w:t>
      </w:r>
      <w:r w:rsidR="001A5C17" w:rsidRPr="00A76467">
        <w:rPr>
          <w:rFonts w:cs="Arial"/>
        </w:rPr>
        <w:t xml:space="preserve">photo contest </w:t>
      </w:r>
      <w:r w:rsidR="00FD6E5D" w:rsidRPr="00A76467">
        <w:rPr>
          <w:rFonts w:cs="Arial"/>
        </w:rPr>
        <w:t>that attracted</w:t>
      </w:r>
      <w:r w:rsidR="001A5C17" w:rsidRPr="00A76467">
        <w:rPr>
          <w:rFonts w:cs="Arial"/>
        </w:rPr>
        <w:t xml:space="preserve"> over 2</w:t>
      </w:r>
      <w:r w:rsidR="00067A6C">
        <w:rPr>
          <w:rFonts w:cs="Arial"/>
        </w:rPr>
        <w:t>,</w:t>
      </w:r>
      <w:r w:rsidR="001A5C17" w:rsidRPr="00A76467">
        <w:rPr>
          <w:rFonts w:cs="Arial"/>
        </w:rPr>
        <w:t>20</w:t>
      </w:r>
      <w:r w:rsidR="00FD6E5D" w:rsidRPr="00A76467">
        <w:rPr>
          <w:rFonts w:cs="Arial"/>
        </w:rPr>
        <w:t>0</w:t>
      </w:r>
      <w:r w:rsidR="001A5C17" w:rsidRPr="00A76467">
        <w:rPr>
          <w:rFonts w:cs="Arial"/>
        </w:rPr>
        <w:t xml:space="preserve"> entries</w:t>
      </w:r>
      <w:r w:rsidR="00FD6E5D" w:rsidRPr="00A76467">
        <w:rPr>
          <w:rFonts w:cs="Arial"/>
        </w:rPr>
        <w:t xml:space="preserve"> from </w:t>
      </w:r>
      <w:r w:rsidR="00015268" w:rsidRPr="00A76467">
        <w:rPr>
          <w:rFonts w:cs="Arial"/>
        </w:rPr>
        <w:t>80</w:t>
      </w:r>
      <w:r w:rsidR="00FD6E5D" w:rsidRPr="00A76467">
        <w:rPr>
          <w:rFonts w:cs="Arial"/>
        </w:rPr>
        <w:t xml:space="preserve"> countries</w:t>
      </w:r>
      <w:r w:rsidR="001A5C17" w:rsidRPr="00A76467">
        <w:rPr>
          <w:rFonts w:cs="Arial"/>
        </w:rPr>
        <w:t>. Th</w:t>
      </w:r>
      <w:r w:rsidR="00FD6E5D" w:rsidRPr="00A76467">
        <w:rPr>
          <w:rFonts w:cs="Arial"/>
        </w:rPr>
        <w:t>e campaign</w:t>
      </w:r>
      <w:r w:rsidR="001A5C17" w:rsidRPr="00A76467">
        <w:rPr>
          <w:rFonts w:cs="Arial"/>
        </w:rPr>
        <w:t xml:space="preserve"> was </w:t>
      </w:r>
      <w:r w:rsidR="00FD6E5D" w:rsidRPr="00A76467">
        <w:rPr>
          <w:rFonts w:cs="Arial"/>
        </w:rPr>
        <w:t>supported enthusiastically by Parties</w:t>
      </w:r>
      <w:r w:rsidR="007F2299" w:rsidRPr="00A76467">
        <w:rPr>
          <w:rFonts w:cs="Arial"/>
        </w:rPr>
        <w:t xml:space="preserve"> </w:t>
      </w:r>
      <w:r w:rsidR="00107468" w:rsidRPr="00A76467">
        <w:rPr>
          <w:rFonts w:cs="Arial"/>
        </w:rPr>
        <w:t xml:space="preserve">and </w:t>
      </w:r>
      <w:r w:rsidR="00FD6E5D" w:rsidRPr="00A76467">
        <w:rPr>
          <w:rFonts w:cs="Arial"/>
        </w:rPr>
        <w:t>IOPs</w:t>
      </w:r>
      <w:r w:rsidR="00067A6C">
        <w:rPr>
          <w:rFonts w:cs="Arial"/>
        </w:rPr>
        <w:t>,</w:t>
      </w:r>
      <w:r w:rsidR="00FD6E5D" w:rsidRPr="00A76467">
        <w:rPr>
          <w:rFonts w:cs="Arial"/>
        </w:rPr>
        <w:t xml:space="preserve"> and was </w:t>
      </w:r>
      <w:r w:rsidR="001A5C17" w:rsidRPr="00A76467">
        <w:rPr>
          <w:rFonts w:cs="Arial"/>
        </w:rPr>
        <w:t>accompanie</w:t>
      </w:r>
      <w:r w:rsidR="00FD6E5D" w:rsidRPr="00A76467">
        <w:rPr>
          <w:rFonts w:cs="Arial"/>
        </w:rPr>
        <w:t>d</w:t>
      </w:r>
      <w:r w:rsidR="001A5C17" w:rsidRPr="00A76467">
        <w:rPr>
          <w:rFonts w:cs="Arial"/>
        </w:rPr>
        <w:t xml:space="preserve"> by a greatly increased use of social media: </w:t>
      </w:r>
      <w:r w:rsidR="004779B1" w:rsidRPr="00A76467">
        <w:rPr>
          <w:rFonts w:cs="Arial"/>
        </w:rPr>
        <w:t>Facebook</w:t>
      </w:r>
      <w:r w:rsidR="001A5C17" w:rsidRPr="00A76467">
        <w:rPr>
          <w:rFonts w:cs="Arial"/>
        </w:rPr>
        <w:t xml:space="preserve">, </w:t>
      </w:r>
      <w:r w:rsidR="002F736E" w:rsidRPr="00A76467">
        <w:rPr>
          <w:rFonts w:cs="Arial"/>
        </w:rPr>
        <w:t>YouTube</w:t>
      </w:r>
      <w:r w:rsidR="001A5C17" w:rsidRPr="00A76467">
        <w:rPr>
          <w:rFonts w:cs="Arial"/>
        </w:rPr>
        <w:t xml:space="preserve">, </w:t>
      </w:r>
      <w:r w:rsidR="00FD6E5D" w:rsidRPr="00A76467">
        <w:rPr>
          <w:rFonts w:cs="Arial"/>
        </w:rPr>
        <w:t>the Ramsar</w:t>
      </w:r>
      <w:r w:rsidR="001A5C17" w:rsidRPr="00A76467">
        <w:rPr>
          <w:rFonts w:cs="Arial"/>
        </w:rPr>
        <w:t xml:space="preserve"> twitter account and a</w:t>
      </w:r>
      <w:r w:rsidR="002F736E" w:rsidRPr="00A76467">
        <w:rPr>
          <w:rFonts w:cs="Arial"/>
        </w:rPr>
        <w:t xml:space="preserve"> new</w:t>
      </w:r>
      <w:r w:rsidR="00C57BC8" w:rsidRPr="00A76467">
        <w:rPr>
          <w:rFonts w:cs="Arial"/>
        </w:rPr>
        <w:t xml:space="preserve"> Instagram account.</w:t>
      </w:r>
      <w:r w:rsidR="004779B1" w:rsidRPr="00A76467">
        <w:rPr>
          <w:rFonts w:cs="Arial"/>
        </w:rPr>
        <w:t xml:space="preserve"> </w:t>
      </w:r>
    </w:p>
    <w:p w:rsidR="00F766A3" w:rsidRDefault="00F766A3" w:rsidP="009E36E7">
      <w:pPr>
        <w:spacing w:after="0" w:line="240" w:lineRule="auto"/>
        <w:rPr>
          <w:rFonts w:cs="Arial"/>
        </w:rPr>
      </w:pPr>
    </w:p>
    <w:p w:rsidR="00A76467" w:rsidRPr="009E36E7" w:rsidRDefault="00A76467" w:rsidP="009E36E7">
      <w:pPr>
        <w:spacing w:after="0" w:line="240" w:lineRule="auto"/>
        <w:rPr>
          <w:rFonts w:cs="Arial"/>
        </w:rPr>
      </w:pPr>
    </w:p>
    <w:p w:rsidR="000A0707" w:rsidRPr="009E36E7" w:rsidRDefault="004779B1" w:rsidP="009E36E7">
      <w:pPr>
        <w:spacing w:after="0" w:line="240" w:lineRule="auto"/>
        <w:rPr>
          <w:rFonts w:cs="Arial"/>
          <w:b/>
          <w:sz w:val="24"/>
          <w:szCs w:val="24"/>
        </w:rPr>
      </w:pPr>
      <w:r w:rsidRPr="009E36E7">
        <w:rPr>
          <w:rFonts w:cs="Arial"/>
          <w:b/>
          <w:sz w:val="24"/>
          <w:szCs w:val="24"/>
        </w:rPr>
        <w:t>Priorities for the next triennium</w:t>
      </w:r>
      <w:r w:rsidR="00E358C6" w:rsidRPr="009E36E7">
        <w:rPr>
          <w:rFonts w:cs="Arial"/>
          <w:b/>
          <w:sz w:val="24"/>
          <w:szCs w:val="24"/>
        </w:rPr>
        <w:t xml:space="preserve"> and formulation of CEPA </w:t>
      </w:r>
      <w:r w:rsidR="00946669" w:rsidRPr="009E36E7">
        <w:rPr>
          <w:rFonts w:cs="Arial"/>
          <w:b/>
          <w:sz w:val="24"/>
          <w:szCs w:val="24"/>
        </w:rPr>
        <w:t>programme</w:t>
      </w:r>
      <w:r w:rsidR="00E358C6" w:rsidRPr="009E36E7">
        <w:rPr>
          <w:rFonts w:cs="Arial"/>
          <w:b/>
          <w:sz w:val="24"/>
          <w:szCs w:val="24"/>
        </w:rPr>
        <w:t xml:space="preserve"> for 2016-21</w:t>
      </w:r>
    </w:p>
    <w:p w:rsidR="00DC0CCF" w:rsidRPr="009E36E7" w:rsidRDefault="00DC0CCF" w:rsidP="009E36E7">
      <w:pPr>
        <w:spacing w:after="0" w:line="240" w:lineRule="auto"/>
        <w:rPr>
          <w:rFonts w:cs="Arial"/>
        </w:rPr>
      </w:pPr>
    </w:p>
    <w:p w:rsidR="00067A6C" w:rsidRDefault="004779B1" w:rsidP="00A76467">
      <w:pPr>
        <w:pStyle w:val="ListParagraph"/>
        <w:numPr>
          <w:ilvl w:val="0"/>
          <w:numId w:val="25"/>
        </w:numPr>
        <w:spacing w:after="0" w:line="240" w:lineRule="auto"/>
        <w:ind w:left="426" w:hanging="426"/>
        <w:rPr>
          <w:rFonts w:cs="Arial"/>
        </w:rPr>
      </w:pPr>
      <w:r w:rsidRPr="00A76467">
        <w:rPr>
          <w:rFonts w:cs="Arial"/>
        </w:rPr>
        <w:t>A range of key CEPA priorities for future implementation were identified by the Parties in</w:t>
      </w:r>
      <w:r w:rsidR="00C565F2" w:rsidRPr="00A76467">
        <w:rPr>
          <w:rFonts w:cs="Arial"/>
        </w:rPr>
        <w:t xml:space="preserve"> </w:t>
      </w:r>
      <w:r w:rsidRPr="00A76467">
        <w:rPr>
          <w:rFonts w:cs="Arial"/>
        </w:rPr>
        <w:t xml:space="preserve">the National Reports. </w:t>
      </w:r>
      <w:r w:rsidR="00E358C6" w:rsidRPr="00A76467">
        <w:rPr>
          <w:rFonts w:cs="Arial"/>
        </w:rPr>
        <w:t>A number of Parties asked the Secretariat to establish capacity development mechanisms, such as international workshops, experience sharing, exchange visits and training, especially on the governance and sustainable management of wetlands for wetland site manager</w:t>
      </w:r>
      <w:r w:rsidR="007F2299" w:rsidRPr="00A76467">
        <w:rPr>
          <w:rFonts w:cs="Arial"/>
        </w:rPr>
        <w:t xml:space="preserve">s. Other frequently mentioned CEPA priorities </w:t>
      </w:r>
      <w:r w:rsidR="001C544D" w:rsidRPr="00A76467">
        <w:rPr>
          <w:rFonts w:cs="Arial"/>
        </w:rPr>
        <w:t>included</w:t>
      </w:r>
      <w:r w:rsidR="007F2299" w:rsidRPr="00A76467">
        <w:rPr>
          <w:rFonts w:cs="Arial"/>
        </w:rPr>
        <w:t>:</w:t>
      </w:r>
      <w:r w:rsidR="001C544D" w:rsidRPr="00A76467">
        <w:rPr>
          <w:rFonts w:cs="Arial"/>
        </w:rPr>
        <w:t xml:space="preserve"> </w:t>
      </w:r>
    </w:p>
    <w:p w:rsidR="0079477D" w:rsidRPr="00A76467" w:rsidRDefault="00FD6E5D" w:rsidP="00067A6C">
      <w:pPr>
        <w:pStyle w:val="ListParagraph"/>
        <w:numPr>
          <w:ilvl w:val="0"/>
          <w:numId w:val="27"/>
        </w:numPr>
        <w:spacing w:after="0" w:line="240" w:lineRule="auto"/>
        <w:ind w:left="851" w:hanging="425"/>
        <w:rPr>
          <w:rFonts w:cs="Arial"/>
        </w:rPr>
      </w:pPr>
      <w:r w:rsidRPr="00A76467">
        <w:rPr>
          <w:rFonts w:cs="Arial"/>
        </w:rPr>
        <w:t>creating greater awareness about wetland values and ecosystem services</w:t>
      </w:r>
    </w:p>
    <w:p w:rsidR="0079477D" w:rsidRPr="009E36E7" w:rsidRDefault="00E358C6" w:rsidP="00A76467">
      <w:pPr>
        <w:pStyle w:val="ListParagraph"/>
        <w:numPr>
          <w:ilvl w:val="0"/>
          <w:numId w:val="27"/>
        </w:numPr>
        <w:spacing w:after="0" w:line="240" w:lineRule="auto"/>
        <w:ind w:left="851" w:hanging="425"/>
        <w:rPr>
          <w:rFonts w:cs="Arial"/>
        </w:rPr>
      </w:pPr>
      <w:r w:rsidRPr="009E36E7">
        <w:rPr>
          <w:rFonts w:cs="Arial"/>
        </w:rPr>
        <w:t>better int</w:t>
      </w:r>
      <w:r w:rsidR="00FD6E5D" w:rsidRPr="009E36E7">
        <w:rPr>
          <w:rFonts w:cs="Arial"/>
        </w:rPr>
        <w:t>egrati</w:t>
      </w:r>
      <w:r w:rsidRPr="009E36E7">
        <w:rPr>
          <w:rFonts w:cs="Arial"/>
        </w:rPr>
        <w:t xml:space="preserve">on of </w:t>
      </w:r>
      <w:r w:rsidR="00FD6E5D" w:rsidRPr="009E36E7">
        <w:rPr>
          <w:rFonts w:cs="Arial"/>
        </w:rPr>
        <w:t>local communities and stakeholders in</w:t>
      </w:r>
      <w:r w:rsidRPr="009E36E7">
        <w:rPr>
          <w:rFonts w:cs="Arial"/>
        </w:rPr>
        <w:t>to</w:t>
      </w:r>
      <w:r w:rsidR="00FD6E5D" w:rsidRPr="009E36E7">
        <w:rPr>
          <w:rFonts w:cs="Arial"/>
        </w:rPr>
        <w:t xml:space="preserve"> wetland conservation and management</w:t>
      </w:r>
      <w:r w:rsidRPr="009E36E7">
        <w:rPr>
          <w:rFonts w:cs="Arial"/>
        </w:rPr>
        <w:t xml:space="preserve"> efforts</w:t>
      </w:r>
    </w:p>
    <w:p w:rsidR="004779B1" w:rsidRPr="009E36E7" w:rsidRDefault="00E358C6" w:rsidP="00A76467">
      <w:pPr>
        <w:pStyle w:val="ListParagraph"/>
        <w:numPr>
          <w:ilvl w:val="0"/>
          <w:numId w:val="27"/>
        </w:numPr>
        <w:spacing w:after="0" w:line="240" w:lineRule="auto"/>
        <w:ind w:left="851" w:hanging="425"/>
        <w:rPr>
          <w:rFonts w:cs="Arial"/>
        </w:rPr>
      </w:pPr>
      <w:r w:rsidRPr="009E36E7">
        <w:rPr>
          <w:rFonts w:cs="Arial"/>
        </w:rPr>
        <w:t>increased cooperation with imp</w:t>
      </w:r>
      <w:r w:rsidR="0079477D" w:rsidRPr="009E36E7">
        <w:rPr>
          <w:rFonts w:cs="Arial"/>
        </w:rPr>
        <w:t>lementing partner organizations</w:t>
      </w:r>
      <w:r w:rsidR="00067A6C">
        <w:rPr>
          <w:rFonts w:cs="Arial"/>
        </w:rPr>
        <w:t xml:space="preserve"> </w:t>
      </w:r>
    </w:p>
    <w:p w:rsidR="00FD6E5D" w:rsidRPr="009E36E7" w:rsidRDefault="00FD6E5D" w:rsidP="009E36E7">
      <w:pPr>
        <w:spacing w:after="0" w:line="240" w:lineRule="auto"/>
        <w:rPr>
          <w:rFonts w:cs="Arial"/>
        </w:rPr>
      </w:pPr>
    </w:p>
    <w:p w:rsidR="001C544D" w:rsidRPr="009E36E7" w:rsidRDefault="00644B14" w:rsidP="00A76467">
      <w:pPr>
        <w:pStyle w:val="ListParagraph"/>
        <w:numPr>
          <w:ilvl w:val="0"/>
          <w:numId w:val="25"/>
        </w:numPr>
        <w:spacing w:after="0" w:line="240" w:lineRule="auto"/>
        <w:ind w:left="426" w:hanging="426"/>
        <w:rPr>
          <w:rFonts w:cs="Arial"/>
        </w:rPr>
      </w:pPr>
      <w:r w:rsidRPr="009E36E7">
        <w:rPr>
          <w:rFonts w:cs="Arial"/>
        </w:rPr>
        <w:t>In line with these priorities, a</w:t>
      </w:r>
      <w:r w:rsidR="00435CAC" w:rsidRPr="009E36E7">
        <w:rPr>
          <w:rFonts w:cs="Arial"/>
        </w:rPr>
        <w:t xml:space="preserve"> new CEPA </w:t>
      </w:r>
      <w:r w:rsidRPr="009E36E7">
        <w:rPr>
          <w:rFonts w:cs="Arial"/>
        </w:rPr>
        <w:t>Programme for 2016-21</w:t>
      </w:r>
      <w:r w:rsidR="007F2299" w:rsidRPr="009E36E7">
        <w:rPr>
          <w:rFonts w:cs="Arial"/>
        </w:rPr>
        <w:t xml:space="preserve"> </w:t>
      </w:r>
      <w:r w:rsidR="00067A6C" w:rsidRPr="009E36E7">
        <w:rPr>
          <w:rFonts w:cs="Arial"/>
        </w:rPr>
        <w:t xml:space="preserve">entitled </w:t>
      </w:r>
      <w:r w:rsidR="00067A6C">
        <w:rPr>
          <w:rFonts w:cs="Arial"/>
        </w:rPr>
        <w:t>‘</w:t>
      </w:r>
      <w:r w:rsidR="00067A6C" w:rsidRPr="009E36E7">
        <w:rPr>
          <w:rFonts w:cs="Arial"/>
        </w:rPr>
        <w:t>The Wetlands and People Programme</w:t>
      </w:r>
      <w:r w:rsidR="00067A6C">
        <w:rPr>
          <w:rFonts w:cs="Arial"/>
        </w:rPr>
        <w:t>’</w:t>
      </w:r>
      <w:r w:rsidR="00067A6C" w:rsidRPr="009E36E7">
        <w:rPr>
          <w:rFonts w:cs="Arial"/>
        </w:rPr>
        <w:t xml:space="preserve"> </w:t>
      </w:r>
      <w:r w:rsidRPr="009E36E7">
        <w:rPr>
          <w:rFonts w:cs="Arial"/>
        </w:rPr>
        <w:t>was drafted</w:t>
      </w:r>
      <w:r w:rsidR="00107468" w:rsidRPr="009E36E7">
        <w:rPr>
          <w:rFonts w:cs="Arial"/>
        </w:rPr>
        <w:t xml:space="preserve"> for consideration by the Parties at COP12</w:t>
      </w:r>
      <w:r w:rsidRPr="009E36E7">
        <w:rPr>
          <w:rFonts w:cs="Arial"/>
        </w:rPr>
        <w:t xml:space="preserve"> (</w:t>
      </w:r>
      <w:r w:rsidR="00015268" w:rsidRPr="009E36E7">
        <w:rPr>
          <w:rFonts w:cs="Arial"/>
        </w:rPr>
        <w:t>Draft Resolution XII.9</w:t>
      </w:r>
      <w:r w:rsidRPr="009E36E7">
        <w:rPr>
          <w:rFonts w:cs="Arial"/>
        </w:rPr>
        <w:t>)</w:t>
      </w:r>
      <w:r w:rsidR="00067A6C">
        <w:rPr>
          <w:rFonts w:cs="Arial"/>
        </w:rPr>
        <w:t>.</w:t>
      </w:r>
      <w:r w:rsidRPr="009E36E7">
        <w:rPr>
          <w:rFonts w:cs="Arial"/>
        </w:rPr>
        <w:t xml:space="preserve"> </w:t>
      </w:r>
      <w:r w:rsidR="007F2299" w:rsidRPr="009E36E7">
        <w:rPr>
          <w:rFonts w:cs="Arial"/>
        </w:rPr>
        <w:t>The Programme</w:t>
      </w:r>
      <w:r w:rsidR="00CB4BE0" w:rsidRPr="009E36E7">
        <w:rPr>
          <w:rFonts w:cs="Arial"/>
        </w:rPr>
        <w:t xml:space="preserve"> defines as concepts underpinning the CEPA acronym </w:t>
      </w:r>
      <w:r w:rsidR="00067A6C">
        <w:rPr>
          <w:rFonts w:cs="Arial"/>
        </w:rPr>
        <w:t>‘</w:t>
      </w:r>
      <w:r w:rsidR="00CB4BE0" w:rsidRPr="009E36E7">
        <w:rPr>
          <w:rFonts w:cs="Arial"/>
        </w:rPr>
        <w:t>communication, capacity development, education, participation and awareness</w:t>
      </w:r>
      <w:r w:rsidR="00067A6C">
        <w:rPr>
          <w:rFonts w:cs="Arial"/>
        </w:rPr>
        <w:t>’</w:t>
      </w:r>
      <w:r w:rsidR="00CB4BE0" w:rsidRPr="009E36E7">
        <w:rPr>
          <w:rFonts w:cs="Arial"/>
        </w:rPr>
        <w:t xml:space="preserve"> to reflect more broadly the areas that the CEPA Programme is intended to cover. </w:t>
      </w:r>
    </w:p>
    <w:p w:rsidR="001C544D" w:rsidRPr="009E36E7" w:rsidRDefault="001C544D" w:rsidP="00A76467">
      <w:pPr>
        <w:pStyle w:val="ListParagraph"/>
        <w:spacing w:after="0" w:line="240" w:lineRule="auto"/>
        <w:ind w:left="426"/>
        <w:rPr>
          <w:rFonts w:cs="Arial"/>
        </w:rPr>
      </w:pPr>
    </w:p>
    <w:p w:rsidR="004779B1" w:rsidRPr="009E36E7" w:rsidRDefault="00644B14" w:rsidP="00A76467">
      <w:pPr>
        <w:pStyle w:val="ListParagraph"/>
        <w:numPr>
          <w:ilvl w:val="0"/>
          <w:numId w:val="25"/>
        </w:numPr>
        <w:spacing w:after="0" w:line="240" w:lineRule="auto"/>
        <w:ind w:left="426" w:hanging="426"/>
        <w:rPr>
          <w:rFonts w:cs="Arial"/>
        </w:rPr>
      </w:pPr>
      <w:r w:rsidRPr="009E36E7">
        <w:rPr>
          <w:rFonts w:cs="Arial"/>
        </w:rPr>
        <w:t xml:space="preserve">It outlines nine CEPA strategies and </w:t>
      </w:r>
      <w:r w:rsidR="00107468" w:rsidRPr="009E36E7">
        <w:rPr>
          <w:rFonts w:cs="Arial"/>
        </w:rPr>
        <w:t xml:space="preserve">42 </w:t>
      </w:r>
      <w:r w:rsidRPr="009E36E7">
        <w:rPr>
          <w:rFonts w:cs="Arial"/>
        </w:rPr>
        <w:t>underlying strategic objectives for mobilizing people to take action for wetlands.</w:t>
      </w:r>
      <w:r w:rsidR="00946669" w:rsidRPr="009E36E7">
        <w:rPr>
          <w:rFonts w:cs="Arial"/>
        </w:rPr>
        <w:t xml:space="preserve"> Notable is the addition of the</w:t>
      </w:r>
      <w:r w:rsidRPr="009E36E7">
        <w:rPr>
          <w:rFonts w:cs="Arial"/>
        </w:rPr>
        <w:t xml:space="preserve"> ninth strategy, which is to </w:t>
      </w:r>
      <w:r w:rsidR="00067A6C">
        <w:rPr>
          <w:rFonts w:cs="Arial"/>
        </w:rPr>
        <w:t>‘</w:t>
      </w:r>
      <w:r w:rsidRPr="009E36E7">
        <w:rPr>
          <w:rFonts w:cs="Arial"/>
        </w:rPr>
        <w:t>ensure that the guidance and information provided by the STRP is developed in close collaboration with the CEPA programme and dissemination is ensured to the identified target audiences through the most effective communications channels</w:t>
      </w:r>
      <w:r w:rsidR="00067A6C">
        <w:rPr>
          <w:rFonts w:cs="Arial"/>
        </w:rPr>
        <w:t xml:space="preserve">’. </w:t>
      </w:r>
      <w:r w:rsidR="00946669" w:rsidRPr="009E36E7">
        <w:rPr>
          <w:rFonts w:cs="Arial"/>
        </w:rPr>
        <w:t>This is a direct response to previous calls for a better alignment between STRP and CEPA processes</w:t>
      </w:r>
      <w:r w:rsidR="007F2299" w:rsidRPr="009E36E7">
        <w:rPr>
          <w:rFonts w:cs="Arial"/>
        </w:rPr>
        <w:t xml:space="preserve"> by</w:t>
      </w:r>
      <w:r w:rsidR="001C544D" w:rsidRPr="009E36E7">
        <w:rPr>
          <w:rFonts w:cs="Arial"/>
        </w:rPr>
        <w:t xml:space="preserve"> </w:t>
      </w:r>
      <w:r w:rsidR="00946669" w:rsidRPr="009E36E7">
        <w:rPr>
          <w:rFonts w:cs="Arial"/>
        </w:rPr>
        <w:t>the Secretariat and the Parties.</w:t>
      </w:r>
      <w:r w:rsidR="00906F5A" w:rsidRPr="009E36E7">
        <w:rPr>
          <w:rFonts w:cs="Arial"/>
        </w:rPr>
        <w:t xml:space="preserve"> </w:t>
      </w:r>
    </w:p>
    <w:p w:rsidR="001B33B2" w:rsidRPr="009E36E7" w:rsidRDefault="001B33B2" w:rsidP="009E36E7">
      <w:pPr>
        <w:spacing w:after="0" w:line="240" w:lineRule="auto"/>
        <w:rPr>
          <w:rFonts w:cs="Arial"/>
        </w:rPr>
      </w:pPr>
    </w:p>
    <w:p w:rsidR="001C544D" w:rsidRPr="009E36E7" w:rsidRDefault="001C544D" w:rsidP="009E36E7">
      <w:pPr>
        <w:spacing w:after="0" w:line="240" w:lineRule="auto"/>
        <w:rPr>
          <w:rFonts w:cs="Arial"/>
          <w:b/>
        </w:rPr>
      </w:pPr>
    </w:p>
    <w:p w:rsidR="004779B1" w:rsidRPr="009E36E7" w:rsidRDefault="004779B1" w:rsidP="009E36E7">
      <w:pPr>
        <w:spacing w:after="0" w:line="240" w:lineRule="auto"/>
        <w:rPr>
          <w:rFonts w:cs="Arial"/>
          <w:b/>
          <w:sz w:val="24"/>
          <w:szCs w:val="24"/>
        </w:rPr>
      </w:pPr>
      <w:r w:rsidRPr="009E36E7">
        <w:rPr>
          <w:rFonts w:cs="Arial"/>
          <w:b/>
          <w:sz w:val="24"/>
          <w:szCs w:val="24"/>
        </w:rPr>
        <w:t>CEPA Programme implementation since COP1</w:t>
      </w:r>
      <w:r w:rsidR="00946669" w:rsidRPr="009E36E7">
        <w:rPr>
          <w:rFonts w:cs="Arial"/>
          <w:b/>
          <w:sz w:val="24"/>
          <w:szCs w:val="24"/>
        </w:rPr>
        <w:t>1</w:t>
      </w:r>
    </w:p>
    <w:p w:rsidR="00677E5F" w:rsidRPr="009E36E7" w:rsidRDefault="00677E5F" w:rsidP="009E36E7">
      <w:pPr>
        <w:spacing w:after="0" w:line="240" w:lineRule="auto"/>
        <w:rPr>
          <w:rFonts w:cs="Arial"/>
          <w:b/>
        </w:rPr>
      </w:pPr>
    </w:p>
    <w:p w:rsidR="004779B1" w:rsidRPr="009E36E7" w:rsidRDefault="004779B1" w:rsidP="009E36E7">
      <w:pPr>
        <w:spacing w:after="0" w:line="240" w:lineRule="auto"/>
        <w:rPr>
          <w:rFonts w:cs="Arial"/>
          <w:b/>
        </w:rPr>
      </w:pPr>
      <w:r w:rsidRPr="009E36E7">
        <w:rPr>
          <w:rFonts w:cs="Arial"/>
          <w:b/>
        </w:rPr>
        <w:t>The CEPA Oversight Panel</w:t>
      </w:r>
    </w:p>
    <w:p w:rsidR="000A0707" w:rsidRPr="009E36E7" w:rsidRDefault="000A0707" w:rsidP="009E36E7">
      <w:pPr>
        <w:spacing w:after="0" w:line="240" w:lineRule="auto"/>
        <w:rPr>
          <w:rFonts w:cs="Arial"/>
        </w:rPr>
      </w:pPr>
    </w:p>
    <w:p w:rsidR="004779B1" w:rsidRPr="009E36E7" w:rsidRDefault="004779B1" w:rsidP="00A76467">
      <w:pPr>
        <w:pStyle w:val="ListParagraph"/>
        <w:numPr>
          <w:ilvl w:val="0"/>
          <w:numId w:val="25"/>
        </w:numPr>
        <w:spacing w:after="0" w:line="240" w:lineRule="auto"/>
        <w:ind w:left="426" w:hanging="426"/>
        <w:rPr>
          <w:rFonts w:cs="Arial"/>
        </w:rPr>
      </w:pPr>
      <w:r w:rsidRPr="009E36E7">
        <w:rPr>
          <w:rFonts w:cs="Arial"/>
        </w:rPr>
        <w:t>Through Resolution IX.18 (2005) and Standing Committee Decision SC34-12 (2006), the</w:t>
      </w:r>
      <w:r w:rsidR="00C565F2" w:rsidRPr="009E36E7">
        <w:rPr>
          <w:rFonts w:cs="Arial"/>
        </w:rPr>
        <w:t xml:space="preserve"> </w:t>
      </w:r>
      <w:r w:rsidRPr="009E36E7">
        <w:rPr>
          <w:rFonts w:cs="Arial"/>
        </w:rPr>
        <w:t>Parties established a CEPA Oversight Panel to monitor and report on the</w:t>
      </w:r>
      <w:r w:rsidR="00C565F2" w:rsidRPr="009E36E7">
        <w:rPr>
          <w:rFonts w:cs="Arial"/>
        </w:rPr>
        <w:t xml:space="preserve"> </w:t>
      </w:r>
      <w:r w:rsidR="00483AC4" w:rsidRPr="009E36E7">
        <w:rPr>
          <w:rFonts w:cs="Arial"/>
        </w:rPr>
        <w:t>Implementation</w:t>
      </w:r>
      <w:r w:rsidRPr="009E36E7">
        <w:rPr>
          <w:rFonts w:cs="Arial"/>
        </w:rPr>
        <w:t xml:space="preserve"> of the CEPA Programme. The Panel operates largely through e-mail but</w:t>
      </w:r>
      <w:r w:rsidR="00C565F2" w:rsidRPr="009E36E7">
        <w:rPr>
          <w:rFonts w:cs="Arial"/>
        </w:rPr>
        <w:t xml:space="preserve"> </w:t>
      </w:r>
      <w:r w:rsidRPr="009E36E7">
        <w:rPr>
          <w:rFonts w:cs="Arial"/>
        </w:rPr>
        <w:t xml:space="preserve">has met </w:t>
      </w:r>
      <w:r w:rsidR="0004480D" w:rsidRPr="009E36E7">
        <w:rPr>
          <w:rFonts w:cs="Arial"/>
        </w:rPr>
        <w:t>twice</w:t>
      </w:r>
      <w:r w:rsidR="00BA5B37" w:rsidRPr="009E36E7">
        <w:rPr>
          <w:rFonts w:cs="Arial"/>
        </w:rPr>
        <w:t xml:space="preserve"> </w:t>
      </w:r>
      <w:r w:rsidRPr="009E36E7">
        <w:rPr>
          <w:rFonts w:cs="Arial"/>
        </w:rPr>
        <w:t>during the triennium and will meet again during COP1</w:t>
      </w:r>
      <w:r w:rsidR="00774984" w:rsidRPr="009E36E7">
        <w:rPr>
          <w:rFonts w:cs="Arial"/>
        </w:rPr>
        <w:t>2</w:t>
      </w:r>
      <w:r w:rsidRPr="009E36E7">
        <w:rPr>
          <w:rFonts w:cs="Arial"/>
        </w:rPr>
        <w:t>. The Panel has also</w:t>
      </w:r>
      <w:r w:rsidR="00774984" w:rsidRPr="009E36E7">
        <w:rPr>
          <w:rFonts w:cs="Arial"/>
        </w:rPr>
        <w:t xml:space="preserve"> </w:t>
      </w:r>
      <w:r w:rsidRPr="009E36E7">
        <w:rPr>
          <w:rFonts w:cs="Arial"/>
        </w:rPr>
        <w:t xml:space="preserve">reported to Standing Committee meetings </w:t>
      </w:r>
      <w:r w:rsidR="00774984" w:rsidRPr="009E36E7">
        <w:rPr>
          <w:rFonts w:cs="Arial"/>
        </w:rPr>
        <w:t>44</w:t>
      </w:r>
      <w:r w:rsidRPr="009E36E7">
        <w:rPr>
          <w:rFonts w:cs="Arial"/>
        </w:rPr>
        <w:t>, 4</w:t>
      </w:r>
      <w:r w:rsidR="00774984" w:rsidRPr="009E36E7">
        <w:rPr>
          <w:rFonts w:cs="Arial"/>
        </w:rPr>
        <w:t>5</w:t>
      </w:r>
      <w:r w:rsidRPr="009E36E7">
        <w:rPr>
          <w:rFonts w:cs="Arial"/>
        </w:rPr>
        <w:t>, 4</w:t>
      </w:r>
      <w:r w:rsidR="00774984" w:rsidRPr="009E36E7">
        <w:rPr>
          <w:rFonts w:cs="Arial"/>
        </w:rPr>
        <w:t xml:space="preserve">6, 47 and 48 </w:t>
      </w:r>
      <w:r w:rsidRPr="009E36E7">
        <w:rPr>
          <w:rFonts w:cs="Arial"/>
        </w:rPr>
        <w:t>on delivery of the Panel’s</w:t>
      </w:r>
      <w:r w:rsidR="00C565F2" w:rsidRPr="009E36E7">
        <w:rPr>
          <w:rFonts w:cs="Arial"/>
        </w:rPr>
        <w:t xml:space="preserve"> </w:t>
      </w:r>
      <w:r w:rsidRPr="009E36E7">
        <w:rPr>
          <w:rFonts w:cs="Arial"/>
        </w:rPr>
        <w:t xml:space="preserve">work plan. All of </w:t>
      </w:r>
      <w:r w:rsidR="0004480D" w:rsidRPr="009E36E7">
        <w:rPr>
          <w:rFonts w:cs="Arial"/>
        </w:rPr>
        <w:t xml:space="preserve">the Panel’s meeting </w:t>
      </w:r>
      <w:r w:rsidRPr="009E36E7">
        <w:rPr>
          <w:rFonts w:cs="Arial"/>
        </w:rPr>
        <w:t>reports are available</w:t>
      </w:r>
      <w:r w:rsidR="0004480D" w:rsidRPr="009E36E7">
        <w:rPr>
          <w:rFonts w:cs="Arial"/>
        </w:rPr>
        <w:t xml:space="preserve"> at www.ramsar.org/activity/the-cepa-oversight-panel</w:t>
      </w:r>
      <w:r w:rsidRPr="009E36E7">
        <w:rPr>
          <w:rFonts w:cs="Arial"/>
        </w:rPr>
        <w:t>.</w:t>
      </w:r>
    </w:p>
    <w:p w:rsidR="000A0707" w:rsidRPr="009E36E7" w:rsidRDefault="000A0707" w:rsidP="00A76467">
      <w:pPr>
        <w:pStyle w:val="ListParagraph"/>
        <w:spacing w:after="0" w:line="240" w:lineRule="auto"/>
        <w:ind w:left="426"/>
        <w:rPr>
          <w:rFonts w:cs="Arial"/>
        </w:rPr>
      </w:pPr>
    </w:p>
    <w:p w:rsidR="004779B1" w:rsidRDefault="004779B1" w:rsidP="00A76467">
      <w:pPr>
        <w:pStyle w:val="ListParagraph"/>
        <w:numPr>
          <w:ilvl w:val="0"/>
          <w:numId w:val="25"/>
        </w:numPr>
        <w:spacing w:after="0" w:line="240" w:lineRule="auto"/>
        <w:ind w:left="426" w:hanging="426"/>
        <w:rPr>
          <w:rFonts w:cs="Arial"/>
        </w:rPr>
      </w:pPr>
      <w:r w:rsidRPr="009E36E7">
        <w:rPr>
          <w:rFonts w:cs="Arial"/>
        </w:rPr>
        <w:lastRenderedPageBreak/>
        <w:t>During this triennium, the Panel completed certain tasks and will continue with some</w:t>
      </w:r>
      <w:r w:rsidR="00C565F2" w:rsidRPr="009E36E7">
        <w:rPr>
          <w:rFonts w:cs="Arial"/>
        </w:rPr>
        <w:t xml:space="preserve"> </w:t>
      </w:r>
      <w:r w:rsidR="007F2299" w:rsidRPr="009E36E7">
        <w:rPr>
          <w:rFonts w:cs="Arial"/>
        </w:rPr>
        <w:t>unfinished</w:t>
      </w:r>
      <w:r w:rsidRPr="009E36E7">
        <w:rPr>
          <w:rFonts w:cs="Arial"/>
        </w:rPr>
        <w:t xml:space="preserve"> tasks into the next triennium, as follows:</w:t>
      </w:r>
    </w:p>
    <w:p w:rsidR="00067A6C" w:rsidRPr="00067A6C" w:rsidRDefault="00067A6C" w:rsidP="00067A6C">
      <w:pPr>
        <w:pStyle w:val="ListParagraph"/>
        <w:rPr>
          <w:rFonts w:cs="Arial"/>
        </w:rPr>
      </w:pPr>
    </w:p>
    <w:p w:rsidR="00BA5B37" w:rsidRDefault="00BA5B37" w:rsidP="00A76467">
      <w:pPr>
        <w:pStyle w:val="ListParagraph"/>
        <w:numPr>
          <w:ilvl w:val="0"/>
          <w:numId w:val="27"/>
        </w:numPr>
        <w:spacing w:after="0" w:line="240" w:lineRule="auto"/>
        <w:ind w:left="851" w:hanging="425"/>
        <w:rPr>
          <w:rFonts w:cs="Arial"/>
        </w:rPr>
      </w:pPr>
      <w:r w:rsidRPr="009E36E7">
        <w:rPr>
          <w:rFonts w:cs="Arial"/>
        </w:rPr>
        <w:t xml:space="preserve">The Panel advised the Secretariat on the CEPA indicators for the draft National Reporting Form for COP12 that aim to assess the implementation of the CEPA component of the Strategic Plan. </w:t>
      </w:r>
    </w:p>
    <w:p w:rsidR="00067A6C" w:rsidRPr="009E36E7" w:rsidRDefault="00067A6C" w:rsidP="00067A6C">
      <w:pPr>
        <w:pStyle w:val="ListParagraph"/>
        <w:spacing w:after="0" w:line="240" w:lineRule="auto"/>
        <w:ind w:left="851"/>
        <w:rPr>
          <w:rFonts w:cs="Arial"/>
        </w:rPr>
      </w:pPr>
    </w:p>
    <w:p w:rsidR="00BA5B37" w:rsidRDefault="00B56DC5" w:rsidP="00A76467">
      <w:pPr>
        <w:pStyle w:val="ListParagraph"/>
        <w:numPr>
          <w:ilvl w:val="0"/>
          <w:numId w:val="27"/>
        </w:numPr>
        <w:spacing w:after="0" w:line="240" w:lineRule="auto"/>
        <w:ind w:left="851" w:hanging="425"/>
        <w:rPr>
          <w:rFonts w:cs="Arial"/>
        </w:rPr>
      </w:pPr>
      <w:r w:rsidRPr="009E36E7">
        <w:rPr>
          <w:rFonts w:cs="Arial"/>
        </w:rPr>
        <w:t>It met with the four</w:t>
      </w:r>
      <w:r w:rsidR="00BA5B37" w:rsidRPr="009E36E7">
        <w:rPr>
          <w:rFonts w:cs="Arial"/>
        </w:rPr>
        <w:t xml:space="preserve"> Ramsar Regional Centres to discuss their capacity building challenges </w:t>
      </w:r>
      <w:r w:rsidR="00067A6C">
        <w:rPr>
          <w:rFonts w:cs="Arial"/>
        </w:rPr>
        <w:t>and</w:t>
      </w:r>
      <w:r w:rsidR="00067A6C" w:rsidRPr="009E36E7">
        <w:rPr>
          <w:rFonts w:cs="Arial"/>
        </w:rPr>
        <w:t xml:space="preserve"> </w:t>
      </w:r>
      <w:r w:rsidR="00BA5B37" w:rsidRPr="009E36E7">
        <w:rPr>
          <w:rFonts w:cs="Arial"/>
        </w:rPr>
        <w:t xml:space="preserve">needs and agreed together with the </w:t>
      </w:r>
      <w:r w:rsidR="00067A6C">
        <w:rPr>
          <w:rFonts w:cs="Arial"/>
        </w:rPr>
        <w:t>C</w:t>
      </w:r>
      <w:r w:rsidR="00067A6C" w:rsidRPr="009E36E7">
        <w:rPr>
          <w:rFonts w:cs="Arial"/>
        </w:rPr>
        <w:t xml:space="preserve">entres </w:t>
      </w:r>
      <w:r w:rsidR="00BA5B37" w:rsidRPr="009E36E7">
        <w:rPr>
          <w:rFonts w:cs="Arial"/>
        </w:rPr>
        <w:t xml:space="preserve">a list of key training materials that can be readily translated for broad use. </w:t>
      </w:r>
    </w:p>
    <w:p w:rsidR="00067A6C" w:rsidRPr="00067A6C" w:rsidRDefault="00067A6C" w:rsidP="00067A6C">
      <w:pPr>
        <w:pStyle w:val="ListParagraph"/>
        <w:rPr>
          <w:rFonts w:cs="Arial"/>
        </w:rPr>
      </w:pPr>
    </w:p>
    <w:p w:rsidR="00BA5B37" w:rsidRDefault="00BA5B37" w:rsidP="00A76467">
      <w:pPr>
        <w:pStyle w:val="ListParagraph"/>
        <w:numPr>
          <w:ilvl w:val="0"/>
          <w:numId w:val="27"/>
        </w:numPr>
        <w:spacing w:after="0" w:line="240" w:lineRule="auto"/>
        <w:ind w:left="851" w:hanging="425"/>
        <w:rPr>
          <w:rFonts w:cs="Arial"/>
        </w:rPr>
      </w:pPr>
      <w:r w:rsidRPr="009E36E7">
        <w:rPr>
          <w:rFonts w:cs="Arial"/>
        </w:rPr>
        <w:t xml:space="preserve">It met the </w:t>
      </w:r>
      <w:r w:rsidR="00067A6C">
        <w:rPr>
          <w:rFonts w:cs="Arial"/>
        </w:rPr>
        <w:t>STRP</w:t>
      </w:r>
      <w:r w:rsidRPr="009E36E7">
        <w:rPr>
          <w:rFonts w:cs="Arial"/>
        </w:rPr>
        <w:t xml:space="preserve"> to discuss strategies to improve and support capacity building at the national and local level. </w:t>
      </w:r>
      <w:r w:rsidR="00067A6C">
        <w:rPr>
          <w:rFonts w:cs="Arial"/>
        </w:rPr>
        <w:t>The</w:t>
      </w:r>
      <w:r w:rsidR="00067A6C" w:rsidRPr="009E36E7">
        <w:rPr>
          <w:rFonts w:cs="Arial"/>
        </w:rPr>
        <w:t xml:space="preserve"> </w:t>
      </w:r>
      <w:r w:rsidRPr="009E36E7">
        <w:rPr>
          <w:rFonts w:cs="Arial"/>
        </w:rPr>
        <w:t xml:space="preserve">panels agreed to cooperate and work to develop a set of common guiding principles. </w:t>
      </w:r>
    </w:p>
    <w:p w:rsidR="00067A6C" w:rsidRPr="00067A6C" w:rsidRDefault="00067A6C" w:rsidP="00067A6C">
      <w:pPr>
        <w:pStyle w:val="ListParagraph"/>
        <w:rPr>
          <w:rFonts w:cs="Arial"/>
        </w:rPr>
      </w:pPr>
    </w:p>
    <w:p w:rsidR="00DF2C21" w:rsidRDefault="00DC0CCF" w:rsidP="00A76467">
      <w:pPr>
        <w:pStyle w:val="ListParagraph"/>
        <w:numPr>
          <w:ilvl w:val="0"/>
          <w:numId w:val="27"/>
        </w:numPr>
        <w:spacing w:after="0" w:line="240" w:lineRule="auto"/>
        <w:ind w:left="851" w:hanging="425"/>
        <w:rPr>
          <w:rFonts w:cs="Arial"/>
        </w:rPr>
      </w:pPr>
      <w:r w:rsidRPr="009E36E7">
        <w:rPr>
          <w:rFonts w:cs="Arial"/>
        </w:rPr>
        <w:t>It reviewed the understanding of the CEPA terms an</w:t>
      </w:r>
      <w:r w:rsidR="00DF2C21" w:rsidRPr="009E36E7">
        <w:rPr>
          <w:rFonts w:cs="Arial"/>
        </w:rPr>
        <w:t>d</w:t>
      </w:r>
      <w:r w:rsidRPr="009E36E7">
        <w:rPr>
          <w:rFonts w:cs="Arial"/>
        </w:rPr>
        <w:t xml:space="preserve"> definition</w:t>
      </w:r>
      <w:r w:rsidR="00DF2C21" w:rsidRPr="009E36E7">
        <w:rPr>
          <w:rFonts w:cs="Arial"/>
        </w:rPr>
        <w:t>s</w:t>
      </w:r>
      <w:r w:rsidR="00067A6C">
        <w:rPr>
          <w:rFonts w:cs="Arial"/>
        </w:rPr>
        <w:t>,</w:t>
      </w:r>
      <w:r w:rsidRPr="009E36E7">
        <w:rPr>
          <w:rFonts w:cs="Arial"/>
        </w:rPr>
        <w:t xml:space="preserve"> concluding that ther</w:t>
      </w:r>
      <w:r w:rsidR="00DF2C21" w:rsidRPr="009E36E7">
        <w:rPr>
          <w:rFonts w:cs="Arial"/>
        </w:rPr>
        <w:t xml:space="preserve">e was some common understanding, but also major differences which called for a revision of the terms to reflect the breadth of the programme. The Panel </w:t>
      </w:r>
      <w:r w:rsidRPr="009E36E7">
        <w:rPr>
          <w:rFonts w:cs="Arial"/>
        </w:rPr>
        <w:t>proposed a new name</w:t>
      </w:r>
      <w:r w:rsidR="00067A6C">
        <w:rPr>
          <w:rFonts w:cs="Arial"/>
        </w:rPr>
        <w:t xml:space="preserve"> – </w:t>
      </w:r>
      <w:r w:rsidR="001E51D9">
        <w:rPr>
          <w:rFonts w:cs="Arial"/>
        </w:rPr>
        <w:t>t</w:t>
      </w:r>
      <w:r w:rsidR="00067A6C">
        <w:rPr>
          <w:rFonts w:cs="Arial"/>
        </w:rPr>
        <w:t xml:space="preserve">he </w:t>
      </w:r>
      <w:r w:rsidR="00DF2C21" w:rsidRPr="009E36E7">
        <w:rPr>
          <w:rFonts w:cs="Arial"/>
        </w:rPr>
        <w:t xml:space="preserve">Wetlands and People </w:t>
      </w:r>
      <w:r w:rsidR="00067A6C" w:rsidRPr="009E36E7">
        <w:rPr>
          <w:rFonts w:cs="Arial"/>
        </w:rPr>
        <w:t>Programme</w:t>
      </w:r>
      <w:r w:rsidR="00067A6C">
        <w:rPr>
          <w:rFonts w:cs="Arial"/>
        </w:rPr>
        <w:t xml:space="preserve"> – </w:t>
      </w:r>
      <w:r w:rsidR="00DF2C21" w:rsidRPr="009E36E7">
        <w:rPr>
          <w:rFonts w:cs="Arial"/>
        </w:rPr>
        <w:t xml:space="preserve">to replace </w:t>
      </w:r>
      <w:r w:rsidRPr="009E36E7">
        <w:rPr>
          <w:rFonts w:cs="Arial"/>
        </w:rPr>
        <w:t>the CEPA Programme</w:t>
      </w:r>
      <w:r w:rsidR="00DF2C21" w:rsidRPr="009E36E7">
        <w:rPr>
          <w:rFonts w:cs="Arial"/>
        </w:rPr>
        <w:t xml:space="preserve"> following agreement that </w:t>
      </w:r>
      <w:r w:rsidR="00067A6C">
        <w:rPr>
          <w:rFonts w:cs="Arial"/>
        </w:rPr>
        <w:t>‘</w:t>
      </w:r>
      <w:r w:rsidR="00DF2C21" w:rsidRPr="009E36E7">
        <w:rPr>
          <w:rFonts w:cs="Arial"/>
        </w:rPr>
        <w:t>CEPA</w:t>
      </w:r>
      <w:r w:rsidR="00067A6C">
        <w:rPr>
          <w:rFonts w:cs="Arial"/>
        </w:rPr>
        <w:t>’</w:t>
      </w:r>
      <w:r w:rsidR="00DF2C21" w:rsidRPr="009E36E7">
        <w:rPr>
          <w:rFonts w:cs="Arial"/>
        </w:rPr>
        <w:t xml:space="preserve"> was not well understood outside the Ramsar Community. </w:t>
      </w:r>
    </w:p>
    <w:p w:rsidR="00067A6C" w:rsidRPr="00067A6C" w:rsidRDefault="00067A6C" w:rsidP="00067A6C">
      <w:pPr>
        <w:pStyle w:val="ListParagraph"/>
        <w:rPr>
          <w:rFonts w:cs="Arial"/>
        </w:rPr>
      </w:pPr>
    </w:p>
    <w:p w:rsidR="00BA5B37" w:rsidRPr="009E36E7" w:rsidRDefault="00DC0CCF" w:rsidP="00A76467">
      <w:pPr>
        <w:pStyle w:val="ListParagraph"/>
        <w:numPr>
          <w:ilvl w:val="0"/>
          <w:numId w:val="27"/>
        </w:numPr>
        <w:spacing w:after="0" w:line="240" w:lineRule="auto"/>
        <w:ind w:left="851" w:hanging="425"/>
        <w:rPr>
          <w:rFonts w:cs="Arial"/>
        </w:rPr>
      </w:pPr>
      <w:r w:rsidRPr="009E36E7">
        <w:rPr>
          <w:rFonts w:cs="Arial"/>
        </w:rPr>
        <w:t>It discussed</w:t>
      </w:r>
      <w:r w:rsidR="00BA5B37" w:rsidRPr="009E36E7">
        <w:rPr>
          <w:rFonts w:cs="Arial"/>
        </w:rPr>
        <w:t xml:space="preserve"> and identified priorities for the </w:t>
      </w:r>
      <w:r w:rsidR="00155F35" w:rsidRPr="009E36E7">
        <w:rPr>
          <w:rFonts w:cs="Arial"/>
        </w:rPr>
        <w:t xml:space="preserve">new </w:t>
      </w:r>
      <w:r w:rsidR="00067A6C">
        <w:rPr>
          <w:rFonts w:cs="Arial"/>
        </w:rPr>
        <w:t>P</w:t>
      </w:r>
      <w:r w:rsidR="00067A6C" w:rsidRPr="009E36E7">
        <w:rPr>
          <w:rFonts w:cs="Arial"/>
        </w:rPr>
        <w:t xml:space="preserve">rogramme </w:t>
      </w:r>
      <w:r w:rsidR="00BA5B37" w:rsidRPr="009E36E7">
        <w:rPr>
          <w:rFonts w:cs="Arial"/>
        </w:rPr>
        <w:t>for the next triennium</w:t>
      </w:r>
      <w:r w:rsidR="00067A6C">
        <w:rPr>
          <w:rFonts w:cs="Arial"/>
        </w:rPr>
        <w:t>,</w:t>
      </w:r>
      <w:r w:rsidR="00BA5B37" w:rsidRPr="009E36E7">
        <w:rPr>
          <w:rFonts w:cs="Arial"/>
        </w:rPr>
        <w:t xml:space="preserve"> </w:t>
      </w:r>
      <w:r w:rsidR="00891249" w:rsidRPr="009E36E7">
        <w:rPr>
          <w:rFonts w:cs="Arial"/>
        </w:rPr>
        <w:t>all of which have been included in the COP12 documents.</w:t>
      </w:r>
    </w:p>
    <w:p w:rsidR="000A0707" w:rsidRPr="009E36E7" w:rsidRDefault="000A0707" w:rsidP="009E36E7">
      <w:pPr>
        <w:spacing w:after="0" w:line="240" w:lineRule="auto"/>
        <w:rPr>
          <w:rFonts w:cs="Arial"/>
        </w:rPr>
      </w:pPr>
    </w:p>
    <w:p w:rsidR="004779B1" w:rsidRPr="009E36E7" w:rsidRDefault="004779B1" w:rsidP="00A76467">
      <w:pPr>
        <w:pStyle w:val="ListParagraph"/>
        <w:numPr>
          <w:ilvl w:val="0"/>
          <w:numId w:val="25"/>
        </w:numPr>
        <w:spacing w:after="0" w:line="240" w:lineRule="auto"/>
        <w:ind w:left="426" w:hanging="426"/>
        <w:rPr>
          <w:rFonts w:cs="Arial"/>
        </w:rPr>
      </w:pPr>
      <w:r w:rsidRPr="009E36E7">
        <w:rPr>
          <w:rFonts w:cs="Arial"/>
        </w:rPr>
        <w:t>The CEPA Panel</w:t>
      </w:r>
      <w:r w:rsidR="00891249" w:rsidRPr="009E36E7">
        <w:rPr>
          <w:rFonts w:cs="Arial"/>
        </w:rPr>
        <w:t xml:space="preserve"> made progress</w:t>
      </w:r>
      <w:r w:rsidR="00714AF4" w:rsidRPr="009E36E7">
        <w:rPr>
          <w:rFonts w:cs="Arial"/>
        </w:rPr>
        <w:t xml:space="preserve"> but did not conclude</w:t>
      </w:r>
      <w:r w:rsidR="00891249" w:rsidRPr="009E36E7">
        <w:rPr>
          <w:rFonts w:cs="Arial"/>
        </w:rPr>
        <w:t xml:space="preserve"> on the review of two </w:t>
      </w:r>
      <w:r w:rsidR="00794B62" w:rsidRPr="009E36E7">
        <w:rPr>
          <w:rFonts w:cs="Arial"/>
        </w:rPr>
        <w:t>r</w:t>
      </w:r>
      <w:r w:rsidRPr="009E36E7">
        <w:rPr>
          <w:rFonts w:cs="Arial"/>
        </w:rPr>
        <w:t xml:space="preserve">esolutions relevant </w:t>
      </w:r>
      <w:r w:rsidR="00794B62" w:rsidRPr="009E36E7">
        <w:rPr>
          <w:rFonts w:cs="Arial"/>
        </w:rPr>
        <w:t xml:space="preserve">to participation in management </w:t>
      </w:r>
      <w:r w:rsidR="00067A6C">
        <w:rPr>
          <w:rFonts w:cs="Arial"/>
        </w:rPr>
        <w:t>(</w:t>
      </w:r>
      <w:r w:rsidRPr="009E36E7">
        <w:rPr>
          <w:rFonts w:cs="Arial"/>
        </w:rPr>
        <w:t xml:space="preserve">Resolutions VII.8 </w:t>
      </w:r>
      <w:r w:rsidR="00794B62" w:rsidRPr="009E36E7">
        <w:rPr>
          <w:rFonts w:cs="Arial"/>
        </w:rPr>
        <w:t>on Guidelines for establishing and strengthening local communities and indigenous people’s participation in the management of wetlands and VIII.36 On participatory Environment Management (PEM) as a tool for management and wise use of wetlands</w:t>
      </w:r>
      <w:r w:rsidR="00067A6C">
        <w:rPr>
          <w:rFonts w:cs="Arial"/>
        </w:rPr>
        <w:t>)</w:t>
      </w:r>
      <w:r w:rsidR="00794B62" w:rsidRPr="009E36E7">
        <w:rPr>
          <w:rFonts w:cs="Arial"/>
        </w:rPr>
        <w:t xml:space="preserve"> to advise on the need for consolidation and updating of this guidance. Work on</w:t>
      </w:r>
      <w:r w:rsidR="00714AF4" w:rsidRPr="009E36E7">
        <w:rPr>
          <w:rFonts w:cs="Arial"/>
        </w:rPr>
        <w:t xml:space="preserve"> advising</w:t>
      </w:r>
      <w:r w:rsidR="00794B62" w:rsidRPr="009E36E7">
        <w:rPr>
          <w:rFonts w:cs="Arial"/>
        </w:rPr>
        <w:t xml:space="preserve"> on the future of the</w:t>
      </w:r>
      <w:r w:rsidR="00714AF4" w:rsidRPr="009E36E7">
        <w:rPr>
          <w:rFonts w:cs="Arial"/>
        </w:rPr>
        <w:t>se</w:t>
      </w:r>
      <w:r w:rsidR="00794B62" w:rsidRPr="009E36E7">
        <w:rPr>
          <w:rFonts w:cs="Arial"/>
        </w:rPr>
        <w:t xml:space="preserve"> two resolutions will continue into the next triennium. </w:t>
      </w:r>
    </w:p>
    <w:p w:rsidR="004779B1" w:rsidRPr="009E36E7" w:rsidRDefault="004779B1" w:rsidP="009E36E7">
      <w:pPr>
        <w:spacing w:after="0" w:line="240" w:lineRule="auto"/>
        <w:rPr>
          <w:rFonts w:cs="Arial"/>
        </w:rPr>
      </w:pPr>
    </w:p>
    <w:p w:rsidR="004779B1" w:rsidRPr="009E36E7" w:rsidRDefault="0004480D" w:rsidP="009E36E7">
      <w:pPr>
        <w:spacing w:after="0" w:line="240" w:lineRule="auto"/>
        <w:rPr>
          <w:rFonts w:cs="Arial"/>
          <w:b/>
        </w:rPr>
      </w:pPr>
      <w:r w:rsidRPr="009E36E7">
        <w:rPr>
          <w:rFonts w:cs="Arial"/>
          <w:b/>
        </w:rPr>
        <w:t xml:space="preserve">Increasing </w:t>
      </w:r>
      <w:r w:rsidR="004779B1" w:rsidRPr="009E36E7">
        <w:rPr>
          <w:rFonts w:cs="Arial"/>
          <w:b/>
        </w:rPr>
        <w:t xml:space="preserve">CEPA expertise in the Convention’s </w:t>
      </w:r>
      <w:r w:rsidR="001E51D9" w:rsidRPr="009E36E7">
        <w:rPr>
          <w:rFonts w:cs="Arial"/>
          <w:b/>
        </w:rPr>
        <w:t>scientific and technical guidance</w:t>
      </w:r>
    </w:p>
    <w:p w:rsidR="000A0707" w:rsidRPr="009E36E7" w:rsidRDefault="000A0707" w:rsidP="009E36E7">
      <w:pPr>
        <w:spacing w:after="0" w:line="240" w:lineRule="auto"/>
        <w:rPr>
          <w:rFonts w:cs="Arial"/>
        </w:rPr>
      </w:pPr>
    </w:p>
    <w:p w:rsidR="00BB53B4" w:rsidRPr="009E36E7" w:rsidRDefault="00946669" w:rsidP="00A76467">
      <w:pPr>
        <w:pStyle w:val="ListParagraph"/>
        <w:numPr>
          <w:ilvl w:val="0"/>
          <w:numId w:val="25"/>
        </w:numPr>
        <w:spacing w:after="0" w:line="240" w:lineRule="auto"/>
        <w:ind w:left="426" w:hanging="426"/>
        <w:rPr>
          <w:rFonts w:cs="Arial"/>
        </w:rPr>
      </w:pPr>
      <w:r w:rsidRPr="009E36E7">
        <w:rPr>
          <w:rFonts w:cs="Arial"/>
        </w:rPr>
        <w:t xml:space="preserve">Resolution XI.16 </w:t>
      </w:r>
      <w:r w:rsidR="0004480D" w:rsidRPr="009E36E7">
        <w:rPr>
          <w:rFonts w:cs="Arial"/>
        </w:rPr>
        <w:t xml:space="preserve">on </w:t>
      </w:r>
      <w:r w:rsidR="00DF7299" w:rsidRPr="009E36E7">
        <w:rPr>
          <w:rFonts w:cs="Arial"/>
        </w:rPr>
        <w:t>e</w:t>
      </w:r>
      <w:r w:rsidR="0004480D" w:rsidRPr="009E36E7">
        <w:rPr>
          <w:rFonts w:cs="Arial"/>
        </w:rPr>
        <w:t xml:space="preserve">nsuring efficient delivery of scientific and technical advice and support to the Convention </w:t>
      </w:r>
      <w:r w:rsidR="00EA1F51" w:rsidRPr="009E36E7">
        <w:rPr>
          <w:rFonts w:cs="Arial"/>
        </w:rPr>
        <w:t>mandated</w:t>
      </w:r>
      <w:r w:rsidR="00906F5A" w:rsidRPr="009E36E7">
        <w:rPr>
          <w:rFonts w:cs="Arial"/>
        </w:rPr>
        <w:t xml:space="preserve"> </w:t>
      </w:r>
      <w:r w:rsidR="00067A6C">
        <w:rPr>
          <w:rFonts w:cs="Arial"/>
        </w:rPr>
        <w:t>‘</w:t>
      </w:r>
      <w:r w:rsidR="00906F5A" w:rsidRPr="009E36E7">
        <w:rPr>
          <w:rFonts w:cs="Arial"/>
        </w:rPr>
        <w:t>ensuring efficient delivery of scientific and technical advice and support to the Convention</w:t>
      </w:r>
      <w:r w:rsidR="00EA1F51" w:rsidRPr="009E36E7">
        <w:rPr>
          <w:rFonts w:cs="Arial"/>
        </w:rPr>
        <w:t>,</w:t>
      </w:r>
      <w:r w:rsidR="00067A6C">
        <w:rPr>
          <w:rFonts w:cs="Arial"/>
        </w:rPr>
        <w:t>’</w:t>
      </w:r>
      <w:r w:rsidR="00906F5A" w:rsidRPr="009E36E7">
        <w:rPr>
          <w:rFonts w:cs="Arial"/>
        </w:rPr>
        <w:t xml:space="preserve"> </w:t>
      </w:r>
      <w:r w:rsidR="00EA1F51" w:rsidRPr="009E36E7">
        <w:rPr>
          <w:rFonts w:cs="Arial"/>
        </w:rPr>
        <w:t>and d</w:t>
      </w:r>
      <w:r w:rsidR="00906F5A" w:rsidRPr="009E36E7">
        <w:rPr>
          <w:rFonts w:cs="Arial"/>
        </w:rPr>
        <w:t xml:space="preserve">uring the </w:t>
      </w:r>
      <w:r w:rsidR="00EA1F51" w:rsidRPr="009E36E7">
        <w:rPr>
          <w:rFonts w:cs="Arial"/>
        </w:rPr>
        <w:t xml:space="preserve">course of the </w:t>
      </w:r>
      <w:r w:rsidR="00906F5A" w:rsidRPr="009E36E7">
        <w:rPr>
          <w:rFonts w:cs="Arial"/>
        </w:rPr>
        <w:t xml:space="preserve">triennium, </w:t>
      </w:r>
      <w:r w:rsidR="00BB53B4" w:rsidRPr="009E36E7">
        <w:rPr>
          <w:rFonts w:cs="Arial"/>
        </w:rPr>
        <w:t xml:space="preserve">a Review of Ramsar Scientific and Technical Guidance was commissioned, consisting of a </w:t>
      </w:r>
      <w:r w:rsidR="001E51D9" w:rsidRPr="009E36E7">
        <w:rPr>
          <w:rFonts w:cs="Arial"/>
        </w:rPr>
        <w:t>final summary report</w:t>
      </w:r>
      <w:r w:rsidR="00BB53B4" w:rsidRPr="009E36E7">
        <w:rPr>
          <w:rFonts w:cs="Arial"/>
        </w:rPr>
        <w:t xml:space="preserve"> and four specific analyses</w:t>
      </w:r>
      <w:r w:rsidR="00906F5A" w:rsidRPr="009E36E7">
        <w:rPr>
          <w:rFonts w:cs="Arial"/>
        </w:rPr>
        <w:t xml:space="preserve">: </w:t>
      </w:r>
    </w:p>
    <w:p w:rsidR="00BB53B4" w:rsidRPr="009E36E7" w:rsidRDefault="00BB53B4" w:rsidP="00A76467">
      <w:pPr>
        <w:pStyle w:val="ListParagraph"/>
        <w:numPr>
          <w:ilvl w:val="0"/>
          <w:numId w:val="27"/>
        </w:numPr>
        <w:spacing w:after="0" w:line="240" w:lineRule="auto"/>
        <w:ind w:left="851" w:hanging="425"/>
        <w:rPr>
          <w:rFonts w:cs="Arial"/>
        </w:rPr>
      </w:pPr>
      <w:r w:rsidRPr="009E36E7">
        <w:rPr>
          <w:rFonts w:cs="Arial"/>
        </w:rPr>
        <w:t xml:space="preserve">Review of existing Ramsar </w:t>
      </w:r>
      <w:r w:rsidR="001E51D9" w:rsidRPr="009E36E7">
        <w:rPr>
          <w:rFonts w:cs="Arial"/>
        </w:rPr>
        <w:t xml:space="preserve">scientific and technical guidance and processes, their utility, use, application and conversion into practical tools </w:t>
      </w:r>
    </w:p>
    <w:p w:rsidR="00EA1F51" w:rsidRPr="009E36E7" w:rsidRDefault="00EA1F51" w:rsidP="00A76467">
      <w:pPr>
        <w:pStyle w:val="ListParagraph"/>
        <w:numPr>
          <w:ilvl w:val="0"/>
          <w:numId w:val="27"/>
        </w:numPr>
        <w:spacing w:after="0" w:line="240" w:lineRule="auto"/>
        <w:ind w:left="851" w:hanging="425"/>
        <w:rPr>
          <w:rFonts w:cs="Arial"/>
        </w:rPr>
      </w:pPr>
      <w:r w:rsidRPr="009E36E7">
        <w:rPr>
          <w:rFonts w:cs="Arial"/>
        </w:rPr>
        <w:t xml:space="preserve">Review of the </w:t>
      </w:r>
      <w:r w:rsidR="001E51D9" w:rsidRPr="009E36E7">
        <w:rPr>
          <w:rFonts w:cs="Arial"/>
        </w:rPr>
        <w:t xml:space="preserve">ROLES </w:t>
      </w:r>
      <w:r w:rsidRPr="009E36E7">
        <w:rPr>
          <w:rFonts w:cs="Arial"/>
        </w:rPr>
        <w:t xml:space="preserve">of Ramsar </w:t>
      </w:r>
      <w:r w:rsidR="001E51D9" w:rsidRPr="009E36E7">
        <w:rPr>
          <w:rFonts w:cs="Arial"/>
        </w:rPr>
        <w:t>bodies and processes providing scientific support and delivery</w:t>
      </w:r>
    </w:p>
    <w:p w:rsidR="00EA1F51" w:rsidRPr="009E36E7" w:rsidRDefault="00EA1F51" w:rsidP="00A76467">
      <w:pPr>
        <w:pStyle w:val="ListParagraph"/>
        <w:numPr>
          <w:ilvl w:val="0"/>
          <w:numId w:val="27"/>
        </w:numPr>
        <w:spacing w:after="0" w:line="240" w:lineRule="auto"/>
        <w:ind w:left="851" w:hanging="425"/>
        <w:rPr>
          <w:rFonts w:cs="Arial"/>
        </w:rPr>
      </w:pPr>
      <w:r w:rsidRPr="009E36E7">
        <w:rPr>
          <w:rFonts w:cs="Arial"/>
        </w:rPr>
        <w:t>Review of scientific guidance and tools in other Multilateral Environmental Agreements and lessons learnt for Ramsar</w:t>
      </w:r>
    </w:p>
    <w:p w:rsidR="00D92F12" w:rsidRPr="009E36E7" w:rsidRDefault="00EA1F51" w:rsidP="00A76467">
      <w:pPr>
        <w:pStyle w:val="ListParagraph"/>
        <w:numPr>
          <w:ilvl w:val="0"/>
          <w:numId w:val="27"/>
        </w:numPr>
        <w:spacing w:after="0" w:line="240" w:lineRule="auto"/>
        <w:ind w:left="851" w:hanging="425"/>
        <w:rPr>
          <w:rFonts w:cs="Arial"/>
        </w:rPr>
      </w:pPr>
      <w:r w:rsidRPr="009E36E7">
        <w:rPr>
          <w:rFonts w:cs="Arial"/>
        </w:rPr>
        <w:t xml:space="preserve">Best </w:t>
      </w:r>
      <w:r w:rsidR="001E51D9" w:rsidRPr="009E36E7">
        <w:rPr>
          <w:rFonts w:cs="Arial"/>
        </w:rPr>
        <w:t xml:space="preserve">practices and lessons learned on the provisioning of scientific and technical guidance: perspectives from international organisations </w:t>
      </w:r>
      <w:r w:rsidRPr="009E36E7">
        <w:rPr>
          <w:rFonts w:cs="Arial"/>
        </w:rPr>
        <w:t>and NGOs</w:t>
      </w:r>
    </w:p>
    <w:p w:rsidR="00746D8F" w:rsidRPr="009E36E7" w:rsidRDefault="00746D8F" w:rsidP="009E36E7">
      <w:pPr>
        <w:spacing w:after="0" w:line="240" w:lineRule="auto"/>
        <w:rPr>
          <w:rFonts w:cs="Arial"/>
        </w:rPr>
      </w:pPr>
    </w:p>
    <w:p w:rsidR="00374A8A" w:rsidRPr="009E36E7" w:rsidRDefault="00EA1F51" w:rsidP="00A76467">
      <w:pPr>
        <w:pStyle w:val="ListParagraph"/>
        <w:numPr>
          <w:ilvl w:val="0"/>
          <w:numId w:val="25"/>
        </w:numPr>
        <w:spacing w:after="0" w:line="240" w:lineRule="auto"/>
        <w:ind w:left="426" w:hanging="426"/>
        <w:rPr>
          <w:rFonts w:cs="Arial"/>
        </w:rPr>
      </w:pPr>
      <w:r w:rsidRPr="009E36E7">
        <w:rPr>
          <w:rFonts w:cs="Arial"/>
        </w:rPr>
        <w:t>The consultant</w:t>
      </w:r>
      <w:r w:rsidR="00D92F12" w:rsidRPr="009E36E7">
        <w:rPr>
          <w:rFonts w:cs="Arial"/>
        </w:rPr>
        <w:t>’s</w:t>
      </w:r>
      <w:r w:rsidRPr="009E36E7">
        <w:rPr>
          <w:rFonts w:cs="Arial"/>
        </w:rPr>
        <w:t xml:space="preserve"> findings and recommendations have been incorporated into Draft Resolution </w:t>
      </w:r>
      <w:r w:rsidR="00A33DB3" w:rsidRPr="009E36E7">
        <w:rPr>
          <w:rFonts w:cs="Arial"/>
        </w:rPr>
        <w:t>XII.5 which</w:t>
      </w:r>
      <w:r w:rsidR="00374A8A" w:rsidRPr="009E36E7">
        <w:rPr>
          <w:rFonts w:cs="Arial"/>
        </w:rPr>
        <w:t xml:space="preserve"> outlines a new </w:t>
      </w:r>
      <w:r w:rsidRPr="009E36E7">
        <w:rPr>
          <w:rFonts w:cs="Arial"/>
        </w:rPr>
        <w:t xml:space="preserve">modus operandi for the STRP, </w:t>
      </w:r>
      <w:r w:rsidR="00A33DB3" w:rsidRPr="009E36E7">
        <w:rPr>
          <w:rFonts w:cs="Arial"/>
        </w:rPr>
        <w:t>including:</w:t>
      </w:r>
    </w:p>
    <w:p w:rsidR="00374A8A" w:rsidRPr="009E36E7" w:rsidRDefault="00374A8A" w:rsidP="00A76467">
      <w:pPr>
        <w:pStyle w:val="ListParagraph"/>
        <w:numPr>
          <w:ilvl w:val="0"/>
          <w:numId w:val="27"/>
        </w:numPr>
        <w:spacing w:after="0" w:line="240" w:lineRule="auto"/>
        <w:ind w:left="851" w:hanging="425"/>
        <w:rPr>
          <w:rFonts w:cs="Arial"/>
        </w:rPr>
      </w:pPr>
      <w:r w:rsidRPr="009E36E7">
        <w:rPr>
          <w:rFonts w:cs="Arial"/>
        </w:rPr>
        <w:lastRenderedPageBreak/>
        <w:t>Focussing guidance specifically on policy-makers and on wetland practitioners</w:t>
      </w:r>
      <w:r w:rsidR="001E51D9">
        <w:rPr>
          <w:rFonts w:cs="Arial"/>
        </w:rPr>
        <w:t>;</w:t>
      </w:r>
      <w:r w:rsidRPr="009E36E7">
        <w:rPr>
          <w:rFonts w:cs="Arial"/>
        </w:rPr>
        <w:t xml:space="preserve"> and </w:t>
      </w:r>
    </w:p>
    <w:p w:rsidR="00F77792" w:rsidRDefault="00374A8A" w:rsidP="00A76467">
      <w:pPr>
        <w:pStyle w:val="ListParagraph"/>
        <w:numPr>
          <w:ilvl w:val="0"/>
          <w:numId w:val="27"/>
        </w:numPr>
        <w:spacing w:after="0" w:line="240" w:lineRule="auto"/>
        <w:ind w:left="851" w:hanging="425"/>
        <w:rPr>
          <w:rFonts w:cs="Arial"/>
        </w:rPr>
      </w:pPr>
      <w:r w:rsidRPr="009E36E7">
        <w:rPr>
          <w:rFonts w:cs="Arial"/>
        </w:rPr>
        <w:t xml:space="preserve">Fostering </w:t>
      </w:r>
      <w:r w:rsidR="00EA1F51" w:rsidRPr="009E36E7">
        <w:rPr>
          <w:rFonts w:cs="Arial"/>
        </w:rPr>
        <w:t>closer cooperation between CEPA</w:t>
      </w:r>
      <w:r w:rsidRPr="009E36E7">
        <w:rPr>
          <w:rFonts w:cs="Arial"/>
        </w:rPr>
        <w:t xml:space="preserve"> and </w:t>
      </w:r>
      <w:r w:rsidR="001E51D9">
        <w:rPr>
          <w:rFonts w:cs="Arial"/>
        </w:rPr>
        <w:t xml:space="preserve">the </w:t>
      </w:r>
      <w:r w:rsidRPr="009E36E7">
        <w:rPr>
          <w:rFonts w:cs="Arial"/>
        </w:rPr>
        <w:t>STRP (</w:t>
      </w:r>
      <w:r w:rsidR="007F2299" w:rsidRPr="009E36E7">
        <w:rPr>
          <w:rFonts w:cs="Arial"/>
        </w:rPr>
        <w:t>while</w:t>
      </w:r>
      <w:r w:rsidRPr="009E36E7">
        <w:rPr>
          <w:rFonts w:cs="Arial"/>
        </w:rPr>
        <w:t xml:space="preserve"> the new CEPA Programme adds Strategy 9 with this end in mind)</w:t>
      </w:r>
      <w:r w:rsidR="001E51D9">
        <w:rPr>
          <w:rFonts w:cs="Arial"/>
        </w:rPr>
        <w:t>.</w:t>
      </w:r>
    </w:p>
    <w:p w:rsidR="00F77792" w:rsidRDefault="00F77792" w:rsidP="00F77792">
      <w:pPr>
        <w:spacing w:after="0" w:line="240" w:lineRule="auto"/>
        <w:rPr>
          <w:rFonts w:cs="Arial"/>
        </w:rPr>
      </w:pPr>
    </w:p>
    <w:p w:rsidR="00746D8F" w:rsidRPr="00F77792" w:rsidRDefault="00F77792" w:rsidP="00F77792">
      <w:pPr>
        <w:spacing w:after="0" w:line="240" w:lineRule="auto"/>
        <w:rPr>
          <w:rFonts w:cs="Arial"/>
          <w:b/>
        </w:rPr>
      </w:pPr>
      <w:r w:rsidRPr="00F77792">
        <w:rPr>
          <w:rFonts w:cs="Arial"/>
          <w:b/>
        </w:rPr>
        <w:t>Regional CEPA activities</w:t>
      </w:r>
    </w:p>
    <w:p w:rsidR="00A33DB3" w:rsidRPr="009E36E7" w:rsidRDefault="00A33DB3" w:rsidP="009E36E7">
      <w:pPr>
        <w:spacing w:after="0" w:line="240" w:lineRule="auto"/>
        <w:rPr>
          <w:rFonts w:cs="Arial"/>
        </w:rPr>
      </w:pPr>
    </w:p>
    <w:p w:rsidR="00A76467" w:rsidRDefault="00746D8F" w:rsidP="00A76467">
      <w:pPr>
        <w:pStyle w:val="ListParagraph"/>
        <w:numPr>
          <w:ilvl w:val="0"/>
          <w:numId w:val="25"/>
        </w:numPr>
        <w:spacing w:after="0" w:line="240" w:lineRule="auto"/>
        <w:ind w:left="426" w:hanging="426"/>
        <w:rPr>
          <w:rFonts w:cs="Arial"/>
        </w:rPr>
      </w:pPr>
      <w:r w:rsidRPr="009E36E7">
        <w:rPr>
          <w:rFonts w:cs="Arial"/>
        </w:rPr>
        <w:t>Example</w:t>
      </w:r>
      <w:r w:rsidR="00DF7299" w:rsidRPr="009E36E7">
        <w:rPr>
          <w:rFonts w:cs="Arial"/>
        </w:rPr>
        <w:t>s</w:t>
      </w:r>
      <w:r w:rsidRPr="009E36E7">
        <w:rPr>
          <w:rFonts w:cs="Arial"/>
        </w:rPr>
        <w:t xml:space="preserve"> of </w:t>
      </w:r>
      <w:r w:rsidR="00A33DB3" w:rsidRPr="009E36E7">
        <w:rPr>
          <w:rFonts w:cs="Arial"/>
        </w:rPr>
        <w:t>regional CEPA</w:t>
      </w:r>
      <w:r w:rsidR="007F2299" w:rsidRPr="009E36E7">
        <w:rPr>
          <w:rFonts w:cs="Arial"/>
        </w:rPr>
        <w:t xml:space="preserve"> activities </w:t>
      </w:r>
      <w:r w:rsidRPr="009E36E7">
        <w:rPr>
          <w:rFonts w:cs="Arial"/>
        </w:rPr>
        <w:t>and basin-level CEPA initiatives include:</w:t>
      </w:r>
    </w:p>
    <w:p w:rsidR="00A33DB3" w:rsidRDefault="001E51D9" w:rsidP="00A76467">
      <w:pPr>
        <w:pStyle w:val="ListParagraph"/>
        <w:numPr>
          <w:ilvl w:val="0"/>
          <w:numId w:val="27"/>
        </w:numPr>
        <w:spacing w:after="0" w:line="240" w:lineRule="auto"/>
        <w:ind w:left="851" w:hanging="425"/>
        <w:rPr>
          <w:rFonts w:cs="Arial"/>
        </w:rPr>
      </w:pPr>
      <w:r>
        <w:rPr>
          <w:rFonts w:cs="Arial"/>
        </w:rPr>
        <w:t xml:space="preserve">The </w:t>
      </w:r>
      <w:r w:rsidR="00BF5B81" w:rsidRPr="009E36E7">
        <w:rPr>
          <w:rFonts w:cs="Arial"/>
        </w:rPr>
        <w:t xml:space="preserve">Africa </w:t>
      </w:r>
      <w:hyperlink r:id="rId10" w:tgtFrame="_blank" w:history="1">
        <w:r w:rsidR="00A33DB3" w:rsidRPr="009E36E7">
          <w:rPr>
            <w:rFonts w:cs="Arial"/>
          </w:rPr>
          <w:t xml:space="preserve">Workshop on Mainstreaming the values of Water and Wetlands into Decision-Making for Africa (November 2013), Kampala, Uganda, based on the TEEB for Water and Wetlands Report </w:t>
        </w:r>
        <w:r>
          <w:rPr>
            <w:rFonts w:cs="Arial"/>
          </w:rPr>
          <w:t xml:space="preserve">and </w:t>
        </w:r>
        <w:r w:rsidR="00A33DB3" w:rsidRPr="009E36E7">
          <w:rPr>
            <w:rFonts w:cs="Arial"/>
          </w:rPr>
          <w:t>organized by</w:t>
        </w:r>
        <w:r w:rsidR="00067A6C">
          <w:rPr>
            <w:rFonts w:cs="Arial"/>
          </w:rPr>
          <w:t xml:space="preserve"> </w:t>
        </w:r>
      </w:hyperlink>
      <w:hyperlink r:id="rId11" w:tgtFrame="_blank" w:history="1">
        <w:r w:rsidR="00A33DB3" w:rsidRPr="009E36E7">
          <w:rPr>
            <w:rFonts w:cs="Arial"/>
          </w:rPr>
          <w:t>UNESCO–IHE, Institute for Water and Education</w:t>
        </w:r>
      </w:hyperlink>
      <w:r w:rsidR="00A33DB3" w:rsidRPr="009E36E7">
        <w:rPr>
          <w:rFonts w:cs="Arial"/>
        </w:rPr>
        <w:t>,</w:t>
      </w:r>
      <w:hyperlink r:id="rId12" w:tgtFrame="_blank" w:history="1">
        <w:r w:rsidR="00A33DB3" w:rsidRPr="009E36E7">
          <w:rPr>
            <w:rFonts w:cs="Arial"/>
          </w:rPr>
          <w:t xml:space="preserve"> Ramsar Centre for East Africa (RAMCEA),</w:t>
        </w:r>
      </w:hyperlink>
      <w:r w:rsidR="00A33DB3" w:rsidRPr="009E36E7">
        <w:rPr>
          <w:rFonts w:cs="Arial"/>
        </w:rPr>
        <w:t xml:space="preserve"> UNEP-TEEB Office</w:t>
      </w:r>
      <w:r>
        <w:rPr>
          <w:rFonts w:cs="Arial"/>
        </w:rPr>
        <w:t>.</w:t>
      </w:r>
    </w:p>
    <w:p w:rsidR="00F77792" w:rsidRDefault="00F77792" w:rsidP="00F77792">
      <w:pPr>
        <w:pStyle w:val="ListParagraph"/>
        <w:numPr>
          <w:ilvl w:val="0"/>
          <w:numId w:val="27"/>
        </w:numPr>
        <w:spacing w:after="0" w:line="240" w:lineRule="auto"/>
        <w:ind w:left="851" w:hanging="425"/>
        <w:rPr>
          <w:rFonts w:cs="Arial"/>
        </w:rPr>
      </w:pPr>
      <w:r w:rsidRPr="00A76467">
        <w:rPr>
          <w:rFonts w:cs="Arial"/>
        </w:rPr>
        <w:t xml:space="preserve">The International Forum 'Wetlands: Wise Use, Smart Plans' was held in Kigali, Rwanda, organized in partnership with the Government of Rwanda, UNESCO-IHE </w:t>
      </w:r>
      <w:r>
        <w:rPr>
          <w:rFonts w:cs="Arial"/>
        </w:rPr>
        <w:t>.</w:t>
      </w:r>
    </w:p>
    <w:p w:rsidR="00A33DB3" w:rsidRPr="009E36E7" w:rsidRDefault="001E51D9" w:rsidP="00A76467">
      <w:pPr>
        <w:pStyle w:val="ListParagraph"/>
        <w:numPr>
          <w:ilvl w:val="0"/>
          <w:numId w:val="27"/>
        </w:numPr>
        <w:spacing w:after="0" w:line="240" w:lineRule="auto"/>
        <w:ind w:left="851" w:hanging="425"/>
        <w:rPr>
          <w:rFonts w:cs="Arial"/>
        </w:rPr>
      </w:pPr>
      <w:r>
        <w:rPr>
          <w:rFonts w:cs="Arial"/>
        </w:rPr>
        <w:t xml:space="preserve">The </w:t>
      </w:r>
      <w:r w:rsidR="00BF5B81" w:rsidRPr="009E36E7">
        <w:rPr>
          <w:rFonts w:cs="Arial"/>
        </w:rPr>
        <w:t xml:space="preserve">Asia </w:t>
      </w:r>
      <w:hyperlink r:id="rId13" w:tgtFrame="_blank" w:history="1">
        <w:r w:rsidR="00A33DB3" w:rsidRPr="009E36E7">
          <w:rPr>
            <w:rFonts w:cs="Arial"/>
          </w:rPr>
          <w:t>Workshop on mainstreaming the values of water and Wetlands into decision-making 31 (August 2013), Bali Indonesia</w:t>
        </w:r>
        <w:r>
          <w:rPr>
            <w:rFonts w:cs="Arial"/>
          </w:rPr>
          <w:t>,</w:t>
        </w:r>
        <w:r w:rsidR="00A33DB3" w:rsidRPr="009E36E7">
          <w:rPr>
            <w:rFonts w:cs="Arial"/>
          </w:rPr>
          <w:t xml:space="preserve"> </w:t>
        </w:r>
      </w:hyperlink>
      <w:r w:rsidR="00A33DB3" w:rsidRPr="009E36E7">
        <w:rPr>
          <w:rFonts w:cs="Arial"/>
        </w:rPr>
        <w:t xml:space="preserve">based on the TEEB for Water and Wetlands Report, </w:t>
      </w:r>
      <w:r>
        <w:rPr>
          <w:rFonts w:cs="Arial"/>
        </w:rPr>
        <w:t>and o</w:t>
      </w:r>
      <w:r w:rsidRPr="009E36E7">
        <w:rPr>
          <w:rFonts w:cs="Arial"/>
        </w:rPr>
        <w:t xml:space="preserve">rganized </w:t>
      </w:r>
      <w:r w:rsidR="00A33DB3" w:rsidRPr="009E36E7">
        <w:rPr>
          <w:rFonts w:cs="Arial"/>
        </w:rPr>
        <w:t>by the UNEP-TEEB Office</w:t>
      </w:r>
      <w:r>
        <w:rPr>
          <w:rFonts w:cs="Arial"/>
        </w:rPr>
        <w:t>.</w:t>
      </w:r>
    </w:p>
    <w:p w:rsidR="00746D8F" w:rsidRPr="009E36E7" w:rsidRDefault="001E51D9" w:rsidP="00A76467">
      <w:pPr>
        <w:pStyle w:val="ListParagraph"/>
        <w:numPr>
          <w:ilvl w:val="0"/>
          <w:numId w:val="27"/>
        </w:numPr>
        <w:spacing w:after="0" w:line="240" w:lineRule="auto"/>
        <w:ind w:left="851" w:hanging="425"/>
        <w:rPr>
          <w:rFonts w:cs="Arial"/>
        </w:rPr>
      </w:pPr>
      <w:r>
        <w:rPr>
          <w:rFonts w:cs="Arial"/>
        </w:rPr>
        <w:t xml:space="preserve">Provision by </w:t>
      </w:r>
      <w:r w:rsidR="00746D8F" w:rsidRPr="009E36E7">
        <w:rPr>
          <w:rFonts w:cs="Arial"/>
        </w:rPr>
        <w:t xml:space="preserve">Japan </w:t>
      </w:r>
      <w:r>
        <w:rPr>
          <w:rFonts w:cs="Arial"/>
        </w:rPr>
        <w:t xml:space="preserve">of </w:t>
      </w:r>
      <w:r w:rsidR="00746D8F" w:rsidRPr="009E36E7">
        <w:rPr>
          <w:rFonts w:cs="Arial"/>
        </w:rPr>
        <w:t>international training at the Biwa-ko (2012) and Kushiro Ramsar Sites (2012, 2013)</w:t>
      </w:r>
      <w:r>
        <w:rPr>
          <w:rFonts w:cs="Arial"/>
        </w:rPr>
        <w:t>.</w:t>
      </w:r>
    </w:p>
    <w:p w:rsidR="000D1AB7" w:rsidRPr="00A76467" w:rsidRDefault="000D1AB7" w:rsidP="00A76467">
      <w:pPr>
        <w:pStyle w:val="ListParagraph"/>
        <w:numPr>
          <w:ilvl w:val="0"/>
          <w:numId w:val="27"/>
        </w:numPr>
        <w:spacing w:after="0" w:line="240" w:lineRule="auto"/>
        <w:ind w:left="851" w:hanging="425"/>
        <w:rPr>
          <w:rFonts w:cs="Arial"/>
        </w:rPr>
      </w:pPr>
      <w:r w:rsidRPr="00A76467">
        <w:rPr>
          <w:rFonts w:cs="Arial"/>
        </w:rPr>
        <w:t>The second CEPA planning workshop was held in Finland 4-6 September 2012 for CEPA Focal Points of the NorBalWet Ramsar Regional Initiative, funded largely by the Nordic Council of Minister</w:t>
      </w:r>
      <w:r w:rsidRPr="009E36E7">
        <w:rPr>
          <w:rFonts w:cs="Arial"/>
        </w:rPr>
        <w:t>s</w:t>
      </w:r>
      <w:r w:rsidR="001E51D9">
        <w:rPr>
          <w:rFonts w:cs="Arial"/>
        </w:rPr>
        <w:t>.</w:t>
      </w:r>
    </w:p>
    <w:p w:rsidR="00746D8F" w:rsidRPr="009E36E7" w:rsidRDefault="00746D8F" w:rsidP="00A76467">
      <w:pPr>
        <w:pStyle w:val="ListParagraph"/>
        <w:numPr>
          <w:ilvl w:val="0"/>
          <w:numId w:val="27"/>
        </w:numPr>
        <w:spacing w:after="0" w:line="240" w:lineRule="auto"/>
        <w:ind w:left="851" w:hanging="425"/>
        <w:rPr>
          <w:rFonts w:cs="Arial"/>
        </w:rPr>
      </w:pPr>
      <w:r w:rsidRPr="009E36E7">
        <w:rPr>
          <w:rFonts w:cs="Arial"/>
        </w:rPr>
        <w:t>Lebanon has a project to develop an Arabic language wetland training programme for the MedWetCoast.</w:t>
      </w:r>
    </w:p>
    <w:p w:rsidR="00A76467" w:rsidRDefault="00A76467" w:rsidP="009E36E7">
      <w:pPr>
        <w:spacing w:after="0" w:line="240" w:lineRule="auto"/>
        <w:rPr>
          <w:rFonts w:cs="Arial"/>
        </w:rPr>
      </w:pPr>
    </w:p>
    <w:p w:rsidR="00402DB9" w:rsidRPr="009E36E7" w:rsidRDefault="00402DB9" w:rsidP="00A76467">
      <w:pPr>
        <w:pStyle w:val="ListParagraph"/>
        <w:numPr>
          <w:ilvl w:val="0"/>
          <w:numId w:val="25"/>
        </w:numPr>
        <w:spacing w:after="0" w:line="240" w:lineRule="auto"/>
        <w:ind w:left="426" w:hanging="426"/>
        <w:rPr>
          <w:rFonts w:cs="Arial"/>
        </w:rPr>
      </w:pPr>
      <w:r w:rsidRPr="009E36E7">
        <w:rPr>
          <w:rFonts w:cs="Arial"/>
        </w:rPr>
        <w:t>Activities to share knowledge on wetland information and expertise included:</w:t>
      </w:r>
    </w:p>
    <w:p w:rsidR="00402DB9" w:rsidRPr="00A76467" w:rsidRDefault="00402DB9" w:rsidP="00A76467">
      <w:pPr>
        <w:pStyle w:val="ListParagraph"/>
        <w:numPr>
          <w:ilvl w:val="0"/>
          <w:numId w:val="27"/>
        </w:numPr>
        <w:spacing w:after="0" w:line="240" w:lineRule="auto"/>
        <w:ind w:left="851" w:hanging="425"/>
        <w:rPr>
          <w:rFonts w:cs="Arial"/>
        </w:rPr>
      </w:pPr>
      <w:r w:rsidRPr="00A76467">
        <w:rPr>
          <w:rFonts w:cs="Arial"/>
        </w:rPr>
        <w:t>Five twinning agreements between Ramsar Sites in Japan and Australia</w:t>
      </w:r>
      <w:r w:rsidR="001E51D9">
        <w:rPr>
          <w:rFonts w:cs="Arial"/>
        </w:rPr>
        <w:t>;</w:t>
      </w:r>
    </w:p>
    <w:p w:rsidR="00402DB9" w:rsidRPr="00A76467" w:rsidRDefault="001E51D9" w:rsidP="00A76467">
      <w:pPr>
        <w:pStyle w:val="ListParagraph"/>
        <w:numPr>
          <w:ilvl w:val="0"/>
          <w:numId w:val="27"/>
        </w:numPr>
        <w:spacing w:after="0" w:line="240" w:lineRule="auto"/>
        <w:ind w:left="851" w:hanging="425"/>
        <w:rPr>
          <w:rFonts w:cs="Arial"/>
        </w:rPr>
      </w:pPr>
      <w:r>
        <w:rPr>
          <w:rFonts w:cs="Arial"/>
        </w:rPr>
        <w:t>A</w:t>
      </w:r>
      <w:r w:rsidRPr="00A76467">
        <w:rPr>
          <w:rFonts w:cs="Arial"/>
        </w:rPr>
        <w:t xml:space="preserve"> </w:t>
      </w:r>
      <w:r w:rsidR="00402DB9" w:rsidRPr="00A76467">
        <w:rPr>
          <w:rFonts w:cs="Arial"/>
        </w:rPr>
        <w:t>network between Iran and Pakistan</w:t>
      </w:r>
      <w:r>
        <w:rPr>
          <w:rFonts w:cs="Arial"/>
        </w:rPr>
        <w:t>;</w:t>
      </w:r>
    </w:p>
    <w:p w:rsidR="00402DB9" w:rsidRPr="00A76467" w:rsidRDefault="00F77792" w:rsidP="00A76467">
      <w:pPr>
        <w:pStyle w:val="ListParagraph"/>
        <w:numPr>
          <w:ilvl w:val="0"/>
          <w:numId w:val="27"/>
        </w:numPr>
        <w:spacing w:after="0" w:line="240" w:lineRule="auto"/>
        <w:ind w:left="851" w:hanging="425"/>
        <w:rPr>
          <w:rFonts w:cs="Arial"/>
        </w:rPr>
      </w:pPr>
      <w:r>
        <w:rPr>
          <w:rFonts w:cs="Arial"/>
        </w:rPr>
        <w:t>A p</w:t>
      </w:r>
      <w:r w:rsidRPr="00A76467">
        <w:rPr>
          <w:rFonts w:cs="Arial"/>
        </w:rPr>
        <w:t xml:space="preserve">roject </w:t>
      </w:r>
      <w:r w:rsidR="00402DB9" w:rsidRPr="00A76467">
        <w:rPr>
          <w:rFonts w:cs="Arial"/>
        </w:rPr>
        <w:t>for the ‘Sustainable Use and Protection of Peatlands’ in Indonesia, Malaysia, Viet Nam</w:t>
      </w:r>
      <w:r>
        <w:rPr>
          <w:rFonts w:cs="Arial"/>
        </w:rPr>
        <w:t xml:space="preserve"> and the</w:t>
      </w:r>
      <w:r w:rsidR="00402DB9" w:rsidRPr="00A76467">
        <w:rPr>
          <w:rFonts w:cs="Arial"/>
        </w:rPr>
        <w:t xml:space="preserve"> Philippines</w:t>
      </w:r>
      <w:r>
        <w:rPr>
          <w:rFonts w:cs="Arial"/>
        </w:rPr>
        <w:t>;</w:t>
      </w:r>
    </w:p>
    <w:p w:rsidR="00402DB9" w:rsidRPr="00A76467" w:rsidRDefault="00F77792" w:rsidP="00A76467">
      <w:pPr>
        <w:pStyle w:val="ListParagraph"/>
        <w:numPr>
          <w:ilvl w:val="0"/>
          <w:numId w:val="27"/>
        </w:numPr>
        <w:spacing w:after="0" w:line="240" w:lineRule="auto"/>
        <w:ind w:left="851" w:hanging="425"/>
        <w:rPr>
          <w:rFonts w:cs="Arial"/>
        </w:rPr>
      </w:pPr>
      <w:r>
        <w:rPr>
          <w:rFonts w:cs="Arial"/>
        </w:rPr>
        <w:t xml:space="preserve">The  </w:t>
      </w:r>
      <w:r w:rsidR="00402DB9" w:rsidRPr="00A76467">
        <w:rPr>
          <w:rFonts w:cs="Arial"/>
        </w:rPr>
        <w:t xml:space="preserve">Coral Triangle Initiative including Indonesia, Malaysia, Papua New Guinea, Solomon Islands, </w:t>
      </w:r>
      <w:r>
        <w:rPr>
          <w:rFonts w:cs="Arial"/>
        </w:rPr>
        <w:t xml:space="preserve">the </w:t>
      </w:r>
      <w:r w:rsidR="00402DB9" w:rsidRPr="00A76467">
        <w:rPr>
          <w:rFonts w:cs="Arial"/>
        </w:rPr>
        <w:t>Philippines</w:t>
      </w:r>
      <w:r>
        <w:rPr>
          <w:rFonts w:cs="Arial"/>
        </w:rPr>
        <w:t xml:space="preserve"> and </w:t>
      </w:r>
      <w:r w:rsidR="00402DB9" w:rsidRPr="00A76467">
        <w:rPr>
          <w:rFonts w:cs="Arial"/>
        </w:rPr>
        <w:t>Timor-Leste</w:t>
      </w:r>
    </w:p>
    <w:p w:rsidR="00402DB9" w:rsidRPr="00A76467" w:rsidRDefault="00F77792" w:rsidP="00A76467">
      <w:pPr>
        <w:pStyle w:val="ListParagraph"/>
        <w:numPr>
          <w:ilvl w:val="0"/>
          <w:numId w:val="27"/>
        </w:numPr>
        <w:spacing w:after="0" w:line="240" w:lineRule="auto"/>
        <w:ind w:left="851" w:hanging="425"/>
        <w:rPr>
          <w:rFonts w:cs="Arial"/>
        </w:rPr>
      </w:pPr>
      <w:r>
        <w:rPr>
          <w:rFonts w:cs="Arial"/>
        </w:rPr>
        <w:t xml:space="preserve">The </w:t>
      </w:r>
      <w:r w:rsidR="00402DB9" w:rsidRPr="00A76467">
        <w:rPr>
          <w:rFonts w:cs="Arial"/>
        </w:rPr>
        <w:t>University Network for Wetland Research and Training of Mekong Region in Thailand</w:t>
      </w:r>
    </w:p>
    <w:p w:rsidR="00402DB9" w:rsidRPr="00A76467" w:rsidRDefault="00F77792" w:rsidP="00A76467">
      <w:pPr>
        <w:pStyle w:val="ListParagraph"/>
        <w:numPr>
          <w:ilvl w:val="0"/>
          <w:numId w:val="27"/>
        </w:numPr>
        <w:spacing w:after="0" w:line="240" w:lineRule="auto"/>
        <w:ind w:left="851" w:hanging="425"/>
        <w:rPr>
          <w:rFonts w:cs="Arial"/>
        </w:rPr>
      </w:pPr>
      <w:r>
        <w:rPr>
          <w:rFonts w:cs="Arial"/>
        </w:rPr>
        <w:t xml:space="preserve">The </w:t>
      </w:r>
      <w:r w:rsidR="00402DB9" w:rsidRPr="00A76467">
        <w:rPr>
          <w:rFonts w:cs="Arial"/>
        </w:rPr>
        <w:t>International Network for Water and Ecosystem in Paddy Fields in Thailand</w:t>
      </w:r>
    </w:p>
    <w:p w:rsidR="001E51D9" w:rsidRPr="00A76467" w:rsidRDefault="001E51D9" w:rsidP="001E51D9">
      <w:pPr>
        <w:pStyle w:val="ListParagraph"/>
        <w:numPr>
          <w:ilvl w:val="0"/>
          <w:numId w:val="27"/>
        </w:numPr>
        <w:spacing w:after="0" w:line="240" w:lineRule="auto"/>
        <w:ind w:left="851" w:hanging="425"/>
        <w:rPr>
          <w:rFonts w:cs="Arial"/>
        </w:rPr>
      </w:pPr>
      <w:r>
        <w:rPr>
          <w:rFonts w:cs="Arial"/>
        </w:rPr>
        <w:t>U</w:t>
      </w:r>
      <w:r w:rsidRPr="00A76467">
        <w:rPr>
          <w:rFonts w:cs="Arial"/>
        </w:rPr>
        <w:t xml:space="preserve">nder the </w:t>
      </w:r>
      <w:r>
        <w:rPr>
          <w:rFonts w:cs="Arial"/>
        </w:rPr>
        <w:t xml:space="preserve">bilateral </w:t>
      </w:r>
      <w:r w:rsidRPr="00A76467">
        <w:rPr>
          <w:rFonts w:cs="Arial"/>
        </w:rPr>
        <w:t>agreement between Colombia and Ecuador activities are focused in the Mira and Santiago Cayapas Mataje watersheds.</w:t>
      </w:r>
    </w:p>
    <w:p w:rsidR="001E51D9" w:rsidRPr="00F77792" w:rsidRDefault="001E51D9" w:rsidP="00F77792">
      <w:pPr>
        <w:pStyle w:val="ListParagraph"/>
        <w:numPr>
          <w:ilvl w:val="0"/>
          <w:numId w:val="27"/>
        </w:numPr>
        <w:spacing w:after="0" w:line="240" w:lineRule="auto"/>
        <w:ind w:left="851" w:hanging="425"/>
        <w:rPr>
          <w:rFonts w:cs="Arial"/>
        </w:rPr>
      </w:pPr>
      <w:r w:rsidRPr="00A76467">
        <w:rPr>
          <w:rFonts w:cs="Arial"/>
        </w:rPr>
        <w:t xml:space="preserve">Chile and Mexico </w:t>
      </w:r>
      <w:r>
        <w:rPr>
          <w:rFonts w:cs="Arial"/>
        </w:rPr>
        <w:t xml:space="preserve">have a </w:t>
      </w:r>
      <w:r w:rsidRPr="00A76467">
        <w:rPr>
          <w:rFonts w:cs="Arial"/>
        </w:rPr>
        <w:t>bilateral agreement to exchange experiences and Ramsar Site information.</w:t>
      </w:r>
    </w:p>
    <w:p w:rsidR="00946669" w:rsidRDefault="00946669" w:rsidP="009E36E7">
      <w:pPr>
        <w:spacing w:after="0" w:line="240" w:lineRule="auto"/>
        <w:rPr>
          <w:rFonts w:cs="Arial"/>
        </w:rPr>
      </w:pPr>
    </w:p>
    <w:p w:rsidR="00A76467" w:rsidRPr="009E36E7" w:rsidRDefault="00A76467" w:rsidP="009E36E7">
      <w:pPr>
        <w:spacing w:after="0" w:line="240" w:lineRule="auto"/>
        <w:rPr>
          <w:rFonts w:cs="Arial"/>
        </w:rPr>
      </w:pPr>
    </w:p>
    <w:p w:rsidR="00A76467" w:rsidRDefault="0004480D" w:rsidP="009E36E7">
      <w:pPr>
        <w:spacing w:after="0" w:line="240" w:lineRule="auto"/>
        <w:rPr>
          <w:rFonts w:cs="Arial"/>
          <w:b/>
          <w:sz w:val="24"/>
          <w:szCs w:val="24"/>
        </w:rPr>
      </w:pPr>
      <w:r w:rsidRPr="009E36E7">
        <w:rPr>
          <w:rFonts w:cs="Arial"/>
          <w:b/>
          <w:sz w:val="24"/>
          <w:szCs w:val="24"/>
        </w:rPr>
        <w:t>Implementation reported in National Reports</w:t>
      </w:r>
    </w:p>
    <w:p w:rsidR="00A76467" w:rsidRPr="00A76467" w:rsidRDefault="00A76467" w:rsidP="009E36E7">
      <w:pPr>
        <w:spacing w:after="0" w:line="240" w:lineRule="auto"/>
        <w:rPr>
          <w:rFonts w:cs="Arial"/>
          <w:b/>
        </w:rPr>
      </w:pPr>
    </w:p>
    <w:p w:rsidR="000A0707" w:rsidRPr="00A76467" w:rsidRDefault="00A76467" w:rsidP="009E36E7">
      <w:pPr>
        <w:spacing w:after="0" w:line="240" w:lineRule="auto"/>
        <w:rPr>
          <w:rFonts w:cs="Arial"/>
          <w:b/>
        </w:rPr>
      </w:pPr>
      <w:r w:rsidRPr="00A76467">
        <w:rPr>
          <w:rFonts w:cs="Arial"/>
          <w:b/>
        </w:rPr>
        <w:t>M</w:t>
      </w:r>
      <w:r w:rsidR="000D1AB7" w:rsidRPr="00A76467">
        <w:rPr>
          <w:rFonts w:cs="Arial"/>
          <w:b/>
        </w:rPr>
        <w:t>echanisms for e</w:t>
      </w:r>
      <w:r w:rsidR="0004480D" w:rsidRPr="00A76467">
        <w:rPr>
          <w:rFonts w:cs="Arial"/>
          <w:b/>
        </w:rPr>
        <w:t>nsuring capacity for CEPA activities</w:t>
      </w:r>
    </w:p>
    <w:p w:rsidR="0002010E" w:rsidRPr="00A76467" w:rsidRDefault="0002010E" w:rsidP="009E36E7">
      <w:pPr>
        <w:spacing w:after="0" w:line="240" w:lineRule="auto"/>
        <w:rPr>
          <w:rFonts w:cs="Arial"/>
          <w:b/>
        </w:rPr>
      </w:pPr>
    </w:p>
    <w:p w:rsidR="00116967" w:rsidRPr="009E36E7" w:rsidRDefault="004779B1" w:rsidP="00A76467">
      <w:pPr>
        <w:pStyle w:val="ListParagraph"/>
        <w:numPr>
          <w:ilvl w:val="0"/>
          <w:numId w:val="25"/>
        </w:numPr>
        <w:spacing w:after="0" w:line="240" w:lineRule="auto"/>
        <w:ind w:left="426" w:hanging="426"/>
        <w:rPr>
          <w:rFonts w:cs="Arial"/>
        </w:rPr>
      </w:pPr>
      <w:r w:rsidRPr="009E36E7">
        <w:rPr>
          <w:rFonts w:cs="Arial"/>
        </w:rPr>
        <w:t>The Convention has identified the Parties’ key contacts at the national level as the</w:t>
      </w:r>
      <w:r w:rsidR="00C565F2" w:rsidRPr="009E36E7">
        <w:rPr>
          <w:rFonts w:cs="Arial"/>
        </w:rPr>
        <w:t xml:space="preserve"> </w:t>
      </w:r>
      <w:r w:rsidRPr="009E36E7">
        <w:rPr>
          <w:rFonts w:cs="Arial"/>
        </w:rPr>
        <w:t>Administrative Authority’s National Focal Point</w:t>
      </w:r>
      <w:r w:rsidR="00F77792">
        <w:rPr>
          <w:rFonts w:cs="Arial"/>
        </w:rPr>
        <w:t xml:space="preserve"> (NFP)</w:t>
      </w:r>
      <w:r w:rsidRPr="009E36E7">
        <w:rPr>
          <w:rFonts w:cs="Arial"/>
        </w:rPr>
        <w:t xml:space="preserve">, CEPA </w:t>
      </w:r>
      <w:r w:rsidR="00F77792">
        <w:rPr>
          <w:rFonts w:cs="Arial"/>
        </w:rPr>
        <w:t xml:space="preserve">NFPs </w:t>
      </w:r>
      <w:r w:rsidRPr="009E36E7">
        <w:rPr>
          <w:rFonts w:cs="Arial"/>
        </w:rPr>
        <w:t xml:space="preserve">(Government and NGO), and STRP </w:t>
      </w:r>
      <w:r w:rsidR="00F77792">
        <w:rPr>
          <w:rFonts w:cs="Arial"/>
        </w:rPr>
        <w:t>NFP</w:t>
      </w:r>
      <w:r w:rsidRPr="009E36E7">
        <w:rPr>
          <w:rFonts w:cs="Arial"/>
        </w:rPr>
        <w:t>. Their roles have been well</w:t>
      </w:r>
      <w:r w:rsidR="00C565F2" w:rsidRPr="009E36E7">
        <w:rPr>
          <w:rFonts w:cs="Arial"/>
        </w:rPr>
        <w:t xml:space="preserve"> </w:t>
      </w:r>
      <w:r w:rsidRPr="009E36E7">
        <w:rPr>
          <w:rFonts w:cs="Arial"/>
        </w:rPr>
        <w:t>articulated, documented, and shared with Parties, and they are vital as contacts for interactions between the Secretariat and each Party as well as within and between Parties.</w:t>
      </w:r>
    </w:p>
    <w:p w:rsidR="00116967" w:rsidRPr="009E36E7" w:rsidRDefault="00116967" w:rsidP="00A76467">
      <w:pPr>
        <w:pStyle w:val="ListParagraph"/>
        <w:spacing w:after="0" w:line="240" w:lineRule="auto"/>
        <w:ind w:left="426"/>
        <w:rPr>
          <w:rFonts w:cs="Arial"/>
        </w:rPr>
      </w:pPr>
    </w:p>
    <w:p w:rsidR="004779B1" w:rsidRDefault="00F77792" w:rsidP="00A76467">
      <w:pPr>
        <w:pStyle w:val="ListParagraph"/>
        <w:numPr>
          <w:ilvl w:val="0"/>
          <w:numId w:val="25"/>
        </w:numPr>
        <w:spacing w:after="0" w:line="240" w:lineRule="auto"/>
        <w:ind w:left="426" w:hanging="426"/>
        <w:rPr>
          <w:rFonts w:cs="Arial"/>
        </w:rPr>
      </w:pPr>
      <w:r>
        <w:rPr>
          <w:rFonts w:cs="Arial"/>
        </w:rPr>
        <w:t>Figure 1</w:t>
      </w:r>
      <w:r w:rsidR="004779B1" w:rsidRPr="009E36E7">
        <w:rPr>
          <w:rFonts w:cs="Arial"/>
        </w:rPr>
        <w:t xml:space="preserve"> below shows the percentage of the various Focal Points who are in place</w:t>
      </w:r>
      <w:r w:rsidR="00C565F2" w:rsidRPr="009E36E7">
        <w:rPr>
          <w:rFonts w:cs="Arial"/>
        </w:rPr>
        <w:t xml:space="preserve"> </w:t>
      </w:r>
      <w:r w:rsidR="004779B1" w:rsidRPr="009E36E7">
        <w:rPr>
          <w:rFonts w:cs="Arial"/>
        </w:rPr>
        <w:t>globally.</w:t>
      </w:r>
      <w:r w:rsidR="00483AC4" w:rsidRPr="009E36E7">
        <w:rPr>
          <w:rFonts w:cs="Arial"/>
        </w:rPr>
        <w:t xml:space="preserve"> The results remain similar to COP11</w:t>
      </w:r>
      <w:r>
        <w:rPr>
          <w:rFonts w:cs="Arial"/>
        </w:rPr>
        <w:t>,</w:t>
      </w:r>
      <w:r w:rsidR="00483AC4" w:rsidRPr="009E36E7">
        <w:rPr>
          <w:rFonts w:cs="Arial"/>
        </w:rPr>
        <w:t xml:space="preserve"> but with a slight improvement of </w:t>
      </w:r>
      <w:r w:rsidR="004779B1" w:rsidRPr="009E36E7">
        <w:rPr>
          <w:rFonts w:cs="Arial"/>
        </w:rPr>
        <w:t xml:space="preserve">CEPA Government </w:t>
      </w:r>
      <w:r w:rsidR="004779B1" w:rsidRPr="009E36E7">
        <w:rPr>
          <w:rFonts w:cs="Arial"/>
        </w:rPr>
        <w:lastRenderedPageBreak/>
        <w:t>designations</w:t>
      </w:r>
      <w:r w:rsidR="00483AC4" w:rsidRPr="009E36E7">
        <w:rPr>
          <w:rFonts w:cs="Arial"/>
        </w:rPr>
        <w:t xml:space="preserve"> which increased from 74% to 80 %.</w:t>
      </w:r>
      <w:r w:rsidR="004779B1" w:rsidRPr="009E36E7">
        <w:rPr>
          <w:rFonts w:cs="Arial"/>
        </w:rPr>
        <w:t xml:space="preserve"> </w:t>
      </w:r>
      <w:r w:rsidR="00F40697" w:rsidRPr="009E36E7">
        <w:rPr>
          <w:rFonts w:cs="Arial"/>
        </w:rPr>
        <w:t>However</w:t>
      </w:r>
      <w:r>
        <w:rPr>
          <w:rFonts w:cs="Arial"/>
        </w:rPr>
        <w:t>,</w:t>
      </w:r>
      <w:r w:rsidR="00F40697" w:rsidRPr="009E36E7">
        <w:rPr>
          <w:rFonts w:cs="Arial"/>
        </w:rPr>
        <w:t xml:space="preserve"> o</w:t>
      </w:r>
      <w:r w:rsidR="004779B1" w:rsidRPr="009E36E7">
        <w:rPr>
          <w:rFonts w:cs="Arial"/>
        </w:rPr>
        <w:t>verall</w:t>
      </w:r>
      <w:r w:rsidR="00F40697" w:rsidRPr="009E36E7">
        <w:rPr>
          <w:rFonts w:cs="Arial"/>
        </w:rPr>
        <w:t>,</w:t>
      </w:r>
      <w:r w:rsidR="004779B1" w:rsidRPr="009E36E7">
        <w:rPr>
          <w:rFonts w:cs="Arial"/>
        </w:rPr>
        <w:t xml:space="preserve"> the CEPA designations</w:t>
      </w:r>
      <w:r w:rsidR="00D92F12" w:rsidRPr="009E36E7">
        <w:rPr>
          <w:rFonts w:cs="Arial"/>
        </w:rPr>
        <w:t xml:space="preserve"> continue to</w:t>
      </w:r>
      <w:r w:rsidR="004779B1" w:rsidRPr="009E36E7">
        <w:rPr>
          <w:rFonts w:cs="Arial"/>
        </w:rPr>
        <w:t xml:space="preserve"> lag behind</w:t>
      </w:r>
      <w:r w:rsidR="00483AC4" w:rsidRPr="009E36E7">
        <w:rPr>
          <w:rFonts w:cs="Arial"/>
        </w:rPr>
        <w:t xml:space="preserve"> the STRP and NFP designations, </w:t>
      </w:r>
      <w:r w:rsidR="004779B1" w:rsidRPr="009E36E7">
        <w:rPr>
          <w:rFonts w:cs="Arial"/>
        </w:rPr>
        <w:t>perhaps</w:t>
      </w:r>
      <w:r w:rsidR="00483AC4" w:rsidRPr="009E36E7">
        <w:rPr>
          <w:rFonts w:cs="Arial"/>
        </w:rPr>
        <w:t xml:space="preserve"> </w:t>
      </w:r>
      <w:r w:rsidR="004779B1" w:rsidRPr="009E36E7">
        <w:rPr>
          <w:rFonts w:cs="Arial"/>
        </w:rPr>
        <w:t>reflecting both the Convention’s focus on scientif</w:t>
      </w:r>
      <w:r w:rsidR="00483AC4" w:rsidRPr="009E36E7">
        <w:rPr>
          <w:rFonts w:cs="Arial"/>
        </w:rPr>
        <w:t xml:space="preserve">ic and technical issues and the </w:t>
      </w:r>
      <w:r w:rsidR="004779B1" w:rsidRPr="009E36E7">
        <w:rPr>
          <w:rFonts w:cs="Arial"/>
        </w:rPr>
        <w:t>related expertise with the Administrative Authorities</w:t>
      </w:r>
      <w:r>
        <w:rPr>
          <w:rFonts w:cs="Arial"/>
        </w:rPr>
        <w:t xml:space="preserve"> (AAs)</w:t>
      </w:r>
      <w:r w:rsidR="004779B1" w:rsidRPr="009E36E7">
        <w:rPr>
          <w:rFonts w:cs="Arial"/>
        </w:rPr>
        <w:t>.</w:t>
      </w:r>
    </w:p>
    <w:p w:rsidR="00A76467" w:rsidRPr="00A76467" w:rsidRDefault="00A76467" w:rsidP="00A76467">
      <w:pPr>
        <w:spacing w:after="0" w:line="240" w:lineRule="auto"/>
        <w:rPr>
          <w:rFonts w:cs="Arial"/>
        </w:rPr>
      </w:pPr>
    </w:p>
    <w:p w:rsidR="00997ED8" w:rsidRDefault="00116967" w:rsidP="009E36E7">
      <w:pPr>
        <w:spacing w:after="0" w:line="240" w:lineRule="auto"/>
        <w:rPr>
          <w:rFonts w:cs="Arial"/>
          <w:highlight w:val="yellow"/>
        </w:rPr>
      </w:pPr>
      <w:r w:rsidRPr="009E36E7">
        <w:rPr>
          <w:noProof/>
          <w:lang w:val="en-US"/>
        </w:rPr>
        <w:drawing>
          <wp:inline distT="0" distB="0" distL="0" distR="0">
            <wp:extent cx="5087340" cy="2614617"/>
            <wp:effectExtent l="19050" t="0" r="180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7792" w:rsidRPr="009E36E7" w:rsidRDefault="00F77792" w:rsidP="00F77792">
      <w:pPr>
        <w:spacing w:after="0" w:line="240" w:lineRule="auto"/>
        <w:rPr>
          <w:rFonts w:cs="Arial"/>
          <w:b/>
        </w:rPr>
      </w:pPr>
      <w:r>
        <w:rPr>
          <w:rFonts w:cs="Arial"/>
          <w:b/>
        </w:rPr>
        <w:t xml:space="preserve">Figure 1: </w:t>
      </w:r>
      <w:r w:rsidRPr="009E36E7">
        <w:rPr>
          <w:rFonts w:cs="Arial"/>
          <w:b/>
        </w:rPr>
        <w:t>Percentage of parties with National Focal Points in place</w:t>
      </w:r>
    </w:p>
    <w:p w:rsidR="00F77792" w:rsidRPr="009E36E7" w:rsidRDefault="00F77792" w:rsidP="009E36E7">
      <w:pPr>
        <w:spacing w:after="0" w:line="240" w:lineRule="auto"/>
        <w:rPr>
          <w:rFonts w:cs="Arial"/>
          <w:highlight w:val="yellow"/>
        </w:rPr>
      </w:pPr>
    </w:p>
    <w:p w:rsidR="00F40697" w:rsidRPr="009E36E7" w:rsidRDefault="00F40697" w:rsidP="009E36E7">
      <w:pPr>
        <w:spacing w:after="0" w:line="240" w:lineRule="auto"/>
        <w:rPr>
          <w:rFonts w:cs="Arial"/>
          <w:highlight w:val="yellow"/>
        </w:rPr>
      </w:pPr>
    </w:p>
    <w:p w:rsidR="00997ED8" w:rsidRPr="009E36E7" w:rsidRDefault="00785BAD" w:rsidP="00A76467">
      <w:pPr>
        <w:pStyle w:val="ListParagraph"/>
        <w:numPr>
          <w:ilvl w:val="0"/>
          <w:numId w:val="25"/>
        </w:numPr>
        <w:spacing w:after="0" w:line="240" w:lineRule="auto"/>
        <w:ind w:left="426" w:hanging="426"/>
        <w:rPr>
          <w:rFonts w:cs="Arial"/>
        </w:rPr>
      </w:pPr>
      <w:r w:rsidRPr="009E36E7">
        <w:rPr>
          <w:rFonts w:cs="Arial"/>
        </w:rPr>
        <w:t>Multiple r</w:t>
      </w:r>
      <w:r w:rsidR="00997ED8" w:rsidRPr="009E36E7">
        <w:rPr>
          <w:rFonts w:cs="Arial"/>
        </w:rPr>
        <w:t>ole-sharing</w:t>
      </w:r>
      <w:r w:rsidR="005806D8" w:rsidRPr="009E36E7">
        <w:rPr>
          <w:rFonts w:cs="Arial"/>
        </w:rPr>
        <w:t xml:space="preserve"> </w:t>
      </w:r>
      <w:r w:rsidR="00F77792">
        <w:rPr>
          <w:rFonts w:cs="Arial"/>
        </w:rPr>
        <w:t xml:space="preserve">– where individuals hold more than one NFP role – </w:t>
      </w:r>
      <w:r w:rsidR="005806D8" w:rsidRPr="009E36E7">
        <w:rPr>
          <w:rFonts w:cs="Arial"/>
        </w:rPr>
        <w:t xml:space="preserve">continues </w:t>
      </w:r>
      <w:r w:rsidR="00E74A7B" w:rsidRPr="009E36E7">
        <w:rPr>
          <w:rFonts w:cs="Arial"/>
        </w:rPr>
        <w:t xml:space="preserve">at similar levels as reported for </w:t>
      </w:r>
      <w:r w:rsidR="005806D8" w:rsidRPr="009E36E7">
        <w:rPr>
          <w:rFonts w:cs="Arial"/>
        </w:rPr>
        <w:t>COP11</w:t>
      </w:r>
      <w:r w:rsidR="00A870A8" w:rsidRPr="009E36E7">
        <w:rPr>
          <w:rFonts w:cs="Arial"/>
        </w:rPr>
        <w:t>.</w:t>
      </w:r>
      <w:r w:rsidRPr="009E36E7">
        <w:rPr>
          <w:rFonts w:cs="Arial"/>
        </w:rPr>
        <w:t xml:space="preserve"> </w:t>
      </w:r>
      <w:r w:rsidR="00F77792">
        <w:rPr>
          <w:rFonts w:cs="Arial"/>
        </w:rPr>
        <w:t>F</w:t>
      </w:r>
      <w:r w:rsidR="00DB5C30" w:rsidRPr="009E36E7">
        <w:rPr>
          <w:rFonts w:cs="Arial"/>
        </w:rPr>
        <w:t xml:space="preserve">or 15 </w:t>
      </w:r>
      <w:r w:rsidR="00F77792">
        <w:rPr>
          <w:rFonts w:cs="Arial"/>
        </w:rPr>
        <w:t>P</w:t>
      </w:r>
      <w:r w:rsidR="00F77792" w:rsidRPr="009E36E7">
        <w:rPr>
          <w:rFonts w:cs="Arial"/>
        </w:rPr>
        <w:t>arties</w:t>
      </w:r>
      <w:r w:rsidR="00B608D5" w:rsidRPr="009E36E7">
        <w:rPr>
          <w:rFonts w:cs="Arial"/>
        </w:rPr>
        <w:t xml:space="preserve">, the CEPA </w:t>
      </w:r>
      <w:r w:rsidR="00F77792">
        <w:rPr>
          <w:rFonts w:cs="Arial"/>
        </w:rPr>
        <w:t>Government</w:t>
      </w:r>
      <w:r w:rsidR="00F77792" w:rsidRPr="009E36E7">
        <w:rPr>
          <w:rFonts w:cs="Arial"/>
        </w:rPr>
        <w:t xml:space="preserve"> </w:t>
      </w:r>
      <w:r w:rsidR="00F77792">
        <w:rPr>
          <w:rFonts w:cs="Arial"/>
        </w:rPr>
        <w:t xml:space="preserve">NFP </w:t>
      </w:r>
      <w:r w:rsidR="00B608D5" w:rsidRPr="009E36E7">
        <w:rPr>
          <w:rFonts w:cs="Arial"/>
        </w:rPr>
        <w:t>is also</w:t>
      </w:r>
      <w:r w:rsidR="009126DD" w:rsidRPr="009E36E7">
        <w:rPr>
          <w:rFonts w:cs="Arial"/>
        </w:rPr>
        <w:t xml:space="preserve"> either </w:t>
      </w:r>
      <w:r w:rsidR="00B608D5" w:rsidRPr="009E36E7">
        <w:rPr>
          <w:rFonts w:cs="Arial"/>
        </w:rPr>
        <w:t xml:space="preserve">the AA NFP or </w:t>
      </w:r>
      <w:r w:rsidR="005B6710" w:rsidRPr="009E36E7">
        <w:rPr>
          <w:rFonts w:cs="Arial"/>
        </w:rPr>
        <w:t>STRP</w:t>
      </w:r>
      <w:r w:rsidR="00A870A8" w:rsidRPr="009E36E7">
        <w:rPr>
          <w:rFonts w:cs="Arial"/>
        </w:rPr>
        <w:t xml:space="preserve"> </w:t>
      </w:r>
      <w:r w:rsidR="00F77792">
        <w:rPr>
          <w:rFonts w:cs="Arial"/>
        </w:rPr>
        <w:t>NFP</w:t>
      </w:r>
      <w:r w:rsidR="005B6710" w:rsidRPr="009E36E7">
        <w:rPr>
          <w:rFonts w:cs="Arial"/>
        </w:rPr>
        <w:t xml:space="preserve">. This multiple </w:t>
      </w:r>
      <w:r w:rsidR="00B608D5" w:rsidRPr="009E36E7">
        <w:rPr>
          <w:rFonts w:cs="Arial"/>
        </w:rPr>
        <w:t>role-sharing may</w:t>
      </w:r>
      <w:r w:rsidR="00A870A8" w:rsidRPr="009E36E7">
        <w:rPr>
          <w:rFonts w:cs="Arial"/>
        </w:rPr>
        <w:t xml:space="preserve"> compromise the amount of time available to implement</w:t>
      </w:r>
      <w:r w:rsidR="00B608D5" w:rsidRPr="009E36E7">
        <w:rPr>
          <w:rFonts w:cs="Arial"/>
        </w:rPr>
        <w:t xml:space="preserve"> CE</w:t>
      </w:r>
      <w:r w:rsidR="009126DD" w:rsidRPr="009E36E7">
        <w:rPr>
          <w:rFonts w:cs="Arial"/>
        </w:rPr>
        <w:t>PA activities</w:t>
      </w:r>
      <w:r w:rsidR="00A870A8" w:rsidRPr="009E36E7">
        <w:rPr>
          <w:rFonts w:cs="Arial"/>
        </w:rPr>
        <w:t>.</w:t>
      </w:r>
      <w:r w:rsidR="00067A6C">
        <w:rPr>
          <w:rFonts w:cs="Arial"/>
        </w:rPr>
        <w:t xml:space="preserve"> </w:t>
      </w:r>
      <w:r w:rsidR="005B6710" w:rsidRPr="009E36E7">
        <w:rPr>
          <w:rFonts w:cs="Arial"/>
        </w:rPr>
        <w:t xml:space="preserve"> </w:t>
      </w:r>
    </w:p>
    <w:p w:rsidR="00447223" w:rsidRPr="00A76467" w:rsidRDefault="00447223" w:rsidP="00A76467">
      <w:pPr>
        <w:pStyle w:val="ListParagraph"/>
        <w:spacing w:after="0" w:line="240" w:lineRule="auto"/>
        <w:ind w:left="426"/>
        <w:rPr>
          <w:rFonts w:cs="Arial"/>
        </w:rPr>
      </w:pPr>
    </w:p>
    <w:p w:rsidR="00447223" w:rsidRPr="009E36E7" w:rsidRDefault="00447223" w:rsidP="00A76467">
      <w:pPr>
        <w:pStyle w:val="ListParagraph"/>
        <w:numPr>
          <w:ilvl w:val="0"/>
          <w:numId w:val="25"/>
        </w:numPr>
        <w:spacing w:after="0" w:line="240" w:lineRule="auto"/>
        <w:ind w:left="426" w:hanging="426"/>
        <w:rPr>
          <w:rFonts w:cs="Arial"/>
        </w:rPr>
      </w:pPr>
      <w:r w:rsidRPr="009E36E7">
        <w:rPr>
          <w:rFonts w:cs="Arial"/>
        </w:rPr>
        <w:t>Indicator 4.1.6 assesses whether Parties have an operational National Ramsar</w:t>
      </w:r>
      <w:r w:rsidR="00F77792">
        <w:rPr>
          <w:rFonts w:cs="Arial"/>
        </w:rPr>
        <w:t>/</w:t>
      </w:r>
      <w:r w:rsidRPr="009E36E7">
        <w:rPr>
          <w:rFonts w:cs="Arial"/>
        </w:rPr>
        <w:t xml:space="preserve"> Wetland Committee in place.</w:t>
      </w:r>
      <w:r w:rsidR="00067A6C">
        <w:rPr>
          <w:rFonts w:cs="Arial"/>
        </w:rPr>
        <w:t xml:space="preserve"> </w:t>
      </w:r>
      <w:r w:rsidR="000D1AB7" w:rsidRPr="009E36E7">
        <w:rPr>
          <w:rFonts w:cs="Arial"/>
        </w:rPr>
        <w:t xml:space="preserve">This is the primary mechanism by which CEPA NFPs might mainstream CEPA guidance and be informed of issues requiring CEPA actions. </w:t>
      </w:r>
      <w:r w:rsidRPr="009E36E7">
        <w:rPr>
          <w:rFonts w:cs="Arial"/>
        </w:rPr>
        <w:t>From the analysis of the National Reports, 63% of Parties responded that they have such committees in place</w:t>
      </w:r>
      <w:r w:rsidR="00050829" w:rsidRPr="009E36E7">
        <w:rPr>
          <w:rFonts w:cs="Arial"/>
        </w:rPr>
        <w:t>,</w:t>
      </w:r>
      <w:r w:rsidRPr="009E36E7">
        <w:rPr>
          <w:rFonts w:cs="Arial"/>
        </w:rPr>
        <w:t xml:space="preserve"> a slight improvement from the 54% reported for COP11. </w:t>
      </w:r>
    </w:p>
    <w:p w:rsidR="00447223" w:rsidRPr="00A76467" w:rsidRDefault="00447223" w:rsidP="00A76467">
      <w:pPr>
        <w:pStyle w:val="ListParagraph"/>
        <w:spacing w:after="0" w:line="240" w:lineRule="auto"/>
        <w:ind w:left="426"/>
        <w:rPr>
          <w:rFonts w:cs="Arial"/>
        </w:rPr>
      </w:pPr>
    </w:p>
    <w:p w:rsidR="00447223" w:rsidRPr="009E36E7" w:rsidRDefault="00447223" w:rsidP="00A76467">
      <w:pPr>
        <w:pStyle w:val="ListParagraph"/>
        <w:numPr>
          <w:ilvl w:val="0"/>
          <w:numId w:val="25"/>
        </w:numPr>
        <w:spacing w:after="0" w:line="240" w:lineRule="auto"/>
        <w:ind w:left="426" w:hanging="426"/>
        <w:rPr>
          <w:rFonts w:cs="Arial"/>
        </w:rPr>
      </w:pPr>
      <w:r w:rsidRPr="009E36E7">
        <w:rPr>
          <w:rFonts w:cs="Arial"/>
        </w:rPr>
        <w:t xml:space="preserve">Apart from National Ramsar Committees there are other means of effective information sharing and cross-sectoral planning mechanisms. Indicator 4.1.7 investigated whether mechanisms are in place to share Ramsar implementation guidelines and other information between the Ramsar Administrative Authority and a) site managers, b) other MEAs, and c) relevant ministries, departments and agencies. These results are summarized </w:t>
      </w:r>
      <w:r w:rsidR="00F77792">
        <w:rPr>
          <w:rFonts w:cs="Arial"/>
        </w:rPr>
        <w:t>in Table 1 below</w:t>
      </w:r>
      <w:r w:rsidRPr="009E36E7">
        <w:rPr>
          <w:rFonts w:cs="Arial"/>
        </w:rPr>
        <w:t>.</w:t>
      </w:r>
    </w:p>
    <w:p w:rsidR="00447223" w:rsidRPr="009E36E7" w:rsidRDefault="00447223" w:rsidP="009E36E7">
      <w:pPr>
        <w:spacing w:after="0" w:line="240" w:lineRule="auto"/>
        <w:rPr>
          <w:rFonts w:cs="Arial"/>
          <w:highlight w:val="yellow"/>
        </w:rPr>
      </w:pPr>
    </w:p>
    <w:tbl>
      <w:tblPr>
        <w:tblStyle w:val="TableGrid"/>
        <w:tblW w:w="0" w:type="auto"/>
        <w:tblInd w:w="108" w:type="dxa"/>
        <w:tblLook w:val="04A0"/>
      </w:tblPr>
      <w:tblGrid>
        <w:gridCol w:w="3828"/>
        <w:gridCol w:w="935"/>
        <w:gridCol w:w="907"/>
        <w:gridCol w:w="993"/>
        <w:gridCol w:w="930"/>
      </w:tblGrid>
      <w:tr w:rsidR="00F40697" w:rsidRPr="009E36E7" w:rsidTr="00A76467">
        <w:tc>
          <w:tcPr>
            <w:tcW w:w="3828" w:type="dxa"/>
          </w:tcPr>
          <w:p w:rsidR="00F40697" w:rsidRPr="009E36E7" w:rsidRDefault="00F40697" w:rsidP="009E36E7">
            <w:pPr>
              <w:autoSpaceDE w:val="0"/>
              <w:autoSpaceDN w:val="0"/>
              <w:adjustRightInd w:val="0"/>
              <w:rPr>
                <w:rFonts w:cs="Garamond"/>
              </w:rPr>
            </w:pPr>
          </w:p>
        </w:tc>
        <w:tc>
          <w:tcPr>
            <w:tcW w:w="935" w:type="dxa"/>
          </w:tcPr>
          <w:p w:rsidR="00F40697" w:rsidRPr="009E36E7" w:rsidRDefault="00F40697" w:rsidP="009E36E7">
            <w:pPr>
              <w:autoSpaceDE w:val="0"/>
              <w:autoSpaceDN w:val="0"/>
              <w:adjustRightInd w:val="0"/>
              <w:rPr>
                <w:rFonts w:cs="Garamond"/>
                <w:b/>
              </w:rPr>
            </w:pPr>
            <w:r w:rsidRPr="009E36E7">
              <w:rPr>
                <w:rFonts w:cs="Garamond"/>
                <w:b/>
              </w:rPr>
              <w:t>COP12</w:t>
            </w:r>
          </w:p>
          <w:p w:rsidR="00F40697" w:rsidRPr="009E36E7" w:rsidRDefault="00F40697" w:rsidP="009E36E7">
            <w:pPr>
              <w:autoSpaceDE w:val="0"/>
              <w:autoSpaceDN w:val="0"/>
              <w:adjustRightInd w:val="0"/>
              <w:rPr>
                <w:rFonts w:cs="Garamond"/>
                <w:b/>
              </w:rPr>
            </w:pPr>
            <w:r w:rsidRPr="009E36E7">
              <w:rPr>
                <w:rFonts w:cs="Garamond"/>
                <w:b/>
              </w:rPr>
              <w:t>Yes</w:t>
            </w:r>
          </w:p>
        </w:tc>
        <w:tc>
          <w:tcPr>
            <w:tcW w:w="907" w:type="dxa"/>
          </w:tcPr>
          <w:p w:rsidR="00F40697" w:rsidRPr="009E36E7" w:rsidRDefault="00F40697" w:rsidP="009E36E7">
            <w:pPr>
              <w:autoSpaceDE w:val="0"/>
              <w:autoSpaceDN w:val="0"/>
              <w:adjustRightInd w:val="0"/>
              <w:rPr>
                <w:rFonts w:cs="Garamond"/>
                <w:b/>
              </w:rPr>
            </w:pPr>
            <w:r w:rsidRPr="009E36E7">
              <w:rPr>
                <w:rFonts w:cs="Garamond"/>
                <w:b/>
              </w:rPr>
              <w:t>COP11</w:t>
            </w:r>
          </w:p>
          <w:p w:rsidR="00F40697" w:rsidRPr="009E36E7" w:rsidRDefault="00785BAD" w:rsidP="009E36E7">
            <w:pPr>
              <w:autoSpaceDE w:val="0"/>
              <w:autoSpaceDN w:val="0"/>
              <w:adjustRightInd w:val="0"/>
              <w:rPr>
                <w:rFonts w:cs="Garamond"/>
                <w:b/>
              </w:rPr>
            </w:pPr>
            <w:r w:rsidRPr="009E36E7">
              <w:rPr>
                <w:rFonts w:cs="Garamond"/>
                <w:b/>
              </w:rPr>
              <w:t>Y</w:t>
            </w:r>
            <w:r w:rsidR="00F40697" w:rsidRPr="009E36E7">
              <w:rPr>
                <w:rFonts w:cs="Garamond"/>
                <w:b/>
              </w:rPr>
              <w:t>es</w:t>
            </w:r>
          </w:p>
        </w:tc>
        <w:tc>
          <w:tcPr>
            <w:tcW w:w="993" w:type="dxa"/>
          </w:tcPr>
          <w:p w:rsidR="00F40697" w:rsidRPr="009E36E7" w:rsidRDefault="00F40697" w:rsidP="009E36E7">
            <w:pPr>
              <w:autoSpaceDE w:val="0"/>
              <w:autoSpaceDN w:val="0"/>
              <w:adjustRightInd w:val="0"/>
              <w:rPr>
                <w:rFonts w:cs="Garamond"/>
                <w:b/>
              </w:rPr>
            </w:pPr>
            <w:r w:rsidRPr="009E36E7">
              <w:rPr>
                <w:rFonts w:cs="Garamond"/>
                <w:b/>
              </w:rPr>
              <w:t>COP12</w:t>
            </w:r>
          </w:p>
          <w:p w:rsidR="00F40697" w:rsidRPr="009E36E7" w:rsidRDefault="00F40697" w:rsidP="009E36E7">
            <w:pPr>
              <w:autoSpaceDE w:val="0"/>
              <w:autoSpaceDN w:val="0"/>
              <w:adjustRightInd w:val="0"/>
              <w:rPr>
                <w:rFonts w:cs="Garamond"/>
                <w:b/>
              </w:rPr>
            </w:pPr>
            <w:r w:rsidRPr="009E36E7">
              <w:rPr>
                <w:rFonts w:cs="Garamond"/>
                <w:b/>
              </w:rPr>
              <w:t>No</w:t>
            </w:r>
          </w:p>
        </w:tc>
        <w:tc>
          <w:tcPr>
            <w:tcW w:w="930" w:type="dxa"/>
          </w:tcPr>
          <w:p w:rsidR="00F40697" w:rsidRPr="009E36E7" w:rsidRDefault="00F40697" w:rsidP="009E36E7">
            <w:pPr>
              <w:autoSpaceDE w:val="0"/>
              <w:autoSpaceDN w:val="0"/>
              <w:adjustRightInd w:val="0"/>
              <w:rPr>
                <w:rFonts w:cs="Garamond"/>
                <w:b/>
              </w:rPr>
            </w:pPr>
            <w:r w:rsidRPr="009E36E7">
              <w:rPr>
                <w:rFonts w:cs="Garamond"/>
                <w:b/>
              </w:rPr>
              <w:t>COP11</w:t>
            </w:r>
          </w:p>
          <w:p w:rsidR="00F40697" w:rsidRPr="009E36E7" w:rsidRDefault="00F40697" w:rsidP="009E36E7">
            <w:pPr>
              <w:autoSpaceDE w:val="0"/>
              <w:autoSpaceDN w:val="0"/>
              <w:adjustRightInd w:val="0"/>
              <w:rPr>
                <w:rFonts w:cs="Garamond"/>
                <w:b/>
              </w:rPr>
            </w:pPr>
            <w:r w:rsidRPr="009E36E7">
              <w:rPr>
                <w:rFonts w:cs="Garamond"/>
                <w:b/>
              </w:rPr>
              <w:t>No</w:t>
            </w:r>
          </w:p>
        </w:tc>
      </w:tr>
      <w:tr w:rsidR="00F40697" w:rsidRPr="009E36E7" w:rsidTr="00A76467">
        <w:tc>
          <w:tcPr>
            <w:tcW w:w="3828" w:type="dxa"/>
          </w:tcPr>
          <w:p w:rsidR="00F40697" w:rsidRPr="009E36E7" w:rsidRDefault="00F40697" w:rsidP="009E36E7">
            <w:pPr>
              <w:autoSpaceDE w:val="0"/>
              <w:autoSpaceDN w:val="0"/>
              <w:adjustRightInd w:val="0"/>
              <w:rPr>
                <w:rFonts w:cs="Garamond"/>
              </w:rPr>
            </w:pPr>
            <w:r w:rsidRPr="009E36E7">
              <w:rPr>
                <w:rFonts w:cs="Garamond"/>
              </w:rPr>
              <w:t>a) Site managers</w:t>
            </w:r>
          </w:p>
        </w:tc>
        <w:tc>
          <w:tcPr>
            <w:tcW w:w="935" w:type="dxa"/>
          </w:tcPr>
          <w:p w:rsidR="00F40697" w:rsidRPr="009E36E7" w:rsidRDefault="00F40697" w:rsidP="009E36E7">
            <w:pPr>
              <w:autoSpaceDE w:val="0"/>
              <w:autoSpaceDN w:val="0"/>
              <w:adjustRightInd w:val="0"/>
              <w:rPr>
                <w:rFonts w:cs="Garamond"/>
              </w:rPr>
            </w:pPr>
            <w:r w:rsidRPr="009E36E7">
              <w:rPr>
                <w:rFonts w:cs="Garamond"/>
              </w:rPr>
              <w:t>55%</w:t>
            </w:r>
          </w:p>
        </w:tc>
        <w:tc>
          <w:tcPr>
            <w:tcW w:w="907" w:type="dxa"/>
          </w:tcPr>
          <w:p w:rsidR="00F40697" w:rsidRPr="009E36E7" w:rsidRDefault="00F40697" w:rsidP="009E36E7">
            <w:pPr>
              <w:autoSpaceDE w:val="0"/>
              <w:autoSpaceDN w:val="0"/>
              <w:adjustRightInd w:val="0"/>
              <w:rPr>
                <w:rFonts w:cs="Garamond"/>
              </w:rPr>
            </w:pPr>
            <w:r w:rsidRPr="009E36E7">
              <w:rPr>
                <w:rFonts w:cs="Garamond"/>
              </w:rPr>
              <w:t>56%</w:t>
            </w:r>
          </w:p>
        </w:tc>
        <w:tc>
          <w:tcPr>
            <w:tcW w:w="993" w:type="dxa"/>
          </w:tcPr>
          <w:p w:rsidR="00F40697" w:rsidRPr="009E36E7" w:rsidRDefault="00F40697" w:rsidP="009E36E7">
            <w:pPr>
              <w:autoSpaceDE w:val="0"/>
              <w:autoSpaceDN w:val="0"/>
              <w:adjustRightInd w:val="0"/>
              <w:rPr>
                <w:rFonts w:cs="Garamond"/>
              </w:rPr>
            </w:pPr>
            <w:r w:rsidRPr="009E36E7">
              <w:rPr>
                <w:rFonts w:cs="Garamond"/>
              </w:rPr>
              <w:t>19%</w:t>
            </w:r>
          </w:p>
        </w:tc>
        <w:tc>
          <w:tcPr>
            <w:tcW w:w="930" w:type="dxa"/>
          </w:tcPr>
          <w:p w:rsidR="00F40697" w:rsidRPr="009E36E7" w:rsidRDefault="00F40697" w:rsidP="009E36E7">
            <w:pPr>
              <w:autoSpaceDE w:val="0"/>
              <w:autoSpaceDN w:val="0"/>
              <w:adjustRightInd w:val="0"/>
              <w:rPr>
                <w:rFonts w:cs="Garamond"/>
              </w:rPr>
            </w:pPr>
            <w:r w:rsidRPr="009E36E7">
              <w:rPr>
                <w:rFonts w:cs="Garamond"/>
              </w:rPr>
              <w:t>22%</w:t>
            </w:r>
          </w:p>
        </w:tc>
      </w:tr>
      <w:tr w:rsidR="00F40697" w:rsidRPr="009E36E7" w:rsidTr="00A76467">
        <w:tc>
          <w:tcPr>
            <w:tcW w:w="3828" w:type="dxa"/>
          </w:tcPr>
          <w:p w:rsidR="00F40697" w:rsidRPr="009E36E7" w:rsidRDefault="00F40697" w:rsidP="009E36E7">
            <w:pPr>
              <w:autoSpaceDE w:val="0"/>
              <w:autoSpaceDN w:val="0"/>
              <w:adjustRightInd w:val="0"/>
              <w:rPr>
                <w:rFonts w:cs="Garamond"/>
              </w:rPr>
            </w:pPr>
            <w:r w:rsidRPr="009E36E7">
              <w:rPr>
                <w:rFonts w:cs="Garamond"/>
              </w:rPr>
              <w:t>b) Other MEA Focal points</w:t>
            </w:r>
          </w:p>
        </w:tc>
        <w:tc>
          <w:tcPr>
            <w:tcW w:w="935" w:type="dxa"/>
          </w:tcPr>
          <w:p w:rsidR="00F40697" w:rsidRPr="009E36E7" w:rsidRDefault="00F40697" w:rsidP="009E36E7">
            <w:pPr>
              <w:autoSpaceDE w:val="0"/>
              <w:autoSpaceDN w:val="0"/>
              <w:adjustRightInd w:val="0"/>
              <w:rPr>
                <w:rFonts w:cs="Garamond"/>
              </w:rPr>
            </w:pPr>
            <w:r w:rsidRPr="009E36E7">
              <w:rPr>
                <w:rFonts w:cs="Garamond"/>
              </w:rPr>
              <w:t>44%</w:t>
            </w:r>
          </w:p>
        </w:tc>
        <w:tc>
          <w:tcPr>
            <w:tcW w:w="907" w:type="dxa"/>
          </w:tcPr>
          <w:p w:rsidR="00F40697" w:rsidRPr="009E36E7" w:rsidRDefault="00F40697" w:rsidP="009E36E7">
            <w:pPr>
              <w:autoSpaceDE w:val="0"/>
              <w:autoSpaceDN w:val="0"/>
              <w:adjustRightInd w:val="0"/>
              <w:rPr>
                <w:rFonts w:cs="Garamond"/>
              </w:rPr>
            </w:pPr>
            <w:r w:rsidRPr="009E36E7">
              <w:rPr>
                <w:rFonts w:cs="Garamond"/>
              </w:rPr>
              <w:t>45%</w:t>
            </w:r>
          </w:p>
        </w:tc>
        <w:tc>
          <w:tcPr>
            <w:tcW w:w="993" w:type="dxa"/>
          </w:tcPr>
          <w:p w:rsidR="00F40697" w:rsidRPr="009E36E7" w:rsidRDefault="00F40697" w:rsidP="009E36E7">
            <w:pPr>
              <w:autoSpaceDE w:val="0"/>
              <w:autoSpaceDN w:val="0"/>
              <w:adjustRightInd w:val="0"/>
              <w:rPr>
                <w:rFonts w:cs="Garamond"/>
              </w:rPr>
            </w:pPr>
            <w:r w:rsidRPr="009E36E7">
              <w:rPr>
                <w:rFonts w:cs="Garamond"/>
              </w:rPr>
              <w:t>19%</w:t>
            </w:r>
          </w:p>
        </w:tc>
        <w:tc>
          <w:tcPr>
            <w:tcW w:w="930" w:type="dxa"/>
          </w:tcPr>
          <w:p w:rsidR="00F40697" w:rsidRPr="009E36E7" w:rsidRDefault="00785BAD" w:rsidP="009E36E7">
            <w:pPr>
              <w:autoSpaceDE w:val="0"/>
              <w:autoSpaceDN w:val="0"/>
              <w:adjustRightInd w:val="0"/>
              <w:rPr>
                <w:rFonts w:cs="Garamond"/>
              </w:rPr>
            </w:pPr>
            <w:r w:rsidRPr="009E36E7">
              <w:rPr>
                <w:rFonts w:cs="Garamond"/>
              </w:rPr>
              <w:t>21%</w:t>
            </w:r>
          </w:p>
        </w:tc>
      </w:tr>
      <w:tr w:rsidR="00F40697" w:rsidRPr="009E36E7" w:rsidTr="00A76467">
        <w:tc>
          <w:tcPr>
            <w:tcW w:w="3828" w:type="dxa"/>
          </w:tcPr>
          <w:p w:rsidR="00F40697" w:rsidRPr="009E36E7" w:rsidRDefault="00F40697" w:rsidP="009E36E7">
            <w:pPr>
              <w:autoSpaceDE w:val="0"/>
              <w:autoSpaceDN w:val="0"/>
              <w:adjustRightInd w:val="0"/>
              <w:rPr>
                <w:rFonts w:cs="Garamond"/>
              </w:rPr>
            </w:pPr>
            <w:r w:rsidRPr="009E36E7">
              <w:rPr>
                <w:rFonts w:cs="Garamond"/>
              </w:rPr>
              <w:t>c) Relevant ministries, departments and agencies</w:t>
            </w:r>
          </w:p>
        </w:tc>
        <w:tc>
          <w:tcPr>
            <w:tcW w:w="935" w:type="dxa"/>
          </w:tcPr>
          <w:p w:rsidR="00F40697" w:rsidRPr="009E36E7" w:rsidRDefault="00F40697" w:rsidP="009E36E7">
            <w:pPr>
              <w:autoSpaceDE w:val="0"/>
              <w:autoSpaceDN w:val="0"/>
              <w:adjustRightInd w:val="0"/>
              <w:rPr>
                <w:rFonts w:cs="Garamond"/>
              </w:rPr>
            </w:pPr>
            <w:r w:rsidRPr="009E36E7">
              <w:rPr>
                <w:rFonts w:cs="Garamond"/>
              </w:rPr>
              <w:t>48%</w:t>
            </w:r>
          </w:p>
        </w:tc>
        <w:tc>
          <w:tcPr>
            <w:tcW w:w="907" w:type="dxa"/>
          </w:tcPr>
          <w:p w:rsidR="00F40697" w:rsidRPr="009E36E7" w:rsidRDefault="00785BAD" w:rsidP="009E36E7">
            <w:pPr>
              <w:autoSpaceDE w:val="0"/>
              <w:autoSpaceDN w:val="0"/>
              <w:adjustRightInd w:val="0"/>
              <w:rPr>
                <w:rFonts w:cs="Garamond"/>
              </w:rPr>
            </w:pPr>
            <w:r w:rsidRPr="009E36E7">
              <w:rPr>
                <w:rFonts w:cs="Garamond"/>
              </w:rPr>
              <w:t>54%</w:t>
            </w:r>
          </w:p>
        </w:tc>
        <w:tc>
          <w:tcPr>
            <w:tcW w:w="993" w:type="dxa"/>
          </w:tcPr>
          <w:p w:rsidR="00F40697" w:rsidRPr="009E36E7" w:rsidRDefault="00F40697" w:rsidP="009E36E7">
            <w:pPr>
              <w:autoSpaceDE w:val="0"/>
              <w:autoSpaceDN w:val="0"/>
              <w:adjustRightInd w:val="0"/>
              <w:rPr>
                <w:rFonts w:cs="Garamond"/>
              </w:rPr>
            </w:pPr>
            <w:r w:rsidRPr="009E36E7">
              <w:rPr>
                <w:rFonts w:cs="Garamond"/>
              </w:rPr>
              <w:t>17%</w:t>
            </w:r>
          </w:p>
        </w:tc>
        <w:tc>
          <w:tcPr>
            <w:tcW w:w="930" w:type="dxa"/>
          </w:tcPr>
          <w:p w:rsidR="00F40697" w:rsidRPr="009E36E7" w:rsidRDefault="00785BAD" w:rsidP="009E36E7">
            <w:pPr>
              <w:autoSpaceDE w:val="0"/>
              <w:autoSpaceDN w:val="0"/>
              <w:adjustRightInd w:val="0"/>
              <w:rPr>
                <w:rFonts w:cs="Garamond"/>
              </w:rPr>
            </w:pPr>
            <w:r w:rsidRPr="009E36E7">
              <w:rPr>
                <w:rFonts w:cs="Garamond"/>
              </w:rPr>
              <w:t>13%</w:t>
            </w:r>
          </w:p>
        </w:tc>
      </w:tr>
    </w:tbl>
    <w:p w:rsidR="00050829" w:rsidRDefault="00F77792" w:rsidP="00FF68A6">
      <w:pPr>
        <w:spacing w:after="0" w:line="240" w:lineRule="auto"/>
        <w:rPr>
          <w:rFonts w:cs="Arial"/>
        </w:rPr>
      </w:pPr>
      <w:r w:rsidRPr="00A76467">
        <w:rPr>
          <w:rFonts w:cs="Arial"/>
          <w:b/>
        </w:rPr>
        <w:t>Table 1: Are other communication mechanisms apart from National Wetland Committees in place to share Ramsar implementation guidelines between the Ramsar Administrative Authority and</w:t>
      </w:r>
      <w:r w:rsidR="00FF68A6">
        <w:rPr>
          <w:rFonts w:cs="Arial"/>
          <w:b/>
        </w:rPr>
        <w:t xml:space="preserve"> stakeholders?</w:t>
      </w:r>
    </w:p>
    <w:p w:rsidR="00F77792" w:rsidRDefault="00F77792" w:rsidP="009E36E7">
      <w:pPr>
        <w:spacing w:after="0" w:line="240" w:lineRule="auto"/>
        <w:rPr>
          <w:rFonts w:cs="Arial"/>
        </w:rPr>
      </w:pPr>
    </w:p>
    <w:p w:rsidR="00F77792" w:rsidRPr="009E36E7" w:rsidRDefault="00F77792" w:rsidP="009E36E7">
      <w:pPr>
        <w:spacing w:after="0" w:line="240" w:lineRule="auto"/>
        <w:rPr>
          <w:rFonts w:cs="Arial"/>
        </w:rPr>
      </w:pPr>
    </w:p>
    <w:p w:rsidR="00050829" w:rsidRPr="009E36E7" w:rsidRDefault="00050829" w:rsidP="00A76467">
      <w:pPr>
        <w:pStyle w:val="ListParagraph"/>
        <w:numPr>
          <w:ilvl w:val="0"/>
          <w:numId w:val="25"/>
        </w:numPr>
        <w:spacing w:after="0" w:line="240" w:lineRule="auto"/>
        <w:ind w:left="426" w:hanging="426"/>
        <w:rPr>
          <w:rFonts w:cs="Arial"/>
        </w:rPr>
      </w:pPr>
      <w:r w:rsidRPr="009E36E7">
        <w:rPr>
          <w:rFonts w:cs="Arial"/>
        </w:rPr>
        <w:lastRenderedPageBreak/>
        <w:t>Ramsar Site managers need regular updates from their national Administrative Authority on Ramsar guidance materials with particular reference to site management. Responses on Indicator 4.1.7</w:t>
      </w:r>
      <w:r w:rsidR="005B286C">
        <w:rPr>
          <w:rFonts w:cs="Arial"/>
        </w:rPr>
        <w:t>.</w:t>
      </w:r>
      <w:r w:rsidRPr="009E36E7">
        <w:rPr>
          <w:rFonts w:cs="Arial"/>
        </w:rPr>
        <w:t xml:space="preserve">a showed that 55 % </w:t>
      </w:r>
      <w:r w:rsidR="00C413A1" w:rsidRPr="009E36E7">
        <w:rPr>
          <w:rFonts w:cs="Arial"/>
        </w:rPr>
        <w:t>of p</w:t>
      </w:r>
      <w:r w:rsidRPr="009E36E7">
        <w:rPr>
          <w:rFonts w:cs="Arial"/>
        </w:rPr>
        <w:t>arties reported the existence of such communications mechanisms</w:t>
      </w:r>
      <w:r w:rsidR="005B286C">
        <w:rPr>
          <w:rFonts w:cs="Arial"/>
        </w:rPr>
        <w:t>,</w:t>
      </w:r>
      <w:r w:rsidR="00C413A1" w:rsidRPr="009E36E7">
        <w:rPr>
          <w:rFonts w:cs="Arial"/>
        </w:rPr>
        <w:t xml:space="preserve"> similar to the 56% reported for COP11. 19% of parties</w:t>
      </w:r>
      <w:r w:rsidRPr="009E36E7">
        <w:rPr>
          <w:rFonts w:cs="Arial"/>
        </w:rPr>
        <w:t xml:space="preserve"> reported </w:t>
      </w:r>
      <w:r w:rsidR="009F5E11" w:rsidRPr="009E36E7">
        <w:rPr>
          <w:rFonts w:cs="Arial"/>
        </w:rPr>
        <w:t xml:space="preserve">that </w:t>
      </w:r>
      <w:r w:rsidRPr="009E36E7">
        <w:rPr>
          <w:rFonts w:cs="Arial"/>
        </w:rPr>
        <w:t xml:space="preserve">no </w:t>
      </w:r>
      <w:r w:rsidR="00C413A1" w:rsidRPr="009E36E7">
        <w:rPr>
          <w:rFonts w:cs="Arial"/>
        </w:rPr>
        <w:t>communication mechanism existed</w:t>
      </w:r>
      <w:r w:rsidR="005B286C">
        <w:rPr>
          <w:rFonts w:cs="Arial"/>
        </w:rPr>
        <w:t>,</w:t>
      </w:r>
      <w:r w:rsidR="00C413A1" w:rsidRPr="009E36E7">
        <w:rPr>
          <w:rFonts w:cs="Arial"/>
        </w:rPr>
        <w:t xml:space="preserve"> an improvement compared to </w:t>
      </w:r>
      <w:r w:rsidR="005B286C">
        <w:rPr>
          <w:rFonts w:cs="Arial"/>
        </w:rPr>
        <w:t xml:space="preserve">the </w:t>
      </w:r>
      <w:r w:rsidR="00C413A1" w:rsidRPr="009E36E7">
        <w:rPr>
          <w:rFonts w:cs="Arial"/>
        </w:rPr>
        <w:t xml:space="preserve">31% </w:t>
      </w:r>
      <w:r w:rsidR="005B286C">
        <w:rPr>
          <w:rFonts w:cs="Arial"/>
        </w:rPr>
        <w:t xml:space="preserve">which </w:t>
      </w:r>
      <w:r w:rsidR="00C413A1" w:rsidRPr="009E36E7">
        <w:rPr>
          <w:rFonts w:cs="Arial"/>
        </w:rPr>
        <w:t xml:space="preserve">reported </w:t>
      </w:r>
      <w:r w:rsidR="005B286C">
        <w:rPr>
          <w:rFonts w:cs="Arial"/>
        </w:rPr>
        <w:t xml:space="preserve">this </w:t>
      </w:r>
      <w:r w:rsidR="00C413A1" w:rsidRPr="009E36E7">
        <w:rPr>
          <w:rFonts w:cs="Arial"/>
        </w:rPr>
        <w:t>for COP11.</w:t>
      </w:r>
    </w:p>
    <w:p w:rsidR="00050829" w:rsidRPr="009E36E7" w:rsidRDefault="00050829" w:rsidP="00A76467">
      <w:pPr>
        <w:pStyle w:val="ListParagraph"/>
        <w:spacing w:after="0" w:line="240" w:lineRule="auto"/>
        <w:ind w:left="426"/>
        <w:rPr>
          <w:rFonts w:cs="Arial"/>
        </w:rPr>
      </w:pPr>
    </w:p>
    <w:p w:rsidR="00447223" w:rsidRPr="009E36E7" w:rsidRDefault="000D1AB7" w:rsidP="00A76467">
      <w:pPr>
        <w:pStyle w:val="ListParagraph"/>
        <w:numPr>
          <w:ilvl w:val="0"/>
          <w:numId w:val="25"/>
        </w:numPr>
        <w:spacing w:after="0" w:line="240" w:lineRule="auto"/>
        <w:ind w:left="426" w:hanging="426"/>
        <w:rPr>
          <w:rFonts w:cs="Arial"/>
        </w:rPr>
      </w:pPr>
      <w:r w:rsidRPr="009E36E7">
        <w:rPr>
          <w:rFonts w:cs="Arial"/>
        </w:rPr>
        <w:t>Indicator 4.1.7.c</w:t>
      </w:r>
      <w:r w:rsidR="00DF7299" w:rsidRPr="009E36E7">
        <w:rPr>
          <w:rFonts w:cs="Arial"/>
        </w:rPr>
        <w:t xml:space="preserve"> questions if there are</w:t>
      </w:r>
      <w:r w:rsidR="0023064E" w:rsidRPr="009E36E7">
        <w:rPr>
          <w:rFonts w:cs="Arial"/>
        </w:rPr>
        <w:t xml:space="preserve"> communication mechanisms in place for sharing information on Ramsar implementation with relevant ministries, departments. The existence of this mechanism </w:t>
      </w:r>
      <w:r w:rsidRPr="009E36E7">
        <w:rPr>
          <w:rFonts w:cs="Arial"/>
        </w:rPr>
        <w:t xml:space="preserve">shows </w:t>
      </w:r>
      <w:r w:rsidR="00447223" w:rsidRPr="009E36E7">
        <w:rPr>
          <w:rFonts w:cs="Arial"/>
        </w:rPr>
        <w:t>whether national structures for managing wetlands or more broadly biodiversity conservation already exist</w:t>
      </w:r>
      <w:r w:rsidR="0023064E" w:rsidRPr="009E36E7">
        <w:rPr>
          <w:rFonts w:cs="Arial"/>
        </w:rPr>
        <w:t xml:space="preserve"> within a country and therefore a </w:t>
      </w:r>
      <w:r w:rsidR="00447223" w:rsidRPr="009E36E7">
        <w:rPr>
          <w:rFonts w:cs="Arial"/>
        </w:rPr>
        <w:t>specific Ramsar mechanism may be unne</w:t>
      </w:r>
      <w:r w:rsidR="0023064E" w:rsidRPr="009E36E7">
        <w:rPr>
          <w:rFonts w:cs="Arial"/>
        </w:rPr>
        <w:t>cessary or simply impractical.</w:t>
      </w:r>
      <w:r w:rsidR="00067A6C">
        <w:rPr>
          <w:rFonts w:cs="Arial"/>
        </w:rPr>
        <w:t xml:space="preserve"> </w:t>
      </w:r>
      <w:r w:rsidR="00447223" w:rsidRPr="009E36E7">
        <w:rPr>
          <w:rFonts w:cs="Arial"/>
        </w:rPr>
        <w:t xml:space="preserve">48% </w:t>
      </w:r>
      <w:r w:rsidR="0023064E" w:rsidRPr="009E36E7">
        <w:rPr>
          <w:rFonts w:cs="Arial"/>
        </w:rPr>
        <w:t xml:space="preserve">of parties reported having such a mechanism in place, slightly less than the 54% reported for COP11. </w:t>
      </w:r>
    </w:p>
    <w:p w:rsidR="0023064E" w:rsidRPr="00A76467" w:rsidRDefault="0023064E" w:rsidP="00A76467">
      <w:pPr>
        <w:pStyle w:val="ListParagraph"/>
        <w:spacing w:after="0" w:line="240" w:lineRule="auto"/>
        <w:ind w:left="426"/>
        <w:rPr>
          <w:rFonts w:cs="Arial"/>
        </w:rPr>
      </w:pPr>
    </w:p>
    <w:p w:rsidR="00997ED8" w:rsidRPr="009E36E7" w:rsidRDefault="00447223" w:rsidP="00A76467">
      <w:pPr>
        <w:pStyle w:val="ListParagraph"/>
        <w:numPr>
          <w:ilvl w:val="0"/>
          <w:numId w:val="25"/>
        </w:numPr>
        <w:spacing w:after="0" w:line="240" w:lineRule="auto"/>
        <w:ind w:left="426" w:hanging="426"/>
        <w:rPr>
          <w:rFonts w:cs="Arial"/>
        </w:rPr>
      </w:pPr>
      <w:r w:rsidRPr="009E36E7">
        <w:rPr>
          <w:rFonts w:cs="Arial"/>
        </w:rPr>
        <w:t xml:space="preserve">Of most concern, however, are those countries that have neither mechanism in place: no National Ramsar Committee and no other communication mechanism that functions across ministries, departments and agencies. The analysis of this shows that </w:t>
      </w:r>
      <w:r w:rsidR="00993508" w:rsidRPr="009E36E7">
        <w:rPr>
          <w:rFonts w:cs="Arial"/>
        </w:rPr>
        <w:t xml:space="preserve">on average 19% </w:t>
      </w:r>
      <w:r w:rsidRPr="009E36E7">
        <w:rPr>
          <w:rFonts w:cs="Arial"/>
        </w:rPr>
        <w:t xml:space="preserve">of Parties submitting National Reports </w:t>
      </w:r>
      <w:r w:rsidR="00993508" w:rsidRPr="009E36E7">
        <w:rPr>
          <w:rFonts w:cs="Arial"/>
        </w:rPr>
        <w:t>have neither</w:t>
      </w:r>
      <w:r w:rsidRPr="009E36E7">
        <w:rPr>
          <w:rFonts w:cs="Arial"/>
        </w:rPr>
        <w:t xml:space="preserve"> mechanism.</w:t>
      </w:r>
    </w:p>
    <w:p w:rsidR="00993508" w:rsidRPr="009E36E7" w:rsidRDefault="00993508" w:rsidP="009E36E7">
      <w:pPr>
        <w:spacing w:after="0" w:line="240" w:lineRule="auto"/>
        <w:rPr>
          <w:rFonts w:cs="Arial"/>
        </w:rPr>
      </w:pPr>
    </w:p>
    <w:p w:rsidR="00997ED8" w:rsidRPr="009E36E7" w:rsidRDefault="000D1AB7" w:rsidP="009E36E7">
      <w:pPr>
        <w:spacing w:after="0" w:line="240" w:lineRule="auto"/>
        <w:rPr>
          <w:rFonts w:cs="Arial"/>
          <w:b/>
        </w:rPr>
      </w:pPr>
      <w:r w:rsidRPr="009E36E7">
        <w:rPr>
          <w:rFonts w:cs="Arial"/>
          <w:b/>
        </w:rPr>
        <w:t xml:space="preserve">Plans and </w:t>
      </w:r>
      <w:r w:rsidR="00A33DB3" w:rsidRPr="009E36E7">
        <w:rPr>
          <w:rFonts w:cs="Arial"/>
          <w:b/>
        </w:rPr>
        <w:t>section</w:t>
      </w:r>
      <w:r w:rsidR="00997ED8" w:rsidRPr="009E36E7">
        <w:rPr>
          <w:rFonts w:cs="Arial"/>
          <w:b/>
        </w:rPr>
        <w:t xml:space="preserve"> plans for wetland CEPA</w:t>
      </w:r>
    </w:p>
    <w:p w:rsidR="000A0707" w:rsidRPr="009E36E7" w:rsidRDefault="000A0707" w:rsidP="009E36E7">
      <w:pPr>
        <w:spacing w:after="0" w:line="240" w:lineRule="auto"/>
        <w:rPr>
          <w:rFonts w:cs="Arial"/>
        </w:rPr>
      </w:pPr>
    </w:p>
    <w:p w:rsidR="009A76F7" w:rsidRDefault="00997ED8" w:rsidP="00A76467">
      <w:pPr>
        <w:pStyle w:val="ListParagraph"/>
        <w:numPr>
          <w:ilvl w:val="0"/>
          <w:numId w:val="25"/>
        </w:numPr>
        <w:spacing w:after="0" w:line="240" w:lineRule="auto"/>
        <w:ind w:left="426" w:hanging="426"/>
        <w:rPr>
          <w:rFonts w:cs="Arial"/>
        </w:rPr>
      </w:pPr>
      <w:r w:rsidRPr="009E36E7">
        <w:rPr>
          <w:rFonts w:cs="Arial"/>
        </w:rPr>
        <w:t>Indicator 4.1.1 in the COP1</w:t>
      </w:r>
      <w:r w:rsidR="00492997" w:rsidRPr="009E36E7">
        <w:rPr>
          <w:rFonts w:cs="Arial"/>
        </w:rPr>
        <w:t>2</w:t>
      </w:r>
      <w:r w:rsidRPr="009E36E7">
        <w:rPr>
          <w:rFonts w:cs="Arial"/>
        </w:rPr>
        <w:t xml:space="preserve"> National Report</w:t>
      </w:r>
      <w:r w:rsidR="00492997" w:rsidRPr="009E36E7">
        <w:rPr>
          <w:rFonts w:cs="Arial"/>
        </w:rPr>
        <w:t>s</w:t>
      </w:r>
      <w:r w:rsidRPr="009E36E7">
        <w:rPr>
          <w:rFonts w:cs="Arial"/>
        </w:rPr>
        <w:t xml:space="preserve"> </w:t>
      </w:r>
      <w:r w:rsidR="00492997" w:rsidRPr="009E36E7">
        <w:rPr>
          <w:rFonts w:cs="Arial"/>
        </w:rPr>
        <w:t>asks</w:t>
      </w:r>
      <w:r w:rsidRPr="009E36E7">
        <w:rPr>
          <w:rFonts w:cs="Arial"/>
        </w:rPr>
        <w:t xml:space="preserve"> Parties to report</w:t>
      </w:r>
      <w:r w:rsidR="00C357EF" w:rsidRPr="009E36E7">
        <w:rPr>
          <w:rFonts w:cs="Arial"/>
        </w:rPr>
        <w:t xml:space="preserve"> whether</w:t>
      </w:r>
      <w:r w:rsidR="009A76F7" w:rsidRPr="009E36E7">
        <w:rPr>
          <w:rFonts w:cs="Arial"/>
        </w:rPr>
        <w:t xml:space="preserve"> they have an </w:t>
      </w:r>
      <w:r w:rsidR="00C357EF" w:rsidRPr="009E36E7">
        <w:rPr>
          <w:rFonts w:cs="Arial"/>
        </w:rPr>
        <w:t>action plan</w:t>
      </w:r>
      <w:r w:rsidR="009A76F7" w:rsidRPr="009E36E7">
        <w:rPr>
          <w:rFonts w:cs="Arial"/>
        </w:rPr>
        <w:t>(s)</w:t>
      </w:r>
      <w:r w:rsidR="00C357EF" w:rsidRPr="009E36E7">
        <w:rPr>
          <w:rFonts w:cs="Arial"/>
        </w:rPr>
        <w:t xml:space="preserve"> </w:t>
      </w:r>
      <w:r w:rsidR="009A76F7" w:rsidRPr="009E36E7">
        <w:rPr>
          <w:rFonts w:cs="Arial"/>
        </w:rPr>
        <w:t xml:space="preserve">for Wetland </w:t>
      </w:r>
      <w:r w:rsidR="00492997" w:rsidRPr="009E36E7">
        <w:rPr>
          <w:rFonts w:cs="Arial"/>
        </w:rPr>
        <w:t>CEPA</w:t>
      </w:r>
      <w:r w:rsidR="009A76F7" w:rsidRPr="009E36E7">
        <w:rPr>
          <w:rFonts w:cs="Arial"/>
        </w:rPr>
        <w:t xml:space="preserve"> established at</w:t>
      </w:r>
      <w:r w:rsidR="009A013C" w:rsidRPr="009E36E7">
        <w:rPr>
          <w:rFonts w:cs="Arial"/>
        </w:rPr>
        <w:t xml:space="preserve"> national, subnational, catchment</w:t>
      </w:r>
      <w:r w:rsidRPr="009E36E7">
        <w:rPr>
          <w:rFonts w:cs="Arial"/>
        </w:rPr>
        <w:t xml:space="preserve"> and </w:t>
      </w:r>
      <w:r w:rsidR="009A76F7" w:rsidRPr="009E36E7">
        <w:rPr>
          <w:rFonts w:cs="Arial"/>
        </w:rPr>
        <w:t>local/</w:t>
      </w:r>
      <w:r w:rsidRPr="009E36E7">
        <w:rPr>
          <w:rFonts w:cs="Arial"/>
        </w:rPr>
        <w:t xml:space="preserve">site level. </w:t>
      </w:r>
      <w:r w:rsidR="00824244" w:rsidRPr="009E36E7">
        <w:rPr>
          <w:rFonts w:cs="Arial"/>
        </w:rPr>
        <w:t>27</w:t>
      </w:r>
      <w:r w:rsidRPr="009E36E7">
        <w:rPr>
          <w:rFonts w:cs="Arial"/>
        </w:rPr>
        <w:t>%</w:t>
      </w:r>
      <w:r w:rsidR="009A76F7" w:rsidRPr="009E36E7">
        <w:rPr>
          <w:rFonts w:cs="Arial"/>
        </w:rPr>
        <w:t xml:space="preserve"> of parties</w:t>
      </w:r>
      <w:r w:rsidRPr="009E36E7">
        <w:rPr>
          <w:rFonts w:cs="Arial"/>
        </w:rPr>
        <w:t xml:space="preserve"> </w:t>
      </w:r>
      <w:r w:rsidR="005B286C">
        <w:rPr>
          <w:rFonts w:cs="Arial"/>
        </w:rPr>
        <w:t>reported</w:t>
      </w:r>
      <w:r w:rsidR="009A76F7" w:rsidRPr="009E36E7">
        <w:rPr>
          <w:rFonts w:cs="Arial"/>
        </w:rPr>
        <w:t xml:space="preserve"> having a</w:t>
      </w:r>
      <w:r w:rsidR="009A013C" w:rsidRPr="009E36E7">
        <w:rPr>
          <w:rFonts w:cs="Arial"/>
        </w:rPr>
        <w:t xml:space="preserve"> plan at national</w:t>
      </w:r>
      <w:r w:rsidR="009A76F7" w:rsidRPr="009E36E7">
        <w:rPr>
          <w:rFonts w:cs="Arial"/>
        </w:rPr>
        <w:t xml:space="preserve"> </w:t>
      </w:r>
      <w:r w:rsidR="009A013C" w:rsidRPr="009E36E7">
        <w:rPr>
          <w:rFonts w:cs="Arial"/>
        </w:rPr>
        <w:t xml:space="preserve">level and </w:t>
      </w:r>
      <w:r w:rsidR="009A76F7" w:rsidRPr="009E36E7">
        <w:rPr>
          <w:rFonts w:cs="Arial"/>
        </w:rPr>
        <w:t>16 % a</w:t>
      </w:r>
      <w:r w:rsidR="009A013C" w:rsidRPr="009E36E7">
        <w:rPr>
          <w:rFonts w:cs="Arial"/>
        </w:rPr>
        <w:t>t</w:t>
      </w:r>
      <w:r w:rsidR="009A76F7" w:rsidRPr="009E36E7">
        <w:rPr>
          <w:rFonts w:cs="Arial"/>
        </w:rPr>
        <w:t xml:space="preserve"> subnational</w:t>
      </w:r>
      <w:r w:rsidR="009A013C" w:rsidRPr="009E36E7">
        <w:rPr>
          <w:rFonts w:cs="Arial"/>
        </w:rPr>
        <w:t xml:space="preserve"> level. At the catchment level 15% reported having</w:t>
      </w:r>
      <w:r w:rsidR="009A76F7" w:rsidRPr="009E36E7">
        <w:rPr>
          <w:rFonts w:cs="Arial"/>
        </w:rPr>
        <w:t xml:space="preserve"> plans, while 37</w:t>
      </w:r>
      <w:r w:rsidR="009A013C" w:rsidRPr="009E36E7">
        <w:rPr>
          <w:rFonts w:cs="Arial"/>
        </w:rPr>
        <w:t>% stated they had</w:t>
      </w:r>
      <w:r w:rsidR="009A76F7" w:rsidRPr="009E36E7">
        <w:rPr>
          <w:rFonts w:cs="Arial"/>
        </w:rPr>
        <w:t xml:space="preserve"> a plan at the local/site level.</w:t>
      </w:r>
      <w:r w:rsidRPr="009E36E7">
        <w:rPr>
          <w:rFonts w:cs="Arial"/>
        </w:rPr>
        <w:t xml:space="preserve"> </w:t>
      </w:r>
      <w:r w:rsidR="009A013C" w:rsidRPr="009E36E7">
        <w:rPr>
          <w:rFonts w:cs="Arial"/>
        </w:rPr>
        <w:t>Overall these figures are an improvement and show progress compared to the figures reported for COP11. At site level it is worth mentioning that the major CEPA work was carried out by wetland centres at the sites.</w:t>
      </w:r>
    </w:p>
    <w:p w:rsidR="005B286C" w:rsidRDefault="005B286C" w:rsidP="005B286C">
      <w:pPr>
        <w:pStyle w:val="ListParagraph"/>
        <w:spacing w:after="0" w:line="240" w:lineRule="auto"/>
        <w:ind w:left="426"/>
        <w:rPr>
          <w:rFonts w:cs="Arial"/>
        </w:rPr>
      </w:pPr>
    </w:p>
    <w:p w:rsidR="005B286C" w:rsidRPr="005B286C" w:rsidRDefault="005B286C" w:rsidP="005B286C">
      <w:pPr>
        <w:pStyle w:val="ListParagraph"/>
        <w:numPr>
          <w:ilvl w:val="0"/>
          <w:numId w:val="25"/>
        </w:numPr>
        <w:spacing w:after="0" w:line="240" w:lineRule="auto"/>
        <w:ind w:left="426" w:hanging="426"/>
        <w:rPr>
          <w:rFonts w:cs="Arial"/>
        </w:rPr>
      </w:pPr>
      <w:r w:rsidRPr="005B286C">
        <w:rPr>
          <w:rFonts w:cs="Arial"/>
        </w:rPr>
        <w:t xml:space="preserve">An example of basin-level CEPA initiatives </w:t>
      </w:r>
      <w:r>
        <w:rPr>
          <w:rFonts w:cs="Arial"/>
        </w:rPr>
        <w:t>is i</w:t>
      </w:r>
      <w:r w:rsidRPr="005B286C">
        <w:rPr>
          <w:rFonts w:cs="Arial"/>
        </w:rPr>
        <w:t>n China, the Yangtze River Water Resources Commission is building public understanding of watershed governance and planning by preparing a mid- and long-term environmental education plans for the Yangtze River, organizing the Yangtze River Conservation Forum, and establishing the Yangtze River Media Award.</w:t>
      </w:r>
    </w:p>
    <w:p w:rsidR="009A013C" w:rsidRPr="009E36E7" w:rsidRDefault="009A013C" w:rsidP="00A76467">
      <w:pPr>
        <w:pStyle w:val="ListParagraph"/>
        <w:spacing w:after="0" w:line="240" w:lineRule="auto"/>
        <w:ind w:left="426"/>
        <w:rPr>
          <w:rFonts w:cs="Arial"/>
        </w:rPr>
      </w:pPr>
    </w:p>
    <w:p w:rsidR="009A013C" w:rsidRPr="00A76467" w:rsidRDefault="009A013C" w:rsidP="00A76467">
      <w:pPr>
        <w:pStyle w:val="ListParagraph"/>
        <w:numPr>
          <w:ilvl w:val="0"/>
          <w:numId w:val="25"/>
        </w:numPr>
        <w:spacing w:after="0" w:line="240" w:lineRule="auto"/>
        <w:ind w:left="426" w:hanging="426"/>
        <w:rPr>
          <w:rFonts w:cs="Arial"/>
        </w:rPr>
      </w:pPr>
      <w:r w:rsidRPr="009E36E7">
        <w:rPr>
          <w:rFonts w:cs="Arial"/>
        </w:rPr>
        <w:t>Examples of site level CEPA activities include:</w:t>
      </w:r>
      <w:r w:rsidRPr="00A76467">
        <w:rPr>
          <w:rFonts w:cs="Arial"/>
        </w:rPr>
        <w:t xml:space="preserve"> </w:t>
      </w:r>
    </w:p>
    <w:p w:rsidR="009A013C" w:rsidRPr="009E36E7" w:rsidRDefault="009A013C" w:rsidP="00A76467">
      <w:pPr>
        <w:pStyle w:val="ListParagraph"/>
        <w:numPr>
          <w:ilvl w:val="0"/>
          <w:numId w:val="27"/>
        </w:numPr>
        <w:spacing w:after="0" w:line="240" w:lineRule="auto"/>
        <w:ind w:left="851" w:hanging="425"/>
        <w:rPr>
          <w:rFonts w:cs="Arial"/>
        </w:rPr>
      </w:pPr>
      <w:r w:rsidRPr="009E36E7">
        <w:rPr>
          <w:rFonts w:cs="Arial"/>
        </w:rPr>
        <w:t xml:space="preserve">Developing local and site volunteer groups, and developing a CEPA kit for the Lower Kinabantangan – Segama Wetlands Ramsar </w:t>
      </w:r>
      <w:r w:rsidR="005B286C">
        <w:rPr>
          <w:rFonts w:cs="Arial"/>
        </w:rPr>
        <w:t>S</w:t>
      </w:r>
      <w:r w:rsidR="005B286C" w:rsidRPr="009E36E7">
        <w:rPr>
          <w:rFonts w:cs="Arial"/>
        </w:rPr>
        <w:t xml:space="preserve">ite </w:t>
      </w:r>
      <w:r w:rsidRPr="009E36E7">
        <w:rPr>
          <w:rFonts w:cs="Arial"/>
        </w:rPr>
        <w:t>in Malaysia</w:t>
      </w:r>
      <w:r w:rsidR="005B286C">
        <w:rPr>
          <w:rFonts w:cs="Arial"/>
        </w:rPr>
        <w:t>; and</w:t>
      </w:r>
    </w:p>
    <w:p w:rsidR="009A013C" w:rsidRPr="009E36E7" w:rsidRDefault="009A013C" w:rsidP="00A76467">
      <w:pPr>
        <w:pStyle w:val="ListParagraph"/>
        <w:numPr>
          <w:ilvl w:val="0"/>
          <w:numId w:val="27"/>
        </w:numPr>
        <w:spacing w:after="0" w:line="240" w:lineRule="auto"/>
        <w:ind w:left="851" w:hanging="425"/>
        <w:rPr>
          <w:rFonts w:cs="Arial"/>
        </w:rPr>
      </w:pPr>
      <w:r w:rsidRPr="009E36E7">
        <w:rPr>
          <w:rFonts w:cs="Arial"/>
        </w:rPr>
        <w:t>Wetland manager workshops and training in Lao PDR, Lebanon, Thailand, the UAE, and Viet Nam</w:t>
      </w:r>
      <w:r w:rsidR="005B286C">
        <w:rPr>
          <w:rFonts w:cs="Arial"/>
        </w:rPr>
        <w:t>.</w:t>
      </w:r>
    </w:p>
    <w:p w:rsidR="001B33B2" w:rsidRPr="009E36E7" w:rsidRDefault="001B33B2" w:rsidP="009E36E7">
      <w:pPr>
        <w:spacing w:after="0" w:line="240" w:lineRule="auto"/>
        <w:rPr>
          <w:rFonts w:cs="Arial"/>
        </w:rPr>
      </w:pPr>
    </w:p>
    <w:p w:rsidR="00806D50" w:rsidRPr="009E36E7" w:rsidRDefault="00BD7298" w:rsidP="00A76467">
      <w:pPr>
        <w:pStyle w:val="ListParagraph"/>
        <w:numPr>
          <w:ilvl w:val="0"/>
          <w:numId w:val="25"/>
        </w:numPr>
        <w:spacing w:after="0" w:line="240" w:lineRule="auto"/>
        <w:ind w:left="426" w:hanging="426"/>
        <w:rPr>
          <w:rFonts w:cs="Arial"/>
        </w:rPr>
      </w:pPr>
      <w:r w:rsidRPr="009E36E7">
        <w:rPr>
          <w:rFonts w:cs="Arial"/>
        </w:rPr>
        <w:t xml:space="preserve">Many Parties in East and South-east Asia </w:t>
      </w:r>
      <w:r w:rsidR="007F366F" w:rsidRPr="009E36E7">
        <w:rPr>
          <w:rFonts w:cs="Arial"/>
        </w:rPr>
        <w:t>mentioned</w:t>
      </w:r>
      <w:r w:rsidRPr="009E36E7">
        <w:rPr>
          <w:rFonts w:cs="Arial"/>
        </w:rPr>
        <w:t xml:space="preserve"> that training opportunities for site managers </w:t>
      </w:r>
      <w:r w:rsidR="007F366F" w:rsidRPr="009E36E7">
        <w:rPr>
          <w:rFonts w:cs="Arial"/>
        </w:rPr>
        <w:t xml:space="preserve">have been </w:t>
      </w:r>
      <w:r w:rsidRPr="009E36E7">
        <w:rPr>
          <w:rFonts w:cs="Arial"/>
        </w:rPr>
        <w:t xml:space="preserve">provided by the Ramsar Regional Centre. </w:t>
      </w:r>
      <w:r w:rsidR="00806D50" w:rsidRPr="009E36E7">
        <w:rPr>
          <w:rFonts w:cs="Arial"/>
        </w:rPr>
        <w:t>In Japan, the Hokkaido Ramsar Network of Site managers held lectures, workshops and excursions as wetland site manager trainings on the occasion of its annual general meeting.</w:t>
      </w:r>
      <w:r w:rsidR="00067A6C">
        <w:rPr>
          <w:rFonts w:cs="Arial"/>
        </w:rPr>
        <w:t xml:space="preserve"> </w:t>
      </w:r>
      <w:r w:rsidR="00806D50" w:rsidRPr="009E36E7">
        <w:rPr>
          <w:rFonts w:cs="Arial"/>
        </w:rPr>
        <w:t xml:space="preserve">In Kazakhstan, five training courses were organized for </w:t>
      </w:r>
      <w:r w:rsidR="005B286C">
        <w:rPr>
          <w:rFonts w:cs="Arial"/>
        </w:rPr>
        <w:t>s</w:t>
      </w:r>
      <w:r w:rsidR="00806D50" w:rsidRPr="009E36E7">
        <w:rPr>
          <w:rFonts w:cs="Arial"/>
        </w:rPr>
        <w:t xml:space="preserve">ite staff as part of the routine procedure of qualification improvement for protected area staff </w:t>
      </w:r>
      <w:r w:rsidRPr="009E36E7">
        <w:rPr>
          <w:rFonts w:cs="Arial"/>
        </w:rPr>
        <w:t xml:space="preserve">in </w:t>
      </w:r>
      <w:r w:rsidR="00806D50" w:rsidRPr="009E36E7">
        <w:rPr>
          <w:rFonts w:cs="Arial"/>
        </w:rPr>
        <w:t xml:space="preserve">general management </w:t>
      </w:r>
      <w:r w:rsidR="005B286C">
        <w:rPr>
          <w:rFonts w:cs="Arial"/>
        </w:rPr>
        <w:t>and</w:t>
      </w:r>
      <w:r w:rsidR="005B286C" w:rsidRPr="009E36E7">
        <w:rPr>
          <w:rFonts w:cs="Arial"/>
        </w:rPr>
        <w:t xml:space="preserve"> </w:t>
      </w:r>
      <w:r w:rsidR="00806D50" w:rsidRPr="009E36E7">
        <w:rPr>
          <w:rFonts w:cs="Arial"/>
        </w:rPr>
        <w:t>conservation questions. National level training was also provided in Thailand.</w:t>
      </w:r>
    </w:p>
    <w:p w:rsidR="00BD7298" w:rsidRPr="009E36E7" w:rsidRDefault="00BD7298" w:rsidP="009E36E7">
      <w:pPr>
        <w:spacing w:after="0" w:line="240" w:lineRule="auto"/>
        <w:rPr>
          <w:rFonts w:cs="Arial"/>
          <w:highlight w:val="yellow"/>
        </w:rPr>
      </w:pPr>
    </w:p>
    <w:p w:rsidR="00E0527E" w:rsidRPr="009E36E7" w:rsidRDefault="00E0527E" w:rsidP="009E36E7">
      <w:pPr>
        <w:spacing w:after="0" w:line="240" w:lineRule="auto"/>
        <w:rPr>
          <w:rFonts w:cs="Arial"/>
          <w:b/>
        </w:rPr>
      </w:pPr>
      <w:r w:rsidRPr="009E36E7">
        <w:rPr>
          <w:rFonts w:cs="Arial"/>
          <w:b/>
        </w:rPr>
        <w:t>Establishing wetland education centres at Ramsar Sites and other wetlands</w:t>
      </w:r>
    </w:p>
    <w:p w:rsidR="00FC4A38" w:rsidRPr="009E36E7" w:rsidRDefault="00FC4A38" w:rsidP="009E36E7">
      <w:pPr>
        <w:spacing w:after="0" w:line="240" w:lineRule="auto"/>
        <w:rPr>
          <w:rFonts w:cs="Arial"/>
          <w:b/>
        </w:rPr>
      </w:pPr>
    </w:p>
    <w:p w:rsidR="00E0527E" w:rsidRDefault="00E0527E" w:rsidP="00A76467">
      <w:pPr>
        <w:pStyle w:val="ListParagraph"/>
        <w:numPr>
          <w:ilvl w:val="0"/>
          <w:numId w:val="25"/>
        </w:numPr>
        <w:spacing w:after="0" w:line="240" w:lineRule="auto"/>
        <w:ind w:left="426" w:hanging="426"/>
        <w:rPr>
          <w:rFonts w:cs="Arial"/>
        </w:rPr>
      </w:pPr>
      <w:r w:rsidRPr="009E36E7">
        <w:rPr>
          <w:rFonts w:cs="Arial"/>
        </w:rPr>
        <w:lastRenderedPageBreak/>
        <w:t>The CEPA Programme places some importance on wetland centres and encourages</w:t>
      </w:r>
      <w:r w:rsidR="0035043C" w:rsidRPr="009E36E7">
        <w:rPr>
          <w:rFonts w:cs="Arial"/>
        </w:rPr>
        <w:t xml:space="preserve"> </w:t>
      </w:r>
      <w:r w:rsidRPr="009E36E7">
        <w:rPr>
          <w:rFonts w:cs="Arial"/>
        </w:rPr>
        <w:t>Parties to support the role of wetland centres as catalysts and key actors for CEPA</w:t>
      </w:r>
      <w:r w:rsidR="000A0707" w:rsidRPr="009E36E7">
        <w:rPr>
          <w:rFonts w:cs="Arial"/>
        </w:rPr>
        <w:t xml:space="preserve"> </w:t>
      </w:r>
      <w:r w:rsidRPr="009E36E7">
        <w:rPr>
          <w:rFonts w:cs="Arial"/>
        </w:rPr>
        <w:t>activities that support Ramsar objectives. It also suggests that Parties should encourage</w:t>
      </w:r>
      <w:r w:rsidR="000A0707" w:rsidRPr="009E36E7">
        <w:rPr>
          <w:rFonts w:cs="Arial"/>
        </w:rPr>
        <w:t xml:space="preserve"> </w:t>
      </w:r>
      <w:r w:rsidRPr="009E36E7">
        <w:rPr>
          <w:rFonts w:cs="Arial"/>
        </w:rPr>
        <w:t>their development as key places for learning and training about wetlands and wetland</w:t>
      </w:r>
      <w:r w:rsidR="000A0707" w:rsidRPr="009E36E7">
        <w:rPr>
          <w:rFonts w:cs="Arial"/>
        </w:rPr>
        <w:t xml:space="preserve"> </w:t>
      </w:r>
      <w:r w:rsidRPr="009E36E7">
        <w:rPr>
          <w:rFonts w:cs="Arial"/>
        </w:rPr>
        <w:t>related</w:t>
      </w:r>
      <w:r w:rsidR="000A0707" w:rsidRPr="009E36E7">
        <w:rPr>
          <w:rFonts w:cs="Arial"/>
        </w:rPr>
        <w:t xml:space="preserve"> </w:t>
      </w:r>
      <w:r w:rsidRPr="009E36E7">
        <w:rPr>
          <w:rFonts w:cs="Arial"/>
        </w:rPr>
        <w:t>CEPA and to support their participation in Wetland Link International.</w:t>
      </w:r>
    </w:p>
    <w:p w:rsidR="005B286C" w:rsidRDefault="005B286C" w:rsidP="005B286C">
      <w:pPr>
        <w:pStyle w:val="ListParagraph"/>
        <w:spacing w:after="0" w:line="240" w:lineRule="auto"/>
        <w:ind w:left="426"/>
        <w:rPr>
          <w:rFonts w:cs="Arial"/>
        </w:rPr>
      </w:pPr>
    </w:p>
    <w:p w:rsidR="005B286C" w:rsidRPr="005B286C" w:rsidRDefault="005B286C" w:rsidP="005B286C">
      <w:pPr>
        <w:pStyle w:val="ListParagraph"/>
        <w:numPr>
          <w:ilvl w:val="0"/>
          <w:numId w:val="25"/>
        </w:numPr>
        <w:spacing w:after="0" w:line="240" w:lineRule="auto"/>
        <w:ind w:left="426" w:hanging="426"/>
        <w:rPr>
          <w:rFonts w:cs="Arial"/>
        </w:rPr>
      </w:pPr>
      <w:r>
        <w:rPr>
          <w:rFonts w:cs="Arial"/>
        </w:rPr>
        <w:t xml:space="preserve">The </w:t>
      </w:r>
      <w:r w:rsidRPr="009E36E7">
        <w:rPr>
          <w:rFonts w:cs="Arial"/>
        </w:rPr>
        <w:t xml:space="preserve">Wetland Link International network of wetland centres is a support network for wetland education centres within the Wetlands &amp; Wildfowl Trust (WWT) based in the UK. A Memorandum of Cooperation between the Ramsar Secretariat and the WLI network was signed in 2005 to reinforce the working relationship, and this was extended in 2011 by an MOC with WWT reflecting a broader relationship on wetland conservation including through WLI. The collaboration with WWT represents an important platform for capacity building and the network continued to grow since COP11. An overview of the activities undertaken can be viewed at </w:t>
      </w:r>
      <w:hyperlink r:id="rId15" w:history="1">
        <w:r w:rsidRPr="005B286C">
          <w:rPr>
            <w:rStyle w:val="Hyperlink"/>
            <w:rFonts w:cs="Arial"/>
          </w:rPr>
          <w:t>wli.wwt.org.uk</w:t>
        </w:r>
      </w:hyperlink>
      <w:r>
        <w:rPr>
          <w:rFonts w:cs="Arial"/>
        </w:rPr>
        <w:t>.</w:t>
      </w:r>
    </w:p>
    <w:p w:rsidR="0097210F" w:rsidRPr="009E36E7" w:rsidRDefault="0097210F" w:rsidP="00A76467">
      <w:pPr>
        <w:pStyle w:val="ListParagraph"/>
        <w:spacing w:after="0" w:line="240" w:lineRule="auto"/>
        <w:ind w:left="426"/>
        <w:rPr>
          <w:rFonts w:cs="Arial"/>
        </w:rPr>
      </w:pPr>
    </w:p>
    <w:p w:rsidR="001B33B2" w:rsidRPr="009E36E7" w:rsidRDefault="00E0527E" w:rsidP="00A76467">
      <w:pPr>
        <w:pStyle w:val="ListParagraph"/>
        <w:numPr>
          <w:ilvl w:val="0"/>
          <w:numId w:val="25"/>
        </w:numPr>
        <w:spacing w:after="0" w:line="240" w:lineRule="auto"/>
        <w:ind w:left="426" w:hanging="426"/>
        <w:rPr>
          <w:rFonts w:cs="Arial"/>
        </w:rPr>
      </w:pPr>
      <w:r w:rsidRPr="009E36E7">
        <w:rPr>
          <w:rFonts w:cs="Arial"/>
        </w:rPr>
        <w:t>Indicator 4.1.2 looked at numbers of wetlands centres that have been established at Ramsar Sites and other wetlands, and it is evident from the textual answers that some Parties reported only on centres at Ramsar Sites, while others reported more broadly on centres at all wetlands, making a common overview difficult. In addition a few Parties reported the existence of many centres in the text field but without providing any numerical data.</w:t>
      </w:r>
      <w:r w:rsidR="0035043C" w:rsidRPr="009E36E7">
        <w:rPr>
          <w:rFonts w:cs="Arial"/>
        </w:rPr>
        <w:t xml:space="preserve"> </w:t>
      </w:r>
    </w:p>
    <w:p w:rsidR="00985619" w:rsidRPr="009E36E7" w:rsidRDefault="00985619" w:rsidP="00A76467">
      <w:pPr>
        <w:pStyle w:val="ListParagraph"/>
        <w:spacing w:after="0" w:line="240" w:lineRule="auto"/>
        <w:ind w:left="426"/>
        <w:rPr>
          <w:rFonts w:cs="Arial"/>
        </w:rPr>
      </w:pPr>
    </w:p>
    <w:p w:rsidR="00E0527E" w:rsidRPr="009E36E7" w:rsidRDefault="00E0527E" w:rsidP="00A76467">
      <w:pPr>
        <w:pStyle w:val="ListParagraph"/>
        <w:numPr>
          <w:ilvl w:val="0"/>
          <w:numId w:val="25"/>
        </w:numPr>
        <w:spacing w:after="0" w:line="240" w:lineRule="auto"/>
        <w:ind w:left="426" w:hanging="426"/>
        <w:rPr>
          <w:rFonts w:cs="Arial"/>
        </w:rPr>
      </w:pPr>
      <w:r w:rsidRPr="009E36E7">
        <w:rPr>
          <w:rFonts w:cs="Arial"/>
        </w:rPr>
        <w:t>A significant number of Parties reported in the text fields that many centres are located at</w:t>
      </w:r>
      <w:r w:rsidR="0035043C" w:rsidRPr="009E36E7">
        <w:rPr>
          <w:rFonts w:cs="Arial"/>
        </w:rPr>
        <w:t xml:space="preserve"> </w:t>
      </w:r>
      <w:r w:rsidRPr="009E36E7">
        <w:rPr>
          <w:rFonts w:cs="Arial"/>
        </w:rPr>
        <w:t>National Parks and that while some of these are Ramsar Sites the centres are built and</w:t>
      </w:r>
      <w:r w:rsidR="0035043C" w:rsidRPr="009E36E7">
        <w:rPr>
          <w:rFonts w:cs="Arial"/>
        </w:rPr>
        <w:t xml:space="preserve"> </w:t>
      </w:r>
      <w:r w:rsidRPr="009E36E7">
        <w:rPr>
          <w:rFonts w:cs="Arial"/>
        </w:rPr>
        <w:t xml:space="preserve">maintained by the National Park system. </w:t>
      </w:r>
      <w:r w:rsidR="007335B8" w:rsidRPr="009E36E7">
        <w:rPr>
          <w:rFonts w:cs="Arial"/>
        </w:rPr>
        <w:t>T</w:t>
      </w:r>
      <w:r w:rsidRPr="009E36E7">
        <w:rPr>
          <w:rFonts w:cs="Arial"/>
        </w:rPr>
        <w:t xml:space="preserve">here </w:t>
      </w:r>
      <w:r w:rsidR="00FF7A88" w:rsidRPr="009E36E7">
        <w:rPr>
          <w:rFonts w:cs="Arial"/>
        </w:rPr>
        <w:t>remains</w:t>
      </w:r>
      <w:r w:rsidRPr="009E36E7">
        <w:rPr>
          <w:rFonts w:cs="Arial"/>
        </w:rPr>
        <w:t xml:space="preserve"> a challenge for Parties and CEPA</w:t>
      </w:r>
      <w:r w:rsidR="0035043C" w:rsidRPr="009E36E7">
        <w:rPr>
          <w:rFonts w:cs="Arial"/>
        </w:rPr>
        <w:t xml:space="preserve"> </w:t>
      </w:r>
      <w:r w:rsidRPr="009E36E7">
        <w:rPr>
          <w:rFonts w:cs="Arial"/>
        </w:rPr>
        <w:t>National Focal Points in particular to support and encourage centres to produce relevant</w:t>
      </w:r>
      <w:r w:rsidR="0035043C" w:rsidRPr="009E36E7">
        <w:rPr>
          <w:rFonts w:cs="Arial"/>
        </w:rPr>
        <w:t xml:space="preserve"> </w:t>
      </w:r>
      <w:r w:rsidRPr="009E36E7">
        <w:rPr>
          <w:rFonts w:cs="Arial"/>
        </w:rPr>
        <w:t>materials and activities supporting wetland wise use, delivering key wetland messages</w:t>
      </w:r>
      <w:r w:rsidR="0035043C" w:rsidRPr="009E36E7">
        <w:rPr>
          <w:rFonts w:cs="Arial"/>
        </w:rPr>
        <w:t xml:space="preserve"> </w:t>
      </w:r>
      <w:r w:rsidRPr="009E36E7">
        <w:rPr>
          <w:rFonts w:cs="Arial"/>
        </w:rPr>
        <w:t>relevant to visitors, and making the Ramsar brand better known.</w:t>
      </w:r>
    </w:p>
    <w:p w:rsidR="003C7232" w:rsidRPr="009E36E7" w:rsidRDefault="003C7232" w:rsidP="00FF68A6">
      <w:pPr>
        <w:pStyle w:val="ListParagraph"/>
        <w:spacing w:after="0" w:line="240" w:lineRule="auto"/>
        <w:ind w:left="426"/>
        <w:rPr>
          <w:rFonts w:cs="Arial"/>
        </w:rPr>
      </w:pPr>
    </w:p>
    <w:p w:rsidR="003C7232" w:rsidRDefault="003C7232" w:rsidP="00FF68A6">
      <w:pPr>
        <w:pStyle w:val="ListParagraph"/>
        <w:numPr>
          <w:ilvl w:val="0"/>
          <w:numId w:val="25"/>
        </w:numPr>
        <w:spacing w:after="0" w:line="240" w:lineRule="auto"/>
        <w:ind w:left="426" w:hanging="426"/>
        <w:rPr>
          <w:rFonts w:cs="Arial"/>
        </w:rPr>
      </w:pPr>
      <w:r w:rsidRPr="00FF68A6">
        <w:rPr>
          <w:rFonts w:cs="Arial"/>
        </w:rPr>
        <w:t>In China, Ramsar Sites are expected to establish an education centr</w:t>
      </w:r>
      <w:r w:rsidR="00016289">
        <w:rPr>
          <w:rFonts w:cs="Arial"/>
        </w:rPr>
        <w:t>e</w:t>
      </w:r>
      <w:r w:rsidRPr="00FF68A6">
        <w:rPr>
          <w:rFonts w:cs="Arial"/>
        </w:rPr>
        <w:t xml:space="preserve"> as indicated in their master plan or management planning. In the country’s 12</w:t>
      </w:r>
      <w:r w:rsidRPr="00016289">
        <w:rPr>
          <w:rFonts w:cs="Arial"/>
          <w:vertAlign w:val="superscript"/>
        </w:rPr>
        <w:t>th</w:t>
      </w:r>
      <w:r w:rsidRPr="00FF68A6">
        <w:rPr>
          <w:rFonts w:cs="Arial"/>
        </w:rPr>
        <w:t xml:space="preserve"> Five-Year Plan for ‘Implementing National Wetland Conservation Programme (2011-2015)’, wetland education centres will be established or upgraded at ten wetland sites. Apart from government sponsored centres, NGOs have also established centres at some wetlands and Ramsar Sites</w:t>
      </w:r>
      <w:r w:rsidR="00FF68A6">
        <w:rPr>
          <w:rFonts w:cs="Arial"/>
        </w:rPr>
        <w:t>.</w:t>
      </w:r>
    </w:p>
    <w:p w:rsidR="00FF68A6" w:rsidRDefault="00FF68A6" w:rsidP="009E36E7">
      <w:pPr>
        <w:spacing w:after="0" w:line="240" w:lineRule="auto"/>
        <w:rPr>
          <w:rFonts w:cs="Arial"/>
        </w:rPr>
      </w:pPr>
    </w:p>
    <w:p w:rsidR="00E0527E" w:rsidRPr="009E36E7" w:rsidRDefault="00E0527E" w:rsidP="009E36E7">
      <w:pPr>
        <w:spacing w:after="0" w:line="240" w:lineRule="auto"/>
        <w:rPr>
          <w:rFonts w:cs="Arial"/>
          <w:b/>
        </w:rPr>
      </w:pPr>
      <w:r w:rsidRPr="009E36E7">
        <w:rPr>
          <w:rFonts w:cs="Arial"/>
          <w:b/>
        </w:rPr>
        <w:t>Public participation in wetland decision-making</w:t>
      </w:r>
    </w:p>
    <w:p w:rsidR="000A0707" w:rsidRPr="009E36E7" w:rsidRDefault="000A0707" w:rsidP="009E36E7">
      <w:pPr>
        <w:spacing w:after="0" w:line="240" w:lineRule="auto"/>
        <w:rPr>
          <w:rFonts w:cs="Arial"/>
          <w:b/>
        </w:rPr>
      </w:pPr>
    </w:p>
    <w:p w:rsidR="00E0527E" w:rsidRPr="009E36E7" w:rsidRDefault="00FF7A88" w:rsidP="007B47B6">
      <w:pPr>
        <w:pStyle w:val="ListParagraph"/>
        <w:numPr>
          <w:ilvl w:val="0"/>
          <w:numId w:val="25"/>
        </w:numPr>
        <w:spacing w:after="0" w:line="240" w:lineRule="auto"/>
        <w:ind w:left="426" w:hanging="426"/>
        <w:rPr>
          <w:rFonts w:cs="Arial"/>
        </w:rPr>
      </w:pPr>
      <w:r w:rsidRPr="009E36E7">
        <w:rPr>
          <w:rFonts w:cs="Arial"/>
        </w:rPr>
        <w:t>The</w:t>
      </w:r>
      <w:r w:rsidR="00E0527E" w:rsidRPr="009E36E7">
        <w:rPr>
          <w:rFonts w:cs="Arial"/>
        </w:rPr>
        <w:t xml:space="preserve"> importance of participation</w:t>
      </w:r>
      <w:r w:rsidR="0035043C" w:rsidRPr="009E36E7">
        <w:rPr>
          <w:rFonts w:cs="Arial"/>
        </w:rPr>
        <w:t xml:space="preserve"> </w:t>
      </w:r>
      <w:r w:rsidR="00E0527E" w:rsidRPr="009E36E7">
        <w:rPr>
          <w:rFonts w:cs="Arial"/>
        </w:rPr>
        <w:t>as a process in many matters related</w:t>
      </w:r>
      <w:r w:rsidR="00A33DB3" w:rsidRPr="009E36E7">
        <w:rPr>
          <w:rFonts w:cs="Arial"/>
        </w:rPr>
        <w:t xml:space="preserve"> to implementing the Convention </w:t>
      </w:r>
      <w:r w:rsidR="00E0527E" w:rsidRPr="009E36E7">
        <w:rPr>
          <w:rFonts w:cs="Arial"/>
        </w:rPr>
        <w:t xml:space="preserve">is </w:t>
      </w:r>
      <w:r w:rsidRPr="009E36E7">
        <w:rPr>
          <w:rFonts w:cs="Arial"/>
        </w:rPr>
        <w:t>explicitly</w:t>
      </w:r>
      <w:r w:rsidR="0035043C" w:rsidRPr="009E36E7">
        <w:rPr>
          <w:rFonts w:cs="Arial"/>
        </w:rPr>
        <w:t xml:space="preserve"> </w:t>
      </w:r>
      <w:r w:rsidR="00E0527E" w:rsidRPr="009E36E7">
        <w:rPr>
          <w:rFonts w:cs="Arial"/>
        </w:rPr>
        <w:t>reflected in the acronym CEPA.</w:t>
      </w:r>
      <w:r w:rsidR="00067A6C">
        <w:rPr>
          <w:rFonts w:cs="Arial"/>
        </w:rPr>
        <w:t xml:space="preserve"> </w:t>
      </w:r>
      <w:r w:rsidR="00E0527E" w:rsidRPr="009E36E7">
        <w:rPr>
          <w:rFonts w:cs="Arial"/>
        </w:rPr>
        <w:t xml:space="preserve">Globally, </w:t>
      </w:r>
      <w:r w:rsidR="00363D21" w:rsidRPr="009E36E7">
        <w:rPr>
          <w:rFonts w:cs="Arial"/>
        </w:rPr>
        <w:t>75%</w:t>
      </w:r>
      <w:r w:rsidRPr="009E36E7">
        <w:rPr>
          <w:rFonts w:cs="Arial"/>
        </w:rPr>
        <w:t xml:space="preserve"> </w:t>
      </w:r>
      <w:r w:rsidR="00E0527E" w:rsidRPr="009E36E7">
        <w:rPr>
          <w:rFonts w:cs="Arial"/>
        </w:rPr>
        <w:t>of Parties responded that they had promoted participation in wetland</w:t>
      </w:r>
      <w:r w:rsidRPr="009E36E7">
        <w:rPr>
          <w:rFonts w:cs="Arial"/>
        </w:rPr>
        <w:t xml:space="preserve"> </w:t>
      </w:r>
      <w:r w:rsidR="00E0527E" w:rsidRPr="009E36E7">
        <w:rPr>
          <w:rFonts w:cs="Arial"/>
        </w:rPr>
        <w:t>planning and management, but with Asia significantly lower at 43% and the Americas</w:t>
      </w:r>
      <w:r w:rsidRPr="009E36E7">
        <w:rPr>
          <w:rFonts w:cs="Arial"/>
        </w:rPr>
        <w:t xml:space="preserve"> </w:t>
      </w:r>
      <w:r w:rsidR="00E0527E" w:rsidRPr="009E36E7">
        <w:rPr>
          <w:rFonts w:cs="Arial"/>
        </w:rPr>
        <w:t>rather higher than the average at 84%. A significant 20% of Parties globally responded</w:t>
      </w:r>
      <w:r w:rsidRPr="009E36E7">
        <w:rPr>
          <w:rFonts w:cs="Arial"/>
        </w:rPr>
        <w:t xml:space="preserve"> </w:t>
      </w:r>
      <w:r w:rsidR="00E0527E" w:rsidRPr="009E36E7">
        <w:rPr>
          <w:rFonts w:cs="Arial"/>
        </w:rPr>
        <w:t>‘partly’ to this question. This is indeed a largely positive response, although some caution</w:t>
      </w:r>
      <w:r w:rsidRPr="009E36E7">
        <w:rPr>
          <w:rFonts w:cs="Arial"/>
        </w:rPr>
        <w:t xml:space="preserve"> </w:t>
      </w:r>
      <w:r w:rsidR="00E0527E" w:rsidRPr="009E36E7">
        <w:rPr>
          <w:rFonts w:cs="Arial"/>
        </w:rPr>
        <w:t xml:space="preserve">has to be exercised since ‘participation’ can be interpreted rather broadly. </w:t>
      </w:r>
    </w:p>
    <w:p w:rsidR="00FF7A88" w:rsidRPr="009E36E7" w:rsidRDefault="00FF7A88" w:rsidP="007B47B6">
      <w:pPr>
        <w:pStyle w:val="ListParagraph"/>
        <w:spacing w:after="0" w:line="240" w:lineRule="auto"/>
        <w:ind w:left="426"/>
        <w:rPr>
          <w:rFonts w:cs="Arial"/>
        </w:rPr>
      </w:pPr>
    </w:p>
    <w:p w:rsidR="00F40C79" w:rsidRPr="007B47B6" w:rsidRDefault="00E0527E" w:rsidP="009E36E7">
      <w:pPr>
        <w:pStyle w:val="ListParagraph"/>
        <w:numPr>
          <w:ilvl w:val="0"/>
          <w:numId w:val="25"/>
        </w:numPr>
        <w:spacing w:after="0" w:line="240" w:lineRule="auto"/>
        <w:ind w:left="426" w:hanging="426"/>
        <w:rPr>
          <w:rFonts w:cs="Arial"/>
        </w:rPr>
      </w:pPr>
      <w:r w:rsidRPr="007B47B6">
        <w:rPr>
          <w:rFonts w:cs="Arial"/>
        </w:rPr>
        <w:t xml:space="preserve">Indicator </w:t>
      </w:r>
      <w:r w:rsidR="007335B8" w:rsidRPr="007B47B6">
        <w:rPr>
          <w:rFonts w:cs="Arial"/>
        </w:rPr>
        <w:t>4.1.3b inquired</w:t>
      </w:r>
      <w:r w:rsidRPr="007B47B6">
        <w:rPr>
          <w:rFonts w:cs="Arial"/>
        </w:rPr>
        <w:t xml:space="preserve"> whether Parties specifically</w:t>
      </w:r>
      <w:r w:rsidR="00FF7A88" w:rsidRPr="007B47B6">
        <w:rPr>
          <w:rFonts w:cs="Arial"/>
        </w:rPr>
        <w:t xml:space="preserve"> </w:t>
      </w:r>
      <w:r w:rsidRPr="007B47B6">
        <w:rPr>
          <w:rFonts w:cs="Arial"/>
        </w:rPr>
        <w:t>involve local stakeholders in the selection of new Ramsar Sites and in Ramsar Site</w:t>
      </w:r>
      <w:r w:rsidR="00FF7A88" w:rsidRPr="007B47B6">
        <w:rPr>
          <w:rFonts w:cs="Arial"/>
        </w:rPr>
        <w:t xml:space="preserve"> </w:t>
      </w:r>
      <w:r w:rsidRPr="007B47B6">
        <w:rPr>
          <w:rFonts w:cs="Arial"/>
        </w:rPr>
        <w:t>management</w:t>
      </w:r>
      <w:r w:rsidR="00DB48D2">
        <w:rPr>
          <w:rFonts w:cs="Arial"/>
        </w:rPr>
        <w:t xml:space="preserve">. </w:t>
      </w:r>
      <w:r w:rsidR="005E46A9" w:rsidRPr="007B47B6">
        <w:rPr>
          <w:rFonts w:cs="Arial"/>
        </w:rPr>
        <w:t>54</w:t>
      </w:r>
      <w:r w:rsidRPr="007B47B6">
        <w:rPr>
          <w:rFonts w:cs="Arial"/>
        </w:rPr>
        <w:t xml:space="preserve">% </w:t>
      </w:r>
      <w:r w:rsidR="005E46A9" w:rsidRPr="007B47B6">
        <w:rPr>
          <w:rFonts w:cs="Arial"/>
        </w:rPr>
        <w:t>replied in the affirmative</w:t>
      </w:r>
      <w:r w:rsidR="00FF7A88" w:rsidRPr="007B47B6">
        <w:rPr>
          <w:rFonts w:cs="Arial"/>
        </w:rPr>
        <w:t xml:space="preserve"> and a further </w:t>
      </w:r>
      <w:r w:rsidR="00363D21" w:rsidRPr="007B47B6">
        <w:rPr>
          <w:rFonts w:cs="Arial"/>
        </w:rPr>
        <w:t>21</w:t>
      </w:r>
      <w:r w:rsidRPr="007B47B6">
        <w:rPr>
          <w:rFonts w:cs="Arial"/>
        </w:rPr>
        <w:t>% noted ‘partly’.</w:t>
      </w:r>
      <w:r w:rsidR="007335B8" w:rsidRPr="007B47B6">
        <w:rPr>
          <w:rFonts w:cs="Arial"/>
        </w:rPr>
        <w:t xml:space="preserve"> </w:t>
      </w:r>
      <w:r w:rsidR="00F40C79" w:rsidRPr="007B47B6">
        <w:rPr>
          <w:rFonts w:cs="Arial"/>
        </w:rPr>
        <w:t>Examples of participative management include:</w:t>
      </w:r>
    </w:p>
    <w:p w:rsidR="00F40C79" w:rsidRPr="009E36E7" w:rsidRDefault="006F0EDD" w:rsidP="007B47B6">
      <w:pPr>
        <w:pStyle w:val="ListParagraph"/>
        <w:numPr>
          <w:ilvl w:val="0"/>
          <w:numId w:val="27"/>
        </w:numPr>
        <w:spacing w:after="0" w:line="240" w:lineRule="auto"/>
        <w:ind w:left="851" w:hanging="425"/>
        <w:rPr>
          <w:rFonts w:cs="Arial"/>
        </w:rPr>
      </w:pPr>
      <w:r w:rsidRPr="009E36E7">
        <w:rPr>
          <w:rFonts w:cs="Arial"/>
        </w:rPr>
        <w:t>In Australia</w:t>
      </w:r>
      <w:r w:rsidR="00F40C79" w:rsidRPr="009E36E7">
        <w:rPr>
          <w:rFonts w:cs="Arial"/>
        </w:rPr>
        <w:t>, the management planning process for the preparation of national park management plans involved a formal public comment period as well as consultation with key stakeholders and local communities.</w:t>
      </w:r>
    </w:p>
    <w:p w:rsidR="006F0EDD" w:rsidRPr="009E36E7" w:rsidRDefault="006F0EDD" w:rsidP="007B47B6">
      <w:pPr>
        <w:pStyle w:val="ListParagraph"/>
        <w:numPr>
          <w:ilvl w:val="0"/>
          <w:numId w:val="27"/>
        </w:numPr>
        <w:spacing w:after="0" w:line="240" w:lineRule="auto"/>
        <w:ind w:left="851" w:hanging="425"/>
        <w:rPr>
          <w:rFonts w:cs="Arial"/>
        </w:rPr>
      </w:pPr>
      <w:r w:rsidRPr="009E36E7">
        <w:rPr>
          <w:rFonts w:cs="Arial"/>
        </w:rPr>
        <w:lastRenderedPageBreak/>
        <w:t>In New Zealand, local stakeholder involvement is one of the criteria for selection of new Ramsar Sites.</w:t>
      </w:r>
    </w:p>
    <w:p w:rsidR="00C276C0" w:rsidRPr="009E36E7" w:rsidRDefault="00C276C0" w:rsidP="009E36E7">
      <w:pPr>
        <w:spacing w:after="0" w:line="240" w:lineRule="auto"/>
        <w:rPr>
          <w:rFonts w:cs="Arial"/>
        </w:rPr>
      </w:pPr>
    </w:p>
    <w:p w:rsidR="00E0527E" w:rsidRPr="009E36E7" w:rsidRDefault="00E0527E" w:rsidP="009E36E7">
      <w:pPr>
        <w:spacing w:after="0" w:line="240" w:lineRule="auto"/>
        <w:rPr>
          <w:rFonts w:cs="Arial"/>
          <w:b/>
        </w:rPr>
      </w:pPr>
      <w:r w:rsidRPr="009E36E7">
        <w:rPr>
          <w:rFonts w:cs="Arial"/>
          <w:b/>
        </w:rPr>
        <w:t>Assessing national and local training needs and the opportunities for wetland site</w:t>
      </w:r>
      <w:r w:rsidR="00DB48D2">
        <w:rPr>
          <w:rFonts w:cs="Arial"/>
          <w:b/>
        </w:rPr>
        <w:t xml:space="preserve"> </w:t>
      </w:r>
      <w:r w:rsidRPr="009E36E7">
        <w:rPr>
          <w:rFonts w:cs="Arial"/>
          <w:b/>
        </w:rPr>
        <w:t>manager training</w:t>
      </w:r>
    </w:p>
    <w:p w:rsidR="000A0707" w:rsidRPr="009E36E7" w:rsidRDefault="000A0707" w:rsidP="009E36E7">
      <w:pPr>
        <w:spacing w:after="0" w:line="240" w:lineRule="auto"/>
        <w:rPr>
          <w:rFonts w:cs="Arial"/>
          <w:b/>
        </w:rPr>
      </w:pPr>
    </w:p>
    <w:p w:rsidR="00E0527E" w:rsidRPr="009E36E7" w:rsidRDefault="00E0527E" w:rsidP="007B47B6">
      <w:pPr>
        <w:pStyle w:val="ListParagraph"/>
        <w:numPr>
          <w:ilvl w:val="0"/>
          <w:numId w:val="25"/>
        </w:numPr>
        <w:spacing w:after="0" w:line="240" w:lineRule="auto"/>
        <w:ind w:left="426" w:hanging="426"/>
        <w:rPr>
          <w:rFonts w:cs="Arial"/>
        </w:rPr>
      </w:pPr>
      <w:r w:rsidRPr="009E36E7">
        <w:rPr>
          <w:rFonts w:cs="Arial"/>
        </w:rPr>
        <w:t>Training and capacity building are an integral part of successful wetland management, and</w:t>
      </w:r>
      <w:r w:rsidR="0035043C" w:rsidRPr="009E36E7">
        <w:rPr>
          <w:rFonts w:cs="Arial"/>
        </w:rPr>
        <w:t xml:space="preserve"> </w:t>
      </w:r>
      <w:r w:rsidRPr="009E36E7">
        <w:rPr>
          <w:rFonts w:cs="Arial"/>
        </w:rPr>
        <w:t>Parties frequently cite the need for training and capacity building in their reports. The</w:t>
      </w:r>
      <w:r w:rsidR="0035043C" w:rsidRPr="009E36E7">
        <w:rPr>
          <w:rFonts w:cs="Arial"/>
        </w:rPr>
        <w:t xml:space="preserve"> </w:t>
      </w:r>
      <w:r w:rsidRPr="009E36E7">
        <w:rPr>
          <w:rFonts w:cs="Arial"/>
        </w:rPr>
        <w:t>current CEPA Programme identifies the need for countries to review the needs and</w:t>
      </w:r>
      <w:r w:rsidR="0035043C" w:rsidRPr="009E36E7">
        <w:rPr>
          <w:rFonts w:cs="Arial"/>
        </w:rPr>
        <w:t xml:space="preserve"> </w:t>
      </w:r>
      <w:r w:rsidRPr="009E36E7">
        <w:rPr>
          <w:rFonts w:cs="Arial"/>
        </w:rPr>
        <w:t>capacities for CEPA and identify the training and capacity-building priorities, and also to</w:t>
      </w:r>
      <w:r w:rsidR="0035043C" w:rsidRPr="009E36E7">
        <w:rPr>
          <w:rFonts w:cs="Arial"/>
        </w:rPr>
        <w:t xml:space="preserve"> </w:t>
      </w:r>
      <w:r w:rsidRPr="009E36E7">
        <w:rPr>
          <w:rFonts w:cs="Arial"/>
        </w:rPr>
        <w:t>consider national and local training needs at a broader level.</w:t>
      </w:r>
    </w:p>
    <w:p w:rsidR="000A0707" w:rsidRPr="009E36E7" w:rsidRDefault="000A0707" w:rsidP="007B47B6">
      <w:pPr>
        <w:pStyle w:val="ListParagraph"/>
        <w:spacing w:after="0" w:line="240" w:lineRule="auto"/>
        <w:ind w:left="426"/>
        <w:rPr>
          <w:rFonts w:cs="Arial"/>
        </w:rPr>
      </w:pPr>
    </w:p>
    <w:p w:rsidR="0035043C" w:rsidRPr="009E36E7" w:rsidRDefault="00E0527E" w:rsidP="007B47B6">
      <w:pPr>
        <w:pStyle w:val="ListParagraph"/>
        <w:numPr>
          <w:ilvl w:val="0"/>
          <w:numId w:val="25"/>
        </w:numPr>
        <w:spacing w:after="0" w:line="240" w:lineRule="auto"/>
        <w:ind w:left="426" w:hanging="426"/>
        <w:rPr>
          <w:rFonts w:cs="Arial"/>
        </w:rPr>
      </w:pPr>
      <w:r w:rsidRPr="009E36E7">
        <w:rPr>
          <w:rFonts w:cs="Arial"/>
        </w:rPr>
        <w:t>The National Reports investigated whether Parties had carried out an assessment of</w:t>
      </w:r>
      <w:r w:rsidR="0035043C" w:rsidRPr="009E36E7">
        <w:rPr>
          <w:rFonts w:cs="Arial"/>
        </w:rPr>
        <w:t xml:space="preserve"> </w:t>
      </w:r>
      <w:r w:rsidRPr="009E36E7">
        <w:rPr>
          <w:rFonts w:cs="Arial"/>
        </w:rPr>
        <w:t>national and local training needs for implementing the Convention (Indicator 4.1.4). The</w:t>
      </w:r>
      <w:r w:rsidR="0035043C" w:rsidRPr="009E36E7">
        <w:rPr>
          <w:rFonts w:cs="Arial"/>
        </w:rPr>
        <w:t xml:space="preserve"> </w:t>
      </w:r>
      <w:r w:rsidRPr="009E36E7">
        <w:rPr>
          <w:rFonts w:cs="Arial"/>
        </w:rPr>
        <w:t xml:space="preserve">results </w:t>
      </w:r>
      <w:r w:rsidR="00175216" w:rsidRPr="009E36E7">
        <w:rPr>
          <w:rFonts w:cs="Arial"/>
        </w:rPr>
        <w:t>show that</w:t>
      </w:r>
      <w:r w:rsidRPr="009E36E7">
        <w:rPr>
          <w:rFonts w:cs="Arial"/>
        </w:rPr>
        <w:t xml:space="preserve"> </w:t>
      </w:r>
      <w:r w:rsidR="00363D21" w:rsidRPr="009E36E7">
        <w:rPr>
          <w:rFonts w:cs="Arial"/>
        </w:rPr>
        <w:t>20</w:t>
      </w:r>
      <w:r w:rsidRPr="009E36E7">
        <w:rPr>
          <w:rFonts w:cs="Arial"/>
        </w:rPr>
        <w:t xml:space="preserve">% of Parties have done so, while </w:t>
      </w:r>
      <w:r w:rsidR="00363D21" w:rsidRPr="009E36E7">
        <w:rPr>
          <w:rFonts w:cs="Arial"/>
        </w:rPr>
        <w:t>47</w:t>
      </w:r>
      <w:r w:rsidRPr="009E36E7">
        <w:rPr>
          <w:rFonts w:cs="Arial"/>
        </w:rPr>
        <w:t>% of Parties responded ‘No’</w:t>
      </w:r>
      <w:r w:rsidR="007335B8" w:rsidRPr="009E36E7">
        <w:rPr>
          <w:rFonts w:cs="Arial"/>
        </w:rPr>
        <w:t xml:space="preserve">. </w:t>
      </w:r>
      <w:r w:rsidR="00DB48D2">
        <w:rPr>
          <w:rFonts w:cs="Arial"/>
        </w:rPr>
        <w:t>M</w:t>
      </w:r>
      <w:r w:rsidR="007335B8" w:rsidRPr="009E36E7">
        <w:rPr>
          <w:rFonts w:cs="Arial"/>
        </w:rPr>
        <w:t>ore effort is needed to investigate training needs in order to facilitate the development of appropriate training opportunities.</w:t>
      </w:r>
    </w:p>
    <w:p w:rsidR="00E0527E" w:rsidRPr="009E36E7" w:rsidRDefault="00E0527E" w:rsidP="007B47B6">
      <w:pPr>
        <w:pStyle w:val="ListParagraph"/>
        <w:spacing w:after="0" w:line="240" w:lineRule="auto"/>
        <w:ind w:left="426"/>
        <w:rPr>
          <w:rFonts w:cs="Arial"/>
        </w:rPr>
      </w:pPr>
    </w:p>
    <w:p w:rsidR="00054BA9" w:rsidRPr="009E36E7" w:rsidRDefault="00E0527E" w:rsidP="007B47B6">
      <w:pPr>
        <w:pStyle w:val="ListParagraph"/>
        <w:numPr>
          <w:ilvl w:val="0"/>
          <w:numId w:val="25"/>
        </w:numPr>
        <w:spacing w:after="0" w:line="240" w:lineRule="auto"/>
        <w:ind w:left="426" w:hanging="426"/>
        <w:rPr>
          <w:rFonts w:cs="Arial"/>
        </w:rPr>
      </w:pPr>
      <w:r w:rsidRPr="009E36E7">
        <w:rPr>
          <w:rFonts w:cs="Arial"/>
        </w:rPr>
        <w:t xml:space="preserve">Indicator </w:t>
      </w:r>
      <w:r w:rsidR="00956A2A" w:rsidRPr="009E36E7">
        <w:rPr>
          <w:rFonts w:cs="Arial"/>
        </w:rPr>
        <w:t xml:space="preserve">4.1.5 shows how many training opportunities for wetland site managers have been provided either at a Ramsar </w:t>
      </w:r>
      <w:r w:rsidR="00DB48D2" w:rsidRPr="009E36E7">
        <w:rPr>
          <w:rFonts w:cs="Arial"/>
        </w:rPr>
        <w:t xml:space="preserve">Sites </w:t>
      </w:r>
      <w:r w:rsidR="00956A2A" w:rsidRPr="009E36E7">
        <w:rPr>
          <w:rFonts w:cs="Arial"/>
        </w:rPr>
        <w:t>or other wetland site</w:t>
      </w:r>
      <w:r w:rsidR="00DB48D2">
        <w:rPr>
          <w:rFonts w:cs="Arial"/>
        </w:rPr>
        <w:t>s</w:t>
      </w:r>
      <w:r w:rsidR="00956A2A" w:rsidRPr="009E36E7">
        <w:rPr>
          <w:rFonts w:cs="Arial"/>
        </w:rPr>
        <w:t xml:space="preserve">. Globally parties reported more training opportunities taking place at Ramsar </w:t>
      </w:r>
      <w:r w:rsidR="00DB48D2" w:rsidRPr="009E36E7">
        <w:rPr>
          <w:rFonts w:cs="Arial"/>
        </w:rPr>
        <w:t xml:space="preserve">Sites </w:t>
      </w:r>
      <w:r w:rsidR="00956A2A" w:rsidRPr="009E36E7">
        <w:rPr>
          <w:rFonts w:cs="Arial"/>
        </w:rPr>
        <w:t>than at other wetland sites in general</w:t>
      </w:r>
      <w:r w:rsidR="001C544D" w:rsidRPr="009E36E7">
        <w:rPr>
          <w:rFonts w:cs="Arial"/>
        </w:rPr>
        <w:t>.</w:t>
      </w:r>
      <w:r w:rsidR="00956A2A" w:rsidRPr="009E36E7">
        <w:rPr>
          <w:rFonts w:cs="Arial"/>
        </w:rPr>
        <w:t xml:space="preserve"> </w:t>
      </w:r>
      <w:r w:rsidRPr="009E36E7">
        <w:rPr>
          <w:rFonts w:cs="Arial"/>
        </w:rPr>
        <w:t>The text responses indicated a similar mixture of approaches with single training events,</w:t>
      </w:r>
      <w:r w:rsidR="0035043C" w:rsidRPr="009E36E7">
        <w:rPr>
          <w:rFonts w:cs="Arial"/>
        </w:rPr>
        <w:t xml:space="preserve"> </w:t>
      </w:r>
      <w:r w:rsidRPr="009E36E7">
        <w:rPr>
          <w:rFonts w:cs="Arial"/>
        </w:rPr>
        <w:t>regular events at the national and local level, and collaborative training events with</w:t>
      </w:r>
      <w:r w:rsidR="0035043C" w:rsidRPr="009E36E7">
        <w:rPr>
          <w:rFonts w:cs="Arial"/>
        </w:rPr>
        <w:t xml:space="preserve"> </w:t>
      </w:r>
      <w:r w:rsidR="00BC0246" w:rsidRPr="009E36E7">
        <w:rPr>
          <w:rFonts w:cs="Arial"/>
        </w:rPr>
        <w:t>neighbouring</w:t>
      </w:r>
      <w:r w:rsidRPr="009E36E7">
        <w:rPr>
          <w:rFonts w:cs="Arial"/>
        </w:rPr>
        <w:t xml:space="preserve"> countries. Many </w:t>
      </w:r>
      <w:r w:rsidR="00175216" w:rsidRPr="009E36E7">
        <w:rPr>
          <w:rFonts w:cs="Arial"/>
        </w:rPr>
        <w:t xml:space="preserve">Parties note </w:t>
      </w:r>
      <w:r w:rsidRPr="009E36E7">
        <w:rPr>
          <w:rFonts w:cs="Arial"/>
        </w:rPr>
        <w:t xml:space="preserve">training events are often not specifically focused on Ramsar </w:t>
      </w:r>
      <w:r w:rsidR="00175216" w:rsidRPr="009E36E7">
        <w:rPr>
          <w:rFonts w:cs="Arial"/>
        </w:rPr>
        <w:t xml:space="preserve">but are more wide-scale </w:t>
      </w:r>
      <w:r w:rsidRPr="009E36E7">
        <w:rPr>
          <w:rFonts w:cs="Arial"/>
        </w:rPr>
        <w:t xml:space="preserve">training events for </w:t>
      </w:r>
      <w:r w:rsidR="00175216" w:rsidRPr="009E36E7">
        <w:rPr>
          <w:rFonts w:cs="Arial"/>
        </w:rPr>
        <w:t xml:space="preserve">managers of national parks and/or protected areas. </w:t>
      </w:r>
    </w:p>
    <w:p w:rsidR="000A0707" w:rsidRPr="009E36E7" w:rsidRDefault="000A0707" w:rsidP="007B47B6">
      <w:pPr>
        <w:pStyle w:val="ListParagraph"/>
        <w:spacing w:after="0" w:line="240" w:lineRule="auto"/>
        <w:ind w:left="426"/>
        <w:rPr>
          <w:rFonts w:cs="Arial"/>
        </w:rPr>
      </w:pPr>
    </w:p>
    <w:p w:rsidR="00175216" w:rsidRPr="009E36E7" w:rsidRDefault="00175216" w:rsidP="007B47B6">
      <w:pPr>
        <w:pStyle w:val="ListParagraph"/>
        <w:numPr>
          <w:ilvl w:val="0"/>
          <w:numId w:val="25"/>
        </w:numPr>
        <w:spacing w:after="0" w:line="240" w:lineRule="auto"/>
        <w:ind w:left="426" w:hanging="426"/>
        <w:rPr>
          <w:rFonts w:cs="Arial"/>
        </w:rPr>
      </w:pPr>
      <w:r w:rsidRPr="009E36E7">
        <w:rPr>
          <w:rFonts w:cs="Arial"/>
        </w:rPr>
        <w:t>During this triennium, t</w:t>
      </w:r>
      <w:r w:rsidR="00E0527E" w:rsidRPr="009E36E7">
        <w:rPr>
          <w:rFonts w:cs="Arial"/>
        </w:rPr>
        <w:t xml:space="preserve">he Convention has </w:t>
      </w:r>
      <w:r w:rsidRPr="009E36E7">
        <w:rPr>
          <w:rFonts w:cs="Arial"/>
        </w:rPr>
        <w:t xml:space="preserve">continued to </w:t>
      </w:r>
      <w:r w:rsidR="00E0527E" w:rsidRPr="009E36E7">
        <w:rPr>
          <w:rFonts w:cs="Arial"/>
        </w:rPr>
        <w:t>benefit</w:t>
      </w:r>
      <w:r w:rsidRPr="009E36E7">
        <w:rPr>
          <w:rFonts w:cs="Arial"/>
        </w:rPr>
        <w:t xml:space="preserve"> </w:t>
      </w:r>
      <w:r w:rsidR="00E0527E" w:rsidRPr="009E36E7">
        <w:rPr>
          <w:rFonts w:cs="Arial"/>
        </w:rPr>
        <w:t>from the four</w:t>
      </w:r>
      <w:r w:rsidRPr="009E36E7">
        <w:rPr>
          <w:rFonts w:cs="Arial"/>
        </w:rPr>
        <w:t xml:space="preserve"> </w:t>
      </w:r>
      <w:r w:rsidR="00E0527E" w:rsidRPr="009E36E7">
        <w:rPr>
          <w:rFonts w:cs="Arial"/>
        </w:rPr>
        <w:t>Ramsar Regional Centres (RRCs), located in Panama for the Americas, Uganda for East</w:t>
      </w:r>
      <w:r w:rsidR="0035043C" w:rsidRPr="009E36E7">
        <w:rPr>
          <w:rFonts w:cs="Arial"/>
        </w:rPr>
        <w:t xml:space="preserve"> </w:t>
      </w:r>
      <w:r w:rsidR="00E0527E" w:rsidRPr="009E36E7">
        <w:rPr>
          <w:rFonts w:cs="Arial"/>
        </w:rPr>
        <w:t>Africa, and I.R. Iran and the Republic of Korea for Central &amp; West Asia and East Asia</w:t>
      </w:r>
      <w:r w:rsidR="0035043C" w:rsidRPr="009E36E7">
        <w:rPr>
          <w:rFonts w:cs="Arial"/>
        </w:rPr>
        <w:t xml:space="preserve"> </w:t>
      </w:r>
      <w:r w:rsidR="00E0527E" w:rsidRPr="009E36E7">
        <w:rPr>
          <w:rFonts w:cs="Arial"/>
        </w:rPr>
        <w:t>respectively.</w:t>
      </w:r>
      <w:r w:rsidR="00067A6C">
        <w:rPr>
          <w:rFonts w:cs="Arial"/>
        </w:rPr>
        <w:t xml:space="preserve"> </w:t>
      </w:r>
      <w:r w:rsidR="00E0527E" w:rsidRPr="009E36E7">
        <w:rPr>
          <w:rFonts w:cs="Arial"/>
        </w:rPr>
        <w:t>These centres are frequently mentioned in the text responses regarding</w:t>
      </w:r>
      <w:r w:rsidR="0035043C" w:rsidRPr="009E36E7">
        <w:rPr>
          <w:rFonts w:cs="Arial"/>
        </w:rPr>
        <w:t xml:space="preserve"> </w:t>
      </w:r>
      <w:r w:rsidR="00E0527E" w:rsidRPr="009E36E7">
        <w:rPr>
          <w:rFonts w:cs="Arial"/>
        </w:rPr>
        <w:t>training and capacity building in the National Reports</w:t>
      </w:r>
      <w:r w:rsidRPr="009E36E7">
        <w:rPr>
          <w:rFonts w:cs="Arial"/>
        </w:rPr>
        <w:t>.</w:t>
      </w:r>
    </w:p>
    <w:p w:rsidR="000A0707" w:rsidRPr="009E36E7" w:rsidRDefault="000A0707" w:rsidP="007B47B6">
      <w:pPr>
        <w:pStyle w:val="ListParagraph"/>
        <w:spacing w:after="0" w:line="240" w:lineRule="auto"/>
        <w:ind w:left="426"/>
        <w:rPr>
          <w:rFonts w:cs="Arial"/>
        </w:rPr>
      </w:pPr>
    </w:p>
    <w:p w:rsidR="00E0527E" w:rsidRPr="009E36E7" w:rsidRDefault="00E0527E" w:rsidP="007B47B6">
      <w:pPr>
        <w:pStyle w:val="ListParagraph"/>
        <w:numPr>
          <w:ilvl w:val="0"/>
          <w:numId w:val="25"/>
        </w:numPr>
        <w:spacing w:after="0" w:line="240" w:lineRule="auto"/>
        <w:ind w:left="426" w:hanging="426"/>
        <w:rPr>
          <w:rFonts w:cs="Arial"/>
        </w:rPr>
      </w:pPr>
      <w:r w:rsidRPr="009E36E7">
        <w:rPr>
          <w:rFonts w:cs="Arial"/>
        </w:rPr>
        <w:t>It should also be recorded that the Convention benefits from the diverse wetland training</w:t>
      </w:r>
      <w:r w:rsidR="0035043C" w:rsidRPr="009E36E7">
        <w:rPr>
          <w:rFonts w:cs="Arial"/>
        </w:rPr>
        <w:t xml:space="preserve"> </w:t>
      </w:r>
      <w:r w:rsidRPr="009E36E7">
        <w:rPr>
          <w:rFonts w:cs="Arial"/>
        </w:rPr>
        <w:t>activities carried out by Ramsar’s five International Organization Partners, many of them</w:t>
      </w:r>
      <w:r w:rsidR="0035043C" w:rsidRPr="009E36E7">
        <w:rPr>
          <w:rFonts w:cs="Arial"/>
        </w:rPr>
        <w:t xml:space="preserve"> </w:t>
      </w:r>
      <w:r w:rsidRPr="009E36E7">
        <w:rPr>
          <w:rFonts w:cs="Arial"/>
        </w:rPr>
        <w:t>associated with ongoing wetland management projects and programmes.</w:t>
      </w:r>
    </w:p>
    <w:p w:rsidR="00E0527E" w:rsidRPr="009E36E7" w:rsidRDefault="00E0527E" w:rsidP="009E36E7">
      <w:pPr>
        <w:spacing w:after="0" w:line="240" w:lineRule="auto"/>
        <w:rPr>
          <w:rFonts w:cs="Arial"/>
        </w:rPr>
      </w:pPr>
    </w:p>
    <w:p w:rsidR="00E0527E" w:rsidRPr="009E36E7" w:rsidRDefault="00E0527E" w:rsidP="009E36E7">
      <w:pPr>
        <w:spacing w:after="0" w:line="240" w:lineRule="auto"/>
        <w:rPr>
          <w:rFonts w:cs="Arial"/>
          <w:b/>
        </w:rPr>
      </w:pPr>
      <w:r w:rsidRPr="009E36E7">
        <w:rPr>
          <w:rFonts w:cs="Arial"/>
          <w:b/>
        </w:rPr>
        <w:t>Celebrating World Wetlands Day</w:t>
      </w:r>
      <w:r w:rsidR="00067A6C">
        <w:rPr>
          <w:rFonts w:cs="Arial"/>
          <w:b/>
        </w:rPr>
        <w:t xml:space="preserve"> </w:t>
      </w:r>
    </w:p>
    <w:p w:rsidR="000A0707" w:rsidRPr="009E36E7" w:rsidRDefault="000A0707" w:rsidP="009E36E7">
      <w:pPr>
        <w:spacing w:after="0" w:line="240" w:lineRule="auto"/>
        <w:rPr>
          <w:rFonts w:cs="Arial"/>
        </w:rPr>
      </w:pPr>
    </w:p>
    <w:p w:rsidR="0002010E" w:rsidRPr="009E36E7" w:rsidRDefault="000D03D4" w:rsidP="007B47B6">
      <w:pPr>
        <w:pStyle w:val="ListParagraph"/>
        <w:numPr>
          <w:ilvl w:val="0"/>
          <w:numId w:val="25"/>
        </w:numPr>
        <w:spacing w:after="0" w:line="240" w:lineRule="auto"/>
        <w:ind w:left="426" w:hanging="426"/>
        <w:rPr>
          <w:rFonts w:cs="Arial"/>
        </w:rPr>
      </w:pPr>
      <w:r w:rsidRPr="009E36E7">
        <w:rPr>
          <w:rFonts w:cs="Arial"/>
        </w:rPr>
        <w:t>World Wetlands Day is the single most important awareness-raising event for the Convention, and the Secretariat</w:t>
      </w:r>
      <w:r w:rsidR="00101D74" w:rsidRPr="009E36E7">
        <w:rPr>
          <w:rFonts w:cs="Arial"/>
        </w:rPr>
        <w:t xml:space="preserve">-produced publications and electronic </w:t>
      </w:r>
      <w:r w:rsidRPr="009E36E7">
        <w:rPr>
          <w:rFonts w:cs="Arial"/>
        </w:rPr>
        <w:t>support for th</w:t>
      </w:r>
      <w:r w:rsidR="00896015" w:rsidRPr="009E36E7">
        <w:rPr>
          <w:rFonts w:cs="Arial"/>
        </w:rPr>
        <w:t>is</w:t>
      </w:r>
      <w:r w:rsidRPr="009E36E7">
        <w:rPr>
          <w:rFonts w:cs="Arial"/>
        </w:rPr>
        <w:t xml:space="preserve"> event </w:t>
      </w:r>
      <w:r w:rsidR="00101D74" w:rsidRPr="009E36E7">
        <w:rPr>
          <w:rFonts w:cs="Arial"/>
        </w:rPr>
        <w:t xml:space="preserve">are </w:t>
      </w:r>
      <w:r w:rsidRPr="009E36E7">
        <w:rPr>
          <w:rFonts w:cs="Arial"/>
        </w:rPr>
        <w:t xml:space="preserve">kindly funded </w:t>
      </w:r>
      <w:r w:rsidR="00B20979" w:rsidRPr="009E36E7">
        <w:rPr>
          <w:rFonts w:cs="Arial"/>
        </w:rPr>
        <w:t>by the Dano</w:t>
      </w:r>
      <w:r w:rsidR="00896015" w:rsidRPr="009E36E7">
        <w:rPr>
          <w:rFonts w:cs="Arial"/>
        </w:rPr>
        <w:t>n</w:t>
      </w:r>
      <w:r w:rsidR="00B20979" w:rsidRPr="009E36E7">
        <w:rPr>
          <w:rFonts w:cs="Arial"/>
        </w:rPr>
        <w:t>e-Evian Fund for Water.</w:t>
      </w:r>
      <w:r w:rsidR="00067A6C">
        <w:rPr>
          <w:rFonts w:cs="Arial"/>
        </w:rPr>
        <w:t xml:space="preserve"> </w:t>
      </w:r>
      <w:r w:rsidR="00B20979" w:rsidRPr="009E36E7">
        <w:rPr>
          <w:rFonts w:cs="Arial"/>
        </w:rPr>
        <w:t xml:space="preserve">Parties have enthusiastically </w:t>
      </w:r>
      <w:r w:rsidR="00101D74" w:rsidRPr="009E36E7">
        <w:rPr>
          <w:rFonts w:cs="Arial"/>
        </w:rPr>
        <w:t>embraced</w:t>
      </w:r>
      <w:r w:rsidR="00E0527E" w:rsidRPr="009E36E7">
        <w:rPr>
          <w:rFonts w:cs="Arial"/>
        </w:rPr>
        <w:t xml:space="preserve"> World Wetlands Day (Indicator 4.1.8) </w:t>
      </w:r>
      <w:r w:rsidR="00B20979" w:rsidRPr="009E36E7">
        <w:rPr>
          <w:rFonts w:cs="Arial"/>
        </w:rPr>
        <w:t>during</w:t>
      </w:r>
      <w:r w:rsidR="00424AA7" w:rsidRPr="009E36E7">
        <w:rPr>
          <w:rFonts w:cs="Arial"/>
        </w:rPr>
        <w:t xml:space="preserve"> the observ</w:t>
      </w:r>
      <w:r w:rsidR="00F9593E" w:rsidRPr="009E36E7">
        <w:rPr>
          <w:rFonts w:cs="Arial"/>
        </w:rPr>
        <w:t xml:space="preserve">ed </w:t>
      </w:r>
      <w:r w:rsidR="0002010E" w:rsidRPr="009E36E7">
        <w:rPr>
          <w:rFonts w:cs="Arial"/>
        </w:rPr>
        <w:t>timeframe;</w:t>
      </w:r>
      <w:r w:rsidR="00F9593E" w:rsidRPr="009E36E7">
        <w:rPr>
          <w:rFonts w:cs="Arial"/>
        </w:rPr>
        <w:t xml:space="preserve"> with 89%</w:t>
      </w:r>
      <w:r w:rsidR="00424AA7" w:rsidRPr="009E36E7">
        <w:rPr>
          <w:rFonts w:cs="Arial"/>
        </w:rPr>
        <w:t xml:space="preserve"> Parties reporting that they have carried out WWD activities since COP11.</w:t>
      </w:r>
      <w:r w:rsidR="00067A6C">
        <w:rPr>
          <w:rFonts w:cs="Arial"/>
        </w:rPr>
        <w:t xml:space="preserve"> </w:t>
      </w:r>
      <w:r w:rsidR="001C544D" w:rsidRPr="009E36E7">
        <w:rPr>
          <w:rFonts w:cs="Arial"/>
        </w:rPr>
        <w:t xml:space="preserve">Analyses of WWD by Futerra (2013) and Artemis Services (2009) both highlighted the need to define the purpose and target audience of World Wetlands Day more precisely. They also recommended shifting towards electronic media, and defining how to trigger change. </w:t>
      </w:r>
    </w:p>
    <w:p w:rsidR="0002010E" w:rsidRPr="009E36E7" w:rsidRDefault="0002010E" w:rsidP="007B47B6">
      <w:pPr>
        <w:pStyle w:val="ListParagraph"/>
        <w:spacing w:after="0" w:line="240" w:lineRule="auto"/>
        <w:ind w:left="426"/>
        <w:rPr>
          <w:rFonts w:cs="Arial"/>
        </w:rPr>
      </w:pPr>
    </w:p>
    <w:p w:rsidR="001C544D" w:rsidRPr="009E36E7" w:rsidRDefault="001C544D" w:rsidP="007B47B6">
      <w:pPr>
        <w:pStyle w:val="ListParagraph"/>
        <w:numPr>
          <w:ilvl w:val="0"/>
          <w:numId w:val="25"/>
        </w:numPr>
        <w:spacing w:after="0" w:line="240" w:lineRule="auto"/>
        <w:ind w:left="426" w:hanging="426"/>
        <w:rPr>
          <w:rFonts w:cs="Arial"/>
        </w:rPr>
      </w:pPr>
      <w:r w:rsidRPr="009E36E7">
        <w:rPr>
          <w:rFonts w:cs="Arial"/>
        </w:rPr>
        <w:t>For 2015 the WWD audience was narrowed to youth aged 15-24, focussing on this tech-savvy and idealistic group who act as transmitters to their families and the wider population. In parallel, a WWD website (</w:t>
      </w:r>
      <w:hyperlink r:id="rId16" w:history="1">
        <w:r w:rsidR="007B47B6" w:rsidRPr="00F52049">
          <w:rPr>
            <w:rStyle w:val="Hyperlink"/>
          </w:rPr>
          <w:t>www.worldwetlandsday.or</w:t>
        </w:r>
        <w:r w:rsidR="007B47B6" w:rsidRPr="00F52049">
          <w:rPr>
            <w:rStyle w:val="Hyperlink"/>
            <w:rFonts w:cs="Arial"/>
          </w:rPr>
          <w:t>g</w:t>
        </w:r>
      </w:hyperlink>
      <w:r w:rsidRPr="009E36E7">
        <w:rPr>
          <w:rFonts w:cs="Arial"/>
        </w:rPr>
        <w:t>) was established to serve as the global focal point for the day.</w:t>
      </w:r>
      <w:r w:rsidR="00067A6C">
        <w:rPr>
          <w:rFonts w:cs="Arial"/>
        </w:rPr>
        <w:t xml:space="preserve"> </w:t>
      </w:r>
      <w:r w:rsidRPr="009E36E7">
        <w:rPr>
          <w:rFonts w:cs="Arial"/>
        </w:rPr>
        <w:t xml:space="preserve">A wetlands photo contest was held to encourage youth to encounter </w:t>
      </w:r>
      <w:r w:rsidRPr="009E36E7">
        <w:rPr>
          <w:rFonts w:cs="Arial"/>
        </w:rPr>
        <w:lastRenderedPageBreak/>
        <w:t>wetlands for themselves, drawing more than 2200 entries from 80 countries. A library of materials for teachers and organizers was made available to download.</w:t>
      </w:r>
      <w:r w:rsidR="00067A6C">
        <w:rPr>
          <w:rFonts w:cs="Arial"/>
        </w:rPr>
        <w:t xml:space="preserve"> </w:t>
      </w:r>
      <w:r w:rsidRPr="009E36E7">
        <w:rPr>
          <w:rFonts w:cs="Arial"/>
        </w:rPr>
        <w:t xml:space="preserve"> </w:t>
      </w:r>
    </w:p>
    <w:p w:rsidR="001C544D" w:rsidRPr="009E36E7" w:rsidRDefault="001C544D" w:rsidP="007B47B6">
      <w:pPr>
        <w:pStyle w:val="ListParagraph"/>
        <w:spacing w:after="0" w:line="240" w:lineRule="auto"/>
        <w:ind w:left="426"/>
        <w:rPr>
          <w:rFonts w:cs="Arial"/>
        </w:rPr>
      </w:pPr>
    </w:p>
    <w:p w:rsidR="00E0527E" w:rsidRPr="009E36E7" w:rsidRDefault="0028788C" w:rsidP="007B47B6">
      <w:pPr>
        <w:pStyle w:val="ListParagraph"/>
        <w:numPr>
          <w:ilvl w:val="0"/>
          <w:numId w:val="25"/>
        </w:numPr>
        <w:spacing w:after="0" w:line="240" w:lineRule="auto"/>
        <w:ind w:left="426" w:hanging="426"/>
        <w:rPr>
          <w:rFonts w:cs="Arial"/>
        </w:rPr>
      </w:pPr>
      <w:r w:rsidRPr="009E36E7">
        <w:rPr>
          <w:rFonts w:cs="Arial"/>
        </w:rPr>
        <w:t>Th</w:t>
      </w:r>
      <w:r w:rsidR="00424AA7" w:rsidRPr="009E36E7">
        <w:rPr>
          <w:rFonts w:cs="Arial"/>
        </w:rPr>
        <w:t xml:space="preserve">is triennium </w:t>
      </w:r>
      <w:r w:rsidRPr="009E36E7">
        <w:rPr>
          <w:rFonts w:cs="Arial"/>
        </w:rPr>
        <w:t>witnessed</w:t>
      </w:r>
      <w:r w:rsidR="00424AA7" w:rsidRPr="009E36E7">
        <w:rPr>
          <w:rFonts w:cs="Arial"/>
        </w:rPr>
        <w:t xml:space="preserve"> an increase in the breadth and depth of events, once again underscoring that Parties see this campaign day as a valuable tool for raising awareness of wetland issues</w:t>
      </w:r>
      <w:r w:rsidR="00E0527E" w:rsidRPr="009E36E7">
        <w:rPr>
          <w:rFonts w:cs="Arial"/>
        </w:rPr>
        <w:t xml:space="preserve">. </w:t>
      </w:r>
      <w:r w:rsidR="00424AA7" w:rsidRPr="009E36E7">
        <w:rPr>
          <w:rFonts w:cs="Arial"/>
        </w:rPr>
        <w:t>The f</w:t>
      </w:r>
      <w:r w:rsidR="00E0527E" w:rsidRPr="009E36E7">
        <w:rPr>
          <w:rFonts w:cs="Arial"/>
        </w:rPr>
        <w:t>requent mentions of WWD in</w:t>
      </w:r>
      <w:r w:rsidR="00424AA7" w:rsidRPr="009E36E7">
        <w:rPr>
          <w:rFonts w:cs="Arial"/>
        </w:rPr>
        <w:t xml:space="preserve"> </w:t>
      </w:r>
      <w:r w:rsidR="00E0527E" w:rsidRPr="009E36E7">
        <w:rPr>
          <w:rFonts w:cs="Arial"/>
        </w:rPr>
        <w:t>the textual answers in the National Reports</w:t>
      </w:r>
      <w:r w:rsidR="00424AA7" w:rsidRPr="009E36E7">
        <w:rPr>
          <w:rFonts w:cs="Arial"/>
        </w:rPr>
        <w:t xml:space="preserve"> are </w:t>
      </w:r>
      <w:r w:rsidR="007742AD" w:rsidRPr="009E36E7">
        <w:rPr>
          <w:rFonts w:cs="Arial"/>
        </w:rPr>
        <w:t xml:space="preserve">a </w:t>
      </w:r>
      <w:r w:rsidR="00424AA7" w:rsidRPr="009E36E7">
        <w:rPr>
          <w:rFonts w:cs="Arial"/>
        </w:rPr>
        <w:t xml:space="preserve">further </w:t>
      </w:r>
      <w:r w:rsidR="007742AD" w:rsidRPr="009E36E7">
        <w:rPr>
          <w:rFonts w:cs="Arial"/>
        </w:rPr>
        <w:t>indicator</w:t>
      </w:r>
      <w:r w:rsidR="00424AA7" w:rsidRPr="009E36E7">
        <w:rPr>
          <w:rFonts w:cs="Arial"/>
        </w:rPr>
        <w:t xml:space="preserve"> of this</w:t>
      </w:r>
      <w:r w:rsidR="00E0527E" w:rsidRPr="009E36E7">
        <w:rPr>
          <w:rFonts w:cs="Arial"/>
        </w:rPr>
        <w:t>.</w:t>
      </w:r>
      <w:r w:rsidR="000D03D4" w:rsidRPr="009E36E7">
        <w:rPr>
          <w:rFonts w:cs="Arial"/>
        </w:rPr>
        <w:t xml:space="preserve"> </w:t>
      </w:r>
      <w:r w:rsidR="00663A7A" w:rsidRPr="009E36E7">
        <w:rPr>
          <w:rFonts w:cs="Arial"/>
        </w:rPr>
        <w:t>The Convention’s website annually records the reports that are received for WWD</w:t>
      </w:r>
      <w:r w:rsidRPr="009E36E7">
        <w:rPr>
          <w:rFonts w:cs="Arial"/>
        </w:rPr>
        <w:t xml:space="preserve">. The totals </w:t>
      </w:r>
      <w:r w:rsidR="00663A7A" w:rsidRPr="009E36E7">
        <w:rPr>
          <w:rFonts w:cs="Arial"/>
        </w:rPr>
        <w:t xml:space="preserve">reported </w:t>
      </w:r>
      <w:r w:rsidRPr="009E36E7">
        <w:rPr>
          <w:rFonts w:cs="Arial"/>
        </w:rPr>
        <w:t xml:space="preserve">below </w:t>
      </w:r>
      <w:r w:rsidR="00663A7A" w:rsidRPr="009E36E7">
        <w:rPr>
          <w:rFonts w:cs="Arial"/>
        </w:rPr>
        <w:t xml:space="preserve">are an underestimate, since many </w:t>
      </w:r>
      <w:r w:rsidRPr="009E36E7">
        <w:rPr>
          <w:rFonts w:cs="Arial"/>
        </w:rPr>
        <w:t>other activities take place but</w:t>
      </w:r>
      <w:r w:rsidR="00663A7A" w:rsidRPr="009E36E7">
        <w:rPr>
          <w:rFonts w:cs="Arial"/>
        </w:rPr>
        <w:t xml:space="preserve"> go unreported.</w:t>
      </w:r>
      <w:r w:rsidR="00067A6C">
        <w:rPr>
          <w:rFonts w:cs="Arial"/>
        </w:rPr>
        <w:t xml:space="preserve"> </w:t>
      </w:r>
    </w:p>
    <w:p w:rsidR="00663A7A" w:rsidRPr="009E36E7" w:rsidRDefault="00663A7A" w:rsidP="009E36E7">
      <w:pPr>
        <w:spacing w:after="0" w:line="240" w:lineRule="auto"/>
        <w:rPr>
          <w:rFonts w:cs="Arial"/>
        </w:rPr>
      </w:pPr>
    </w:p>
    <w:p w:rsidR="00663A7A" w:rsidRPr="00A27F71" w:rsidRDefault="00A27F71" w:rsidP="009E36E7">
      <w:pPr>
        <w:spacing w:after="0" w:line="240" w:lineRule="auto"/>
        <w:rPr>
          <w:rFonts w:cs="Arial"/>
          <w:b/>
        </w:rPr>
      </w:pPr>
      <w:r w:rsidRPr="00A27F71">
        <w:rPr>
          <w:rFonts w:cs="Arial"/>
          <w:b/>
        </w:rPr>
        <w:t xml:space="preserve">Table 2: </w:t>
      </w:r>
      <w:r w:rsidR="00663A7A" w:rsidRPr="00A27F71">
        <w:rPr>
          <w:rFonts w:cs="Arial"/>
          <w:b/>
        </w:rPr>
        <w:t>World Wetlands Day indicators</w:t>
      </w:r>
    </w:p>
    <w:tbl>
      <w:tblPr>
        <w:tblStyle w:val="TableGrid"/>
        <w:tblW w:w="0" w:type="auto"/>
        <w:tblInd w:w="108" w:type="dxa"/>
        <w:tblLayout w:type="fixed"/>
        <w:tblLook w:val="04A0"/>
      </w:tblPr>
      <w:tblGrid>
        <w:gridCol w:w="3828"/>
        <w:gridCol w:w="1653"/>
        <w:gridCol w:w="1654"/>
        <w:gridCol w:w="1654"/>
      </w:tblGrid>
      <w:tr w:rsidR="00A27F71" w:rsidRPr="009E36E7" w:rsidTr="00A27F71">
        <w:tc>
          <w:tcPr>
            <w:tcW w:w="3828" w:type="dxa"/>
          </w:tcPr>
          <w:p w:rsidR="00A27F71" w:rsidRPr="002C29A1" w:rsidRDefault="00A27F71" w:rsidP="00067A6C">
            <w:pPr>
              <w:rPr>
                <w:rFonts w:cs="Arial"/>
              </w:rPr>
            </w:pPr>
          </w:p>
        </w:tc>
        <w:tc>
          <w:tcPr>
            <w:tcW w:w="1653" w:type="dxa"/>
          </w:tcPr>
          <w:p w:rsidR="00A27F71" w:rsidRPr="002C29A1" w:rsidRDefault="00A27F71" w:rsidP="00067A6C">
            <w:pPr>
              <w:rPr>
                <w:rFonts w:cs="Arial"/>
                <w:b/>
              </w:rPr>
            </w:pPr>
            <w:r w:rsidRPr="002C29A1">
              <w:rPr>
                <w:rFonts w:cs="Arial"/>
                <w:b/>
              </w:rPr>
              <w:t>2013</w:t>
            </w:r>
          </w:p>
        </w:tc>
        <w:tc>
          <w:tcPr>
            <w:tcW w:w="1654" w:type="dxa"/>
          </w:tcPr>
          <w:p w:rsidR="00A27F71" w:rsidRPr="002C29A1" w:rsidRDefault="00A27F71" w:rsidP="00067A6C">
            <w:pPr>
              <w:rPr>
                <w:rFonts w:cs="Arial"/>
                <w:b/>
              </w:rPr>
            </w:pPr>
            <w:r w:rsidRPr="002C29A1">
              <w:rPr>
                <w:rFonts w:cs="Arial"/>
                <w:b/>
              </w:rPr>
              <w:t>2014</w:t>
            </w:r>
          </w:p>
        </w:tc>
        <w:tc>
          <w:tcPr>
            <w:tcW w:w="1654" w:type="dxa"/>
          </w:tcPr>
          <w:p w:rsidR="00A27F71" w:rsidRPr="002C29A1" w:rsidRDefault="00A27F71" w:rsidP="00067A6C">
            <w:pPr>
              <w:rPr>
                <w:rFonts w:cs="Arial"/>
                <w:b/>
              </w:rPr>
            </w:pPr>
            <w:r w:rsidRPr="002C29A1">
              <w:rPr>
                <w:rFonts w:cs="Arial"/>
                <w:b/>
              </w:rPr>
              <w:t>2015</w:t>
            </w:r>
          </w:p>
        </w:tc>
      </w:tr>
      <w:tr w:rsidR="00A27F71" w:rsidRPr="009E36E7" w:rsidTr="00A27F71">
        <w:tc>
          <w:tcPr>
            <w:tcW w:w="3828" w:type="dxa"/>
          </w:tcPr>
          <w:p w:rsidR="00A27F71" w:rsidRPr="002C29A1" w:rsidRDefault="00A27F71" w:rsidP="00067A6C">
            <w:pPr>
              <w:rPr>
                <w:rFonts w:cs="Arial"/>
              </w:rPr>
            </w:pPr>
            <w:r w:rsidRPr="002C29A1">
              <w:rPr>
                <w:rFonts w:cs="Arial"/>
              </w:rPr>
              <w:t xml:space="preserve">Number of reported WWD activities </w:t>
            </w:r>
          </w:p>
        </w:tc>
        <w:tc>
          <w:tcPr>
            <w:tcW w:w="1653" w:type="dxa"/>
          </w:tcPr>
          <w:p w:rsidR="00A27F71" w:rsidRPr="002C29A1" w:rsidRDefault="00A27F71" w:rsidP="00067A6C">
            <w:pPr>
              <w:rPr>
                <w:rFonts w:cs="Arial"/>
              </w:rPr>
            </w:pPr>
            <w:r w:rsidRPr="002C29A1">
              <w:rPr>
                <w:rFonts w:cs="Arial"/>
              </w:rPr>
              <w:t>904</w:t>
            </w:r>
          </w:p>
        </w:tc>
        <w:tc>
          <w:tcPr>
            <w:tcW w:w="1654" w:type="dxa"/>
          </w:tcPr>
          <w:p w:rsidR="00A27F71" w:rsidRPr="002C29A1" w:rsidRDefault="00A27F71" w:rsidP="00067A6C">
            <w:pPr>
              <w:rPr>
                <w:rFonts w:cs="Arial"/>
              </w:rPr>
            </w:pPr>
            <w:r w:rsidRPr="002C29A1">
              <w:rPr>
                <w:rFonts w:cs="Arial"/>
              </w:rPr>
              <w:t>820</w:t>
            </w:r>
          </w:p>
        </w:tc>
        <w:tc>
          <w:tcPr>
            <w:tcW w:w="1654" w:type="dxa"/>
          </w:tcPr>
          <w:p w:rsidR="00A27F71" w:rsidRPr="002C29A1" w:rsidRDefault="00A27F71" w:rsidP="00067A6C">
            <w:pPr>
              <w:rPr>
                <w:rFonts w:cs="Arial"/>
              </w:rPr>
            </w:pPr>
            <w:r w:rsidRPr="002C29A1">
              <w:rPr>
                <w:rFonts w:cs="Arial"/>
              </w:rPr>
              <w:t xml:space="preserve">under compilation </w:t>
            </w:r>
          </w:p>
        </w:tc>
      </w:tr>
      <w:tr w:rsidR="00A27F71" w:rsidRPr="009E36E7" w:rsidTr="00A27F71">
        <w:tc>
          <w:tcPr>
            <w:tcW w:w="3828" w:type="dxa"/>
          </w:tcPr>
          <w:p w:rsidR="00A27F71" w:rsidRPr="002C29A1" w:rsidRDefault="00A27F71" w:rsidP="00067A6C">
            <w:pPr>
              <w:rPr>
                <w:rFonts w:cs="Arial"/>
              </w:rPr>
            </w:pPr>
            <w:r w:rsidRPr="002C29A1">
              <w:rPr>
                <w:rFonts w:cs="Arial"/>
              </w:rPr>
              <w:t>Number of participating countries</w:t>
            </w:r>
          </w:p>
        </w:tc>
        <w:tc>
          <w:tcPr>
            <w:tcW w:w="1653" w:type="dxa"/>
          </w:tcPr>
          <w:p w:rsidR="00A27F71" w:rsidRPr="002C29A1" w:rsidRDefault="00A27F71" w:rsidP="00067A6C">
            <w:pPr>
              <w:rPr>
                <w:rFonts w:cs="Arial"/>
              </w:rPr>
            </w:pPr>
            <w:r w:rsidRPr="002C29A1">
              <w:rPr>
                <w:rFonts w:cs="Arial"/>
              </w:rPr>
              <w:t>48</w:t>
            </w:r>
          </w:p>
        </w:tc>
        <w:tc>
          <w:tcPr>
            <w:tcW w:w="1654" w:type="dxa"/>
          </w:tcPr>
          <w:p w:rsidR="00A27F71" w:rsidRPr="002C29A1" w:rsidRDefault="00A27F71" w:rsidP="00067A6C">
            <w:pPr>
              <w:rPr>
                <w:rFonts w:cs="Arial"/>
              </w:rPr>
            </w:pPr>
            <w:r w:rsidRPr="002C29A1">
              <w:rPr>
                <w:rFonts w:cs="Arial"/>
              </w:rPr>
              <w:t>77</w:t>
            </w:r>
          </w:p>
        </w:tc>
        <w:tc>
          <w:tcPr>
            <w:tcW w:w="1654" w:type="dxa"/>
          </w:tcPr>
          <w:p w:rsidR="00A27F71" w:rsidRPr="002C29A1" w:rsidRDefault="00A27F71" w:rsidP="00067A6C">
            <w:pPr>
              <w:rPr>
                <w:rFonts w:cs="Arial"/>
              </w:rPr>
            </w:pPr>
            <w:r w:rsidRPr="002C29A1">
              <w:rPr>
                <w:rFonts w:cs="Arial"/>
              </w:rPr>
              <w:t>under compilation</w:t>
            </w:r>
          </w:p>
        </w:tc>
      </w:tr>
      <w:tr w:rsidR="00A27F71" w:rsidRPr="009E36E7" w:rsidTr="00A27F71">
        <w:tc>
          <w:tcPr>
            <w:tcW w:w="3828" w:type="dxa"/>
          </w:tcPr>
          <w:p w:rsidR="00A27F71" w:rsidRPr="002C29A1" w:rsidRDefault="00A27F71" w:rsidP="00067A6C">
            <w:pPr>
              <w:rPr>
                <w:rFonts w:cs="Arial"/>
              </w:rPr>
            </w:pPr>
            <w:r w:rsidRPr="002C29A1">
              <w:rPr>
                <w:rFonts w:cs="Arial"/>
              </w:rPr>
              <w:t>Number of WWD material downloads</w:t>
            </w:r>
          </w:p>
        </w:tc>
        <w:tc>
          <w:tcPr>
            <w:tcW w:w="1653" w:type="dxa"/>
          </w:tcPr>
          <w:p w:rsidR="00A27F71" w:rsidRPr="002C29A1" w:rsidRDefault="00A27F71" w:rsidP="00067A6C">
            <w:pPr>
              <w:rPr>
                <w:rFonts w:cs="Arial"/>
              </w:rPr>
            </w:pPr>
            <w:r w:rsidRPr="002C29A1">
              <w:rPr>
                <w:rFonts w:cs="Arial"/>
              </w:rPr>
              <w:t>N/A</w:t>
            </w:r>
          </w:p>
        </w:tc>
        <w:tc>
          <w:tcPr>
            <w:tcW w:w="1654" w:type="dxa"/>
          </w:tcPr>
          <w:p w:rsidR="00A27F71" w:rsidRPr="002C29A1" w:rsidRDefault="00A27F71" w:rsidP="00067A6C">
            <w:pPr>
              <w:rPr>
                <w:rFonts w:cs="Arial"/>
              </w:rPr>
            </w:pPr>
            <w:r w:rsidRPr="002C29A1">
              <w:rPr>
                <w:rFonts w:cs="Arial"/>
              </w:rPr>
              <w:t>N/A</w:t>
            </w:r>
          </w:p>
        </w:tc>
        <w:tc>
          <w:tcPr>
            <w:tcW w:w="1654" w:type="dxa"/>
          </w:tcPr>
          <w:p w:rsidR="00A27F71" w:rsidRPr="002C29A1" w:rsidRDefault="00A27F71" w:rsidP="00067A6C">
            <w:pPr>
              <w:rPr>
                <w:rFonts w:cs="Arial"/>
              </w:rPr>
            </w:pPr>
            <w:r w:rsidRPr="002C29A1">
              <w:rPr>
                <w:rFonts w:cs="Arial"/>
              </w:rPr>
              <w:t>113,464</w:t>
            </w:r>
          </w:p>
        </w:tc>
      </w:tr>
    </w:tbl>
    <w:p w:rsidR="000A0707" w:rsidRDefault="000A0707" w:rsidP="009E36E7">
      <w:pPr>
        <w:spacing w:after="0" w:line="240" w:lineRule="auto"/>
        <w:rPr>
          <w:rFonts w:cs="Arial"/>
        </w:rPr>
      </w:pPr>
    </w:p>
    <w:p w:rsidR="00A27F71" w:rsidRPr="009E36E7" w:rsidRDefault="00A27F71" w:rsidP="009E36E7">
      <w:pPr>
        <w:spacing w:after="0" w:line="240" w:lineRule="auto"/>
        <w:rPr>
          <w:rFonts w:cs="Arial"/>
        </w:rPr>
      </w:pPr>
    </w:p>
    <w:p w:rsidR="00B20979" w:rsidRPr="009E36E7" w:rsidRDefault="000D03D4" w:rsidP="007B47B6">
      <w:pPr>
        <w:pStyle w:val="ListParagraph"/>
        <w:numPr>
          <w:ilvl w:val="0"/>
          <w:numId w:val="25"/>
        </w:numPr>
        <w:spacing w:after="0" w:line="240" w:lineRule="auto"/>
        <w:ind w:left="426" w:hanging="426"/>
        <w:rPr>
          <w:rFonts w:cs="Arial"/>
        </w:rPr>
      </w:pPr>
      <w:r w:rsidRPr="009E36E7">
        <w:rPr>
          <w:rFonts w:cs="Arial"/>
        </w:rPr>
        <w:t xml:space="preserve">During this triennium the Secretariat made specific efforts to develop </w:t>
      </w:r>
      <w:r w:rsidR="00B20979" w:rsidRPr="009E36E7">
        <w:rPr>
          <w:rFonts w:cs="Arial"/>
        </w:rPr>
        <w:t xml:space="preserve">WWD </w:t>
      </w:r>
      <w:r w:rsidRPr="009E36E7">
        <w:rPr>
          <w:rFonts w:cs="Arial"/>
        </w:rPr>
        <w:t xml:space="preserve">themes </w:t>
      </w:r>
      <w:r w:rsidR="00B20979" w:rsidRPr="009E36E7">
        <w:rPr>
          <w:rFonts w:cs="Arial"/>
        </w:rPr>
        <w:t xml:space="preserve">and messaging in coordination with other major partners, </w:t>
      </w:r>
      <w:r w:rsidR="00663A7A" w:rsidRPr="009E36E7">
        <w:rPr>
          <w:rFonts w:cs="Arial"/>
        </w:rPr>
        <w:t xml:space="preserve">and </w:t>
      </w:r>
      <w:r w:rsidR="00B20979" w:rsidRPr="009E36E7">
        <w:rPr>
          <w:rFonts w:cs="Arial"/>
        </w:rPr>
        <w:t xml:space="preserve">echoing wider </w:t>
      </w:r>
      <w:r w:rsidRPr="009E36E7">
        <w:rPr>
          <w:rFonts w:cs="Arial"/>
        </w:rPr>
        <w:t>international issues</w:t>
      </w:r>
      <w:r w:rsidR="00B20979" w:rsidRPr="009E36E7">
        <w:rPr>
          <w:rFonts w:cs="Arial"/>
        </w:rPr>
        <w:t>:</w:t>
      </w:r>
      <w:r w:rsidR="00067A6C">
        <w:rPr>
          <w:rFonts w:cs="Arial"/>
        </w:rPr>
        <w:t xml:space="preserve"> </w:t>
      </w:r>
    </w:p>
    <w:p w:rsidR="00B20979" w:rsidRPr="009E36E7" w:rsidRDefault="000D03D4" w:rsidP="007B47B6">
      <w:pPr>
        <w:pStyle w:val="ListParagraph"/>
        <w:numPr>
          <w:ilvl w:val="0"/>
          <w:numId w:val="27"/>
        </w:numPr>
        <w:spacing w:after="0" w:line="240" w:lineRule="auto"/>
        <w:ind w:left="851" w:hanging="425"/>
        <w:rPr>
          <w:rFonts w:cs="Arial"/>
        </w:rPr>
      </w:pPr>
      <w:r w:rsidRPr="009E36E7">
        <w:rPr>
          <w:rFonts w:cs="Arial"/>
        </w:rPr>
        <w:t xml:space="preserve">In 2013 the Secretariat collaborated with UNESCO for the UN International Year of Water Cooperation, with the corresponding WWD theme of </w:t>
      </w:r>
      <w:r w:rsidR="00067A6C">
        <w:rPr>
          <w:rFonts w:cs="Arial"/>
        </w:rPr>
        <w:t>‘</w:t>
      </w:r>
      <w:r w:rsidR="00B20979" w:rsidRPr="009E36E7">
        <w:rPr>
          <w:rFonts w:cs="Arial"/>
        </w:rPr>
        <w:t>Wetlands Take Care of Water</w:t>
      </w:r>
      <w:r w:rsidRPr="009E36E7">
        <w:rPr>
          <w:rFonts w:cs="Arial"/>
        </w:rPr>
        <w:t>.</w:t>
      </w:r>
      <w:r w:rsidR="00067A6C">
        <w:rPr>
          <w:rFonts w:cs="Arial"/>
        </w:rPr>
        <w:t xml:space="preserve">’ </w:t>
      </w:r>
    </w:p>
    <w:p w:rsidR="000D03D4" w:rsidRPr="009E36E7" w:rsidRDefault="000D03D4" w:rsidP="007B47B6">
      <w:pPr>
        <w:pStyle w:val="ListParagraph"/>
        <w:numPr>
          <w:ilvl w:val="0"/>
          <w:numId w:val="27"/>
        </w:numPr>
        <w:spacing w:after="0" w:line="240" w:lineRule="auto"/>
        <w:ind w:left="851" w:hanging="425"/>
        <w:rPr>
          <w:rFonts w:cs="Arial"/>
        </w:rPr>
      </w:pPr>
      <w:r w:rsidRPr="009E36E7">
        <w:rPr>
          <w:rFonts w:cs="Arial"/>
        </w:rPr>
        <w:t xml:space="preserve">In 2014, </w:t>
      </w:r>
      <w:r w:rsidR="00B20979" w:rsidRPr="009E36E7">
        <w:rPr>
          <w:rFonts w:cs="Arial"/>
        </w:rPr>
        <w:t xml:space="preserve">to commemorate the International Year of Family Farming, the </w:t>
      </w:r>
      <w:r w:rsidR="00663A7A" w:rsidRPr="009E36E7">
        <w:rPr>
          <w:rFonts w:cs="Arial"/>
        </w:rPr>
        <w:t>Secretariat</w:t>
      </w:r>
      <w:r w:rsidR="00067A6C">
        <w:rPr>
          <w:rFonts w:cs="Arial"/>
        </w:rPr>
        <w:t xml:space="preserve"> </w:t>
      </w:r>
      <w:r w:rsidR="00B20979" w:rsidRPr="009E36E7">
        <w:rPr>
          <w:rFonts w:cs="Arial"/>
        </w:rPr>
        <w:t xml:space="preserve">cooperated with the International Water Management Institute and the Food and Agriculture Organization of the UN to underscore the theme of </w:t>
      </w:r>
      <w:r w:rsidR="00067A6C">
        <w:rPr>
          <w:rFonts w:cs="Arial"/>
        </w:rPr>
        <w:t>‘</w:t>
      </w:r>
      <w:r w:rsidR="00B20979" w:rsidRPr="009E36E7">
        <w:rPr>
          <w:rFonts w:cs="Arial"/>
        </w:rPr>
        <w:t>Wetlands and Agriculture: Partners for Growth.</w:t>
      </w:r>
      <w:r w:rsidR="00067A6C">
        <w:rPr>
          <w:rFonts w:cs="Arial"/>
        </w:rPr>
        <w:t>’</w:t>
      </w:r>
    </w:p>
    <w:p w:rsidR="0028788C" w:rsidRPr="009E36E7" w:rsidRDefault="00B20979" w:rsidP="007B47B6">
      <w:pPr>
        <w:pStyle w:val="ListParagraph"/>
        <w:numPr>
          <w:ilvl w:val="0"/>
          <w:numId w:val="27"/>
        </w:numPr>
        <w:spacing w:after="0" w:line="240" w:lineRule="auto"/>
        <w:ind w:left="851" w:hanging="425"/>
        <w:rPr>
          <w:rFonts w:cs="Arial"/>
        </w:rPr>
      </w:pPr>
      <w:r w:rsidRPr="009E36E7">
        <w:rPr>
          <w:rFonts w:cs="Arial"/>
        </w:rPr>
        <w:t xml:space="preserve">For 2015, the theme </w:t>
      </w:r>
      <w:r w:rsidR="00067A6C">
        <w:rPr>
          <w:rFonts w:cs="Arial"/>
        </w:rPr>
        <w:t>‘</w:t>
      </w:r>
      <w:r w:rsidRPr="009E36E7">
        <w:rPr>
          <w:rFonts w:cs="Arial"/>
        </w:rPr>
        <w:t>Wetlands for Our Future</w:t>
      </w:r>
      <w:r w:rsidR="00067A6C">
        <w:rPr>
          <w:rFonts w:cs="Arial"/>
        </w:rPr>
        <w:t>’</w:t>
      </w:r>
      <w:r w:rsidRPr="009E36E7">
        <w:rPr>
          <w:rFonts w:cs="Arial"/>
        </w:rPr>
        <w:t xml:space="preserve"> was adopted in conjunction with the theme for COP12.</w:t>
      </w:r>
      <w:r w:rsidR="00067A6C">
        <w:rPr>
          <w:rFonts w:cs="Arial"/>
        </w:rPr>
        <w:t xml:space="preserve"> </w:t>
      </w:r>
      <w:r w:rsidRPr="009E36E7">
        <w:rPr>
          <w:rFonts w:cs="Arial"/>
        </w:rPr>
        <w:t>This yea</w:t>
      </w:r>
      <w:r w:rsidR="00663A7A" w:rsidRPr="009E36E7">
        <w:rPr>
          <w:rFonts w:cs="Arial"/>
        </w:rPr>
        <w:t>r also brought a major shift in the mechanics of the day</w:t>
      </w:r>
      <w:r w:rsidR="0028788C" w:rsidRPr="009E36E7">
        <w:rPr>
          <w:rFonts w:cs="Arial"/>
        </w:rPr>
        <w:t>, outlined in more detail below</w:t>
      </w:r>
      <w:r w:rsidR="00663A7A" w:rsidRPr="009E36E7">
        <w:rPr>
          <w:rFonts w:cs="Arial"/>
        </w:rPr>
        <w:t>.</w:t>
      </w:r>
    </w:p>
    <w:p w:rsidR="00101D74" w:rsidRPr="009E36E7" w:rsidRDefault="00101D74" w:rsidP="009E36E7">
      <w:pPr>
        <w:spacing w:after="0" w:line="240" w:lineRule="auto"/>
        <w:rPr>
          <w:rFonts w:cs="Arial"/>
        </w:rPr>
      </w:pPr>
    </w:p>
    <w:p w:rsidR="00E0527E" w:rsidRPr="009E36E7" w:rsidRDefault="001C544D" w:rsidP="007B47B6">
      <w:pPr>
        <w:pStyle w:val="ListParagraph"/>
        <w:numPr>
          <w:ilvl w:val="0"/>
          <w:numId w:val="25"/>
        </w:numPr>
        <w:spacing w:after="0" w:line="240" w:lineRule="auto"/>
        <w:ind w:left="426" w:hanging="426"/>
        <w:rPr>
          <w:rFonts w:cs="Arial"/>
        </w:rPr>
      </w:pPr>
      <w:r w:rsidRPr="009E36E7">
        <w:rPr>
          <w:rFonts w:cs="Arial"/>
        </w:rPr>
        <w:t>O</w:t>
      </w:r>
      <w:r w:rsidR="00DB1B63" w:rsidRPr="009E36E7">
        <w:rPr>
          <w:rFonts w:cs="Arial"/>
        </w:rPr>
        <w:t xml:space="preserve">ver the triennium </w:t>
      </w:r>
      <w:r w:rsidR="00824401" w:rsidRPr="009E36E7">
        <w:rPr>
          <w:rFonts w:cs="Arial"/>
        </w:rPr>
        <w:t>89%</w:t>
      </w:r>
      <w:r w:rsidR="00DB1B63" w:rsidRPr="009E36E7">
        <w:rPr>
          <w:rFonts w:cs="Arial"/>
        </w:rPr>
        <w:t xml:space="preserve"> Parties have adapted </w:t>
      </w:r>
      <w:r w:rsidR="00F61528" w:rsidRPr="009E36E7">
        <w:rPr>
          <w:rFonts w:cs="Arial"/>
        </w:rPr>
        <w:t xml:space="preserve">WWD </w:t>
      </w:r>
      <w:r w:rsidR="00DB1B63" w:rsidRPr="009E36E7">
        <w:rPr>
          <w:rFonts w:cs="Arial"/>
        </w:rPr>
        <w:t>materials for local use.</w:t>
      </w:r>
      <w:r w:rsidR="00067A6C">
        <w:rPr>
          <w:rFonts w:cs="Arial"/>
        </w:rPr>
        <w:t xml:space="preserve"> </w:t>
      </w:r>
      <w:r w:rsidR="00DB1B63" w:rsidRPr="009E36E7">
        <w:rPr>
          <w:rFonts w:cs="Arial"/>
        </w:rPr>
        <w:t xml:space="preserve">Many </w:t>
      </w:r>
      <w:r w:rsidR="006B6436" w:rsidRPr="009E36E7">
        <w:rPr>
          <w:rFonts w:cs="Arial"/>
        </w:rPr>
        <w:t xml:space="preserve">other </w:t>
      </w:r>
      <w:r w:rsidR="00DB1B63" w:rsidRPr="009E36E7">
        <w:rPr>
          <w:rFonts w:cs="Arial"/>
        </w:rPr>
        <w:t xml:space="preserve">activities over the course of the </w:t>
      </w:r>
      <w:r w:rsidR="00101D74" w:rsidRPr="009E36E7">
        <w:rPr>
          <w:rFonts w:cs="Arial"/>
        </w:rPr>
        <w:t>triennium</w:t>
      </w:r>
      <w:r w:rsidR="00F61528" w:rsidRPr="009E36E7">
        <w:rPr>
          <w:rFonts w:cs="Arial"/>
        </w:rPr>
        <w:t xml:space="preserve"> </w:t>
      </w:r>
      <w:r w:rsidR="00101D74" w:rsidRPr="009E36E7">
        <w:rPr>
          <w:rFonts w:cs="Arial"/>
        </w:rPr>
        <w:t>are worthy of mention.</w:t>
      </w:r>
      <w:r w:rsidR="00067A6C">
        <w:rPr>
          <w:rFonts w:cs="Arial"/>
        </w:rPr>
        <w:t xml:space="preserve"> </w:t>
      </w:r>
      <w:r w:rsidR="00101D74" w:rsidRPr="009E36E7">
        <w:rPr>
          <w:rFonts w:cs="Arial"/>
        </w:rPr>
        <w:t xml:space="preserve">Here </w:t>
      </w:r>
      <w:r w:rsidR="00DB1B63" w:rsidRPr="009E36E7">
        <w:rPr>
          <w:rFonts w:cs="Arial"/>
        </w:rPr>
        <w:t xml:space="preserve">is a selection that </w:t>
      </w:r>
      <w:r w:rsidR="00E0527E" w:rsidRPr="009E36E7">
        <w:rPr>
          <w:rFonts w:cs="Arial"/>
        </w:rPr>
        <w:t>exemplif</w:t>
      </w:r>
      <w:r w:rsidR="00DB1B63" w:rsidRPr="009E36E7">
        <w:rPr>
          <w:rFonts w:cs="Arial"/>
        </w:rPr>
        <w:t>ies</w:t>
      </w:r>
      <w:r w:rsidR="00E0527E" w:rsidRPr="009E36E7">
        <w:rPr>
          <w:rFonts w:cs="Arial"/>
        </w:rPr>
        <w:t xml:space="preserve"> the breadth of </w:t>
      </w:r>
      <w:r w:rsidR="00F61528" w:rsidRPr="009E36E7">
        <w:rPr>
          <w:rFonts w:cs="Arial"/>
        </w:rPr>
        <w:t xml:space="preserve">WWD </w:t>
      </w:r>
      <w:r w:rsidR="00E0527E" w:rsidRPr="009E36E7">
        <w:rPr>
          <w:rFonts w:cs="Arial"/>
        </w:rPr>
        <w:t>activit</w:t>
      </w:r>
      <w:r w:rsidR="00DB1B63" w:rsidRPr="009E36E7">
        <w:rPr>
          <w:rFonts w:cs="Arial"/>
        </w:rPr>
        <w:t>ies</w:t>
      </w:r>
      <w:r w:rsidR="00E0527E" w:rsidRPr="009E36E7">
        <w:rPr>
          <w:rFonts w:cs="Arial"/>
        </w:rPr>
        <w:t>:</w:t>
      </w:r>
    </w:p>
    <w:p w:rsidR="00DB1B63" w:rsidRPr="009E36E7" w:rsidRDefault="00DB1B63" w:rsidP="009E36E7">
      <w:pPr>
        <w:spacing w:after="0" w:line="240" w:lineRule="auto"/>
        <w:rPr>
          <w:rFonts w:cs="Arial"/>
        </w:rPr>
      </w:pPr>
    </w:p>
    <w:p w:rsidR="00721C0F" w:rsidRDefault="00721C0F" w:rsidP="007B47B6">
      <w:pPr>
        <w:pStyle w:val="ListParagraph"/>
        <w:numPr>
          <w:ilvl w:val="0"/>
          <w:numId w:val="27"/>
        </w:numPr>
        <w:spacing w:after="0" w:line="240" w:lineRule="auto"/>
        <w:ind w:left="851" w:hanging="425"/>
        <w:rPr>
          <w:rFonts w:cs="Arial"/>
        </w:rPr>
      </w:pPr>
      <w:r w:rsidRPr="009E36E7">
        <w:rPr>
          <w:rFonts w:cs="Arial"/>
        </w:rPr>
        <w:t>The highly-evolved WWD system in France yielded some 481 WWD activities in 2014 alone</w:t>
      </w:r>
      <w:r w:rsidR="006B6436" w:rsidRPr="009E36E7">
        <w:rPr>
          <w:rFonts w:cs="Arial"/>
        </w:rPr>
        <w:t>, ranging from school field trips to informational events</w:t>
      </w:r>
      <w:r w:rsidRPr="009E36E7">
        <w:rPr>
          <w:rFonts w:cs="Arial"/>
        </w:rPr>
        <w:t>.</w:t>
      </w:r>
    </w:p>
    <w:p w:rsidR="007B47B6" w:rsidRPr="009E36E7" w:rsidRDefault="007B47B6" w:rsidP="007B47B6">
      <w:pPr>
        <w:pStyle w:val="ListParagraph"/>
        <w:spacing w:after="0" w:line="240" w:lineRule="auto"/>
        <w:ind w:left="851"/>
        <w:rPr>
          <w:rFonts w:cs="Arial"/>
        </w:rPr>
      </w:pPr>
    </w:p>
    <w:p w:rsidR="00721C0F" w:rsidRDefault="00721C0F" w:rsidP="007B47B6">
      <w:pPr>
        <w:pStyle w:val="ListParagraph"/>
        <w:numPr>
          <w:ilvl w:val="0"/>
          <w:numId w:val="27"/>
        </w:numPr>
        <w:spacing w:after="0" w:line="240" w:lineRule="auto"/>
        <w:ind w:left="851" w:hanging="425"/>
        <w:rPr>
          <w:rFonts w:cs="Arial"/>
        </w:rPr>
      </w:pPr>
      <w:r w:rsidRPr="009E36E7">
        <w:rPr>
          <w:rFonts w:cs="Arial"/>
        </w:rPr>
        <w:t>In 2013, Estonia supported WWD with range of events. Representatives of its Environmental Board, State Forest Management Centre, the Estonian University of Life Sciences and local nature guides teamed up to give educational tours at multiple locations including the Silma Nature Reserve, the Soomaa National Park and Käina Bay in Hiiumaa.</w:t>
      </w:r>
      <w:r w:rsidRPr="007B47B6">
        <w:rPr>
          <w:rFonts w:cs="Arial"/>
        </w:rPr>
        <w:t xml:space="preserve"> </w:t>
      </w:r>
    </w:p>
    <w:p w:rsidR="007B47B6" w:rsidRPr="007B47B6" w:rsidRDefault="007B47B6" w:rsidP="007B47B6">
      <w:pPr>
        <w:pStyle w:val="ListParagraph"/>
        <w:rPr>
          <w:rFonts w:cs="Arial"/>
        </w:rPr>
      </w:pPr>
    </w:p>
    <w:p w:rsidR="00CD120D" w:rsidRDefault="00CD120D" w:rsidP="007B47B6">
      <w:pPr>
        <w:pStyle w:val="ListParagraph"/>
        <w:numPr>
          <w:ilvl w:val="0"/>
          <w:numId w:val="27"/>
        </w:numPr>
        <w:spacing w:after="0" w:line="240" w:lineRule="auto"/>
        <w:ind w:left="851" w:hanging="425"/>
        <w:rPr>
          <w:rFonts w:cs="Arial"/>
        </w:rPr>
      </w:pPr>
      <w:r w:rsidRPr="007B47B6">
        <w:rPr>
          <w:rFonts w:cs="Arial"/>
        </w:rPr>
        <w:t xml:space="preserve">The 2014 WWD materials on agriculture and wetlands were adapted and translated by a wide range of countries including China, Colombia, France, Grenada, Greece, India, Iran, Iraq, Japan, Lao </w:t>
      </w:r>
      <w:r w:rsidR="00DB48D2">
        <w:rPr>
          <w:rFonts w:cs="Arial"/>
        </w:rPr>
        <w:t>PDR</w:t>
      </w:r>
      <w:r w:rsidRPr="007B47B6">
        <w:rPr>
          <w:rFonts w:cs="Arial"/>
        </w:rPr>
        <w:t>, Madagascar, Myanmar and Spain.</w:t>
      </w:r>
    </w:p>
    <w:p w:rsidR="007B47B6" w:rsidRPr="007B47B6" w:rsidRDefault="007B47B6" w:rsidP="007B47B6">
      <w:pPr>
        <w:pStyle w:val="ListParagraph"/>
        <w:rPr>
          <w:rFonts w:cs="Arial"/>
        </w:rPr>
      </w:pPr>
    </w:p>
    <w:p w:rsidR="00721C0F" w:rsidRDefault="00721C0F" w:rsidP="007B47B6">
      <w:pPr>
        <w:pStyle w:val="ListParagraph"/>
        <w:numPr>
          <w:ilvl w:val="0"/>
          <w:numId w:val="27"/>
        </w:numPr>
        <w:spacing w:after="0" w:line="240" w:lineRule="auto"/>
        <w:ind w:left="851" w:hanging="425"/>
        <w:rPr>
          <w:rFonts w:cs="Arial"/>
        </w:rPr>
      </w:pPr>
      <w:r w:rsidRPr="007B47B6">
        <w:rPr>
          <w:rFonts w:cs="Arial"/>
        </w:rPr>
        <w:t xml:space="preserve">Bangladesh echoed the 2013 WWD water theme with posters </w:t>
      </w:r>
      <w:r w:rsidRPr="009E36E7">
        <w:rPr>
          <w:rFonts w:cs="Arial"/>
        </w:rPr>
        <w:t>produced by Wetland Biodiversity Rehabilitation Project (WBRP) and by the World Peace Mission in Dhaka.</w:t>
      </w:r>
    </w:p>
    <w:p w:rsidR="007B47B6" w:rsidRPr="009E36E7" w:rsidRDefault="007B47B6" w:rsidP="007B47B6">
      <w:pPr>
        <w:pStyle w:val="ListParagraph"/>
        <w:spacing w:after="0" w:line="240" w:lineRule="auto"/>
        <w:ind w:left="851"/>
        <w:rPr>
          <w:rFonts w:cs="Arial"/>
        </w:rPr>
      </w:pPr>
    </w:p>
    <w:p w:rsidR="00721C0F" w:rsidRDefault="00721C0F" w:rsidP="007B47B6">
      <w:pPr>
        <w:pStyle w:val="ListParagraph"/>
        <w:numPr>
          <w:ilvl w:val="0"/>
          <w:numId w:val="27"/>
        </w:numPr>
        <w:spacing w:after="0" w:line="240" w:lineRule="auto"/>
        <w:ind w:left="851" w:hanging="425"/>
        <w:rPr>
          <w:rFonts w:cs="Arial"/>
        </w:rPr>
      </w:pPr>
      <w:r w:rsidRPr="009E36E7">
        <w:rPr>
          <w:rFonts w:cs="Arial"/>
        </w:rPr>
        <w:lastRenderedPageBreak/>
        <w:t>The Australian Government published the 22</w:t>
      </w:r>
      <w:r w:rsidRPr="00DB48D2">
        <w:rPr>
          <w:rFonts w:cs="Arial"/>
          <w:vertAlign w:val="superscript"/>
        </w:rPr>
        <w:t>nd</w:t>
      </w:r>
      <w:r w:rsidRPr="009E36E7">
        <w:rPr>
          <w:rFonts w:cs="Arial"/>
        </w:rPr>
        <w:t xml:space="preserve"> issue of the publication, Wetlands Australia with the theme Wetlands and Water Management to support WWD 2013.</w:t>
      </w:r>
    </w:p>
    <w:p w:rsidR="007B47B6" w:rsidRPr="007B47B6" w:rsidRDefault="007B47B6" w:rsidP="007B47B6">
      <w:pPr>
        <w:pStyle w:val="ListParagraph"/>
        <w:rPr>
          <w:rFonts w:cs="Arial"/>
        </w:rPr>
      </w:pPr>
    </w:p>
    <w:p w:rsidR="001E1AFB" w:rsidRDefault="00721C0F" w:rsidP="007B47B6">
      <w:pPr>
        <w:pStyle w:val="ListParagraph"/>
        <w:numPr>
          <w:ilvl w:val="0"/>
          <w:numId w:val="27"/>
        </w:numPr>
        <w:spacing w:after="0" w:line="240" w:lineRule="auto"/>
        <w:ind w:left="851" w:hanging="425"/>
        <w:rPr>
          <w:rFonts w:cs="Arial"/>
        </w:rPr>
      </w:pPr>
      <w:r w:rsidRPr="009E36E7">
        <w:rPr>
          <w:rFonts w:cs="Arial"/>
        </w:rPr>
        <w:t>China’s Office of Wetland Conservation and Management</w:t>
      </w:r>
      <w:r w:rsidR="009C6BA9" w:rsidRPr="009E36E7">
        <w:rPr>
          <w:rFonts w:cs="Arial"/>
        </w:rPr>
        <w:t xml:space="preserve"> at the </w:t>
      </w:r>
      <w:r w:rsidRPr="009E36E7">
        <w:rPr>
          <w:rFonts w:cs="Arial"/>
        </w:rPr>
        <w:t xml:space="preserve">State Forestry Administration, </w:t>
      </w:r>
      <w:r w:rsidR="009C6BA9" w:rsidRPr="009E36E7">
        <w:rPr>
          <w:rFonts w:cs="Arial"/>
        </w:rPr>
        <w:t>the Institute of Wetland Research at the Chinese Academy of Forestry, and the Hong Kong Wetland Park all got behind WWD 2013 with</w:t>
      </w:r>
      <w:r w:rsidR="00DB48D2">
        <w:rPr>
          <w:rFonts w:cs="Arial"/>
        </w:rPr>
        <w:t xml:space="preserve"> a</w:t>
      </w:r>
      <w:r w:rsidR="00067A6C">
        <w:rPr>
          <w:rFonts w:cs="Arial"/>
        </w:rPr>
        <w:t xml:space="preserve"> </w:t>
      </w:r>
      <w:r w:rsidR="009C6BA9" w:rsidRPr="009E36E7">
        <w:rPr>
          <w:rFonts w:cs="Arial"/>
        </w:rPr>
        <w:t>range of posters and adapted leaflets.</w:t>
      </w:r>
    </w:p>
    <w:p w:rsidR="007B47B6" w:rsidRPr="007B47B6" w:rsidRDefault="007B47B6" w:rsidP="007B47B6">
      <w:pPr>
        <w:pStyle w:val="ListParagraph"/>
        <w:rPr>
          <w:rFonts w:cs="Arial"/>
        </w:rPr>
      </w:pPr>
    </w:p>
    <w:p w:rsidR="000A0707" w:rsidRPr="009E36E7" w:rsidRDefault="001E1AFB" w:rsidP="007B47B6">
      <w:pPr>
        <w:pStyle w:val="ListParagraph"/>
        <w:numPr>
          <w:ilvl w:val="0"/>
          <w:numId w:val="27"/>
        </w:numPr>
        <w:spacing w:after="0" w:line="240" w:lineRule="auto"/>
        <w:ind w:left="851" w:hanging="425"/>
        <w:rPr>
          <w:rFonts w:cs="Arial"/>
        </w:rPr>
      </w:pPr>
      <w:r w:rsidRPr="009E36E7">
        <w:rPr>
          <w:rFonts w:cs="Arial"/>
        </w:rPr>
        <w:t>In 2015, the Ramsar Secretary General was invited to attend WWD celebrations in Uganda organized by the Ministry of Environment of Uganda, the Ramsar Centre for Eastern Africa at Lutembe Bay Site on the shores of Lake Victoria. The event was attended by over 500 people that included local communities, youth, media and wetland site managers and practitioners.</w:t>
      </w:r>
    </w:p>
    <w:p w:rsidR="001C544D" w:rsidRPr="009E36E7" w:rsidRDefault="001C544D" w:rsidP="009E36E7">
      <w:pPr>
        <w:pStyle w:val="ListParagraph"/>
        <w:spacing w:after="0" w:line="240" w:lineRule="auto"/>
        <w:ind w:left="1080"/>
        <w:rPr>
          <w:rFonts w:cs="Arial"/>
        </w:rPr>
      </w:pPr>
    </w:p>
    <w:p w:rsidR="00E0527E" w:rsidRPr="009E36E7" w:rsidRDefault="00FB5EC1" w:rsidP="00A31D43">
      <w:pPr>
        <w:pStyle w:val="ListParagraph"/>
        <w:numPr>
          <w:ilvl w:val="0"/>
          <w:numId w:val="25"/>
        </w:numPr>
        <w:spacing w:after="0" w:line="240" w:lineRule="auto"/>
        <w:ind w:left="426" w:hanging="426"/>
        <w:rPr>
          <w:rFonts w:cs="Arial"/>
        </w:rPr>
      </w:pPr>
      <w:r w:rsidRPr="009E36E7">
        <w:rPr>
          <w:rFonts w:cs="Arial"/>
        </w:rPr>
        <w:t xml:space="preserve">In future, </w:t>
      </w:r>
      <w:r w:rsidR="00DB48D2">
        <w:rPr>
          <w:rFonts w:cs="Arial"/>
        </w:rPr>
        <w:t xml:space="preserve">the </w:t>
      </w:r>
      <w:r w:rsidRPr="009E36E7">
        <w:rPr>
          <w:rFonts w:cs="Arial"/>
        </w:rPr>
        <w:t>proposed strategy is to use</w:t>
      </w:r>
      <w:r w:rsidR="00DB1B63" w:rsidRPr="009E36E7">
        <w:rPr>
          <w:rFonts w:cs="Arial"/>
        </w:rPr>
        <w:t xml:space="preserve"> World Wetlands Day to underline </w:t>
      </w:r>
      <w:r w:rsidRPr="009E36E7">
        <w:rPr>
          <w:rFonts w:cs="Arial"/>
        </w:rPr>
        <w:t xml:space="preserve">the Ramsar </w:t>
      </w:r>
      <w:r w:rsidR="00DB1B63" w:rsidRPr="009E36E7">
        <w:rPr>
          <w:rFonts w:cs="Arial"/>
        </w:rPr>
        <w:t>brand message that wetlands are the source of sustainable development.</w:t>
      </w:r>
      <w:r w:rsidR="00067A6C">
        <w:rPr>
          <w:rFonts w:cs="Arial"/>
        </w:rPr>
        <w:t xml:space="preserve"> </w:t>
      </w:r>
      <w:r w:rsidR="00DB1B63" w:rsidRPr="009E36E7">
        <w:rPr>
          <w:rFonts w:cs="Arial"/>
        </w:rPr>
        <w:t xml:space="preserve">Within that framework, the Secretariat’s intention is to coordinate specific topical themes with other major international organizations relating to major annual initiatives, and to reach agreement on a coordinated calendar for international awareness days to minimize competition and duplication. </w:t>
      </w:r>
    </w:p>
    <w:p w:rsidR="00E0527E" w:rsidRPr="009E36E7" w:rsidRDefault="00E0527E" w:rsidP="009E36E7">
      <w:pPr>
        <w:spacing w:after="0" w:line="240" w:lineRule="auto"/>
        <w:rPr>
          <w:rFonts w:cs="Arial"/>
        </w:rPr>
      </w:pPr>
    </w:p>
    <w:p w:rsidR="00E0527E" w:rsidRPr="009E36E7" w:rsidRDefault="00E0527E" w:rsidP="009E36E7">
      <w:pPr>
        <w:spacing w:after="0" w:line="240" w:lineRule="auto"/>
        <w:rPr>
          <w:rFonts w:cs="Arial"/>
          <w:b/>
        </w:rPr>
      </w:pPr>
      <w:r w:rsidRPr="009E36E7">
        <w:rPr>
          <w:rFonts w:cs="Arial"/>
          <w:b/>
        </w:rPr>
        <w:t>Using campaigns, programmes, and projects to raise awareness of the importance of</w:t>
      </w:r>
      <w:r w:rsidR="0035043C" w:rsidRPr="009E36E7">
        <w:rPr>
          <w:rFonts w:cs="Arial"/>
          <w:b/>
        </w:rPr>
        <w:t xml:space="preserve"> </w:t>
      </w:r>
      <w:r w:rsidRPr="009E36E7">
        <w:rPr>
          <w:rFonts w:cs="Arial"/>
          <w:b/>
        </w:rPr>
        <w:t>wetlands to people and wildlife and the ecosystem benefits/services provided by</w:t>
      </w:r>
      <w:r w:rsidR="0035043C" w:rsidRPr="009E36E7">
        <w:rPr>
          <w:rFonts w:cs="Arial"/>
          <w:b/>
        </w:rPr>
        <w:t xml:space="preserve"> </w:t>
      </w:r>
      <w:r w:rsidRPr="009E36E7">
        <w:rPr>
          <w:rFonts w:cs="Arial"/>
          <w:b/>
        </w:rPr>
        <w:t>wetlands</w:t>
      </w:r>
    </w:p>
    <w:p w:rsidR="000A0707" w:rsidRPr="009E36E7" w:rsidRDefault="000A0707" w:rsidP="009E36E7">
      <w:pPr>
        <w:spacing w:after="0" w:line="240" w:lineRule="auto"/>
        <w:rPr>
          <w:rFonts w:cs="Arial"/>
        </w:rPr>
      </w:pPr>
    </w:p>
    <w:p w:rsidR="00CD120D" w:rsidRPr="009E36E7" w:rsidRDefault="00DB1B63" w:rsidP="00A31D43">
      <w:pPr>
        <w:pStyle w:val="ListParagraph"/>
        <w:numPr>
          <w:ilvl w:val="0"/>
          <w:numId w:val="25"/>
        </w:numPr>
        <w:spacing w:after="0" w:line="240" w:lineRule="auto"/>
        <w:ind w:left="426" w:hanging="426"/>
        <w:rPr>
          <w:rFonts w:cs="Arial"/>
        </w:rPr>
      </w:pPr>
      <w:r w:rsidRPr="009E36E7">
        <w:rPr>
          <w:rFonts w:cs="Arial"/>
        </w:rPr>
        <w:t>R</w:t>
      </w:r>
      <w:r w:rsidR="00E0527E" w:rsidRPr="009E36E7">
        <w:rPr>
          <w:rFonts w:cs="Arial"/>
        </w:rPr>
        <w:t>esponses to Indicator 4.1.9 suggest an increase in positive responses and an impressive</w:t>
      </w:r>
      <w:r w:rsidR="0035043C" w:rsidRPr="009E36E7">
        <w:rPr>
          <w:rFonts w:cs="Arial"/>
        </w:rPr>
        <w:t xml:space="preserve"> </w:t>
      </w:r>
      <w:r w:rsidR="00E0527E" w:rsidRPr="009E36E7">
        <w:rPr>
          <w:rFonts w:cs="Arial"/>
        </w:rPr>
        <w:t>diversity of activities across all regions to raise awareness about wetlands. For all regions</w:t>
      </w:r>
      <w:r w:rsidR="0035043C" w:rsidRPr="009E36E7">
        <w:rPr>
          <w:rFonts w:cs="Arial"/>
        </w:rPr>
        <w:t xml:space="preserve"> </w:t>
      </w:r>
      <w:r w:rsidR="00E0527E" w:rsidRPr="009E36E7">
        <w:rPr>
          <w:rFonts w:cs="Arial"/>
        </w:rPr>
        <w:t xml:space="preserve">the proportion of Parties responding positively to this indicator has increased from </w:t>
      </w:r>
      <w:r w:rsidRPr="009E36E7">
        <w:rPr>
          <w:rFonts w:cs="Arial"/>
        </w:rPr>
        <w:t>82</w:t>
      </w:r>
      <w:r w:rsidR="00E0527E" w:rsidRPr="009E36E7">
        <w:rPr>
          <w:rFonts w:cs="Arial"/>
        </w:rPr>
        <w:t>% at</w:t>
      </w:r>
      <w:r w:rsidR="0035043C" w:rsidRPr="009E36E7">
        <w:rPr>
          <w:rFonts w:cs="Arial"/>
        </w:rPr>
        <w:t xml:space="preserve"> </w:t>
      </w:r>
      <w:r w:rsidR="00E0527E" w:rsidRPr="009E36E7">
        <w:rPr>
          <w:rFonts w:cs="Arial"/>
        </w:rPr>
        <w:t>COP1</w:t>
      </w:r>
      <w:r w:rsidRPr="009E36E7">
        <w:rPr>
          <w:rFonts w:cs="Arial"/>
        </w:rPr>
        <w:t>1</w:t>
      </w:r>
      <w:r w:rsidR="00E0527E" w:rsidRPr="009E36E7">
        <w:rPr>
          <w:rFonts w:cs="Arial"/>
        </w:rPr>
        <w:t xml:space="preserve"> to </w:t>
      </w:r>
      <w:r w:rsidR="00824401" w:rsidRPr="009E36E7">
        <w:rPr>
          <w:rFonts w:cs="Arial"/>
        </w:rPr>
        <w:t>89</w:t>
      </w:r>
      <w:r w:rsidRPr="009E36E7">
        <w:rPr>
          <w:rFonts w:cs="Arial"/>
        </w:rPr>
        <w:t xml:space="preserve"> </w:t>
      </w:r>
      <w:r w:rsidR="00E0527E" w:rsidRPr="009E36E7">
        <w:rPr>
          <w:rFonts w:cs="Arial"/>
        </w:rPr>
        <w:t>% at the global level for COP1</w:t>
      </w:r>
      <w:r w:rsidRPr="009E36E7">
        <w:rPr>
          <w:rFonts w:cs="Arial"/>
        </w:rPr>
        <w:t>2</w:t>
      </w:r>
      <w:r w:rsidR="00E0527E" w:rsidRPr="009E36E7">
        <w:rPr>
          <w:rFonts w:cs="Arial"/>
        </w:rPr>
        <w:t xml:space="preserve">, </w:t>
      </w:r>
      <w:r w:rsidR="00C70FEB" w:rsidRPr="009E36E7">
        <w:rPr>
          <w:rFonts w:cs="Arial"/>
        </w:rPr>
        <w:t xml:space="preserve">with responses </w:t>
      </w:r>
      <w:r w:rsidRPr="009E36E7">
        <w:rPr>
          <w:rFonts w:cs="Arial"/>
        </w:rPr>
        <w:t>evenly distributed by region.</w:t>
      </w:r>
      <w:r w:rsidR="00067A6C">
        <w:rPr>
          <w:rFonts w:cs="Arial"/>
        </w:rPr>
        <w:t xml:space="preserve"> </w:t>
      </w:r>
      <w:r w:rsidRPr="009E36E7">
        <w:rPr>
          <w:rFonts w:cs="Arial"/>
        </w:rPr>
        <w:t>T</w:t>
      </w:r>
      <w:r w:rsidR="00E0527E" w:rsidRPr="009E36E7">
        <w:rPr>
          <w:rFonts w:cs="Arial"/>
        </w:rPr>
        <w:t>he percentage of negative responses has remained stable at 13</w:t>
      </w:r>
      <w:r w:rsidR="001C544D" w:rsidRPr="009E36E7">
        <w:rPr>
          <w:rFonts w:cs="Arial"/>
        </w:rPr>
        <w:t>%</w:t>
      </w:r>
      <w:r w:rsidR="00924E37" w:rsidRPr="009E36E7">
        <w:rPr>
          <w:rFonts w:cs="Arial"/>
        </w:rPr>
        <w:t>.</w:t>
      </w:r>
      <w:r w:rsidR="001C544D" w:rsidRPr="009E36E7">
        <w:rPr>
          <w:rFonts w:cs="Arial"/>
        </w:rPr>
        <w:t xml:space="preserve"> In</w:t>
      </w:r>
      <w:r w:rsidR="00E0527E" w:rsidRPr="009E36E7">
        <w:rPr>
          <w:rFonts w:cs="Arial"/>
        </w:rPr>
        <w:t xml:space="preserve"> the text fields for this indicator, countries noted making </w:t>
      </w:r>
      <w:r w:rsidR="00CD120D" w:rsidRPr="009E36E7">
        <w:rPr>
          <w:rFonts w:cs="Arial"/>
        </w:rPr>
        <w:t xml:space="preserve">use of other international days </w:t>
      </w:r>
      <w:r w:rsidR="00E0527E" w:rsidRPr="009E36E7">
        <w:rPr>
          <w:rFonts w:cs="Arial"/>
        </w:rPr>
        <w:t xml:space="preserve">to raise awareness </w:t>
      </w:r>
      <w:r w:rsidR="00CD120D" w:rsidRPr="009E36E7">
        <w:rPr>
          <w:rFonts w:cs="Arial"/>
        </w:rPr>
        <w:t xml:space="preserve">of </w:t>
      </w:r>
      <w:r w:rsidR="00E0527E" w:rsidRPr="009E36E7">
        <w:rPr>
          <w:rFonts w:cs="Arial"/>
        </w:rPr>
        <w:t>wetland</w:t>
      </w:r>
      <w:r w:rsidR="00CD120D" w:rsidRPr="009E36E7">
        <w:rPr>
          <w:rFonts w:cs="Arial"/>
        </w:rPr>
        <w:t xml:space="preserve"> issue</w:t>
      </w:r>
      <w:r w:rsidR="00E0527E" w:rsidRPr="009E36E7">
        <w:rPr>
          <w:rFonts w:cs="Arial"/>
        </w:rPr>
        <w:t>s</w:t>
      </w:r>
      <w:r w:rsidR="00CD120D" w:rsidRPr="009E36E7">
        <w:rPr>
          <w:rFonts w:cs="Arial"/>
        </w:rPr>
        <w:t xml:space="preserve">. </w:t>
      </w:r>
    </w:p>
    <w:p w:rsidR="000A0707" w:rsidRPr="009E36E7" w:rsidRDefault="000A0707" w:rsidP="00A31D43">
      <w:pPr>
        <w:pStyle w:val="ListParagraph"/>
        <w:spacing w:after="0" w:line="240" w:lineRule="auto"/>
        <w:ind w:left="426"/>
        <w:rPr>
          <w:rFonts w:cs="Arial"/>
        </w:rPr>
      </w:pPr>
    </w:p>
    <w:p w:rsidR="005E1547" w:rsidRPr="009E36E7" w:rsidRDefault="0094098D" w:rsidP="00A31D43">
      <w:pPr>
        <w:pStyle w:val="ListParagraph"/>
        <w:numPr>
          <w:ilvl w:val="0"/>
          <w:numId w:val="25"/>
        </w:numPr>
        <w:spacing w:after="0" w:line="240" w:lineRule="auto"/>
        <w:ind w:left="426" w:hanging="426"/>
        <w:rPr>
          <w:rFonts w:cs="Arial"/>
        </w:rPr>
      </w:pPr>
      <w:r w:rsidRPr="009E36E7">
        <w:rPr>
          <w:rFonts w:cs="Arial"/>
        </w:rPr>
        <w:t>Recognizing the critical lack of public awareness about the ecosystem services and benefits that wetlands offer, t</w:t>
      </w:r>
      <w:r w:rsidR="005E1547" w:rsidRPr="009E36E7">
        <w:rPr>
          <w:rFonts w:cs="Arial"/>
        </w:rPr>
        <w:t xml:space="preserve">he Secretariat has made major strides during the triennium in its role as </w:t>
      </w:r>
      <w:r w:rsidRPr="009E36E7">
        <w:rPr>
          <w:rFonts w:cs="Arial"/>
        </w:rPr>
        <w:t xml:space="preserve">a </w:t>
      </w:r>
      <w:r w:rsidR="005E1547" w:rsidRPr="009E36E7">
        <w:rPr>
          <w:rFonts w:cs="Arial"/>
        </w:rPr>
        <w:t>central exchange for Ramsar Convention communications</w:t>
      </w:r>
      <w:r w:rsidRPr="009E36E7">
        <w:rPr>
          <w:rFonts w:cs="Arial"/>
        </w:rPr>
        <w:t>,</w:t>
      </w:r>
      <w:r w:rsidR="005E1547" w:rsidRPr="009E36E7">
        <w:rPr>
          <w:rFonts w:cs="Arial"/>
        </w:rPr>
        <w:t xml:space="preserve"> with a range of </w:t>
      </w:r>
      <w:r w:rsidRPr="009E36E7">
        <w:rPr>
          <w:rFonts w:cs="Arial"/>
        </w:rPr>
        <w:t xml:space="preserve">recent </w:t>
      </w:r>
      <w:r w:rsidR="00F97039" w:rsidRPr="009E36E7">
        <w:rPr>
          <w:rFonts w:cs="Arial"/>
        </w:rPr>
        <w:t>enhancements</w:t>
      </w:r>
      <w:r w:rsidR="005E1547" w:rsidRPr="009E36E7">
        <w:rPr>
          <w:rFonts w:cs="Arial"/>
        </w:rPr>
        <w:t>:</w:t>
      </w:r>
    </w:p>
    <w:p w:rsidR="005E1547" w:rsidRPr="009E36E7" w:rsidRDefault="005E1547" w:rsidP="00A31D43">
      <w:pPr>
        <w:pStyle w:val="ListParagraph"/>
        <w:numPr>
          <w:ilvl w:val="0"/>
          <w:numId w:val="27"/>
        </w:numPr>
        <w:spacing w:after="0" w:line="240" w:lineRule="auto"/>
        <w:ind w:left="851" w:hanging="425"/>
        <w:rPr>
          <w:rFonts w:cs="Arial"/>
        </w:rPr>
      </w:pPr>
      <w:r w:rsidRPr="009E36E7">
        <w:rPr>
          <w:rFonts w:cs="Arial"/>
        </w:rPr>
        <w:t xml:space="preserve">A completely redesigned website </w:t>
      </w:r>
      <w:r w:rsidR="0007435C" w:rsidRPr="009E36E7">
        <w:rPr>
          <w:rFonts w:cs="Arial"/>
        </w:rPr>
        <w:t xml:space="preserve">( </w:t>
      </w:r>
      <w:hyperlink r:id="rId17" w:history="1">
        <w:r w:rsidR="0007435C" w:rsidRPr="00A31D43">
          <w:t>www.ramsar.org</w:t>
        </w:r>
      </w:hyperlink>
      <w:r w:rsidR="0007435C" w:rsidRPr="009E36E7">
        <w:rPr>
          <w:rFonts w:cs="Arial"/>
        </w:rPr>
        <w:t xml:space="preserve"> ) </w:t>
      </w:r>
      <w:r w:rsidRPr="009E36E7">
        <w:rPr>
          <w:rFonts w:cs="Arial"/>
        </w:rPr>
        <w:t>came online in late 2014; this site will be enhanced with improved search and document archiving capabilities</w:t>
      </w:r>
    </w:p>
    <w:p w:rsidR="005E1547" w:rsidRPr="009E36E7" w:rsidRDefault="005E1547" w:rsidP="00A31D43">
      <w:pPr>
        <w:pStyle w:val="ListParagraph"/>
        <w:numPr>
          <w:ilvl w:val="0"/>
          <w:numId w:val="27"/>
        </w:numPr>
        <w:spacing w:after="0" w:line="240" w:lineRule="auto"/>
        <w:ind w:left="851" w:hanging="425"/>
        <w:rPr>
          <w:rFonts w:cs="Arial"/>
        </w:rPr>
      </w:pPr>
      <w:r w:rsidRPr="009E36E7">
        <w:rPr>
          <w:rFonts w:cs="Arial"/>
        </w:rPr>
        <w:t xml:space="preserve">An overhauled and more user-friendly version of the Ramsar Sites Information </w:t>
      </w:r>
      <w:r w:rsidR="0007435C" w:rsidRPr="009E36E7">
        <w:rPr>
          <w:rFonts w:cs="Arial"/>
        </w:rPr>
        <w:t>Service</w:t>
      </w:r>
      <w:r w:rsidR="0094098D" w:rsidRPr="009E36E7">
        <w:rPr>
          <w:rFonts w:cs="Arial"/>
        </w:rPr>
        <w:t xml:space="preserve"> (</w:t>
      </w:r>
      <w:hyperlink r:id="rId18" w:history="1">
        <w:r w:rsidR="0094098D" w:rsidRPr="00A31D43">
          <w:t>https://rsis.ramsar.org</w:t>
        </w:r>
      </w:hyperlink>
      <w:r w:rsidR="00336C0E" w:rsidRPr="009E36E7">
        <w:rPr>
          <w:rFonts w:cs="Arial"/>
        </w:rPr>
        <w:t>) launched in mid-2014.</w:t>
      </w:r>
      <w:r w:rsidR="0094098D" w:rsidRPr="009E36E7">
        <w:rPr>
          <w:rFonts w:cs="Arial"/>
        </w:rPr>
        <w:t xml:space="preserve"> This </w:t>
      </w:r>
      <w:r w:rsidRPr="009E36E7">
        <w:rPr>
          <w:rFonts w:cs="Arial"/>
        </w:rPr>
        <w:t>enables Parties to update Site information more easily, and for the public to view detailed information for each Ramsar Site</w:t>
      </w:r>
      <w:r w:rsidR="0094098D" w:rsidRPr="009E36E7">
        <w:rPr>
          <w:rFonts w:cs="Arial"/>
        </w:rPr>
        <w:t>.</w:t>
      </w:r>
    </w:p>
    <w:p w:rsidR="005E1547" w:rsidRDefault="005E1547" w:rsidP="00A31D43">
      <w:pPr>
        <w:pStyle w:val="ListParagraph"/>
        <w:numPr>
          <w:ilvl w:val="0"/>
          <w:numId w:val="27"/>
        </w:numPr>
        <w:spacing w:after="0" w:line="240" w:lineRule="auto"/>
        <w:ind w:left="851" w:hanging="425"/>
        <w:rPr>
          <w:rFonts w:cs="Arial"/>
        </w:rPr>
      </w:pPr>
      <w:r w:rsidRPr="009E36E7">
        <w:rPr>
          <w:rFonts w:cs="Arial"/>
        </w:rPr>
        <w:t xml:space="preserve">A widely expanded use of social media, particularly on the back of World Wetlands Day 2015, as shown in </w:t>
      </w:r>
      <w:r w:rsidR="00DB48D2">
        <w:rPr>
          <w:rFonts w:cs="Arial"/>
        </w:rPr>
        <w:t>Table 3.</w:t>
      </w:r>
    </w:p>
    <w:p w:rsidR="001E1AFB" w:rsidRDefault="001E1AFB" w:rsidP="009E36E7">
      <w:pPr>
        <w:spacing w:after="0" w:line="240" w:lineRule="auto"/>
        <w:rPr>
          <w:rFonts w:cs="Arial"/>
        </w:rPr>
      </w:pPr>
    </w:p>
    <w:p w:rsidR="00DB48D2" w:rsidRPr="00A27F71" w:rsidRDefault="00DB48D2" w:rsidP="00DB48D2">
      <w:pPr>
        <w:spacing w:after="0" w:line="240" w:lineRule="auto"/>
        <w:rPr>
          <w:rFonts w:cs="Arial"/>
          <w:b/>
        </w:rPr>
      </w:pPr>
      <w:r w:rsidRPr="00A27F71">
        <w:rPr>
          <w:rFonts w:cs="Arial"/>
          <w:b/>
        </w:rPr>
        <w:t>Table 3: Social media reach, 2013-2015</w:t>
      </w:r>
    </w:p>
    <w:tbl>
      <w:tblPr>
        <w:tblStyle w:val="TableGrid"/>
        <w:tblW w:w="0" w:type="auto"/>
        <w:tblInd w:w="108" w:type="dxa"/>
        <w:tblLook w:val="04A0"/>
      </w:tblPr>
      <w:tblGrid>
        <w:gridCol w:w="2585"/>
        <w:gridCol w:w="1973"/>
        <w:gridCol w:w="1973"/>
        <w:gridCol w:w="1974"/>
      </w:tblGrid>
      <w:tr w:rsidR="001E1AFB" w:rsidRPr="009E36E7" w:rsidTr="00A27F71">
        <w:tc>
          <w:tcPr>
            <w:tcW w:w="2585" w:type="dxa"/>
          </w:tcPr>
          <w:p w:rsidR="001E1AFB" w:rsidRPr="009E36E7" w:rsidRDefault="001E1AFB" w:rsidP="009E36E7">
            <w:pPr>
              <w:pStyle w:val="ListParagraph"/>
              <w:ind w:left="0"/>
              <w:rPr>
                <w:rFonts w:cs="Arial"/>
              </w:rPr>
            </w:pPr>
          </w:p>
        </w:tc>
        <w:tc>
          <w:tcPr>
            <w:tcW w:w="1973" w:type="dxa"/>
          </w:tcPr>
          <w:p w:rsidR="001E1AFB" w:rsidRPr="009E36E7" w:rsidRDefault="001E1AFB" w:rsidP="009E36E7">
            <w:pPr>
              <w:pStyle w:val="ListParagraph"/>
              <w:ind w:left="0"/>
              <w:rPr>
                <w:rFonts w:cs="Arial"/>
                <w:b/>
              </w:rPr>
            </w:pPr>
            <w:r w:rsidRPr="009E36E7">
              <w:rPr>
                <w:rFonts w:cs="Arial"/>
                <w:b/>
              </w:rPr>
              <w:t>2013</w:t>
            </w:r>
          </w:p>
        </w:tc>
        <w:tc>
          <w:tcPr>
            <w:tcW w:w="1973" w:type="dxa"/>
          </w:tcPr>
          <w:p w:rsidR="001E1AFB" w:rsidRPr="009E36E7" w:rsidRDefault="001E1AFB" w:rsidP="009E36E7">
            <w:pPr>
              <w:pStyle w:val="ListParagraph"/>
              <w:ind w:left="0"/>
              <w:rPr>
                <w:rFonts w:cs="Arial"/>
                <w:b/>
              </w:rPr>
            </w:pPr>
            <w:r w:rsidRPr="009E36E7">
              <w:rPr>
                <w:rFonts w:cs="Arial"/>
                <w:b/>
              </w:rPr>
              <w:t>2014</w:t>
            </w:r>
          </w:p>
        </w:tc>
        <w:tc>
          <w:tcPr>
            <w:tcW w:w="1974" w:type="dxa"/>
          </w:tcPr>
          <w:p w:rsidR="001E1AFB" w:rsidRPr="009E36E7" w:rsidRDefault="001E1AFB" w:rsidP="009E36E7">
            <w:pPr>
              <w:pStyle w:val="ListParagraph"/>
              <w:ind w:left="0"/>
              <w:rPr>
                <w:rFonts w:cs="Arial"/>
                <w:b/>
              </w:rPr>
            </w:pPr>
            <w:r w:rsidRPr="009E36E7">
              <w:rPr>
                <w:rFonts w:cs="Arial"/>
                <w:b/>
              </w:rPr>
              <w:t>2015 ( to March 1)</w:t>
            </w:r>
          </w:p>
        </w:tc>
      </w:tr>
      <w:tr w:rsidR="001E1AFB" w:rsidRPr="009E36E7" w:rsidTr="00A27F71">
        <w:tc>
          <w:tcPr>
            <w:tcW w:w="2585" w:type="dxa"/>
          </w:tcPr>
          <w:p w:rsidR="001E1AFB" w:rsidRPr="009E36E7" w:rsidRDefault="001E1AFB" w:rsidP="009E36E7">
            <w:pPr>
              <w:pStyle w:val="ListParagraph"/>
              <w:ind w:left="0"/>
              <w:rPr>
                <w:rFonts w:cs="Arial"/>
              </w:rPr>
            </w:pPr>
            <w:r w:rsidRPr="009E36E7">
              <w:rPr>
                <w:rFonts w:cs="Arial"/>
              </w:rPr>
              <w:t>Facebook Likes</w:t>
            </w:r>
          </w:p>
        </w:tc>
        <w:tc>
          <w:tcPr>
            <w:tcW w:w="1973" w:type="dxa"/>
          </w:tcPr>
          <w:p w:rsidR="001E1AFB" w:rsidRPr="009E36E7" w:rsidRDefault="001E1AFB" w:rsidP="009E36E7">
            <w:pPr>
              <w:pStyle w:val="ListParagraph"/>
              <w:ind w:left="0"/>
              <w:rPr>
                <w:rFonts w:cs="Arial"/>
              </w:rPr>
            </w:pPr>
            <w:r w:rsidRPr="009E36E7">
              <w:rPr>
                <w:rFonts w:cs="Arial"/>
              </w:rPr>
              <w:t>100,711</w:t>
            </w:r>
          </w:p>
        </w:tc>
        <w:tc>
          <w:tcPr>
            <w:tcW w:w="1973" w:type="dxa"/>
          </w:tcPr>
          <w:p w:rsidR="001E1AFB" w:rsidRPr="009E36E7" w:rsidRDefault="001E1AFB" w:rsidP="009E36E7">
            <w:pPr>
              <w:pStyle w:val="ListParagraph"/>
              <w:ind w:left="0"/>
              <w:rPr>
                <w:rFonts w:cs="Arial"/>
              </w:rPr>
            </w:pPr>
            <w:r w:rsidRPr="009E36E7">
              <w:rPr>
                <w:rFonts w:cs="Arial"/>
              </w:rPr>
              <w:t>142,123</w:t>
            </w:r>
          </w:p>
        </w:tc>
        <w:tc>
          <w:tcPr>
            <w:tcW w:w="1974" w:type="dxa"/>
          </w:tcPr>
          <w:p w:rsidR="001E1AFB" w:rsidRPr="009E36E7" w:rsidRDefault="001E1AFB" w:rsidP="009E36E7">
            <w:pPr>
              <w:pStyle w:val="ListParagraph"/>
              <w:ind w:left="0"/>
              <w:rPr>
                <w:rFonts w:cs="Arial"/>
              </w:rPr>
            </w:pPr>
            <w:r w:rsidRPr="009E36E7">
              <w:rPr>
                <w:rFonts w:cs="Arial"/>
              </w:rPr>
              <w:t>143,873</w:t>
            </w:r>
          </w:p>
        </w:tc>
      </w:tr>
      <w:tr w:rsidR="001E1AFB" w:rsidRPr="009E36E7" w:rsidTr="00A27F71">
        <w:tc>
          <w:tcPr>
            <w:tcW w:w="2585" w:type="dxa"/>
          </w:tcPr>
          <w:p w:rsidR="001E1AFB" w:rsidRPr="009E36E7" w:rsidRDefault="001E1AFB" w:rsidP="009E36E7">
            <w:pPr>
              <w:pStyle w:val="ListParagraph"/>
              <w:ind w:left="0"/>
              <w:rPr>
                <w:rFonts w:cs="Arial"/>
              </w:rPr>
            </w:pPr>
            <w:r w:rsidRPr="009E36E7">
              <w:rPr>
                <w:rFonts w:cs="Arial"/>
              </w:rPr>
              <w:t>Twitter Followers</w:t>
            </w:r>
          </w:p>
        </w:tc>
        <w:tc>
          <w:tcPr>
            <w:tcW w:w="1973" w:type="dxa"/>
          </w:tcPr>
          <w:p w:rsidR="001E1AFB" w:rsidRPr="009E36E7" w:rsidRDefault="001E1AFB" w:rsidP="009E36E7">
            <w:pPr>
              <w:pStyle w:val="ListParagraph"/>
              <w:ind w:left="0"/>
              <w:rPr>
                <w:rFonts w:cs="Arial"/>
              </w:rPr>
            </w:pPr>
            <w:r w:rsidRPr="009E36E7">
              <w:rPr>
                <w:rFonts w:cs="Arial"/>
              </w:rPr>
              <w:t>823</w:t>
            </w:r>
          </w:p>
        </w:tc>
        <w:tc>
          <w:tcPr>
            <w:tcW w:w="1973" w:type="dxa"/>
          </w:tcPr>
          <w:p w:rsidR="001E1AFB" w:rsidRPr="009E36E7" w:rsidRDefault="001E1AFB" w:rsidP="009E36E7">
            <w:pPr>
              <w:pStyle w:val="ListParagraph"/>
              <w:ind w:left="0"/>
              <w:rPr>
                <w:rFonts w:cs="Arial"/>
              </w:rPr>
            </w:pPr>
            <w:r w:rsidRPr="009E36E7">
              <w:rPr>
                <w:rFonts w:cs="Arial"/>
              </w:rPr>
              <w:t>3,097</w:t>
            </w:r>
          </w:p>
        </w:tc>
        <w:tc>
          <w:tcPr>
            <w:tcW w:w="1974" w:type="dxa"/>
          </w:tcPr>
          <w:p w:rsidR="001E1AFB" w:rsidRPr="009E36E7" w:rsidRDefault="001E1AFB" w:rsidP="009E36E7">
            <w:pPr>
              <w:pStyle w:val="ListParagraph"/>
              <w:ind w:left="0"/>
              <w:rPr>
                <w:rFonts w:cs="Arial"/>
              </w:rPr>
            </w:pPr>
            <w:r w:rsidRPr="009E36E7">
              <w:rPr>
                <w:rFonts w:cs="Arial"/>
              </w:rPr>
              <w:t>3,851</w:t>
            </w:r>
          </w:p>
        </w:tc>
      </w:tr>
      <w:tr w:rsidR="001E1AFB" w:rsidRPr="009E36E7" w:rsidTr="00A27F71">
        <w:tc>
          <w:tcPr>
            <w:tcW w:w="2585" w:type="dxa"/>
          </w:tcPr>
          <w:p w:rsidR="001E1AFB" w:rsidRPr="009E36E7" w:rsidRDefault="001E1AFB" w:rsidP="009E36E7">
            <w:pPr>
              <w:pStyle w:val="ListParagraph"/>
              <w:ind w:left="0"/>
              <w:rPr>
                <w:rFonts w:cs="Arial"/>
              </w:rPr>
            </w:pPr>
            <w:r w:rsidRPr="009E36E7">
              <w:rPr>
                <w:rFonts w:cs="Arial"/>
              </w:rPr>
              <w:t>You Tube</w:t>
            </w:r>
            <w:r w:rsidR="00067A6C">
              <w:rPr>
                <w:rFonts w:cs="Arial"/>
              </w:rPr>
              <w:t xml:space="preserve"> </w:t>
            </w:r>
            <w:r w:rsidRPr="009E36E7">
              <w:rPr>
                <w:rFonts w:cs="Arial"/>
              </w:rPr>
              <w:t xml:space="preserve">views </w:t>
            </w:r>
          </w:p>
        </w:tc>
        <w:tc>
          <w:tcPr>
            <w:tcW w:w="1973" w:type="dxa"/>
          </w:tcPr>
          <w:p w:rsidR="001E1AFB" w:rsidRPr="009E36E7" w:rsidRDefault="001E1AFB" w:rsidP="009E36E7">
            <w:pPr>
              <w:pStyle w:val="ListParagraph"/>
              <w:ind w:left="0"/>
              <w:rPr>
                <w:rFonts w:cs="Arial"/>
              </w:rPr>
            </w:pPr>
            <w:r w:rsidRPr="009E36E7">
              <w:rPr>
                <w:rFonts w:cs="Arial"/>
              </w:rPr>
              <w:t>236</w:t>
            </w:r>
          </w:p>
        </w:tc>
        <w:tc>
          <w:tcPr>
            <w:tcW w:w="1973" w:type="dxa"/>
          </w:tcPr>
          <w:p w:rsidR="001E1AFB" w:rsidRPr="009E36E7" w:rsidRDefault="005E46A9" w:rsidP="009E36E7">
            <w:pPr>
              <w:pStyle w:val="ListParagraph"/>
              <w:ind w:left="0"/>
              <w:rPr>
                <w:rFonts w:cs="Arial"/>
              </w:rPr>
            </w:pPr>
            <w:r w:rsidRPr="009E36E7">
              <w:rPr>
                <w:rFonts w:cs="Arial"/>
              </w:rPr>
              <w:t>390</w:t>
            </w:r>
          </w:p>
        </w:tc>
        <w:tc>
          <w:tcPr>
            <w:tcW w:w="1974" w:type="dxa"/>
          </w:tcPr>
          <w:p w:rsidR="001E1AFB" w:rsidRPr="009E36E7" w:rsidRDefault="001E1AFB" w:rsidP="009E36E7">
            <w:pPr>
              <w:pStyle w:val="ListParagraph"/>
              <w:ind w:left="0"/>
              <w:rPr>
                <w:rFonts w:cs="Arial"/>
              </w:rPr>
            </w:pPr>
            <w:r w:rsidRPr="009E36E7">
              <w:rPr>
                <w:rFonts w:cs="Arial"/>
              </w:rPr>
              <w:t>453</w:t>
            </w:r>
          </w:p>
        </w:tc>
      </w:tr>
      <w:tr w:rsidR="001E1AFB" w:rsidRPr="009E36E7" w:rsidTr="00A27F71">
        <w:tc>
          <w:tcPr>
            <w:tcW w:w="2585" w:type="dxa"/>
          </w:tcPr>
          <w:p w:rsidR="001E1AFB" w:rsidRPr="009E36E7" w:rsidRDefault="001E1AFB" w:rsidP="009E36E7">
            <w:pPr>
              <w:pStyle w:val="ListParagraph"/>
              <w:ind w:left="0"/>
              <w:rPr>
                <w:rFonts w:cs="Arial"/>
              </w:rPr>
            </w:pPr>
            <w:r w:rsidRPr="009E36E7">
              <w:rPr>
                <w:rFonts w:cs="Arial"/>
              </w:rPr>
              <w:t xml:space="preserve">Instagram </w:t>
            </w:r>
          </w:p>
        </w:tc>
        <w:tc>
          <w:tcPr>
            <w:tcW w:w="1973" w:type="dxa"/>
          </w:tcPr>
          <w:p w:rsidR="001E1AFB" w:rsidRPr="009E36E7" w:rsidRDefault="00C57BC8" w:rsidP="009E36E7">
            <w:pPr>
              <w:pStyle w:val="ListParagraph"/>
              <w:ind w:left="0"/>
              <w:rPr>
                <w:rFonts w:cs="Arial"/>
              </w:rPr>
            </w:pPr>
            <w:r w:rsidRPr="009E36E7">
              <w:rPr>
                <w:rFonts w:cs="Arial"/>
              </w:rPr>
              <w:t>N/A</w:t>
            </w:r>
          </w:p>
        </w:tc>
        <w:tc>
          <w:tcPr>
            <w:tcW w:w="1973" w:type="dxa"/>
          </w:tcPr>
          <w:p w:rsidR="001E1AFB" w:rsidRPr="009E36E7" w:rsidRDefault="00C57BC8" w:rsidP="009E36E7">
            <w:pPr>
              <w:pStyle w:val="ListParagraph"/>
              <w:ind w:left="0"/>
              <w:rPr>
                <w:rFonts w:cs="Arial"/>
              </w:rPr>
            </w:pPr>
            <w:r w:rsidRPr="009E36E7">
              <w:rPr>
                <w:rFonts w:cs="Arial"/>
              </w:rPr>
              <w:t>N/A</w:t>
            </w:r>
          </w:p>
        </w:tc>
        <w:tc>
          <w:tcPr>
            <w:tcW w:w="1974" w:type="dxa"/>
          </w:tcPr>
          <w:p w:rsidR="001E1AFB" w:rsidRPr="009E36E7" w:rsidRDefault="001E1AFB" w:rsidP="009E36E7">
            <w:pPr>
              <w:pStyle w:val="ListParagraph"/>
              <w:ind w:left="0"/>
              <w:rPr>
                <w:rFonts w:cs="Arial"/>
              </w:rPr>
            </w:pPr>
            <w:r w:rsidRPr="009E36E7">
              <w:rPr>
                <w:rFonts w:cs="Arial"/>
              </w:rPr>
              <w:t>84</w:t>
            </w:r>
          </w:p>
        </w:tc>
      </w:tr>
    </w:tbl>
    <w:p w:rsidR="005E1547" w:rsidRDefault="005E1547" w:rsidP="009E36E7">
      <w:pPr>
        <w:spacing w:after="0" w:line="240" w:lineRule="auto"/>
        <w:rPr>
          <w:rFonts w:cs="Arial"/>
        </w:rPr>
      </w:pPr>
    </w:p>
    <w:p w:rsidR="00DB48D2" w:rsidRPr="009E36E7" w:rsidRDefault="00DB48D2" w:rsidP="009E36E7">
      <w:pPr>
        <w:spacing w:after="0" w:line="240" w:lineRule="auto"/>
        <w:rPr>
          <w:rFonts w:cs="Arial"/>
        </w:rPr>
      </w:pPr>
    </w:p>
    <w:p w:rsidR="001E1AFB" w:rsidRPr="009E36E7" w:rsidRDefault="001E1AFB" w:rsidP="00A31D43">
      <w:pPr>
        <w:pStyle w:val="ListParagraph"/>
        <w:numPr>
          <w:ilvl w:val="0"/>
          <w:numId w:val="25"/>
        </w:numPr>
        <w:spacing w:after="0" w:line="240" w:lineRule="auto"/>
        <w:ind w:left="426" w:hanging="426"/>
        <w:rPr>
          <w:rFonts w:cs="Arial"/>
        </w:rPr>
      </w:pPr>
      <w:r w:rsidRPr="009E36E7">
        <w:rPr>
          <w:rFonts w:cs="Arial"/>
        </w:rPr>
        <w:lastRenderedPageBreak/>
        <w:t>The social media platforms as the figures</w:t>
      </w:r>
      <w:r w:rsidR="005E46A9" w:rsidRPr="009E36E7">
        <w:rPr>
          <w:rFonts w:cs="Arial"/>
        </w:rPr>
        <w:t xml:space="preserve"> above</w:t>
      </w:r>
      <w:r w:rsidRPr="009E36E7">
        <w:rPr>
          <w:rFonts w:cs="Arial"/>
        </w:rPr>
        <w:t xml:space="preserve"> </w:t>
      </w:r>
      <w:r w:rsidR="005E46A9" w:rsidRPr="009E36E7">
        <w:rPr>
          <w:rFonts w:cs="Arial"/>
        </w:rPr>
        <w:t>indicate</w:t>
      </w:r>
      <w:r w:rsidRPr="009E36E7">
        <w:rPr>
          <w:rFonts w:cs="Arial"/>
        </w:rPr>
        <w:t xml:space="preserve"> continue to grow each year. These platforms as has previously been reported are a</w:t>
      </w:r>
      <w:r w:rsidR="00E53D1B" w:rsidRPr="009E36E7">
        <w:rPr>
          <w:rFonts w:cs="Arial"/>
        </w:rPr>
        <w:t>n ideal</w:t>
      </w:r>
      <w:r w:rsidRPr="009E36E7">
        <w:rPr>
          <w:rFonts w:cs="Arial"/>
        </w:rPr>
        <w:t xml:space="preserve"> channel to </w:t>
      </w:r>
      <w:r w:rsidR="00336C0E" w:rsidRPr="009E36E7">
        <w:rPr>
          <w:rFonts w:cs="Arial"/>
        </w:rPr>
        <w:t>engage directly</w:t>
      </w:r>
      <w:r w:rsidR="00E53D1B" w:rsidRPr="009E36E7">
        <w:rPr>
          <w:rFonts w:cs="Arial"/>
        </w:rPr>
        <w:t xml:space="preserve"> with</w:t>
      </w:r>
      <w:r w:rsidR="00336C0E" w:rsidRPr="009E36E7">
        <w:rPr>
          <w:rFonts w:cs="Arial"/>
        </w:rPr>
        <w:t xml:space="preserve"> a </w:t>
      </w:r>
      <w:r w:rsidRPr="009E36E7">
        <w:rPr>
          <w:rFonts w:cs="Arial"/>
        </w:rPr>
        <w:t>more youthful</w:t>
      </w:r>
      <w:r w:rsidR="00E53D1B" w:rsidRPr="009E36E7">
        <w:rPr>
          <w:rFonts w:cs="Arial"/>
        </w:rPr>
        <w:t xml:space="preserve"> and increasingly digitally connected audience. The growing power and utility of social media is evident from the over 2,200 entries from 80 countries into the</w:t>
      </w:r>
      <w:r w:rsidR="00D36F32" w:rsidRPr="009E36E7">
        <w:rPr>
          <w:rFonts w:cs="Arial"/>
        </w:rPr>
        <w:t xml:space="preserve"> WWD 2015</w:t>
      </w:r>
      <w:r w:rsidR="00E53D1B" w:rsidRPr="009E36E7">
        <w:rPr>
          <w:rFonts w:cs="Arial"/>
        </w:rPr>
        <w:t xml:space="preserve"> Youth </w:t>
      </w:r>
      <w:r w:rsidR="00D36F32" w:rsidRPr="009E36E7">
        <w:rPr>
          <w:rFonts w:cs="Arial"/>
        </w:rPr>
        <w:t xml:space="preserve">Photo contest which </w:t>
      </w:r>
      <w:r w:rsidR="00E53D1B" w:rsidRPr="009E36E7">
        <w:rPr>
          <w:rFonts w:cs="Arial"/>
        </w:rPr>
        <w:t xml:space="preserve">was primarily promoted on social media. These channels offer an opportunity to inform, educate and </w:t>
      </w:r>
      <w:r w:rsidR="00D36F32" w:rsidRPr="009E36E7">
        <w:rPr>
          <w:rFonts w:cs="Arial"/>
        </w:rPr>
        <w:t>engage with a larger</w:t>
      </w:r>
      <w:r w:rsidR="005E46A9" w:rsidRPr="009E36E7">
        <w:rPr>
          <w:rFonts w:cs="Arial"/>
        </w:rPr>
        <w:t xml:space="preserve"> audience and they highly comple</w:t>
      </w:r>
      <w:r w:rsidR="00D36F32" w:rsidRPr="009E36E7">
        <w:rPr>
          <w:rFonts w:cs="Arial"/>
        </w:rPr>
        <w:t xml:space="preserve">ment already established </w:t>
      </w:r>
      <w:r w:rsidR="004068AF" w:rsidRPr="009E36E7">
        <w:rPr>
          <w:rFonts w:cs="Arial"/>
        </w:rPr>
        <w:t xml:space="preserve">traditional </w:t>
      </w:r>
      <w:r w:rsidR="00D36F32" w:rsidRPr="009E36E7">
        <w:rPr>
          <w:rFonts w:cs="Arial"/>
        </w:rPr>
        <w:t>channels.</w:t>
      </w:r>
      <w:r w:rsidRPr="009E36E7">
        <w:rPr>
          <w:rFonts w:cs="Arial"/>
        </w:rPr>
        <w:tab/>
      </w:r>
      <w:r w:rsidRPr="009E36E7">
        <w:rPr>
          <w:rFonts w:cs="Arial"/>
        </w:rPr>
        <w:tab/>
      </w:r>
      <w:r w:rsidRPr="009E36E7">
        <w:rPr>
          <w:rFonts w:cs="Arial"/>
        </w:rPr>
        <w:tab/>
      </w:r>
    </w:p>
    <w:p w:rsidR="0007435C" w:rsidRPr="009E36E7" w:rsidRDefault="0007435C" w:rsidP="00A31D43">
      <w:pPr>
        <w:pStyle w:val="ListParagraph"/>
        <w:spacing w:after="0" w:line="240" w:lineRule="auto"/>
        <w:ind w:left="426"/>
        <w:rPr>
          <w:rFonts w:cs="Arial"/>
        </w:rPr>
      </w:pPr>
    </w:p>
    <w:p w:rsidR="00E0527E" w:rsidRPr="009E36E7" w:rsidRDefault="00E0527E" w:rsidP="00A31D43">
      <w:pPr>
        <w:pStyle w:val="ListParagraph"/>
        <w:numPr>
          <w:ilvl w:val="0"/>
          <w:numId w:val="25"/>
        </w:numPr>
        <w:spacing w:after="0" w:line="240" w:lineRule="auto"/>
        <w:ind w:left="426" w:hanging="426"/>
        <w:rPr>
          <w:rFonts w:cs="Arial"/>
        </w:rPr>
      </w:pPr>
      <w:r w:rsidRPr="009E36E7">
        <w:rPr>
          <w:rFonts w:cs="Arial"/>
        </w:rPr>
        <w:t xml:space="preserve">The </w:t>
      </w:r>
      <w:r w:rsidR="0007435C" w:rsidRPr="009E36E7">
        <w:rPr>
          <w:rFonts w:cs="Arial"/>
        </w:rPr>
        <w:t xml:space="preserve">Secretariat continues to maintain a </w:t>
      </w:r>
      <w:r w:rsidRPr="009E36E7">
        <w:rPr>
          <w:rFonts w:cs="Arial"/>
        </w:rPr>
        <w:t xml:space="preserve">broad range of </w:t>
      </w:r>
      <w:r w:rsidR="0007435C" w:rsidRPr="009E36E7">
        <w:rPr>
          <w:rFonts w:cs="Arial"/>
        </w:rPr>
        <w:t>e-lists to facilitate co</w:t>
      </w:r>
      <w:r w:rsidRPr="009E36E7">
        <w:rPr>
          <w:rFonts w:cs="Arial"/>
        </w:rPr>
        <w:t>mmunication and</w:t>
      </w:r>
      <w:r w:rsidR="0007435C" w:rsidRPr="009E36E7">
        <w:rPr>
          <w:rFonts w:cs="Arial"/>
        </w:rPr>
        <w:t xml:space="preserve"> </w:t>
      </w:r>
      <w:r w:rsidRPr="009E36E7">
        <w:rPr>
          <w:rFonts w:cs="Arial"/>
        </w:rPr>
        <w:t>information sharing within the Convention and with the public:</w:t>
      </w:r>
    </w:p>
    <w:p w:rsidR="00E0527E" w:rsidRPr="009E36E7" w:rsidRDefault="00E0527E" w:rsidP="00A31D43">
      <w:pPr>
        <w:pStyle w:val="ListParagraph"/>
        <w:numPr>
          <w:ilvl w:val="0"/>
          <w:numId w:val="27"/>
        </w:numPr>
        <w:spacing w:after="0" w:line="240" w:lineRule="auto"/>
        <w:ind w:left="851" w:hanging="425"/>
        <w:rPr>
          <w:rFonts w:cs="Arial"/>
        </w:rPr>
      </w:pPr>
      <w:r w:rsidRPr="009E36E7">
        <w:rPr>
          <w:rFonts w:cs="Arial"/>
        </w:rPr>
        <w:t>Ramsar Wetlands Forum: an open, unmoderated list for news, views and queries</w:t>
      </w:r>
      <w:r w:rsidR="0007435C" w:rsidRPr="009E36E7">
        <w:rPr>
          <w:rFonts w:cs="Arial"/>
        </w:rPr>
        <w:t xml:space="preserve"> </w:t>
      </w:r>
      <w:r w:rsidRPr="009E36E7">
        <w:rPr>
          <w:rFonts w:cs="Arial"/>
        </w:rPr>
        <w:t>on any wetland issue.</w:t>
      </w:r>
    </w:p>
    <w:p w:rsidR="00924E37" w:rsidRPr="009E36E7" w:rsidRDefault="00E0527E" w:rsidP="00A31D43">
      <w:pPr>
        <w:pStyle w:val="ListParagraph"/>
        <w:numPr>
          <w:ilvl w:val="0"/>
          <w:numId w:val="27"/>
        </w:numPr>
        <w:spacing w:after="0" w:line="240" w:lineRule="auto"/>
        <w:ind w:left="851" w:hanging="425"/>
        <w:rPr>
          <w:rFonts w:cs="Arial"/>
        </w:rPr>
      </w:pPr>
      <w:r w:rsidRPr="009E36E7">
        <w:rPr>
          <w:rFonts w:cs="Arial"/>
        </w:rPr>
        <w:t>Ramsar Exchange (three separate lists in English, French and Spanish): closed lists</w:t>
      </w:r>
      <w:r w:rsidR="0007435C" w:rsidRPr="009E36E7">
        <w:rPr>
          <w:rFonts w:cs="Arial"/>
        </w:rPr>
        <w:t xml:space="preserve"> </w:t>
      </w:r>
      <w:r w:rsidRPr="009E36E7">
        <w:rPr>
          <w:rFonts w:cs="Arial"/>
        </w:rPr>
        <w:t>for Heads of the Administrative Authorities and the National Focal Point, with announcements of all new Ramsar Sites and Parties, Standing Committee reports,</w:t>
      </w:r>
      <w:r w:rsidR="0007435C" w:rsidRPr="009E36E7">
        <w:rPr>
          <w:rFonts w:cs="Arial"/>
        </w:rPr>
        <w:t xml:space="preserve"> </w:t>
      </w:r>
      <w:r w:rsidRPr="009E36E7">
        <w:rPr>
          <w:rFonts w:cs="Arial"/>
        </w:rPr>
        <w:t>etc.</w:t>
      </w:r>
    </w:p>
    <w:p w:rsidR="00E0527E" w:rsidRDefault="00E0527E" w:rsidP="00A31D43">
      <w:pPr>
        <w:pStyle w:val="ListParagraph"/>
        <w:numPr>
          <w:ilvl w:val="0"/>
          <w:numId w:val="27"/>
        </w:numPr>
        <w:spacing w:after="0" w:line="240" w:lineRule="auto"/>
        <w:ind w:left="851" w:hanging="425"/>
        <w:rPr>
          <w:rFonts w:cs="Arial"/>
        </w:rPr>
      </w:pPr>
      <w:r w:rsidRPr="009E36E7">
        <w:rPr>
          <w:rFonts w:cs="Arial"/>
        </w:rPr>
        <w:t>CEPA e-lists (in English, French and Spanish): open, unmoderated lists that include</w:t>
      </w:r>
      <w:r w:rsidR="0007435C" w:rsidRPr="009E36E7">
        <w:rPr>
          <w:rFonts w:cs="Arial"/>
        </w:rPr>
        <w:t xml:space="preserve"> </w:t>
      </w:r>
      <w:r w:rsidRPr="009E36E7">
        <w:rPr>
          <w:rFonts w:cs="Arial"/>
        </w:rPr>
        <w:t>all the designated CEPA Focal Points as well as many others interested in wetland</w:t>
      </w:r>
      <w:r w:rsidR="0007435C" w:rsidRPr="009E36E7">
        <w:rPr>
          <w:rFonts w:cs="Arial"/>
        </w:rPr>
        <w:t xml:space="preserve"> </w:t>
      </w:r>
      <w:r w:rsidRPr="009E36E7">
        <w:rPr>
          <w:rFonts w:cs="Arial"/>
        </w:rPr>
        <w:t xml:space="preserve">CEPA. </w:t>
      </w:r>
    </w:p>
    <w:p w:rsidR="00A31D43" w:rsidRPr="009E36E7" w:rsidRDefault="00A31D43" w:rsidP="00A31D43">
      <w:pPr>
        <w:pStyle w:val="ListParagraph"/>
        <w:spacing w:after="0" w:line="240" w:lineRule="auto"/>
        <w:ind w:left="851"/>
        <w:rPr>
          <w:rFonts w:cs="Arial"/>
        </w:rPr>
      </w:pPr>
    </w:p>
    <w:p w:rsidR="00876A01" w:rsidRPr="009E36E7" w:rsidRDefault="0094098D" w:rsidP="00A31D43">
      <w:pPr>
        <w:pStyle w:val="ListParagraph"/>
        <w:numPr>
          <w:ilvl w:val="0"/>
          <w:numId w:val="25"/>
        </w:numPr>
        <w:spacing w:after="0" w:line="240" w:lineRule="auto"/>
        <w:ind w:left="426" w:hanging="426"/>
        <w:rPr>
          <w:rFonts w:cs="Arial"/>
        </w:rPr>
      </w:pPr>
      <w:r w:rsidRPr="009E36E7">
        <w:rPr>
          <w:rFonts w:cs="Arial"/>
        </w:rPr>
        <w:t xml:space="preserve">The Secretariat issued a range of publications </w:t>
      </w:r>
      <w:r w:rsidR="00E0527E" w:rsidRPr="009E36E7">
        <w:rPr>
          <w:rFonts w:cs="Arial"/>
        </w:rPr>
        <w:t>during the triennium:</w:t>
      </w:r>
    </w:p>
    <w:p w:rsidR="005E46A9" w:rsidRPr="009E36E7" w:rsidRDefault="005E46A9" w:rsidP="00A31D43">
      <w:pPr>
        <w:pStyle w:val="ListParagraph"/>
        <w:numPr>
          <w:ilvl w:val="0"/>
          <w:numId w:val="27"/>
        </w:numPr>
        <w:spacing w:after="0" w:line="240" w:lineRule="auto"/>
        <w:ind w:left="851" w:hanging="425"/>
        <w:rPr>
          <w:rFonts w:cs="Arial"/>
        </w:rPr>
      </w:pPr>
      <w:r w:rsidRPr="009E36E7">
        <w:rPr>
          <w:rFonts w:cs="Arial"/>
        </w:rPr>
        <w:t>The Economics of Ecosystems and Biodiversity (TEEB)for Water and Wetlands Report (2013)</w:t>
      </w:r>
    </w:p>
    <w:p w:rsidR="00E0527E" w:rsidRPr="009E36E7" w:rsidRDefault="00E0527E" w:rsidP="00A31D43">
      <w:pPr>
        <w:pStyle w:val="ListParagraph"/>
        <w:numPr>
          <w:ilvl w:val="0"/>
          <w:numId w:val="27"/>
        </w:numPr>
        <w:spacing w:after="0" w:line="240" w:lineRule="auto"/>
        <w:ind w:left="851" w:hanging="425"/>
        <w:rPr>
          <w:rFonts w:cs="Arial"/>
        </w:rPr>
      </w:pPr>
      <w:r w:rsidRPr="009E36E7">
        <w:rPr>
          <w:rFonts w:cs="Arial"/>
        </w:rPr>
        <w:t xml:space="preserve">World Wetlands Day materials </w:t>
      </w:r>
      <w:r w:rsidR="0094098D" w:rsidRPr="009E36E7">
        <w:rPr>
          <w:rFonts w:cs="Arial"/>
        </w:rPr>
        <w:t>were</w:t>
      </w:r>
      <w:r w:rsidRPr="009E36E7">
        <w:rPr>
          <w:rFonts w:cs="Arial"/>
        </w:rPr>
        <w:t xml:space="preserve"> prepared and dispatched </w:t>
      </w:r>
      <w:r w:rsidR="0094098D" w:rsidRPr="009E36E7">
        <w:rPr>
          <w:rFonts w:cs="Arial"/>
        </w:rPr>
        <w:t>in 2013 and 2014</w:t>
      </w:r>
      <w:r w:rsidRPr="009E36E7">
        <w:rPr>
          <w:rFonts w:cs="Arial"/>
        </w:rPr>
        <w:t xml:space="preserve"> to over 4,000</w:t>
      </w:r>
      <w:r w:rsidR="0094098D" w:rsidRPr="009E36E7">
        <w:rPr>
          <w:rFonts w:cs="Arial"/>
        </w:rPr>
        <w:t xml:space="preserve"> </w:t>
      </w:r>
      <w:r w:rsidRPr="009E36E7">
        <w:rPr>
          <w:rFonts w:cs="Arial"/>
        </w:rPr>
        <w:t>contacts including Parties, NGOs, schools, site managers, and other institutions.</w:t>
      </w:r>
      <w:r w:rsidR="0094098D" w:rsidRPr="009E36E7">
        <w:rPr>
          <w:rFonts w:cs="Arial"/>
        </w:rPr>
        <w:t xml:space="preserve"> </w:t>
      </w:r>
      <w:r w:rsidR="009217F8" w:rsidRPr="009E36E7">
        <w:rPr>
          <w:rFonts w:cs="Arial"/>
        </w:rPr>
        <w:t>For 2015</w:t>
      </w:r>
      <w:r w:rsidR="0094098D" w:rsidRPr="009E36E7">
        <w:rPr>
          <w:rFonts w:cs="Arial"/>
        </w:rPr>
        <w:t>, this shifted to purely electronic distribution.</w:t>
      </w:r>
    </w:p>
    <w:p w:rsidR="0094098D" w:rsidRPr="009E36E7" w:rsidRDefault="00FB5EC1" w:rsidP="00A31D43">
      <w:pPr>
        <w:pStyle w:val="ListParagraph"/>
        <w:numPr>
          <w:ilvl w:val="0"/>
          <w:numId w:val="27"/>
        </w:numPr>
        <w:spacing w:after="0" w:line="240" w:lineRule="auto"/>
        <w:ind w:left="851" w:hanging="425"/>
        <w:rPr>
          <w:rFonts w:cs="Arial"/>
        </w:rPr>
      </w:pPr>
      <w:r w:rsidRPr="009E36E7">
        <w:rPr>
          <w:rFonts w:cs="Arial"/>
        </w:rPr>
        <w:t xml:space="preserve">Four </w:t>
      </w:r>
      <w:r w:rsidR="00E0527E" w:rsidRPr="009E36E7">
        <w:rPr>
          <w:rFonts w:cs="Arial"/>
        </w:rPr>
        <w:t>STRP newsletter</w:t>
      </w:r>
      <w:r w:rsidRPr="009E36E7">
        <w:rPr>
          <w:rFonts w:cs="Arial"/>
        </w:rPr>
        <w:t>s were issued between June 2012 and mid-2013.</w:t>
      </w:r>
      <w:r w:rsidR="00985619" w:rsidRPr="009E36E7">
        <w:rPr>
          <w:rFonts w:cs="Arial"/>
        </w:rPr>
        <w:br/>
      </w:r>
    </w:p>
    <w:p w:rsidR="005E0819" w:rsidRPr="009E36E7" w:rsidRDefault="005E0819" w:rsidP="00A31D43">
      <w:pPr>
        <w:pStyle w:val="ListParagraph"/>
        <w:numPr>
          <w:ilvl w:val="0"/>
          <w:numId w:val="25"/>
        </w:numPr>
        <w:spacing w:after="0" w:line="240" w:lineRule="auto"/>
        <w:ind w:left="426" w:hanging="426"/>
        <w:rPr>
          <w:rFonts w:cs="Arial"/>
        </w:rPr>
      </w:pPr>
      <w:r w:rsidRPr="009E36E7">
        <w:rPr>
          <w:rFonts w:cs="Arial"/>
        </w:rPr>
        <w:t xml:space="preserve">A revised Communications-CEPA plan for the Ramsar Secretariat is being provided as an information document to COP12. It lays out </w:t>
      </w:r>
      <w:r w:rsidR="00FB5EC1" w:rsidRPr="009E36E7">
        <w:rPr>
          <w:rFonts w:cs="Arial"/>
        </w:rPr>
        <w:t xml:space="preserve">a full set </w:t>
      </w:r>
      <w:r w:rsidRPr="009E36E7">
        <w:rPr>
          <w:rFonts w:cs="Arial"/>
        </w:rPr>
        <w:t xml:space="preserve">of </w:t>
      </w:r>
      <w:r w:rsidR="00FB5EC1" w:rsidRPr="009E36E7">
        <w:rPr>
          <w:rFonts w:cs="Arial"/>
        </w:rPr>
        <w:t xml:space="preserve">proposed CEPA </w:t>
      </w:r>
      <w:r w:rsidRPr="009E36E7">
        <w:rPr>
          <w:rFonts w:cs="Arial"/>
        </w:rPr>
        <w:t xml:space="preserve">measures </w:t>
      </w:r>
      <w:r w:rsidR="00FB5EC1" w:rsidRPr="009E36E7">
        <w:rPr>
          <w:rFonts w:cs="Arial"/>
        </w:rPr>
        <w:t xml:space="preserve">for the coming triennium </w:t>
      </w:r>
      <w:r w:rsidRPr="009E36E7">
        <w:rPr>
          <w:rFonts w:cs="Arial"/>
        </w:rPr>
        <w:t>which:</w:t>
      </w:r>
    </w:p>
    <w:p w:rsidR="005E0819" w:rsidRPr="009E36E7" w:rsidRDefault="00DB48D2" w:rsidP="00A31D43">
      <w:pPr>
        <w:pStyle w:val="ListParagraph"/>
        <w:numPr>
          <w:ilvl w:val="0"/>
          <w:numId w:val="27"/>
        </w:numPr>
        <w:spacing w:after="0" w:line="240" w:lineRule="auto"/>
        <w:ind w:left="851" w:hanging="425"/>
        <w:rPr>
          <w:rFonts w:cs="Arial"/>
        </w:rPr>
      </w:pPr>
      <w:r>
        <w:rPr>
          <w:rFonts w:cs="Arial"/>
        </w:rPr>
        <w:t>s</w:t>
      </w:r>
      <w:r w:rsidRPr="009E36E7">
        <w:rPr>
          <w:rFonts w:cs="Arial"/>
        </w:rPr>
        <w:t xml:space="preserve">upport </w:t>
      </w:r>
      <w:r w:rsidR="005E0819" w:rsidRPr="009E36E7">
        <w:rPr>
          <w:rFonts w:cs="Arial"/>
        </w:rPr>
        <w:t>Ramsar Strategic Plan 4 and its goals</w:t>
      </w:r>
      <w:r>
        <w:rPr>
          <w:rFonts w:cs="Arial"/>
        </w:rPr>
        <w:t>;</w:t>
      </w:r>
    </w:p>
    <w:p w:rsidR="005E0819" w:rsidRPr="009E36E7" w:rsidRDefault="00DB48D2" w:rsidP="00A31D43">
      <w:pPr>
        <w:pStyle w:val="ListParagraph"/>
        <w:numPr>
          <w:ilvl w:val="0"/>
          <w:numId w:val="27"/>
        </w:numPr>
        <w:spacing w:after="0" w:line="240" w:lineRule="auto"/>
        <w:ind w:left="851" w:hanging="425"/>
        <w:rPr>
          <w:rFonts w:cs="Arial"/>
        </w:rPr>
      </w:pPr>
      <w:r>
        <w:rPr>
          <w:rFonts w:cs="Arial"/>
        </w:rPr>
        <w:t>a</w:t>
      </w:r>
      <w:r w:rsidRPr="009E36E7">
        <w:rPr>
          <w:rFonts w:cs="Arial"/>
        </w:rPr>
        <w:t xml:space="preserve">lign </w:t>
      </w:r>
      <w:r w:rsidR="005E0819" w:rsidRPr="009E36E7">
        <w:rPr>
          <w:rFonts w:cs="Arial"/>
        </w:rPr>
        <w:t>w</w:t>
      </w:r>
      <w:r w:rsidR="004068AF" w:rsidRPr="009E36E7">
        <w:rPr>
          <w:rFonts w:cs="Arial"/>
        </w:rPr>
        <w:t>ith the 9 CEPA Strategies and 42</w:t>
      </w:r>
      <w:bookmarkStart w:id="0" w:name="_GoBack"/>
      <w:bookmarkEnd w:id="0"/>
      <w:r w:rsidR="005E0819" w:rsidRPr="009E36E7">
        <w:rPr>
          <w:rFonts w:cs="Arial"/>
        </w:rPr>
        <w:t xml:space="preserve"> strategic objectives</w:t>
      </w:r>
      <w:r>
        <w:rPr>
          <w:rFonts w:cs="Arial"/>
        </w:rPr>
        <w:t>;</w:t>
      </w:r>
    </w:p>
    <w:p w:rsidR="00985619" w:rsidRPr="009E36E7" w:rsidRDefault="00DB48D2" w:rsidP="00A31D43">
      <w:pPr>
        <w:pStyle w:val="ListParagraph"/>
        <w:numPr>
          <w:ilvl w:val="0"/>
          <w:numId w:val="27"/>
        </w:numPr>
        <w:spacing w:after="0" w:line="240" w:lineRule="auto"/>
        <w:ind w:left="851" w:hanging="425"/>
        <w:rPr>
          <w:rFonts w:cs="Arial"/>
        </w:rPr>
      </w:pPr>
      <w:r>
        <w:rPr>
          <w:rFonts w:cs="Arial"/>
        </w:rPr>
        <w:t>f</w:t>
      </w:r>
      <w:r w:rsidRPr="009E36E7">
        <w:rPr>
          <w:rFonts w:cs="Arial"/>
        </w:rPr>
        <w:t xml:space="preserve">ollow </w:t>
      </w:r>
      <w:r w:rsidR="005E0819" w:rsidRPr="009E36E7">
        <w:rPr>
          <w:rFonts w:cs="Arial"/>
        </w:rPr>
        <w:t>clearly-defined messaging based on the above</w:t>
      </w:r>
      <w:r>
        <w:rPr>
          <w:rFonts w:cs="Arial"/>
        </w:rPr>
        <w:t>; and</w:t>
      </w:r>
    </w:p>
    <w:p w:rsidR="000A0707" w:rsidRPr="009E36E7" w:rsidRDefault="00DB48D2" w:rsidP="00A31D43">
      <w:pPr>
        <w:pStyle w:val="ListParagraph"/>
        <w:numPr>
          <w:ilvl w:val="0"/>
          <w:numId w:val="27"/>
        </w:numPr>
        <w:spacing w:after="0" w:line="240" w:lineRule="auto"/>
        <w:ind w:left="851" w:hanging="425"/>
        <w:rPr>
          <w:rFonts w:cs="Arial"/>
        </w:rPr>
      </w:pPr>
      <w:r>
        <w:rPr>
          <w:rFonts w:cs="Arial"/>
        </w:rPr>
        <w:t>s</w:t>
      </w:r>
      <w:r w:rsidRPr="009E36E7">
        <w:rPr>
          <w:rFonts w:cs="Arial"/>
        </w:rPr>
        <w:t xml:space="preserve">pecify </w:t>
      </w:r>
      <w:r w:rsidR="005E0819" w:rsidRPr="009E36E7">
        <w:rPr>
          <w:rFonts w:cs="Arial"/>
        </w:rPr>
        <w:t>wetl</w:t>
      </w:r>
      <w:r w:rsidR="00FB5EC1" w:rsidRPr="009E36E7">
        <w:rPr>
          <w:rFonts w:cs="Arial"/>
        </w:rPr>
        <w:t>and prac</w:t>
      </w:r>
      <w:r w:rsidR="005E0819" w:rsidRPr="009E36E7">
        <w:rPr>
          <w:rFonts w:cs="Arial"/>
        </w:rPr>
        <w:t xml:space="preserve">titioners and policy-makers as the </w:t>
      </w:r>
      <w:r w:rsidR="00FB5EC1" w:rsidRPr="009E36E7">
        <w:rPr>
          <w:rFonts w:cs="Arial"/>
        </w:rPr>
        <w:t>primary</w:t>
      </w:r>
      <w:r w:rsidR="005E0819" w:rsidRPr="009E36E7">
        <w:rPr>
          <w:rFonts w:cs="Arial"/>
        </w:rPr>
        <w:t xml:space="preserve"> target audiences</w:t>
      </w:r>
    </w:p>
    <w:sectPr w:rsidR="000A0707" w:rsidRPr="009E36E7" w:rsidSect="009E36E7">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6C" w:rsidRDefault="005B286C" w:rsidP="009E36E7">
      <w:pPr>
        <w:spacing w:after="0" w:line="240" w:lineRule="auto"/>
      </w:pPr>
      <w:r>
        <w:separator/>
      </w:r>
    </w:p>
  </w:endnote>
  <w:endnote w:type="continuationSeparator" w:id="0">
    <w:p w:rsidR="005B286C" w:rsidRDefault="005B286C" w:rsidP="009E3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6C" w:rsidRPr="009E36E7" w:rsidRDefault="005B286C" w:rsidP="009E36E7">
    <w:pPr>
      <w:pStyle w:val="Footer"/>
      <w:tabs>
        <w:tab w:val="clear" w:pos="9360"/>
        <w:tab w:val="right" w:pos="9072"/>
      </w:tabs>
      <w:rPr>
        <w:sz w:val="20"/>
        <w:szCs w:val="20"/>
      </w:rPr>
    </w:pPr>
    <w:r w:rsidRPr="009D62A2">
      <w:rPr>
        <w:sz w:val="20"/>
        <w:szCs w:val="20"/>
      </w:rPr>
      <w:t>Ramsar COP12 D</w:t>
    </w:r>
    <w:r>
      <w:rPr>
        <w:sz w:val="20"/>
        <w:szCs w:val="20"/>
      </w:rPr>
      <w:t>OC.18</w:t>
    </w:r>
    <w:r w:rsidRPr="009D62A2">
      <w:rPr>
        <w:sz w:val="20"/>
        <w:szCs w:val="20"/>
      </w:rPr>
      <w:tab/>
    </w:r>
    <w:r w:rsidRPr="009D62A2">
      <w:rPr>
        <w:sz w:val="20"/>
        <w:szCs w:val="20"/>
      </w:rPr>
      <w:tab/>
    </w:r>
    <w:r w:rsidR="00A64CE6" w:rsidRPr="009D62A2">
      <w:rPr>
        <w:sz w:val="20"/>
        <w:szCs w:val="20"/>
      </w:rPr>
      <w:fldChar w:fldCharType="begin"/>
    </w:r>
    <w:r w:rsidRPr="009D62A2">
      <w:rPr>
        <w:sz w:val="20"/>
        <w:szCs w:val="20"/>
      </w:rPr>
      <w:instrText xml:space="preserve"> PAGE   \* MERGEFORMAT </w:instrText>
    </w:r>
    <w:r w:rsidR="00A64CE6" w:rsidRPr="009D62A2">
      <w:rPr>
        <w:sz w:val="20"/>
        <w:szCs w:val="20"/>
      </w:rPr>
      <w:fldChar w:fldCharType="separate"/>
    </w:r>
    <w:r w:rsidR="00016289">
      <w:rPr>
        <w:noProof/>
        <w:sz w:val="20"/>
        <w:szCs w:val="20"/>
      </w:rPr>
      <w:t>11</w:t>
    </w:r>
    <w:r w:rsidR="00A64CE6" w:rsidRPr="009D62A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6C" w:rsidRDefault="005B286C" w:rsidP="009E36E7">
      <w:pPr>
        <w:spacing w:after="0" w:line="240" w:lineRule="auto"/>
      </w:pPr>
      <w:r>
        <w:separator/>
      </w:r>
    </w:p>
  </w:footnote>
  <w:footnote w:type="continuationSeparator" w:id="0">
    <w:p w:rsidR="005B286C" w:rsidRDefault="005B286C" w:rsidP="009E3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AF83E0"/>
    <w:multiLevelType w:val="hybridMultilevel"/>
    <w:tmpl w:val="97C67AE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116F46"/>
    <w:multiLevelType w:val="hybridMultilevel"/>
    <w:tmpl w:val="53649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595132"/>
    <w:multiLevelType w:val="hybridMultilevel"/>
    <w:tmpl w:val="40F6AEE2"/>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A40E6"/>
    <w:multiLevelType w:val="hybridMultilevel"/>
    <w:tmpl w:val="E1B6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E36B7"/>
    <w:multiLevelType w:val="hybridMultilevel"/>
    <w:tmpl w:val="96304BA4"/>
    <w:lvl w:ilvl="0" w:tplc="EAD23906">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10652B4A"/>
    <w:multiLevelType w:val="hybridMultilevel"/>
    <w:tmpl w:val="F1E2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A4E28"/>
    <w:multiLevelType w:val="hybridMultilevel"/>
    <w:tmpl w:val="200A6B62"/>
    <w:lvl w:ilvl="0" w:tplc="488C90E0">
      <w:start w:val="1"/>
      <w:numFmt w:val="bullet"/>
      <w:lvlText w:val="•"/>
      <w:lvlJc w:val="left"/>
      <w:pPr>
        <w:ind w:left="1440" w:hanging="360"/>
      </w:pPr>
      <w:rPr>
        <w:rFonts w:ascii="Garamond" w:hAnsi="Garamond"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CA2D1A"/>
    <w:multiLevelType w:val="hybridMultilevel"/>
    <w:tmpl w:val="FD14A89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37EBF"/>
    <w:multiLevelType w:val="hybridMultilevel"/>
    <w:tmpl w:val="4D1CB39A"/>
    <w:lvl w:ilvl="0" w:tplc="EAD239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3A4376"/>
    <w:multiLevelType w:val="hybridMultilevel"/>
    <w:tmpl w:val="76CCFAD6"/>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600A5"/>
    <w:multiLevelType w:val="hybridMultilevel"/>
    <w:tmpl w:val="F212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6645B0"/>
    <w:multiLevelType w:val="hybridMultilevel"/>
    <w:tmpl w:val="59BC0932"/>
    <w:lvl w:ilvl="0" w:tplc="488C90E0">
      <w:start w:val="1"/>
      <w:numFmt w:val="bullet"/>
      <w:lvlText w:val="•"/>
      <w:lvlJc w:val="left"/>
      <w:pPr>
        <w:ind w:left="1440" w:hanging="360"/>
      </w:pPr>
      <w:rPr>
        <w:rFonts w:ascii="Garamond" w:hAnsi="Garamond"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0B2D41"/>
    <w:multiLevelType w:val="hybridMultilevel"/>
    <w:tmpl w:val="83220E5C"/>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14555E"/>
    <w:multiLevelType w:val="hybridMultilevel"/>
    <w:tmpl w:val="7E10C1E6"/>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97977"/>
    <w:multiLevelType w:val="hybridMultilevel"/>
    <w:tmpl w:val="48E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06F45"/>
    <w:multiLevelType w:val="hybridMultilevel"/>
    <w:tmpl w:val="E5F8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534CE"/>
    <w:multiLevelType w:val="hybridMultilevel"/>
    <w:tmpl w:val="8A48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03BCB"/>
    <w:multiLevelType w:val="hybridMultilevel"/>
    <w:tmpl w:val="4E20A236"/>
    <w:lvl w:ilvl="0" w:tplc="488C90E0">
      <w:start w:val="1"/>
      <w:numFmt w:val="bullet"/>
      <w:lvlText w:val="•"/>
      <w:lvlJc w:val="left"/>
      <w:pPr>
        <w:ind w:left="720" w:hanging="360"/>
      </w:pPr>
      <w:rPr>
        <w:rFonts w:ascii="Garamond" w:hAnsi="Garamond"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57D21"/>
    <w:multiLevelType w:val="hybridMultilevel"/>
    <w:tmpl w:val="6346E80E"/>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347A39"/>
    <w:multiLevelType w:val="hybridMultilevel"/>
    <w:tmpl w:val="679E6F32"/>
    <w:lvl w:ilvl="0" w:tplc="488C90E0">
      <w:start w:val="1"/>
      <w:numFmt w:val="bullet"/>
      <w:lvlText w:val="•"/>
      <w:lvlJc w:val="left"/>
      <w:pPr>
        <w:ind w:left="786" w:hanging="360"/>
      </w:pPr>
      <w:rPr>
        <w:rFonts w:ascii="Garamond" w:hAnsi="Garamond" w:hint="default"/>
        <w:lang w:val="en-US"/>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4E8634FB"/>
    <w:multiLevelType w:val="hybridMultilevel"/>
    <w:tmpl w:val="6760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5032BD"/>
    <w:multiLevelType w:val="hybridMultilevel"/>
    <w:tmpl w:val="0AA0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92B6C"/>
    <w:multiLevelType w:val="hybridMultilevel"/>
    <w:tmpl w:val="00F8858A"/>
    <w:lvl w:ilvl="0" w:tplc="EAD239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6EF2C27"/>
    <w:multiLevelType w:val="hybridMultilevel"/>
    <w:tmpl w:val="1CDA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D7026A"/>
    <w:multiLevelType w:val="hybridMultilevel"/>
    <w:tmpl w:val="95102D76"/>
    <w:lvl w:ilvl="0" w:tplc="EAD239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053C10"/>
    <w:multiLevelType w:val="hybridMultilevel"/>
    <w:tmpl w:val="D9D2FE62"/>
    <w:lvl w:ilvl="0" w:tplc="08090001">
      <w:start w:val="1"/>
      <w:numFmt w:val="bullet"/>
      <w:lvlText w:val=""/>
      <w:lvlJc w:val="left"/>
      <w:pPr>
        <w:ind w:left="1440" w:hanging="360"/>
      </w:pPr>
      <w:rPr>
        <w:rFonts w:ascii="Symbol" w:hAnsi="Symbol" w:hint="default"/>
        <w:lang w:val="en-U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E1B1FC3"/>
    <w:multiLevelType w:val="hybridMultilevel"/>
    <w:tmpl w:val="68B0C510"/>
    <w:lvl w:ilvl="0" w:tplc="EAD23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5"/>
  </w:num>
  <w:num w:numId="5">
    <w:abstractNumId w:val="2"/>
  </w:num>
  <w:num w:numId="6">
    <w:abstractNumId w:val="8"/>
  </w:num>
  <w:num w:numId="7">
    <w:abstractNumId w:val="26"/>
  </w:num>
  <w:num w:numId="8">
    <w:abstractNumId w:val="24"/>
  </w:num>
  <w:num w:numId="9">
    <w:abstractNumId w:val="9"/>
  </w:num>
  <w:num w:numId="10">
    <w:abstractNumId w:val="13"/>
  </w:num>
  <w:num w:numId="11">
    <w:abstractNumId w:val="22"/>
  </w:num>
  <w:num w:numId="12">
    <w:abstractNumId w:val="6"/>
  </w:num>
  <w:num w:numId="13">
    <w:abstractNumId w:val="4"/>
  </w:num>
  <w:num w:numId="14">
    <w:abstractNumId w:val="12"/>
  </w:num>
  <w:num w:numId="15">
    <w:abstractNumId w:val="17"/>
  </w:num>
  <w:num w:numId="16">
    <w:abstractNumId w:val="23"/>
  </w:num>
  <w:num w:numId="17">
    <w:abstractNumId w:val="10"/>
  </w:num>
  <w:num w:numId="18">
    <w:abstractNumId w:val="20"/>
  </w:num>
  <w:num w:numId="19">
    <w:abstractNumId w:val="19"/>
  </w:num>
  <w:num w:numId="20">
    <w:abstractNumId w:val="16"/>
  </w:num>
  <w:num w:numId="21">
    <w:abstractNumId w:val="0"/>
  </w:num>
  <w:num w:numId="22">
    <w:abstractNumId w:val="1"/>
  </w:num>
  <w:num w:numId="23">
    <w:abstractNumId w:val="14"/>
  </w:num>
  <w:num w:numId="24">
    <w:abstractNumId w:val="3"/>
  </w:num>
  <w:num w:numId="25">
    <w:abstractNumId w:val="21"/>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0835"/>
    <w:rsid w:val="00015268"/>
    <w:rsid w:val="00016289"/>
    <w:rsid w:val="0002010E"/>
    <w:rsid w:val="0004480D"/>
    <w:rsid w:val="00050829"/>
    <w:rsid w:val="0005403B"/>
    <w:rsid w:val="00054BA9"/>
    <w:rsid w:val="000575E8"/>
    <w:rsid w:val="00067A6C"/>
    <w:rsid w:val="0007435C"/>
    <w:rsid w:val="000A059B"/>
    <w:rsid w:val="000A0707"/>
    <w:rsid w:val="000C4FA5"/>
    <w:rsid w:val="000D03D4"/>
    <w:rsid w:val="000D1AB7"/>
    <w:rsid w:val="000E4B32"/>
    <w:rsid w:val="00101D74"/>
    <w:rsid w:val="00107468"/>
    <w:rsid w:val="00116967"/>
    <w:rsid w:val="0012096C"/>
    <w:rsid w:val="00155F35"/>
    <w:rsid w:val="00175216"/>
    <w:rsid w:val="001941A6"/>
    <w:rsid w:val="001A5C17"/>
    <w:rsid w:val="001B33B2"/>
    <w:rsid w:val="001C0B72"/>
    <w:rsid w:val="001C544D"/>
    <w:rsid w:val="001D62F0"/>
    <w:rsid w:val="001E02EA"/>
    <w:rsid w:val="001E1AFB"/>
    <w:rsid w:val="001E51D9"/>
    <w:rsid w:val="00206A6D"/>
    <w:rsid w:val="0023064E"/>
    <w:rsid w:val="00232F50"/>
    <w:rsid w:val="00271B0A"/>
    <w:rsid w:val="0028788C"/>
    <w:rsid w:val="00295556"/>
    <w:rsid w:val="002C585C"/>
    <w:rsid w:val="002F33CE"/>
    <w:rsid w:val="002F736E"/>
    <w:rsid w:val="00327987"/>
    <w:rsid w:val="00336C0E"/>
    <w:rsid w:val="00344875"/>
    <w:rsid w:val="0034786E"/>
    <w:rsid w:val="0035043C"/>
    <w:rsid w:val="00363D21"/>
    <w:rsid w:val="00374A8A"/>
    <w:rsid w:val="003A0DBF"/>
    <w:rsid w:val="003C7232"/>
    <w:rsid w:val="00402DB9"/>
    <w:rsid w:val="004068AF"/>
    <w:rsid w:val="00424AA7"/>
    <w:rsid w:val="00435CAC"/>
    <w:rsid w:val="00447223"/>
    <w:rsid w:val="004652FB"/>
    <w:rsid w:val="004779B1"/>
    <w:rsid w:val="00481680"/>
    <w:rsid w:val="00483AC4"/>
    <w:rsid w:val="00492997"/>
    <w:rsid w:val="004B6E23"/>
    <w:rsid w:val="004C69D0"/>
    <w:rsid w:val="00535EAB"/>
    <w:rsid w:val="0055754F"/>
    <w:rsid w:val="005806D8"/>
    <w:rsid w:val="005A3210"/>
    <w:rsid w:val="005B286C"/>
    <w:rsid w:val="005B6710"/>
    <w:rsid w:val="005E0819"/>
    <w:rsid w:val="005E1547"/>
    <w:rsid w:val="005E46A9"/>
    <w:rsid w:val="006427B4"/>
    <w:rsid w:val="00644B14"/>
    <w:rsid w:val="0065278B"/>
    <w:rsid w:val="00663A7A"/>
    <w:rsid w:val="006660C0"/>
    <w:rsid w:val="006779CF"/>
    <w:rsid w:val="00677E5F"/>
    <w:rsid w:val="0068464E"/>
    <w:rsid w:val="006B6436"/>
    <w:rsid w:val="006C0835"/>
    <w:rsid w:val="006F0EDD"/>
    <w:rsid w:val="006F5B79"/>
    <w:rsid w:val="00706CAD"/>
    <w:rsid w:val="00714AF4"/>
    <w:rsid w:val="00721C0F"/>
    <w:rsid w:val="007335B8"/>
    <w:rsid w:val="00746D8F"/>
    <w:rsid w:val="0075678D"/>
    <w:rsid w:val="007742AD"/>
    <w:rsid w:val="00774984"/>
    <w:rsid w:val="0078176D"/>
    <w:rsid w:val="00785BAD"/>
    <w:rsid w:val="0079477D"/>
    <w:rsid w:val="00794B62"/>
    <w:rsid w:val="007B47B6"/>
    <w:rsid w:val="007D0943"/>
    <w:rsid w:val="007F2299"/>
    <w:rsid w:val="007F366F"/>
    <w:rsid w:val="00806D50"/>
    <w:rsid w:val="00824244"/>
    <w:rsid w:val="00824401"/>
    <w:rsid w:val="00836FF4"/>
    <w:rsid w:val="00876A01"/>
    <w:rsid w:val="00890B73"/>
    <w:rsid w:val="00891249"/>
    <w:rsid w:val="008923AC"/>
    <w:rsid w:val="00896015"/>
    <w:rsid w:val="00906F5A"/>
    <w:rsid w:val="009126DD"/>
    <w:rsid w:val="009217F8"/>
    <w:rsid w:val="00924E37"/>
    <w:rsid w:val="0094098D"/>
    <w:rsid w:val="00946669"/>
    <w:rsid w:val="00952D7C"/>
    <w:rsid w:val="00956A2A"/>
    <w:rsid w:val="0097210F"/>
    <w:rsid w:val="00985619"/>
    <w:rsid w:val="009910BB"/>
    <w:rsid w:val="00993508"/>
    <w:rsid w:val="00997ED8"/>
    <w:rsid w:val="009A013C"/>
    <w:rsid w:val="009A76F7"/>
    <w:rsid w:val="009B6313"/>
    <w:rsid w:val="009C6BA9"/>
    <w:rsid w:val="009E36E7"/>
    <w:rsid w:val="009F5E11"/>
    <w:rsid w:val="00A02076"/>
    <w:rsid w:val="00A27F71"/>
    <w:rsid w:val="00A30406"/>
    <w:rsid w:val="00A308D2"/>
    <w:rsid w:val="00A31D43"/>
    <w:rsid w:val="00A33DB3"/>
    <w:rsid w:val="00A56FF7"/>
    <w:rsid w:val="00A64CE6"/>
    <w:rsid w:val="00A66585"/>
    <w:rsid w:val="00A75DCB"/>
    <w:rsid w:val="00A76467"/>
    <w:rsid w:val="00A86F70"/>
    <w:rsid w:val="00A870A8"/>
    <w:rsid w:val="00AC488F"/>
    <w:rsid w:val="00AD0306"/>
    <w:rsid w:val="00AD32D3"/>
    <w:rsid w:val="00B14DA4"/>
    <w:rsid w:val="00B20979"/>
    <w:rsid w:val="00B305B2"/>
    <w:rsid w:val="00B56DC5"/>
    <w:rsid w:val="00B608D5"/>
    <w:rsid w:val="00B9335A"/>
    <w:rsid w:val="00BA5B37"/>
    <w:rsid w:val="00BB53B4"/>
    <w:rsid w:val="00BC0246"/>
    <w:rsid w:val="00BD7298"/>
    <w:rsid w:val="00BF5B81"/>
    <w:rsid w:val="00C15C30"/>
    <w:rsid w:val="00C2428B"/>
    <w:rsid w:val="00C26DF8"/>
    <w:rsid w:val="00C276C0"/>
    <w:rsid w:val="00C357EF"/>
    <w:rsid w:val="00C413A1"/>
    <w:rsid w:val="00C46C37"/>
    <w:rsid w:val="00C565F2"/>
    <w:rsid w:val="00C57BC8"/>
    <w:rsid w:val="00C70FEB"/>
    <w:rsid w:val="00CB4BE0"/>
    <w:rsid w:val="00CC2C8A"/>
    <w:rsid w:val="00CC39B7"/>
    <w:rsid w:val="00CD120D"/>
    <w:rsid w:val="00CE3EC1"/>
    <w:rsid w:val="00D13BEF"/>
    <w:rsid w:val="00D36F32"/>
    <w:rsid w:val="00D432B3"/>
    <w:rsid w:val="00D729BB"/>
    <w:rsid w:val="00D92F12"/>
    <w:rsid w:val="00DB1B63"/>
    <w:rsid w:val="00DB48D2"/>
    <w:rsid w:val="00DB5C30"/>
    <w:rsid w:val="00DC0CCF"/>
    <w:rsid w:val="00DE5315"/>
    <w:rsid w:val="00DF2C21"/>
    <w:rsid w:val="00DF5D60"/>
    <w:rsid w:val="00DF7299"/>
    <w:rsid w:val="00E00C40"/>
    <w:rsid w:val="00E0527E"/>
    <w:rsid w:val="00E358C6"/>
    <w:rsid w:val="00E5312D"/>
    <w:rsid w:val="00E532B3"/>
    <w:rsid w:val="00E53D1B"/>
    <w:rsid w:val="00E74A7B"/>
    <w:rsid w:val="00E86D11"/>
    <w:rsid w:val="00EA1F51"/>
    <w:rsid w:val="00EF5078"/>
    <w:rsid w:val="00F40697"/>
    <w:rsid w:val="00F40C79"/>
    <w:rsid w:val="00F61528"/>
    <w:rsid w:val="00F64F36"/>
    <w:rsid w:val="00F766A3"/>
    <w:rsid w:val="00F77792"/>
    <w:rsid w:val="00F9593E"/>
    <w:rsid w:val="00F97039"/>
    <w:rsid w:val="00FA2C42"/>
    <w:rsid w:val="00FA7699"/>
    <w:rsid w:val="00FB5EC1"/>
    <w:rsid w:val="00FB6D8B"/>
    <w:rsid w:val="00FC4A38"/>
    <w:rsid w:val="00FD6E5D"/>
    <w:rsid w:val="00FF68A6"/>
    <w:rsid w:val="00FF7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8"/>
  </w:style>
  <w:style w:type="paragraph" w:styleId="Heading3">
    <w:name w:val="heading 3"/>
    <w:basedOn w:val="Normal"/>
    <w:link w:val="Heading3Char"/>
    <w:uiPriority w:val="9"/>
    <w:qFormat/>
    <w:rsid w:val="00876A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B1"/>
    <w:pPr>
      <w:ind w:left="720"/>
      <w:contextualSpacing/>
    </w:pPr>
  </w:style>
  <w:style w:type="character" w:styleId="Hyperlink">
    <w:name w:val="Hyperlink"/>
    <w:basedOn w:val="DefaultParagraphFont"/>
    <w:uiPriority w:val="99"/>
    <w:unhideWhenUsed/>
    <w:rsid w:val="004779B1"/>
    <w:rPr>
      <w:color w:val="0000FF" w:themeColor="hyperlink"/>
      <w:u w:val="single"/>
    </w:rPr>
  </w:style>
  <w:style w:type="paragraph" w:styleId="BalloonText">
    <w:name w:val="Balloon Text"/>
    <w:basedOn w:val="Normal"/>
    <w:link w:val="BalloonTextChar"/>
    <w:uiPriority w:val="99"/>
    <w:semiHidden/>
    <w:unhideWhenUsed/>
    <w:rsid w:val="0099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D8"/>
    <w:rPr>
      <w:rFonts w:ascii="Tahoma" w:hAnsi="Tahoma" w:cs="Tahoma"/>
      <w:sz w:val="16"/>
      <w:szCs w:val="16"/>
    </w:rPr>
  </w:style>
  <w:style w:type="paragraph" w:customStyle="1" w:styleId="Default">
    <w:name w:val="Default"/>
    <w:rsid w:val="00F40C79"/>
    <w:pPr>
      <w:widowControl w:val="0"/>
      <w:autoSpaceDE w:val="0"/>
      <w:autoSpaceDN w:val="0"/>
      <w:adjustRightInd w:val="0"/>
      <w:spacing w:after="0" w:line="240" w:lineRule="auto"/>
    </w:pPr>
    <w:rPr>
      <w:rFonts w:ascii="Garamond" w:eastAsia="Times New Roman" w:hAnsi="Garamond" w:cs="Garamond"/>
      <w:color w:val="000000"/>
      <w:sz w:val="24"/>
      <w:szCs w:val="24"/>
      <w:lang w:val="en-US"/>
    </w:rPr>
  </w:style>
  <w:style w:type="table" w:styleId="TableGrid">
    <w:name w:val="Table Grid"/>
    <w:basedOn w:val="TableNormal"/>
    <w:uiPriority w:val="59"/>
    <w:rsid w:val="001E1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7987"/>
    <w:rPr>
      <w:sz w:val="16"/>
      <w:szCs w:val="16"/>
    </w:rPr>
  </w:style>
  <w:style w:type="paragraph" w:styleId="CommentText">
    <w:name w:val="annotation text"/>
    <w:basedOn w:val="Normal"/>
    <w:link w:val="CommentTextChar"/>
    <w:uiPriority w:val="99"/>
    <w:semiHidden/>
    <w:unhideWhenUsed/>
    <w:rsid w:val="00327987"/>
    <w:pPr>
      <w:spacing w:line="240" w:lineRule="auto"/>
    </w:pPr>
    <w:rPr>
      <w:sz w:val="20"/>
      <w:szCs w:val="20"/>
    </w:rPr>
  </w:style>
  <w:style w:type="character" w:customStyle="1" w:styleId="CommentTextChar">
    <w:name w:val="Comment Text Char"/>
    <w:basedOn w:val="DefaultParagraphFont"/>
    <w:link w:val="CommentText"/>
    <w:uiPriority w:val="99"/>
    <w:semiHidden/>
    <w:rsid w:val="00327987"/>
    <w:rPr>
      <w:sz w:val="20"/>
      <w:szCs w:val="20"/>
    </w:rPr>
  </w:style>
  <w:style w:type="paragraph" w:styleId="CommentSubject">
    <w:name w:val="annotation subject"/>
    <w:basedOn w:val="CommentText"/>
    <w:next w:val="CommentText"/>
    <w:link w:val="CommentSubjectChar"/>
    <w:uiPriority w:val="99"/>
    <w:semiHidden/>
    <w:unhideWhenUsed/>
    <w:rsid w:val="00327987"/>
    <w:rPr>
      <w:b/>
      <w:bCs/>
    </w:rPr>
  </w:style>
  <w:style w:type="character" w:customStyle="1" w:styleId="CommentSubjectChar">
    <w:name w:val="Comment Subject Char"/>
    <w:basedOn w:val="CommentTextChar"/>
    <w:link w:val="CommentSubject"/>
    <w:uiPriority w:val="99"/>
    <w:semiHidden/>
    <w:rsid w:val="00327987"/>
    <w:rPr>
      <w:b/>
      <w:bCs/>
      <w:sz w:val="20"/>
      <w:szCs w:val="20"/>
    </w:rPr>
  </w:style>
  <w:style w:type="paragraph" w:styleId="Revision">
    <w:name w:val="Revision"/>
    <w:hidden/>
    <w:uiPriority w:val="99"/>
    <w:semiHidden/>
    <w:rsid w:val="00402DB9"/>
    <w:pPr>
      <w:spacing w:after="0" w:line="240" w:lineRule="auto"/>
    </w:pPr>
  </w:style>
  <w:style w:type="character" w:customStyle="1" w:styleId="Heading3Char">
    <w:name w:val="Heading 3 Char"/>
    <w:basedOn w:val="DefaultParagraphFont"/>
    <w:link w:val="Heading3"/>
    <w:uiPriority w:val="9"/>
    <w:rsid w:val="00876A01"/>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semiHidden/>
    <w:unhideWhenUsed/>
    <w:rsid w:val="009E3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6E7"/>
  </w:style>
  <w:style w:type="paragraph" w:styleId="Footer">
    <w:name w:val="footer"/>
    <w:basedOn w:val="Normal"/>
    <w:link w:val="FooterChar"/>
    <w:uiPriority w:val="99"/>
    <w:unhideWhenUsed/>
    <w:rsid w:val="009E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6A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B1"/>
    <w:pPr>
      <w:ind w:left="720"/>
      <w:contextualSpacing/>
    </w:pPr>
  </w:style>
  <w:style w:type="character" w:styleId="Hyperlink">
    <w:name w:val="Hyperlink"/>
    <w:basedOn w:val="DefaultParagraphFont"/>
    <w:uiPriority w:val="99"/>
    <w:unhideWhenUsed/>
    <w:rsid w:val="004779B1"/>
    <w:rPr>
      <w:color w:val="0000FF" w:themeColor="hyperlink"/>
      <w:u w:val="single"/>
    </w:rPr>
  </w:style>
  <w:style w:type="paragraph" w:styleId="BalloonText">
    <w:name w:val="Balloon Text"/>
    <w:basedOn w:val="Normal"/>
    <w:link w:val="BalloonTextChar"/>
    <w:uiPriority w:val="99"/>
    <w:semiHidden/>
    <w:unhideWhenUsed/>
    <w:rsid w:val="0099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D8"/>
    <w:rPr>
      <w:rFonts w:ascii="Tahoma" w:hAnsi="Tahoma" w:cs="Tahoma"/>
      <w:sz w:val="16"/>
      <w:szCs w:val="16"/>
    </w:rPr>
  </w:style>
  <w:style w:type="paragraph" w:customStyle="1" w:styleId="Default">
    <w:name w:val="Default"/>
    <w:rsid w:val="00F40C79"/>
    <w:pPr>
      <w:widowControl w:val="0"/>
      <w:autoSpaceDE w:val="0"/>
      <w:autoSpaceDN w:val="0"/>
      <w:adjustRightInd w:val="0"/>
      <w:spacing w:after="0" w:line="240" w:lineRule="auto"/>
    </w:pPr>
    <w:rPr>
      <w:rFonts w:ascii="Garamond" w:eastAsia="Times New Roman" w:hAnsi="Garamond" w:cs="Garamond"/>
      <w:color w:val="000000"/>
      <w:sz w:val="24"/>
      <w:szCs w:val="24"/>
      <w:lang w:val="en-US"/>
    </w:rPr>
  </w:style>
  <w:style w:type="table" w:styleId="TableGrid">
    <w:name w:val="Table Grid"/>
    <w:basedOn w:val="TableNormal"/>
    <w:uiPriority w:val="59"/>
    <w:rsid w:val="001E1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7987"/>
    <w:rPr>
      <w:sz w:val="16"/>
      <w:szCs w:val="16"/>
    </w:rPr>
  </w:style>
  <w:style w:type="paragraph" w:styleId="CommentText">
    <w:name w:val="annotation text"/>
    <w:basedOn w:val="Normal"/>
    <w:link w:val="CommentTextChar"/>
    <w:uiPriority w:val="99"/>
    <w:semiHidden/>
    <w:unhideWhenUsed/>
    <w:rsid w:val="00327987"/>
    <w:pPr>
      <w:spacing w:line="240" w:lineRule="auto"/>
    </w:pPr>
    <w:rPr>
      <w:sz w:val="20"/>
      <w:szCs w:val="20"/>
    </w:rPr>
  </w:style>
  <w:style w:type="character" w:customStyle="1" w:styleId="CommentTextChar">
    <w:name w:val="Comment Text Char"/>
    <w:basedOn w:val="DefaultParagraphFont"/>
    <w:link w:val="CommentText"/>
    <w:uiPriority w:val="99"/>
    <w:semiHidden/>
    <w:rsid w:val="00327987"/>
    <w:rPr>
      <w:sz w:val="20"/>
      <w:szCs w:val="20"/>
    </w:rPr>
  </w:style>
  <w:style w:type="paragraph" w:styleId="CommentSubject">
    <w:name w:val="annotation subject"/>
    <w:basedOn w:val="CommentText"/>
    <w:next w:val="CommentText"/>
    <w:link w:val="CommentSubjectChar"/>
    <w:uiPriority w:val="99"/>
    <w:semiHidden/>
    <w:unhideWhenUsed/>
    <w:rsid w:val="00327987"/>
    <w:rPr>
      <w:b/>
      <w:bCs/>
    </w:rPr>
  </w:style>
  <w:style w:type="character" w:customStyle="1" w:styleId="CommentSubjectChar">
    <w:name w:val="Comment Subject Char"/>
    <w:basedOn w:val="CommentTextChar"/>
    <w:link w:val="CommentSubject"/>
    <w:uiPriority w:val="99"/>
    <w:semiHidden/>
    <w:rsid w:val="00327987"/>
    <w:rPr>
      <w:b/>
      <w:bCs/>
      <w:sz w:val="20"/>
      <w:szCs w:val="20"/>
    </w:rPr>
  </w:style>
  <w:style w:type="paragraph" w:styleId="Revision">
    <w:name w:val="Revision"/>
    <w:hidden/>
    <w:uiPriority w:val="99"/>
    <w:semiHidden/>
    <w:rsid w:val="00402DB9"/>
    <w:pPr>
      <w:spacing w:after="0" w:line="240" w:lineRule="auto"/>
    </w:pPr>
  </w:style>
  <w:style w:type="character" w:customStyle="1" w:styleId="Heading3Char">
    <w:name w:val="Heading 3 Char"/>
    <w:basedOn w:val="DefaultParagraphFont"/>
    <w:link w:val="Heading3"/>
    <w:uiPriority w:val="9"/>
    <w:rsid w:val="00876A01"/>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459542358">
      <w:bodyDiv w:val="1"/>
      <w:marLeft w:val="0"/>
      <w:marRight w:val="0"/>
      <w:marTop w:val="0"/>
      <w:marBottom w:val="0"/>
      <w:divBdr>
        <w:top w:val="none" w:sz="0" w:space="0" w:color="auto"/>
        <w:left w:val="none" w:sz="0" w:space="0" w:color="auto"/>
        <w:bottom w:val="none" w:sz="0" w:space="0" w:color="auto"/>
        <w:right w:val="none" w:sz="0" w:space="0" w:color="auto"/>
      </w:divBdr>
      <w:divsChild>
        <w:div w:id="1201435797">
          <w:marLeft w:val="0"/>
          <w:marRight w:val="0"/>
          <w:marTop w:val="0"/>
          <w:marBottom w:val="0"/>
          <w:divBdr>
            <w:top w:val="none" w:sz="0" w:space="0" w:color="auto"/>
            <w:left w:val="none" w:sz="0" w:space="0" w:color="auto"/>
            <w:bottom w:val="none" w:sz="0" w:space="0" w:color="auto"/>
            <w:right w:val="none" w:sz="0" w:space="0" w:color="auto"/>
          </w:divBdr>
        </w:div>
        <w:div w:id="530191188">
          <w:marLeft w:val="0"/>
          <w:marRight w:val="0"/>
          <w:marTop w:val="0"/>
          <w:marBottom w:val="0"/>
          <w:divBdr>
            <w:top w:val="none" w:sz="0" w:space="0" w:color="auto"/>
            <w:left w:val="none" w:sz="0" w:space="0" w:color="auto"/>
            <w:bottom w:val="none" w:sz="0" w:space="0" w:color="auto"/>
            <w:right w:val="none" w:sz="0" w:space="0" w:color="auto"/>
          </w:divBdr>
        </w:div>
      </w:divsChild>
    </w:div>
    <w:div w:id="618993716">
      <w:bodyDiv w:val="1"/>
      <w:marLeft w:val="0"/>
      <w:marRight w:val="0"/>
      <w:marTop w:val="0"/>
      <w:marBottom w:val="0"/>
      <w:divBdr>
        <w:top w:val="none" w:sz="0" w:space="0" w:color="auto"/>
        <w:left w:val="none" w:sz="0" w:space="0" w:color="auto"/>
        <w:bottom w:val="none" w:sz="0" w:space="0" w:color="auto"/>
        <w:right w:val="none" w:sz="0" w:space="0" w:color="auto"/>
      </w:divBdr>
    </w:div>
    <w:div w:id="2000814335">
      <w:bodyDiv w:val="1"/>
      <w:marLeft w:val="0"/>
      <w:marRight w:val="0"/>
      <w:marTop w:val="0"/>
      <w:marBottom w:val="0"/>
      <w:divBdr>
        <w:top w:val="none" w:sz="0" w:space="0" w:color="auto"/>
        <w:left w:val="none" w:sz="0" w:space="0" w:color="auto"/>
        <w:bottom w:val="none" w:sz="0" w:space="0" w:color="auto"/>
        <w:right w:val="none" w:sz="0" w:space="0" w:color="auto"/>
      </w:divBdr>
      <w:divsChild>
        <w:div w:id="1013190169">
          <w:marLeft w:val="0"/>
          <w:marRight w:val="0"/>
          <w:marTop w:val="0"/>
          <w:marBottom w:val="0"/>
          <w:divBdr>
            <w:top w:val="none" w:sz="0" w:space="0" w:color="auto"/>
            <w:left w:val="none" w:sz="0" w:space="0" w:color="auto"/>
            <w:bottom w:val="none" w:sz="0" w:space="0" w:color="auto"/>
            <w:right w:val="none" w:sz="0" w:space="0" w:color="auto"/>
          </w:divBdr>
        </w:div>
        <w:div w:id="139520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ebweb.org/mainstreaming-the-values-of-water-and-wetlands-into-decision-making/" TargetMode="External"/><Relationship Id="rId18" Type="http://schemas.openxmlformats.org/officeDocument/2006/relationships/hyperlink" Target="https://rsis.ramsa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msar.org/sites/default/files/ramcea_en.pdf" TargetMode="External"/><Relationship Id="rId17" Type="http://schemas.openxmlformats.org/officeDocument/2006/relationships/hyperlink" Target="http://www.ramsar.org" TargetMode="External"/><Relationship Id="rId2" Type="http://schemas.openxmlformats.org/officeDocument/2006/relationships/numbering" Target="numbering.xml"/><Relationship Id="rId16" Type="http://schemas.openxmlformats.org/officeDocument/2006/relationships/hyperlink" Target="http://www.worldwetlandsda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ihe.org/" TargetMode="External"/><Relationship Id="rId5" Type="http://schemas.openxmlformats.org/officeDocument/2006/relationships/webSettings" Target="webSettings.xml"/><Relationship Id="rId15" Type="http://schemas.openxmlformats.org/officeDocument/2006/relationships/hyperlink" Target="file:///\\CHGLNA01.IUCN.SYS\DATA\CC98\COMMON\COPs\COP12\COP12%20documents\Info%20Docs\COP12%20DOC18%20CEPA%20review\wli.wwt.org.uk" TargetMode="External"/><Relationship Id="rId10" Type="http://schemas.openxmlformats.org/officeDocument/2006/relationships/hyperlink" Target="http://www.teebweb.org/water-and-wetlands-training-demonstrates-vital-role-of-valuation-in-policy-and-decision-making-for-the-wise-use-of-wetlan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wetlandsday.org" TargetMode="External"/><Relationship Id="rId14" Type="http://schemas.openxmlformats.org/officeDocument/2006/relationships/chart" Target="charts/chart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COP11</c:v>
                </c:pt>
              </c:strCache>
            </c:strRef>
          </c:tx>
          <c:cat>
            <c:strRef>
              <c:f>Sheet1!$B$1:$E$1</c:f>
              <c:strCache>
                <c:ptCount val="4"/>
                <c:pt idx="0">
                  <c:v>AANFP</c:v>
                </c:pt>
                <c:pt idx="1">
                  <c:v>CEPA-GOV</c:v>
                </c:pt>
                <c:pt idx="2">
                  <c:v>CEPA-NGO</c:v>
                </c:pt>
                <c:pt idx="3">
                  <c:v>STRP </c:v>
                </c:pt>
              </c:strCache>
            </c:strRef>
          </c:cat>
          <c:val>
            <c:numRef>
              <c:f>Sheet1!$B$2:$E$2</c:f>
              <c:numCache>
                <c:formatCode>General</c:formatCode>
                <c:ptCount val="4"/>
                <c:pt idx="0">
                  <c:v>98</c:v>
                </c:pt>
                <c:pt idx="1">
                  <c:v>74</c:v>
                </c:pt>
                <c:pt idx="2">
                  <c:v>69</c:v>
                </c:pt>
                <c:pt idx="3">
                  <c:v>85</c:v>
                </c:pt>
              </c:numCache>
            </c:numRef>
          </c:val>
        </c:ser>
        <c:ser>
          <c:idx val="1"/>
          <c:order val="1"/>
          <c:tx>
            <c:strRef>
              <c:f>Sheet1!$A$3</c:f>
              <c:strCache>
                <c:ptCount val="1"/>
                <c:pt idx="0">
                  <c:v>COP12</c:v>
                </c:pt>
              </c:strCache>
            </c:strRef>
          </c:tx>
          <c:cat>
            <c:strRef>
              <c:f>Sheet1!$B$1:$E$1</c:f>
              <c:strCache>
                <c:ptCount val="4"/>
                <c:pt idx="0">
                  <c:v>AANFP</c:v>
                </c:pt>
                <c:pt idx="1">
                  <c:v>CEPA-GOV</c:v>
                </c:pt>
                <c:pt idx="2">
                  <c:v>CEPA-NGO</c:v>
                </c:pt>
                <c:pt idx="3">
                  <c:v>STRP </c:v>
                </c:pt>
              </c:strCache>
            </c:strRef>
          </c:cat>
          <c:val>
            <c:numRef>
              <c:f>Sheet1!$B$3:$E$3</c:f>
              <c:numCache>
                <c:formatCode>0</c:formatCode>
                <c:ptCount val="4"/>
                <c:pt idx="0">
                  <c:v>99.240000000000023</c:v>
                </c:pt>
                <c:pt idx="1">
                  <c:v>80.149999999999991</c:v>
                </c:pt>
                <c:pt idx="2">
                  <c:v>69.47</c:v>
                </c:pt>
                <c:pt idx="3">
                  <c:v>86.26</c:v>
                </c:pt>
              </c:numCache>
            </c:numRef>
          </c:val>
        </c:ser>
        <c:axId val="92633728"/>
        <c:axId val="92640384"/>
      </c:barChart>
      <c:catAx>
        <c:axId val="92633728"/>
        <c:scaling>
          <c:orientation val="minMax"/>
        </c:scaling>
        <c:axPos val="b"/>
        <c:tickLblPos val="nextTo"/>
        <c:crossAx val="92640384"/>
        <c:crosses val="autoZero"/>
        <c:auto val="1"/>
        <c:lblAlgn val="ctr"/>
        <c:lblOffset val="100"/>
      </c:catAx>
      <c:valAx>
        <c:axId val="92640384"/>
        <c:scaling>
          <c:orientation val="minMax"/>
          <c:max val="100"/>
          <c:min val="0"/>
        </c:scaling>
        <c:axPos val="l"/>
        <c:majorGridlines/>
        <c:numFmt formatCode="General" sourceLinked="1"/>
        <c:tickLblPos val="nextTo"/>
        <c:crossAx val="92633728"/>
        <c:crosses val="autoZero"/>
        <c:crossBetween val="between"/>
        <c:majorUnit val="20"/>
        <c:minorUnit val="4"/>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F7E3-0183-4E16-833F-BB783368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Ramsar\OsekuFrainierS</dc:creator>
  <cp:lastModifiedBy>Ramsar\JenningsE</cp:lastModifiedBy>
  <cp:revision>2</cp:revision>
  <cp:lastPrinted>2015-03-27T15:26:00Z</cp:lastPrinted>
  <dcterms:created xsi:type="dcterms:W3CDTF">2015-03-30T18:13:00Z</dcterms:created>
  <dcterms:modified xsi:type="dcterms:W3CDTF">2015-03-30T18:13:00Z</dcterms:modified>
</cp:coreProperties>
</file>