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C5" w:rsidRPr="00837B0B" w:rsidRDefault="000B2DC5" w:rsidP="00CD54B4">
      <w:pPr>
        <w:jc w:val="center"/>
        <w:rPr>
          <w:rFonts w:asciiTheme="minorHAnsi" w:hAnsiTheme="minorHAnsi"/>
          <w:b/>
          <w:sz w:val="25"/>
          <w:szCs w:val="25"/>
        </w:rPr>
      </w:pPr>
      <w:r>
        <w:rPr>
          <w:rFonts w:asciiTheme="minorHAnsi" w:hAnsiTheme="minorHAnsi" w:cstheme="minorHAnsi"/>
          <w:bCs/>
          <w:noProof/>
        </w:rPr>
        <w:drawing>
          <wp:anchor distT="0" distB="0" distL="114300" distR="114300" simplePos="0" relativeHeight="251659264" behindDoc="0" locked="0" layoutInCell="1" allowOverlap="1">
            <wp:simplePos x="0" y="0"/>
            <wp:positionH relativeFrom="margin">
              <wp:posOffset>-19050</wp:posOffset>
            </wp:positionH>
            <wp:positionV relativeFrom="margin">
              <wp:posOffset>-204470</wp:posOffset>
            </wp:positionV>
            <wp:extent cx="2212975" cy="961390"/>
            <wp:effectExtent l="19050" t="0" r="0" b="0"/>
            <wp:wrapSquare wrapText="bothSides"/>
            <wp:docPr id="4"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0B2DC5" w:rsidRPr="00837B0B" w:rsidRDefault="000B2DC5" w:rsidP="00CD54B4">
      <w:pPr>
        <w:jc w:val="center"/>
        <w:rPr>
          <w:rFonts w:asciiTheme="minorHAnsi" w:hAnsiTheme="minorHAnsi"/>
          <w:sz w:val="25"/>
          <w:szCs w:val="25"/>
        </w:rPr>
      </w:pPr>
    </w:p>
    <w:p w:rsidR="000B2DC5" w:rsidRPr="00805569" w:rsidRDefault="000B2DC5" w:rsidP="00CD54B4">
      <w:pPr>
        <w:tabs>
          <w:tab w:val="left" w:pos="3828"/>
        </w:tabs>
        <w:jc w:val="center"/>
        <w:rPr>
          <w:rFonts w:asciiTheme="minorHAnsi" w:hAnsiTheme="minorHAnsi"/>
          <w:b/>
          <w:sz w:val="25"/>
          <w:szCs w:val="25"/>
          <w:lang w:val="es-MX"/>
        </w:rPr>
      </w:pPr>
      <w:r w:rsidRPr="00805569">
        <w:rPr>
          <w:rFonts w:asciiTheme="minorHAnsi" w:hAnsiTheme="minorHAnsi"/>
          <w:b/>
          <w:sz w:val="25"/>
          <w:szCs w:val="25"/>
          <w:lang w:val="es-MX"/>
        </w:rPr>
        <w:t>Punta del Este, Uruguay, 1-9 June 2015</w:t>
      </w:r>
    </w:p>
    <w:p w:rsidR="00A60C55" w:rsidRDefault="00A60C55" w:rsidP="00CD54B4">
      <w:pPr>
        <w:rPr>
          <w:lang w:val="es-MX"/>
        </w:rPr>
      </w:pPr>
    </w:p>
    <w:p w:rsidR="00471803" w:rsidRDefault="00471803" w:rsidP="00CD54B4">
      <w:pPr>
        <w:rPr>
          <w:lang w:val="es-MX"/>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0B2DC5" w:rsidRPr="00837B0B" w:rsidTr="000B2DC5">
        <w:tc>
          <w:tcPr>
            <w:tcW w:w="4528" w:type="dxa"/>
          </w:tcPr>
          <w:p w:rsidR="000B2DC5" w:rsidRPr="009379AB" w:rsidRDefault="000B2DC5" w:rsidP="00CD54B4">
            <w:pPr>
              <w:rPr>
                <w:rFonts w:asciiTheme="minorHAnsi" w:hAnsiTheme="minorHAnsi"/>
                <w:b/>
                <w:sz w:val="25"/>
                <w:szCs w:val="25"/>
                <w:lang w:val="en-GB"/>
              </w:rPr>
            </w:pPr>
          </w:p>
        </w:tc>
        <w:tc>
          <w:tcPr>
            <w:tcW w:w="4602" w:type="dxa"/>
          </w:tcPr>
          <w:p w:rsidR="000B2DC5" w:rsidRPr="009379AB" w:rsidRDefault="000B2DC5" w:rsidP="00CD54B4">
            <w:pPr>
              <w:jc w:val="right"/>
              <w:rPr>
                <w:rFonts w:asciiTheme="minorHAnsi" w:hAnsiTheme="minorHAnsi"/>
                <w:b/>
                <w:sz w:val="25"/>
                <w:szCs w:val="25"/>
                <w:lang w:val="en-GB"/>
              </w:rPr>
            </w:pPr>
            <w:r w:rsidRPr="00837B0B">
              <w:rPr>
                <w:rFonts w:asciiTheme="minorHAnsi" w:hAnsiTheme="minorHAnsi"/>
                <w:b/>
                <w:sz w:val="25"/>
                <w:szCs w:val="25"/>
              </w:rPr>
              <w:t xml:space="preserve">Ramsar </w:t>
            </w:r>
            <w:r w:rsidR="008A3C79">
              <w:rPr>
                <w:rFonts w:asciiTheme="minorHAnsi" w:hAnsiTheme="minorHAnsi"/>
                <w:b/>
                <w:sz w:val="25"/>
                <w:szCs w:val="25"/>
              </w:rPr>
              <w:t>C</w:t>
            </w:r>
            <w:r w:rsidRPr="00837B0B">
              <w:rPr>
                <w:rFonts w:asciiTheme="minorHAnsi" w:hAnsiTheme="minorHAnsi"/>
                <w:b/>
                <w:sz w:val="25"/>
                <w:szCs w:val="25"/>
              </w:rPr>
              <w:t xml:space="preserve">OP12 </w:t>
            </w:r>
            <w:r>
              <w:rPr>
                <w:rFonts w:asciiTheme="minorHAnsi" w:hAnsiTheme="minorHAnsi"/>
                <w:b/>
                <w:sz w:val="25"/>
                <w:szCs w:val="25"/>
                <w:lang w:val="en-GB"/>
              </w:rPr>
              <w:t>D</w:t>
            </w:r>
            <w:r w:rsidR="00904ED8">
              <w:rPr>
                <w:rFonts w:asciiTheme="minorHAnsi" w:hAnsiTheme="minorHAnsi"/>
                <w:b/>
                <w:sz w:val="25"/>
                <w:szCs w:val="25"/>
                <w:lang w:val="en-GB"/>
              </w:rPr>
              <w:t>OC</w:t>
            </w:r>
            <w:r w:rsidR="005B5868">
              <w:rPr>
                <w:rFonts w:asciiTheme="minorHAnsi" w:hAnsiTheme="minorHAnsi"/>
                <w:b/>
                <w:sz w:val="25"/>
                <w:szCs w:val="25"/>
                <w:lang w:val="en-GB"/>
              </w:rPr>
              <w:t>.</w:t>
            </w:r>
            <w:r w:rsidR="00994B3E">
              <w:rPr>
                <w:rFonts w:asciiTheme="minorHAnsi" w:hAnsiTheme="minorHAnsi"/>
                <w:b/>
                <w:sz w:val="25"/>
                <w:szCs w:val="25"/>
                <w:lang w:val="en-GB"/>
              </w:rPr>
              <w:t>14</w:t>
            </w:r>
          </w:p>
        </w:tc>
      </w:tr>
    </w:tbl>
    <w:p w:rsidR="008A3C79" w:rsidRPr="00CD54B4" w:rsidRDefault="008A3C79" w:rsidP="00CD54B4">
      <w:pPr>
        <w:jc w:val="center"/>
        <w:rPr>
          <w:rFonts w:asciiTheme="minorHAnsi" w:eastAsiaTheme="minorHAnsi" w:hAnsiTheme="minorHAnsi" w:cs="Arial"/>
          <w:b/>
          <w:sz w:val="28"/>
          <w:szCs w:val="28"/>
        </w:rPr>
      </w:pPr>
    </w:p>
    <w:p w:rsidR="00471803" w:rsidRPr="00CD54B4" w:rsidRDefault="00471803" w:rsidP="00CD54B4">
      <w:pPr>
        <w:jc w:val="center"/>
        <w:rPr>
          <w:rFonts w:asciiTheme="minorHAnsi" w:eastAsiaTheme="minorHAnsi" w:hAnsiTheme="minorHAnsi" w:cs="Arial"/>
          <w:b/>
          <w:sz w:val="28"/>
          <w:szCs w:val="28"/>
        </w:rPr>
      </w:pPr>
      <w:r w:rsidRPr="00CD54B4">
        <w:rPr>
          <w:rFonts w:asciiTheme="minorHAnsi" w:eastAsiaTheme="minorHAnsi" w:hAnsiTheme="minorHAnsi" w:cs="Arial"/>
          <w:b/>
          <w:sz w:val="28"/>
          <w:szCs w:val="28"/>
        </w:rPr>
        <w:t>Background information on financial and budgetary matters</w:t>
      </w:r>
    </w:p>
    <w:p w:rsidR="00471803" w:rsidRPr="00CD54B4" w:rsidRDefault="00CD54B4" w:rsidP="00CD54B4">
      <w:pPr>
        <w:tabs>
          <w:tab w:val="left" w:pos="4990"/>
        </w:tabs>
        <w:ind w:left="426" w:hanging="426"/>
        <w:rPr>
          <w:rFonts w:asciiTheme="minorHAnsi" w:hAnsiTheme="minorHAnsi"/>
          <w:color w:val="000000"/>
          <w:sz w:val="28"/>
          <w:szCs w:val="28"/>
        </w:rPr>
      </w:pPr>
      <w:r>
        <w:rPr>
          <w:rFonts w:asciiTheme="minorHAnsi" w:hAnsiTheme="minorHAnsi"/>
          <w:color w:val="000000"/>
          <w:sz w:val="28"/>
          <w:szCs w:val="28"/>
        </w:rPr>
        <w:tab/>
      </w:r>
      <w:r>
        <w:rPr>
          <w:rFonts w:asciiTheme="minorHAnsi" w:hAnsiTheme="minorHAnsi"/>
          <w:color w:val="000000"/>
          <w:sz w:val="28"/>
          <w:szCs w:val="28"/>
        </w:rPr>
        <w:tab/>
      </w:r>
    </w:p>
    <w:p w:rsidR="000B2DC5" w:rsidRPr="008A3C79" w:rsidRDefault="00471803" w:rsidP="00CD54B4">
      <w:pPr>
        <w:pStyle w:val="ListParagraph"/>
        <w:numPr>
          <w:ilvl w:val="0"/>
          <w:numId w:val="1"/>
        </w:numPr>
        <w:ind w:left="426" w:hanging="426"/>
        <w:rPr>
          <w:rFonts w:asciiTheme="minorHAnsi" w:eastAsia="Batang" w:hAnsiTheme="minorHAnsi"/>
          <w:color w:val="000000"/>
          <w:sz w:val="22"/>
          <w:szCs w:val="22"/>
          <w:lang w:eastAsia="ko-KR"/>
        </w:rPr>
      </w:pPr>
      <w:r w:rsidRPr="008A3C79">
        <w:rPr>
          <w:rFonts w:asciiTheme="minorHAnsi" w:hAnsiTheme="minorHAnsi"/>
          <w:color w:val="000000"/>
          <w:sz w:val="22"/>
          <w:szCs w:val="22"/>
        </w:rPr>
        <w:t>At its 4</w:t>
      </w:r>
      <w:r w:rsidR="00686074" w:rsidRPr="008A3C79">
        <w:rPr>
          <w:rFonts w:asciiTheme="minorHAnsi" w:hAnsiTheme="minorHAnsi"/>
          <w:color w:val="000000"/>
          <w:sz w:val="22"/>
          <w:szCs w:val="22"/>
        </w:rPr>
        <w:t>8</w:t>
      </w:r>
      <w:r w:rsidR="00686074" w:rsidRPr="008A3C79">
        <w:rPr>
          <w:rFonts w:asciiTheme="minorHAnsi" w:hAnsiTheme="minorHAnsi"/>
          <w:color w:val="000000"/>
          <w:sz w:val="22"/>
          <w:szCs w:val="22"/>
          <w:vertAlign w:val="superscript"/>
        </w:rPr>
        <w:t>th</w:t>
      </w:r>
      <w:r w:rsidR="00686074" w:rsidRPr="008A3C79">
        <w:rPr>
          <w:rFonts w:asciiTheme="minorHAnsi" w:hAnsiTheme="minorHAnsi"/>
          <w:color w:val="000000"/>
          <w:sz w:val="22"/>
          <w:szCs w:val="22"/>
        </w:rPr>
        <w:t xml:space="preserve"> </w:t>
      </w:r>
      <w:r w:rsidRPr="008A3C79">
        <w:rPr>
          <w:rFonts w:asciiTheme="minorHAnsi" w:hAnsiTheme="minorHAnsi"/>
          <w:color w:val="000000"/>
          <w:sz w:val="22"/>
          <w:szCs w:val="22"/>
        </w:rPr>
        <w:t>meeting (SC4</w:t>
      </w:r>
      <w:r w:rsidR="00686074" w:rsidRPr="008A3C79">
        <w:rPr>
          <w:rFonts w:asciiTheme="minorHAnsi" w:hAnsiTheme="minorHAnsi"/>
          <w:color w:val="000000"/>
          <w:sz w:val="22"/>
          <w:szCs w:val="22"/>
        </w:rPr>
        <w:t>8</w:t>
      </w:r>
      <w:r w:rsidRPr="008A3C79">
        <w:rPr>
          <w:rFonts w:asciiTheme="minorHAnsi" w:hAnsiTheme="minorHAnsi"/>
          <w:color w:val="000000"/>
          <w:sz w:val="22"/>
          <w:szCs w:val="22"/>
        </w:rPr>
        <w:t>),</w:t>
      </w:r>
      <w:r w:rsidRPr="008A3C79">
        <w:rPr>
          <w:rStyle w:val="Strong"/>
          <w:rFonts w:asciiTheme="minorHAnsi" w:hAnsiTheme="minorHAnsi"/>
          <w:b w:val="0"/>
          <w:sz w:val="22"/>
          <w:szCs w:val="22"/>
        </w:rPr>
        <w:t xml:space="preserve"> t</w:t>
      </w:r>
      <w:r w:rsidRPr="008A3C79">
        <w:rPr>
          <w:rFonts w:asciiTheme="minorHAnsi" w:hAnsiTheme="minorHAnsi"/>
          <w:sz w:val="22"/>
          <w:szCs w:val="22"/>
        </w:rPr>
        <w:t>he Standing Committee approved for transmittal to the 1</w:t>
      </w:r>
      <w:r w:rsidR="00686074" w:rsidRPr="008A3C79">
        <w:rPr>
          <w:rFonts w:asciiTheme="minorHAnsi" w:hAnsiTheme="minorHAnsi"/>
          <w:sz w:val="22"/>
          <w:szCs w:val="22"/>
        </w:rPr>
        <w:t>2</w:t>
      </w:r>
      <w:r w:rsidRPr="008A3C79">
        <w:rPr>
          <w:rFonts w:asciiTheme="minorHAnsi" w:hAnsiTheme="minorHAnsi"/>
          <w:sz w:val="22"/>
          <w:szCs w:val="22"/>
          <w:vertAlign w:val="superscript"/>
        </w:rPr>
        <w:t>th</w:t>
      </w:r>
      <w:r w:rsidRPr="008A3C79">
        <w:rPr>
          <w:rFonts w:asciiTheme="minorHAnsi" w:hAnsiTheme="minorHAnsi"/>
          <w:sz w:val="22"/>
          <w:szCs w:val="22"/>
        </w:rPr>
        <w:t xml:space="preserve"> meeting of the Conference of the Contracting Parties a Draft Resolution on financia</w:t>
      </w:r>
      <w:r w:rsidR="00686074" w:rsidRPr="008A3C79">
        <w:rPr>
          <w:rFonts w:asciiTheme="minorHAnsi" w:hAnsiTheme="minorHAnsi"/>
          <w:sz w:val="22"/>
          <w:szCs w:val="22"/>
        </w:rPr>
        <w:t>l and budgetary matters with three</w:t>
      </w:r>
      <w:r w:rsidRPr="008A3C79">
        <w:rPr>
          <w:rFonts w:asciiTheme="minorHAnsi" w:hAnsiTheme="minorHAnsi"/>
          <w:sz w:val="22"/>
          <w:szCs w:val="22"/>
        </w:rPr>
        <w:t xml:space="preserve"> budget alternatives for the 201</w:t>
      </w:r>
      <w:r w:rsidR="00686074" w:rsidRPr="008A3C79">
        <w:rPr>
          <w:rFonts w:asciiTheme="minorHAnsi" w:hAnsiTheme="minorHAnsi"/>
          <w:sz w:val="22"/>
          <w:szCs w:val="22"/>
        </w:rPr>
        <w:t>6</w:t>
      </w:r>
      <w:r w:rsidRPr="008A3C79">
        <w:rPr>
          <w:rFonts w:asciiTheme="minorHAnsi" w:hAnsiTheme="minorHAnsi"/>
          <w:sz w:val="22"/>
          <w:szCs w:val="22"/>
        </w:rPr>
        <w:t>-201</w:t>
      </w:r>
      <w:r w:rsidR="00686074" w:rsidRPr="008A3C79">
        <w:rPr>
          <w:rFonts w:asciiTheme="minorHAnsi" w:hAnsiTheme="minorHAnsi"/>
          <w:sz w:val="22"/>
          <w:szCs w:val="22"/>
        </w:rPr>
        <w:t>8</w:t>
      </w:r>
      <w:r w:rsidRPr="008A3C79">
        <w:rPr>
          <w:rFonts w:asciiTheme="minorHAnsi" w:hAnsiTheme="minorHAnsi"/>
          <w:sz w:val="22"/>
          <w:szCs w:val="22"/>
        </w:rPr>
        <w:t xml:space="preserve"> triennium. In its decisions SC4</w:t>
      </w:r>
      <w:r w:rsidR="00820E5E" w:rsidRPr="008A3C79">
        <w:rPr>
          <w:rFonts w:asciiTheme="minorHAnsi" w:hAnsiTheme="minorHAnsi"/>
          <w:sz w:val="22"/>
          <w:szCs w:val="22"/>
        </w:rPr>
        <w:t>8</w:t>
      </w:r>
      <w:r w:rsidRPr="008A3C79">
        <w:rPr>
          <w:rFonts w:asciiTheme="minorHAnsi" w:hAnsiTheme="minorHAnsi"/>
          <w:sz w:val="22"/>
          <w:szCs w:val="22"/>
        </w:rPr>
        <w:t>-</w:t>
      </w:r>
      <w:r w:rsidR="00820E5E" w:rsidRPr="008A3C79">
        <w:rPr>
          <w:rFonts w:asciiTheme="minorHAnsi" w:hAnsiTheme="minorHAnsi"/>
          <w:sz w:val="22"/>
          <w:szCs w:val="22"/>
        </w:rPr>
        <w:t>12</w:t>
      </w:r>
      <w:r w:rsidRPr="008A3C79">
        <w:rPr>
          <w:rFonts w:asciiTheme="minorHAnsi" w:hAnsiTheme="minorHAnsi"/>
          <w:sz w:val="22"/>
          <w:szCs w:val="22"/>
        </w:rPr>
        <w:t xml:space="preserve"> and </w:t>
      </w:r>
      <w:r w:rsidR="00AB158F">
        <w:rPr>
          <w:rFonts w:asciiTheme="minorHAnsi" w:hAnsiTheme="minorHAnsi"/>
          <w:sz w:val="22"/>
          <w:szCs w:val="22"/>
        </w:rPr>
        <w:t>-</w:t>
      </w:r>
      <w:r w:rsidR="00820E5E" w:rsidRPr="008A3C79">
        <w:rPr>
          <w:rFonts w:asciiTheme="minorHAnsi" w:hAnsiTheme="minorHAnsi"/>
          <w:sz w:val="22"/>
          <w:szCs w:val="22"/>
        </w:rPr>
        <w:t>17</w:t>
      </w:r>
      <w:r w:rsidRPr="008A3C79">
        <w:rPr>
          <w:rFonts w:asciiTheme="minorHAnsi" w:hAnsiTheme="minorHAnsi"/>
          <w:sz w:val="22"/>
          <w:szCs w:val="22"/>
        </w:rPr>
        <w:t xml:space="preserve">, the Committee </w:t>
      </w:r>
      <w:r w:rsidR="00820E5E" w:rsidRPr="008A3C79">
        <w:rPr>
          <w:rFonts w:asciiTheme="minorHAnsi" w:hAnsiTheme="minorHAnsi"/>
          <w:sz w:val="22"/>
          <w:szCs w:val="22"/>
        </w:rPr>
        <w:t>approved the draft budget scenarios for 2016</w:t>
      </w:r>
      <w:r w:rsidR="000B2125" w:rsidRPr="008A3C79">
        <w:rPr>
          <w:rFonts w:asciiTheme="minorHAnsi" w:hAnsiTheme="minorHAnsi"/>
          <w:sz w:val="22"/>
          <w:szCs w:val="22"/>
        </w:rPr>
        <w:t xml:space="preserve">-2018 for presentation to COP12 with the following additional </w:t>
      </w:r>
      <w:r w:rsidRPr="008A3C79">
        <w:rPr>
          <w:rFonts w:asciiTheme="minorHAnsi" w:hAnsiTheme="minorHAnsi"/>
          <w:sz w:val="22"/>
          <w:szCs w:val="22"/>
        </w:rPr>
        <w:t>information</w:t>
      </w:r>
      <w:r w:rsidR="006F073B" w:rsidRPr="008A3C79">
        <w:rPr>
          <w:rFonts w:asciiTheme="minorHAnsi" w:hAnsiTheme="minorHAnsi"/>
          <w:sz w:val="22"/>
          <w:szCs w:val="22"/>
        </w:rPr>
        <w:t xml:space="preserve">: </w:t>
      </w:r>
      <w:r w:rsidR="00AB158F">
        <w:rPr>
          <w:rFonts w:asciiTheme="minorHAnsi" w:hAnsiTheme="minorHAnsi"/>
          <w:sz w:val="22"/>
          <w:szCs w:val="22"/>
        </w:rPr>
        <w:t xml:space="preserve"> to </w:t>
      </w:r>
      <w:r w:rsidR="006F073B" w:rsidRPr="008A3C79">
        <w:rPr>
          <w:rFonts w:asciiTheme="minorHAnsi" w:hAnsiTheme="minorHAnsi"/>
          <w:sz w:val="22"/>
          <w:szCs w:val="22"/>
        </w:rPr>
        <w:t>include both a</w:t>
      </w:r>
      <w:r w:rsidR="00191B7F">
        <w:rPr>
          <w:rFonts w:asciiTheme="minorHAnsi" w:hAnsiTheme="minorHAnsi"/>
          <w:sz w:val="22"/>
          <w:szCs w:val="22"/>
        </w:rPr>
        <w:t xml:space="preserve"> budget line for </w:t>
      </w:r>
      <w:r w:rsidR="000B2125" w:rsidRPr="008A3C79">
        <w:rPr>
          <w:rFonts w:asciiTheme="minorHAnsi" w:hAnsiTheme="minorHAnsi"/>
          <w:sz w:val="22"/>
          <w:szCs w:val="22"/>
        </w:rPr>
        <w:t xml:space="preserve"> </w:t>
      </w:r>
      <w:r w:rsidR="00AB158F">
        <w:rPr>
          <w:rFonts w:asciiTheme="minorHAnsi" w:hAnsiTheme="minorHAnsi"/>
          <w:sz w:val="22"/>
          <w:szCs w:val="22"/>
        </w:rPr>
        <w:t>“</w:t>
      </w:r>
      <w:r w:rsidR="000B2125" w:rsidRPr="008A3C79">
        <w:rPr>
          <w:rFonts w:asciiTheme="minorHAnsi" w:hAnsiTheme="minorHAnsi"/>
          <w:sz w:val="22"/>
          <w:szCs w:val="22"/>
        </w:rPr>
        <w:t xml:space="preserve">CEPA </w:t>
      </w:r>
      <w:r w:rsidR="00191B7F">
        <w:rPr>
          <w:rFonts w:asciiTheme="minorHAnsi" w:hAnsiTheme="minorHAnsi"/>
          <w:sz w:val="22"/>
          <w:szCs w:val="22"/>
        </w:rPr>
        <w:t>activities</w:t>
      </w:r>
      <w:r w:rsidR="00AB158F">
        <w:rPr>
          <w:rFonts w:asciiTheme="minorHAnsi" w:hAnsiTheme="minorHAnsi"/>
          <w:sz w:val="22"/>
          <w:szCs w:val="22"/>
        </w:rPr>
        <w:t>”</w:t>
      </w:r>
      <w:r w:rsidR="00191B7F">
        <w:rPr>
          <w:rFonts w:asciiTheme="minorHAnsi" w:hAnsiTheme="minorHAnsi"/>
          <w:sz w:val="22"/>
          <w:szCs w:val="22"/>
        </w:rPr>
        <w:t xml:space="preserve"> </w:t>
      </w:r>
      <w:r w:rsidR="000B2125" w:rsidRPr="008A3C79">
        <w:rPr>
          <w:rFonts w:asciiTheme="minorHAnsi" w:hAnsiTheme="minorHAnsi"/>
          <w:sz w:val="22"/>
          <w:szCs w:val="22"/>
        </w:rPr>
        <w:t xml:space="preserve">and </w:t>
      </w:r>
      <w:r w:rsidR="00AB158F">
        <w:rPr>
          <w:rFonts w:asciiTheme="minorHAnsi" w:hAnsiTheme="minorHAnsi"/>
          <w:sz w:val="22"/>
          <w:szCs w:val="22"/>
        </w:rPr>
        <w:t xml:space="preserve">“support for </w:t>
      </w:r>
      <w:r w:rsidR="00191B7F">
        <w:rPr>
          <w:rFonts w:asciiTheme="minorHAnsi" w:hAnsiTheme="minorHAnsi"/>
          <w:sz w:val="22"/>
          <w:szCs w:val="22"/>
        </w:rPr>
        <w:t xml:space="preserve">the </w:t>
      </w:r>
      <w:r w:rsidR="00191B7F" w:rsidRPr="008A3C79">
        <w:rPr>
          <w:rFonts w:asciiTheme="minorHAnsi" w:hAnsiTheme="minorHAnsi"/>
          <w:sz w:val="22"/>
          <w:szCs w:val="22"/>
        </w:rPr>
        <w:t xml:space="preserve"> </w:t>
      </w:r>
      <w:r w:rsidR="000B2125" w:rsidRPr="008A3C79">
        <w:rPr>
          <w:rFonts w:asciiTheme="minorHAnsi" w:hAnsiTheme="minorHAnsi"/>
          <w:sz w:val="22"/>
          <w:szCs w:val="22"/>
        </w:rPr>
        <w:t>Strategic Plan</w:t>
      </w:r>
      <w:r w:rsidR="00AB158F">
        <w:rPr>
          <w:rFonts w:asciiTheme="minorHAnsi" w:hAnsiTheme="minorHAnsi"/>
          <w:sz w:val="22"/>
          <w:szCs w:val="22"/>
        </w:rPr>
        <w:t>”</w:t>
      </w:r>
      <w:r w:rsidR="000B2125" w:rsidRPr="008A3C79">
        <w:rPr>
          <w:rFonts w:asciiTheme="minorHAnsi" w:hAnsiTheme="minorHAnsi"/>
          <w:sz w:val="22"/>
          <w:szCs w:val="22"/>
        </w:rPr>
        <w:t xml:space="preserve"> to non-core budget; </w:t>
      </w:r>
      <w:r w:rsidR="00AB158F">
        <w:rPr>
          <w:rFonts w:asciiTheme="minorHAnsi" w:hAnsiTheme="minorHAnsi"/>
          <w:sz w:val="22"/>
          <w:szCs w:val="22"/>
        </w:rPr>
        <w:t xml:space="preserve">to </w:t>
      </w:r>
      <w:r w:rsidR="006F073B" w:rsidRPr="008A3C79">
        <w:rPr>
          <w:rFonts w:asciiTheme="minorHAnsi" w:hAnsiTheme="minorHAnsi"/>
          <w:sz w:val="22"/>
          <w:szCs w:val="22"/>
        </w:rPr>
        <w:t xml:space="preserve">prepare an information paper providing background documentation to support all items in the non-core budget; and </w:t>
      </w:r>
      <w:r w:rsidR="00AB158F">
        <w:rPr>
          <w:rFonts w:asciiTheme="minorHAnsi" w:hAnsiTheme="minorHAnsi"/>
          <w:sz w:val="22"/>
          <w:szCs w:val="22"/>
        </w:rPr>
        <w:t xml:space="preserve">to </w:t>
      </w:r>
      <w:r w:rsidR="006F073B" w:rsidRPr="008A3C79">
        <w:rPr>
          <w:rFonts w:asciiTheme="minorHAnsi" w:hAnsiTheme="minorHAnsi"/>
          <w:sz w:val="22"/>
          <w:szCs w:val="22"/>
        </w:rPr>
        <w:t>prepare an information paper outlining the additional costs to each Party under the 2% and 4% core budget scenarios.</w:t>
      </w:r>
    </w:p>
    <w:p w:rsidR="000B2DC5" w:rsidRPr="008A3C79" w:rsidRDefault="000B2DC5" w:rsidP="00CD54B4">
      <w:pPr>
        <w:pStyle w:val="ListParagraph"/>
        <w:ind w:left="426" w:hanging="426"/>
        <w:rPr>
          <w:rFonts w:asciiTheme="minorHAnsi" w:eastAsia="Batang" w:hAnsiTheme="minorHAnsi"/>
          <w:color w:val="000000"/>
          <w:sz w:val="22"/>
          <w:szCs w:val="22"/>
          <w:lang w:eastAsia="ko-KR"/>
        </w:rPr>
      </w:pPr>
    </w:p>
    <w:p w:rsidR="008A3C79" w:rsidRPr="008A3C79" w:rsidRDefault="00356899" w:rsidP="00CD54B4">
      <w:pPr>
        <w:pStyle w:val="ListParagraph"/>
        <w:numPr>
          <w:ilvl w:val="0"/>
          <w:numId w:val="1"/>
        </w:numPr>
        <w:ind w:left="426" w:hanging="426"/>
        <w:rPr>
          <w:rFonts w:asciiTheme="minorHAnsi" w:eastAsia="Batang" w:hAnsiTheme="minorHAnsi"/>
          <w:color w:val="000000"/>
          <w:sz w:val="22"/>
          <w:szCs w:val="22"/>
          <w:lang w:eastAsia="ko-KR"/>
        </w:rPr>
      </w:pPr>
      <w:r w:rsidRPr="008A3C79">
        <w:rPr>
          <w:rFonts w:asciiTheme="minorHAnsi" w:eastAsia="Batang" w:hAnsiTheme="minorHAnsi"/>
          <w:bCs/>
          <w:sz w:val="22"/>
          <w:szCs w:val="22"/>
          <w:lang w:eastAsia="ko-KR"/>
        </w:rPr>
        <w:t xml:space="preserve">As per COP11, </w:t>
      </w:r>
      <w:r w:rsidR="00471803" w:rsidRPr="008A3C79">
        <w:rPr>
          <w:rFonts w:asciiTheme="minorHAnsi" w:eastAsia="Batang" w:hAnsiTheme="minorHAnsi"/>
          <w:bCs/>
          <w:sz w:val="22"/>
          <w:szCs w:val="22"/>
          <w:lang w:eastAsia="ko-KR"/>
        </w:rPr>
        <w:t>a Combined budget, one which includes both a Core budget funded by contributions from Parties, based on the UN Scale of Assessments as previously, and a non-Core element to be financed by additional voluntary contributions</w:t>
      </w:r>
      <w:r w:rsidR="00191B7F">
        <w:rPr>
          <w:rFonts w:asciiTheme="minorHAnsi" w:eastAsia="Batang" w:hAnsiTheme="minorHAnsi"/>
          <w:bCs/>
          <w:sz w:val="22"/>
          <w:szCs w:val="22"/>
          <w:lang w:eastAsia="ko-KR"/>
        </w:rPr>
        <w:t xml:space="preserve"> has been prepared</w:t>
      </w:r>
      <w:r w:rsidR="00471803" w:rsidRPr="008A3C79">
        <w:rPr>
          <w:rFonts w:asciiTheme="minorHAnsi" w:eastAsia="Batang" w:hAnsiTheme="minorHAnsi"/>
          <w:bCs/>
          <w:sz w:val="22"/>
          <w:szCs w:val="22"/>
          <w:lang w:eastAsia="ko-KR"/>
        </w:rPr>
        <w:t xml:space="preserve">. </w:t>
      </w:r>
      <w:r w:rsidR="00471803" w:rsidRPr="008A3C79">
        <w:rPr>
          <w:rFonts w:asciiTheme="minorHAnsi" w:eastAsia="Batang" w:hAnsiTheme="minorHAnsi"/>
          <w:sz w:val="22"/>
          <w:szCs w:val="22"/>
        </w:rPr>
        <w:t>The Secretariat and the Standing Committee strongly believe that COP approval of both elements for the 201</w:t>
      </w:r>
      <w:r w:rsidR="006F073B" w:rsidRPr="008A3C79">
        <w:rPr>
          <w:rFonts w:asciiTheme="minorHAnsi" w:eastAsia="Batang" w:hAnsiTheme="minorHAnsi"/>
          <w:sz w:val="22"/>
          <w:szCs w:val="22"/>
        </w:rPr>
        <w:t>6</w:t>
      </w:r>
      <w:r w:rsidR="00471803" w:rsidRPr="008A3C79">
        <w:rPr>
          <w:rFonts w:asciiTheme="minorHAnsi" w:eastAsia="Batang" w:hAnsiTheme="minorHAnsi"/>
          <w:sz w:val="22"/>
          <w:szCs w:val="22"/>
        </w:rPr>
        <w:t>-201</w:t>
      </w:r>
      <w:r w:rsidR="006F073B" w:rsidRPr="008A3C79">
        <w:rPr>
          <w:rFonts w:asciiTheme="minorHAnsi" w:eastAsia="Batang" w:hAnsiTheme="minorHAnsi"/>
          <w:sz w:val="22"/>
          <w:szCs w:val="22"/>
        </w:rPr>
        <w:t>8</w:t>
      </w:r>
      <w:r w:rsidR="00471803" w:rsidRPr="008A3C79">
        <w:rPr>
          <w:rFonts w:asciiTheme="minorHAnsi" w:eastAsia="Batang" w:hAnsiTheme="minorHAnsi"/>
          <w:sz w:val="22"/>
          <w:szCs w:val="22"/>
        </w:rPr>
        <w:t xml:space="preserve"> triennium will positively support the efforts of all </w:t>
      </w:r>
      <w:r w:rsidR="00686F58">
        <w:rPr>
          <w:rFonts w:asciiTheme="minorHAnsi" w:eastAsia="Batang" w:hAnsiTheme="minorHAnsi"/>
          <w:sz w:val="22"/>
          <w:szCs w:val="22"/>
        </w:rPr>
        <w:t>Parties and partners</w:t>
      </w:r>
      <w:r w:rsidR="00686F58" w:rsidRPr="008A3C79">
        <w:rPr>
          <w:rFonts w:asciiTheme="minorHAnsi" w:eastAsia="Batang" w:hAnsiTheme="minorHAnsi"/>
          <w:sz w:val="22"/>
          <w:szCs w:val="22"/>
        </w:rPr>
        <w:t xml:space="preserve"> </w:t>
      </w:r>
      <w:r w:rsidR="00471803" w:rsidRPr="008A3C79">
        <w:rPr>
          <w:rFonts w:asciiTheme="minorHAnsi" w:eastAsia="Batang" w:hAnsiTheme="minorHAnsi"/>
          <w:bCs/>
          <w:sz w:val="22"/>
          <w:szCs w:val="22"/>
          <w:lang w:eastAsia="ko-KR"/>
        </w:rPr>
        <w:t>implementing the Convention’s Strategic Plan</w:t>
      </w:r>
      <w:r w:rsidR="00471803" w:rsidRPr="008A3C79">
        <w:rPr>
          <w:rFonts w:asciiTheme="minorHAnsi" w:eastAsia="Batang" w:hAnsiTheme="minorHAnsi"/>
          <w:sz w:val="22"/>
          <w:szCs w:val="22"/>
        </w:rPr>
        <w:t xml:space="preserve"> in securing funding for the Ramsar Convention and </w:t>
      </w:r>
      <w:r w:rsidR="00AB158F">
        <w:rPr>
          <w:rFonts w:asciiTheme="minorHAnsi" w:eastAsia="Batang" w:hAnsiTheme="minorHAnsi"/>
          <w:sz w:val="22"/>
          <w:szCs w:val="22"/>
        </w:rPr>
        <w:t xml:space="preserve">the implementation </w:t>
      </w:r>
      <w:r w:rsidR="00471803" w:rsidRPr="008A3C79">
        <w:rPr>
          <w:rFonts w:asciiTheme="minorHAnsi" w:eastAsia="Batang" w:hAnsiTheme="minorHAnsi"/>
          <w:sz w:val="22"/>
          <w:szCs w:val="22"/>
        </w:rPr>
        <w:t xml:space="preserve">its </w:t>
      </w:r>
      <w:r w:rsidR="00AB158F">
        <w:rPr>
          <w:rFonts w:asciiTheme="minorHAnsi" w:eastAsia="Batang" w:hAnsiTheme="minorHAnsi"/>
          <w:sz w:val="22"/>
          <w:szCs w:val="22"/>
        </w:rPr>
        <w:t>New Strategic Plan.</w:t>
      </w:r>
    </w:p>
    <w:p w:rsidR="008A3C79" w:rsidRPr="008A3C79" w:rsidRDefault="008A3C79" w:rsidP="00CD54B4">
      <w:pPr>
        <w:pStyle w:val="ListParagraph"/>
        <w:ind w:left="426" w:hanging="426"/>
        <w:rPr>
          <w:rFonts w:asciiTheme="minorHAnsi" w:hAnsiTheme="minorHAnsi"/>
          <w:sz w:val="22"/>
          <w:szCs w:val="22"/>
        </w:rPr>
      </w:pPr>
    </w:p>
    <w:p w:rsidR="00471803" w:rsidRPr="008A3C79" w:rsidRDefault="00471803" w:rsidP="00CD54B4">
      <w:pPr>
        <w:pStyle w:val="ListParagraph"/>
        <w:numPr>
          <w:ilvl w:val="0"/>
          <w:numId w:val="1"/>
        </w:numPr>
        <w:ind w:left="426" w:hanging="426"/>
        <w:rPr>
          <w:rFonts w:asciiTheme="minorHAnsi" w:eastAsia="Batang" w:hAnsiTheme="minorHAnsi"/>
          <w:color w:val="000000"/>
          <w:sz w:val="22"/>
          <w:szCs w:val="22"/>
          <w:lang w:eastAsia="ko-KR"/>
        </w:rPr>
      </w:pPr>
      <w:r w:rsidRPr="008A3C79">
        <w:rPr>
          <w:rFonts w:asciiTheme="minorHAnsi" w:hAnsiTheme="minorHAnsi"/>
          <w:sz w:val="22"/>
          <w:szCs w:val="22"/>
        </w:rPr>
        <w:t xml:space="preserve">Annex </w:t>
      </w:r>
      <w:r w:rsidR="00356899" w:rsidRPr="008A3C79">
        <w:rPr>
          <w:rFonts w:asciiTheme="minorHAnsi" w:hAnsiTheme="minorHAnsi"/>
          <w:sz w:val="22"/>
          <w:szCs w:val="22"/>
        </w:rPr>
        <w:t>1</w:t>
      </w:r>
      <w:r w:rsidRPr="008A3C79">
        <w:rPr>
          <w:rFonts w:asciiTheme="minorHAnsi" w:hAnsiTheme="minorHAnsi"/>
          <w:sz w:val="22"/>
          <w:szCs w:val="22"/>
        </w:rPr>
        <w:t xml:space="preserve"> to </w:t>
      </w:r>
      <w:r w:rsidR="00AB158F">
        <w:rPr>
          <w:rFonts w:asciiTheme="minorHAnsi" w:hAnsiTheme="minorHAnsi"/>
          <w:sz w:val="22"/>
          <w:szCs w:val="22"/>
        </w:rPr>
        <w:t xml:space="preserve">the </w:t>
      </w:r>
      <w:r w:rsidRPr="008A3C79">
        <w:rPr>
          <w:rFonts w:asciiTheme="minorHAnsi" w:hAnsiTheme="minorHAnsi"/>
          <w:sz w:val="22"/>
          <w:szCs w:val="22"/>
        </w:rPr>
        <w:t xml:space="preserve">Draft Resolution on Financial and Budgetary Matters </w:t>
      </w:r>
      <w:r w:rsidRPr="0096581C">
        <w:rPr>
          <w:rFonts w:asciiTheme="minorHAnsi" w:hAnsiTheme="minorHAnsi"/>
          <w:sz w:val="22"/>
          <w:szCs w:val="22"/>
        </w:rPr>
        <w:t>(DR</w:t>
      </w:r>
      <w:r w:rsidR="0096581C" w:rsidRPr="0096581C">
        <w:rPr>
          <w:rFonts w:asciiTheme="minorHAnsi" w:hAnsiTheme="minorHAnsi"/>
          <w:sz w:val="22"/>
          <w:szCs w:val="22"/>
        </w:rPr>
        <w:t>01</w:t>
      </w:r>
      <w:r w:rsidRPr="0096581C">
        <w:rPr>
          <w:rFonts w:asciiTheme="minorHAnsi" w:hAnsiTheme="minorHAnsi"/>
          <w:sz w:val="22"/>
          <w:szCs w:val="22"/>
        </w:rPr>
        <w:t>)</w:t>
      </w:r>
      <w:r w:rsidRPr="008A3C79">
        <w:rPr>
          <w:rFonts w:asciiTheme="minorHAnsi" w:hAnsiTheme="minorHAnsi"/>
          <w:sz w:val="22"/>
          <w:szCs w:val="22"/>
        </w:rPr>
        <w:t xml:space="preserve"> and to this paper provides the </w:t>
      </w:r>
      <w:r w:rsidR="006755E7">
        <w:rPr>
          <w:rFonts w:asciiTheme="minorHAnsi" w:hAnsiTheme="minorHAnsi"/>
          <w:sz w:val="22"/>
          <w:szCs w:val="22"/>
        </w:rPr>
        <w:t xml:space="preserve">core </w:t>
      </w:r>
      <w:r w:rsidRPr="008A3C79">
        <w:rPr>
          <w:rFonts w:asciiTheme="minorHAnsi" w:hAnsiTheme="minorHAnsi"/>
          <w:sz w:val="22"/>
          <w:szCs w:val="22"/>
        </w:rPr>
        <w:t>budget for each of the t</w:t>
      </w:r>
      <w:r w:rsidR="006F073B" w:rsidRPr="008A3C79">
        <w:rPr>
          <w:rFonts w:asciiTheme="minorHAnsi" w:hAnsiTheme="minorHAnsi"/>
          <w:sz w:val="22"/>
          <w:szCs w:val="22"/>
        </w:rPr>
        <w:t>hree</w:t>
      </w:r>
      <w:r w:rsidRPr="008A3C79">
        <w:rPr>
          <w:rFonts w:asciiTheme="minorHAnsi" w:hAnsiTheme="minorHAnsi"/>
          <w:sz w:val="22"/>
          <w:szCs w:val="22"/>
        </w:rPr>
        <w:t xml:space="preserve"> budget </w:t>
      </w:r>
      <w:r w:rsidR="00E9458E" w:rsidRPr="008A3C79">
        <w:rPr>
          <w:rFonts w:asciiTheme="minorHAnsi" w:hAnsiTheme="minorHAnsi"/>
          <w:sz w:val="22"/>
          <w:szCs w:val="22"/>
        </w:rPr>
        <w:t>scenarios</w:t>
      </w:r>
      <w:r w:rsidRPr="008A3C79">
        <w:rPr>
          <w:rFonts w:asciiTheme="minorHAnsi" w:hAnsiTheme="minorHAnsi"/>
          <w:sz w:val="22"/>
          <w:szCs w:val="22"/>
        </w:rPr>
        <w:t xml:space="preserve">. </w:t>
      </w:r>
      <w:r w:rsidRPr="006755E7">
        <w:rPr>
          <w:rFonts w:asciiTheme="minorHAnsi" w:hAnsiTheme="minorHAnsi"/>
          <w:sz w:val="22"/>
          <w:szCs w:val="22"/>
        </w:rPr>
        <w:t xml:space="preserve">Annexes </w:t>
      </w:r>
      <w:r w:rsidR="00C55CAA" w:rsidRPr="006755E7">
        <w:rPr>
          <w:rFonts w:asciiTheme="minorHAnsi" w:hAnsiTheme="minorHAnsi"/>
          <w:sz w:val="22"/>
          <w:szCs w:val="22"/>
        </w:rPr>
        <w:t xml:space="preserve">1, </w:t>
      </w:r>
      <w:r w:rsidR="006755E7" w:rsidRPr="006755E7">
        <w:rPr>
          <w:rFonts w:asciiTheme="minorHAnsi" w:hAnsiTheme="minorHAnsi"/>
          <w:sz w:val="22"/>
          <w:szCs w:val="22"/>
        </w:rPr>
        <w:t>3</w:t>
      </w:r>
      <w:r w:rsidR="00C55CAA" w:rsidRPr="006755E7">
        <w:rPr>
          <w:rFonts w:asciiTheme="minorHAnsi" w:hAnsiTheme="minorHAnsi"/>
          <w:sz w:val="22"/>
          <w:szCs w:val="22"/>
        </w:rPr>
        <w:t xml:space="preserve"> and </w:t>
      </w:r>
      <w:r w:rsidR="006755E7" w:rsidRPr="006755E7">
        <w:rPr>
          <w:rFonts w:asciiTheme="minorHAnsi" w:hAnsiTheme="minorHAnsi"/>
          <w:sz w:val="22"/>
          <w:szCs w:val="22"/>
        </w:rPr>
        <w:t>4</w:t>
      </w:r>
      <w:r w:rsidRPr="008A3C79">
        <w:rPr>
          <w:rFonts w:asciiTheme="minorHAnsi" w:hAnsiTheme="minorHAnsi"/>
          <w:sz w:val="22"/>
          <w:szCs w:val="22"/>
        </w:rPr>
        <w:t xml:space="preserve"> to this paper provide the details of the Core Budget alternatives, the contributions required to fund these alternatives, and the staffing to support 201</w:t>
      </w:r>
      <w:r w:rsidR="006F073B" w:rsidRPr="008A3C79">
        <w:rPr>
          <w:rFonts w:asciiTheme="minorHAnsi" w:hAnsiTheme="minorHAnsi"/>
          <w:sz w:val="22"/>
          <w:szCs w:val="22"/>
        </w:rPr>
        <w:t>6</w:t>
      </w:r>
      <w:r w:rsidRPr="008A3C79">
        <w:rPr>
          <w:rFonts w:asciiTheme="minorHAnsi" w:hAnsiTheme="minorHAnsi"/>
          <w:sz w:val="22"/>
          <w:szCs w:val="22"/>
        </w:rPr>
        <w:t>-201</w:t>
      </w:r>
      <w:r w:rsidR="006F073B" w:rsidRPr="008A3C79">
        <w:rPr>
          <w:rFonts w:asciiTheme="minorHAnsi" w:hAnsiTheme="minorHAnsi"/>
          <w:sz w:val="22"/>
          <w:szCs w:val="22"/>
        </w:rPr>
        <w:t>8</w:t>
      </w:r>
      <w:r w:rsidRPr="008A3C79">
        <w:rPr>
          <w:rFonts w:asciiTheme="minorHAnsi" w:hAnsiTheme="minorHAnsi"/>
          <w:sz w:val="22"/>
          <w:szCs w:val="22"/>
        </w:rPr>
        <w:t xml:space="preserve"> actions. </w:t>
      </w:r>
      <w:r w:rsidR="006755E7">
        <w:rPr>
          <w:rFonts w:asciiTheme="minorHAnsi" w:hAnsiTheme="minorHAnsi"/>
          <w:sz w:val="22"/>
          <w:szCs w:val="22"/>
        </w:rPr>
        <w:t>Annex 2 provides the Non-Core Budget alternatives.</w:t>
      </w:r>
    </w:p>
    <w:p w:rsidR="00471803" w:rsidRPr="008A3C79" w:rsidRDefault="00471803" w:rsidP="00CD54B4">
      <w:pPr>
        <w:ind w:left="426" w:hanging="426"/>
        <w:rPr>
          <w:rFonts w:asciiTheme="minorHAnsi" w:eastAsia="Batang" w:hAnsiTheme="minorHAnsi"/>
          <w:bCs/>
          <w:sz w:val="22"/>
          <w:szCs w:val="22"/>
          <w:lang w:eastAsia="ko-KR"/>
        </w:rPr>
      </w:pPr>
    </w:p>
    <w:p w:rsidR="00471803" w:rsidRPr="008A3C79" w:rsidRDefault="00471803" w:rsidP="00CD54B4">
      <w:pPr>
        <w:ind w:left="426" w:hanging="426"/>
        <w:rPr>
          <w:rFonts w:asciiTheme="minorHAnsi" w:eastAsia="Batang" w:hAnsiTheme="minorHAnsi"/>
          <w:b/>
          <w:bCs/>
          <w:sz w:val="22"/>
          <w:szCs w:val="22"/>
          <w:lang w:eastAsia="ko-KR"/>
        </w:rPr>
      </w:pPr>
      <w:r w:rsidRPr="008A3C79">
        <w:rPr>
          <w:rFonts w:asciiTheme="minorHAnsi" w:eastAsia="Batang" w:hAnsiTheme="minorHAnsi"/>
          <w:b/>
          <w:bCs/>
          <w:sz w:val="22"/>
          <w:szCs w:val="22"/>
          <w:lang w:eastAsia="ko-KR"/>
        </w:rPr>
        <w:t>Core budget</w:t>
      </w:r>
    </w:p>
    <w:p w:rsidR="00471803" w:rsidRPr="008A3C79" w:rsidRDefault="00471803" w:rsidP="00CD54B4">
      <w:pPr>
        <w:ind w:left="426" w:hanging="426"/>
        <w:rPr>
          <w:rFonts w:asciiTheme="minorHAnsi" w:eastAsia="Batang" w:hAnsiTheme="minorHAnsi"/>
          <w:b/>
          <w:bCs/>
          <w:sz w:val="22"/>
          <w:szCs w:val="22"/>
          <w:lang w:eastAsia="ko-KR"/>
        </w:rPr>
      </w:pPr>
    </w:p>
    <w:p w:rsidR="008A3C79" w:rsidRDefault="00471803" w:rsidP="00CD54B4">
      <w:pPr>
        <w:pStyle w:val="ListParagraph"/>
        <w:numPr>
          <w:ilvl w:val="0"/>
          <w:numId w:val="1"/>
        </w:numPr>
        <w:ind w:left="426" w:hanging="426"/>
        <w:rPr>
          <w:rFonts w:asciiTheme="minorHAnsi" w:eastAsia="Batang" w:hAnsiTheme="minorHAnsi"/>
          <w:bCs/>
          <w:sz w:val="22"/>
          <w:szCs w:val="22"/>
          <w:lang w:eastAsia="ko-KR"/>
        </w:rPr>
      </w:pPr>
      <w:r w:rsidRPr="00F50992">
        <w:rPr>
          <w:rFonts w:asciiTheme="minorHAnsi" w:eastAsia="Batang" w:hAnsiTheme="minorHAnsi"/>
          <w:bCs/>
          <w:sz w:val="22"/>
          <w:szCs w:val="22"/>
          <w:lang w:eastAsia="ko-KR"/>
        </w:rPr>
        <w:t xml:space="preserve">Attached in Annex </w:t>
      </w:r>
      <w:r w:rsidR="006755E7">
        <w:rPr>
          <w:rFonts w:asciiTheme="minorHAnsi" w:eastAsia="Batang" w:hAnsiTheme="minorHAnsi"/>
          <w:bCs/>
          <w:sz w:val="22"/>
          <w:szCs w:val="22"/>
          <w:lang w:eastAsia="ko-KR"/>
        </w:rPr>
        <w:t>5</w:t>
      </w:r>
      <w:r w:rsidRPr="00F50992">
        <w:rPr>
          <w:rFonts w:asciiTheme="minorHAnsi" w:eastAsia="Batang" w:hAnsiTheme="minorHAnsi"/>
          <w:bCs/>
          <w:sz w:val="22"/>
          <w:szCs w:val="22"/>
          <w:lang w:eastAsia="ko-KR"/>
        </w:rPr>
        <w:t xml:space="preserve"> is a brief summary of how the Core budget set at </w:t>
      </w:r>
      <w:smartTag w:uri="urn:schemas-microsoft-com:office:smarttags" w:element="stockticker">
        <w:r w:rsidRPr="00F50992">
          <w:rPr>
            <w:rFonts w:asciiTheme="minorHAnsi" w:eastAsia="Batang" w:hAnsiTheme="minorHAnsi"/>
            <w:bCs/>
            <w:sz w:val="22"/>
            <w:szCs w:val="22"/>
            <w:lang w:eastAsia="ko-KR"/>
          </w:rPr>
          <w:t>COP</w:t>
        </w:r>
      </w:smartTag>
      <w:r w:rsidRPr="00F50992">
        <w:rPr>
          <w:rFonts w:asciiTheme="minorHAnsi" w:eastAsia="Batang" w:hAnsiTheme="minorHAnsi"/>
          <w:bCs/>
          <w:sz w:val="22"/>
          <w:szCs w:val="22"/>
          <w:lang w:eastAsia="ko-KR"/>
        </w:rPr>
        <w:t>1</w:t>
      </w:r>
      <w:r w:rsidR="007F2EBB" w:rsidRPr="00F50992">
        <w:rPr>
          <w:rFonts w:asciiTheme="minorHAnsi" w:eastAsia="Batang" w:hAnsiTheme="minorHAnsi"/>
          <w:bCs/>
          <w:sz w:val="22"/>
          <w:szCs w:val="22"/>
          <w:lang w:eastAsia="ko-KR"/>
        </w:rPr>
        <w:t>1</w:t>
      </w:r>
      <w:r w:rsidRPr="00F50992">
        <w:rPr>
          <w:rFonts w:asciiTheme="minorHAnsi" w:eastAsia="Batang" w:hAnsiTheme="minorHAnsi"/>
          <w:bCs/>
          <w:sz w:val="22"/>
          <w:szCs w:val="22"/>
          <w:lang w:eastAsia="ko-KR"/>
        </w:rPr>
        <w:t xml:space="preserve"> has been utilized. Parties will recall that </w:t>
      </w:r>
      <w:smartTag w:uri="urn:schemas-microsoft-com:office:smarttags" w:element="stockticker">
        <w:r w:rsidRPr="00F50992">
          <w:rPr>
            <w:rFonts w:asciiTheme="minorHAnsi" w:eastAsia="Batang" w:hAnsiTheme="minorHAnsi"/>
            <w:bCs/>
            <w:sz w:val="22"/>
            <w:szCs w:val="22"/>
            <w:lang w:eastAsia="ko-KR"/>
          </w:rPr>
          <w:t>COP</w:t>
        </w:r>
      </w:smartTag>
      <w:r w:rsidRPr="00F50992">
        <w:rPr>
          <w:rFonts w:asciiTheme="minorHAnsi" w:eastAsia="Batang" w:hAnsiTheme="minorHAnsi"/>
          <w:bCs/>
          <w:sz w:val="22"/>
          <w:szCs w:val="22"/>
          <w:lang w:eastAsia="ko-KR"/>
        </w:rPr>
        <w:t>1</w:t>
      </w:r>
      <w:r w:rsidR="00F50992" w:rsidRPr="00F50992">
        <w:rPr>
          <w:rFonts w:asciiTheme="minorHAnsi" w:eastAsia="Batang" w:hAnsiTheme="minorHAnsi"/>
          <w:bCs/>
          <w:sz w:val="22"/>
          <w:szCs w:val="22"/>
          <w:lang w:eastAsia="ko-KR"/>
        </w:rPr>
        <w:t>1</w:t>
      </w:r>
      <w:r w:rsidRPr="00F50992">
        <w:rPr>
          <w:rFonts w:asciiTheme="minorHAnsi" w:eastAsia="Batang" w:hAnsiTheme="minorHAnsi"/>
          <w:bCs/>
          <w:sz w:val="22"/>
          <w:szCs w:val="22"/>
          <w:lang w:eastAsia="ko-KR"/>
        </w:rPr>
        <w:t xml:space="preserve"> approved a </w:t>
      </w:r>
      <w:r w:rsidR="00F50992" w:rsidRPr="00F50992">
        <w:rPr>
          <w:rFonts w:asciiTheme="minorHAnsi" w:eastAsia="Batang" w:hAnsiTheme="minorHAnsi"/>
          <w:bCs/>
          <w:sz w:val="22"/>
          <w:szCs w:val="22"/>
          <w:lang w:eastAsia="ko-KR"/>
        </w:rPr>
        <w:t>0</w:t>
      </w:r>
      <w:r w:rsidRPr="00F50992">
        <w:rPr>
          <w:rFonts w:asciiTheme="minorHAnsi" w:eastAsia="Batang" w:hAnsiTheme="minorHAnsi"/>
          <w:bCs/>
          <w:sz w:val="22"/>
          <w:szCs w:val="22"/>
          <w:lang w:eastAsia="ko-KR"/>
        </w:rPr>
        <w:t>% annual increase in contributions from Parties for 20</w:t>
      </w:r>
      <w:r w:rsidR="00F50992" w:rsidRPr="00F50992">
        <w:rPr>
          <w:rFonts w:asciiTheme="minorHAnsi" w:eastAsia="Batang" w:hAnsiTheme="minorHAnsi"/>
          <w:bCs/>
          <w:sz w:val="22"/>
          <w:szCs w:val="22"/>
          <w:lang w:eastAsia="ko-KR"/>
        </w:rPr>
        <w:t>13</w:t>
      </w:r>
      <w:r w:rsidRPr="00F50992">
        <w:rPr>
          <w:rFonts w:asciiTheme="minorHAnsi" w:eastAsia="Batang" w:hAnsiTheme="minorHAnsi"/>
          <w:bCs/>
          <w:sz w:val="22"/>
          <w:szCs w:val="22"/>
          <w:lang w:eastAsia="ko-KR"/>
        </w:rPr>
        <w:t>-201</w:t>
      </w:r>
      <w:r w:rsidR="00F50992" w:rsidRPr="00F50992">
        <w:rPr>
          <w:rFonts w:asciiTheme="minorHAnsi" w:eastAsia="Batang" w:hAnsiTheme="minorHAnsi"/>
          <w:bCs/>
          <w:sz w:val="22"/>
          <w:szCs w:val="22"/>
          <w:lang w:eastAsia="ko-KR"/>
        </w:rPr>
        <w:t>5</w:t>
      </w:r>
      <w:r w:rsidRPr="00F50992">
        <w:rPr>
          <w:rFonts w:asciiTheme="minorHAnsi" w:eastAsia="Batang" w:hAnsiTheme="minorHAnsi"/>
          <w:bCs/>
          <w:sz w:val="22"/>
          <w:szCs w:val="22"/>
          <w:lang w:eastAsia="ko-KR"/>
        </w:rPr>
        <w:t xml:space="preserve">. Annual revisions to the budgets approved by </w:t>
      </w:r>
      <w:smartTag w:uri="urn:schemas-microsoft-com:office:smarttags" w:element="stockticker">
        <w:r w:rsidRPr="00F50992">
          <w:rPr>
            <w:rFonts w:asciiTheme="minorHAnsi" w:eastAsia="Batang" w:hAnsiTheme="minorHAnsi"/>
            <w:bCs/>
            <w:sz w:val="22"/>
            <w:szCs w:val="22"/>
            <w:lang w:eastAsia="ko-KR"/>
          </w:rPr>
          <w:t>COP</w:t>
        </w:r>
      </w:smartTag>
      <w:r w:rsidR="00F50992" w:rsidRPr="00F50992">
        <w:rPr>
          <w:rFonts w:asciiTheme="minorHAnsi" w:eastAsia="Batang" w:hAnsiTheme="minorHAnsi"/>
          <w:bCs/>
          <w:sz w:val="22"/>
          <w:szCs w:val="22"/>
          <w:lang w:eastAsia="ko-KR"/>
        </w:rPr>
        <w:t>11</w:t>
      </w:r>
      <w:r w:rsidRPr="00F50992">
        <w:rPr>
          <w:rFonts w:asciiTheme="minorHAnsi" w:eastAsia="Batang" w:hAnsiTheme="minorHAnsi"/>
          <w:bCs/>
          <w:sz w:val="22"/>
          <w:szCs w:val="22"/>
          <w:lang w:eastAsia="ko-KR"/>
        </w:rPr>
        <w:t xml:space="preserve"> have been agreed with the Standing Committee for 201</w:t>
      </w:r>
      <w:r w:rsidR="00F50992" w:rsidRPr="00F50992">
        <w:rPr>
          <w:rFonts w:asciiTheme="minorHAnsi" w:eastAsia="Batang" w:hAnsiTheme="minorHAnsi"/>
          <w:bCs/>
          <w:sz w:val="22"/>
          <w:szCs w:val="22"/>
          <w:lang w:eastAsia="ko-KR"/>
        </w:rPr>
        <w:t>4</w:t>
      </w:r>
      <w:r w:rsidRPr="00F50992">
        <w:rPr>
          <w:rFonts w:asciiTheme="minorHAnsi" w:eastAsia="Batang" w:hAnsiTheme="minorHAnsi"/>
          <w:bCs/>
          <w:sz w:val="22"/>
          <w:szCs w:val="22"/>
          <w:lang w:eastAsia="ko-KR"/>
        </w:rPr>
        <w:t xml:space="preserve"> and 201</w:t>
      </w:r>
      <w:r w:rsidR="00F50992" w:rsidRPr="00F50992">
        <w:rPr>
          <w:rFonts w:asciiTheme="minorHAnsi" w:eastAsia="Batang" w:hAnsiTheme="minorHAnsi"/>
          <w:bCs/>
          <w:sz w:val="22"/>
          <w:szCs w:val="22"/>
          <w:lang w:eastAsia="ko-KR"/>
        </w:rPr>
        <w:t>5</w:t>
      </w:r>
      <w:r w:rsidRPr="00F50992">
        <w:rPr>
          <w:rFonts w:asciiTheme="minorHAnsi" w:eastAsia="Batang" w:hAnsiTheme="minorHAnsi"/>
          <w:bCs/>
          <w:sz w:val="22"/>
          <w:szCs w:val="22"/>
          <w:lang w:eastAsia="ko-KR"/>
        </w:rPr>
        <w:t xml:space="preserve"> to reflect current realities.</w:t>
      </w:r>
      <w:r w:rsidRPr="008A3C79">
        <w:rPr>
          <w:rFonts w:asciiTheme="minorHAnsi" w:eastAsia="Batang" w:hAnsiTheme="minorHAnsi"/>
          <w:bCs/>
          <w:sz w:val="22"/>
          <w:szCs w:val="22"/>
          <w:lang w:eastAsia="ko-KR"/>
        </w:rPr>
        <w:t xml:space="preserve"> </w:t>
      </w:r>
    </w:p>
    <w:p w:rsidR="008A3C79" w:rsidRDefault="008A3C79" w:rsidP="00CD54B4">
      <w:pPr>
        <w:pStyle w:val="ListParagraph"/>
        <w:ind w:left="426" w:hanging="426"/>
        <w:rPr>
          <w:rFonts w:asciiTheme="minorHAnsi" w:eastAsia="Batang" w:hAnsiTheme="minorHAnsi"/>
          <w:bCs/>
          <w:sz w:val="22"/>
          <w:szCs w:val="22"/>
          <w:lang w:eastAsia="ko-KR"/>
        </w:rPr>
      </w:pPr>
    </w:p>
    <w:p w:rsidR="00471803" w:rsidRPr="008A3C79" w:rsidRDefault="00471803"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hAnsiTheme="minorHAnsi"/>
          <w:sz w:val="22"/>
          <w:szCs w:val="22"/>
        </w:rPr>
        <w:t>The t</w:t>
      </w:r>
      <w:r w:rsidR="00D910C1" w:rsidRPr="008A3C79">
        <w:rPr>
          <w:rFonts w:asciiTheme="minorHAnsi" w:hAnsiTheme="minorHAnsi"/>
          <w:sz w:val="22"/>
          <w:szCs w:val="22"/>
        </w:rPr>
        <w:t>hree</w:t>
      </w:r>
      <w:r w:rsidRPr="008A3C79">
        <w:rPr>
          <w:rFonts w:asciiTheme="minorHAnsi" w:hAnsiTheme="minorHAnsi"/>
          <w:sz w:val="22"/>
          <w:szCs w:val="22"/>
        </w:rPr>
        <w:t xml:space="preserve"> Core budget </w:t>
      </w:r>
      <w:r w:rsidR="00E9458E" w:rsidRPr="008A3C79">
        <w:rPr>
          <w:rFonts w:asciiTheme="minorHAnsi" w:hAnsiTheme="minorHAnsi"/>
          <w:sz w:val="22"/>
          <w:szCs w:val="22"/>
        </w:rPr>
        <w:t>scenarios</w:t>
      </w:r>
      <w:r w:rsidRPr="008A3C79">
        <w:rPr>
          <w:rFonts w:asciiTheme="minorHAnsi" w:hAnsiTheme="minorHAnsi"/>
          <w:sz w:val="22"/>
          <w:szCs w:val="22"/>
        </w:rPr>
        <w:t xml:space="preserve"> for 201</w:t>
      </w:r>
      <w:r w:rsidR="00D910C1" w:rsidRPr="008A3C79">
        <w:rPr>
          <w:rFonts w:asciiTheme="minorHAnsi" w:hAnsiTheme="minorHAnsi"/>
          <w:sz w:val="22"/>
          <w:szCs w:val="22"/>
        </w:rPr>
        <w:t>6</w:t>
      </w:r>
      <w:r w:rsidRPr="008A3C79">
        <w:rPr>
          <w:rFonts w:asciiTheme="minorHAnsi" w:hAnsiTheme="minorHAnsi"/>
          <w:sz w:val="22"/>
          <w:szCs w:val="22"/>
        </w:rPr>
        <w:t>-201</w:t>
      </w:r>
      <w:r w:rsidR="00D910C1" w:rsidRPr="008A3C79">
        <w:rPr>
          <w:rFonts w:asciiTheme="minorHAnsi" w:hAnsiTheme="minorHAnsi"/>
          <w:sz w:val="22"/>
          <w:szCs w:val="22"/>
        </w:rPr>
        <w:t>8</w:t>
      </w:r>
      <w:r w:rsidRPr="008A3C79">
        <w:rPr>
          <w:rFonts w:asciiTheme="minorHAnsi" w:hAnsiTheme="minorHAnsi"/>
          <w:sz w:val="22"/>
          <w:szCs w:val="22"/>
        </w:rPr>
        <w:t xml:space="preserve"> for COP1</w:t>
      </w:r>
      <w:r w:rsidR="00D910C1" w:rsidRPr="008A3C79">
        <w:rPr>
          <w:rFonts w:asciiTheme="minorHAnsi" w:hAnsiTheme="minorHAnsi"/>
          <w:sz w:val="22"/>
          <w:szCs w:val="22"/>
        </w:rPr>
        <w:t>2</w:t>
      </w:r>
      <w:r w:rsidRPr="008A3C79">
        <w:rPr>
          <w:rFonts w:asciiTheme="minorHAnsi" w:hAnsiTheme="minorHAnsi"/>
          <w:sz w:val="22"/>
          <w:szCs w:val="22"/>
        </w:rPr>
        <w:t xml:space="preserve"> consideration are attached in Annex </w:t>
      </w:r>
      <w:r w:rsidR="00E9458E" w:rsidRPr="008A3C79">
        <w:rPr>
          <w:rFonts w:asciiTheme="minorHAnsi" w:hAnsiTheme="minorHAnsi"/>
          <w:sz w:val="22"/>
          <w:szCs w:val="22"/>
        </w:rPr>
        <w:t>1</w:t>
      </w:r>
      <w:r w:rsidRPr="008A3C79">
        <w:rPr>
          <w:rFonts w:asciiTheme="minorHAnsi" w:hAnsiTheme="minorHAnsi"/>
          <w:sz w:val="22"/>
          <w:szCs w:val="22"/>
        </w:rPr>
        <w:t xml:space="preserve">. Annex </w:t>
      </w:r>
      <w:r w:rsidR="00E9458E" w:rsidRPr="008A3C79">
        <w:rPr>
          <w:rFonts w:asciiTheme="minorHAnsi" w:hAnsiTheme="minorHAnsi"/>
          <w:sz w:val="22"/>
          <w:szCs w:val="22"/>
        </w:rPr>
        <w:t>3</w:t>
      </w:r>
      <w:r w:rsidRPr="008A3C79">
        <w:rPr>
          <w:rFonts w:asciiTheme="minorHAnsi" w:hAnsiTheme="minorHAnsi"/>
          <w:sz w:val="22"/>
          <w:szCs w:val="22"/>
        </w:rPr>
        <w:t xml:space="preserve"> provides the indicative contributions by Party for the two alternatives (assuming </w:t>
      </w:r>
      <w:r w:rsidR="00AB158F">
        <w:rPr>
          <w:rFonts w:asciiTheme="minorHAnsi" w:hAnsiTheme="minorHAnsi"/>
          <w:sz w:val="22"/>
          <w:szCs w:val="22"/>
        </w:rPr>
        <w:t xml:space="preserve">no change in the </w:t>
      </w:r>
      <w:r w:rsidRPr="008A3C79">
        <w:rPr>
          <w:rFonts w:asciiTheme="minorHAnsi" w:hAnsiTheme="minorHAnsi"/>
          <w:sz w:val="22"/>
          <w:szCs w:val="22"/>
        </w:rPr>
        <w:t xml:space="preserve">UN Scale of Assessments </w:t>
      </w:r>
      <w:r w:rsidR="00AB158F">
        <w:rPr>
          <w:rFonts w:asciiTheme="minorHAnsi" w:hAnsiTheme="minorHAnsi"/>
          <w:sz w:val="22"/>
          <w:szCs w:val="22"/>
        </w:rPr>
        <w:t>nor in</w:t>
      </w:r>
      <w:r w:rsidR="00AB158F" w:rsidRPr="008A3C79">
        <w:rPr>
          <w:rFonts w:asciiTheme="minorHAnsi" w:hAnsiTheme="minorHAnsi"/>
          <w:sz w:val="22"/>
          <w:szCs w:val="22"/>
        </w:rPr>
        <w:t xml:space="preserve"> </w:t>
      </w:r>
      <w:r w:rsidRPr="008A3C79">
        <w:rPr>
          <w:rFonts w:asciiTheme="minorHAnsi" w:hAnsiTheme="minorHAnsi"/>
          <w:sz w:val="22"/>
          <w:szCs w:val="22"/>
        </w:rPr>
        <w:t>Contracting Party membership).</w:t>
      </w:r>
    </w:p>
    <w:p w:rsidR="00471803" w:rsidRPr="008A3C79" w:rsidRDefault="00471803" w:rsidP="00CD54B4">
      <w:pPr>
        <w:ind w:left="426" w:hanging="426"/>
        <w:rPr>
          <w:rFonts w:asciiTheme="minorHAnsi" w:eastAsia="Batang" w:hAnsiTheme="minorHAnsi"/>
          <w:bCs/>
          <w:sz w:val="22"/>
          <w:szCs w:val="22"/>
          <w:lang w:eastAsia="ko-KR"/>
        </w:rPr>
      </w:pPr>
    </w:p>
    <w:p w:rsidR="00471803" w:rsidRPr="008A3C79" w:rsidRDefault="00471803" w:rsidP="005B5868">
      <w:pPr>
        <w:rPr>
          <w:rFonts w:asciiTheme="minorHAnsi" w:eastAsia="Batang" w:hAnsiTheme="minorHAnsi"/>
          <w:b/>
          <w:bCs/>
          <w:sz w:val="22"/>
          <w:szCs w:val="22"/>
          <w:lang w:eastAsia="ko-KR"/>
        </w:rPr>
      </w:pPr>
      <w:r w:rsidRPr="008A3C79">
        <w:rPr>
          <w:rFonts w:asciiTheme="minorHAnsi" w:eastAsia="Batang" w:hAnsiTheme="minorHAnsi"/>
          <w:b/>
          <w:bCs/>
          <w:sz w:val="22"/>
          <w:szCs w:val="22"/>
          <w:lang w:eastAsia="ko-KR"/>
        </w:rPr>
        <w:t>Core 201</w:t>
      </w:r>
      <w:r w:rsidR="004B18CA" w:rsidRPr="008A3C79">
        <w:rPr>
          <w:rFonts w:asciiTheme="minorHAnsi" w:eastAsia="Batang" w:hAnsiTheme="minorHAnsi"/>
          <w:b/>
          <w:bCs/>
          <w:sz w:val="22"/>
          <w:szCs w:val="22"/>
          <w:lang w:eastAsia="ko-KR"/>
        </w:rPr>
        <w:t>6</w:t>
      </w:r>
      <w:r w:rsidRPr="008A3C79">
        <w:rPr>
          <w:rFonts w:asciiTheme="minorHAnsi" w:eastAsia="Batang" w:hAnsiTheme="minorHAnsi"/>
          <w:b/>
          <w:bCs/>
          <w:sz w:val="22"/>
          <w:szCs w:val="22"/>
          <w:lang w:eastAsia="ko-KR"/>
        </w:rPr>
        <w:t>-201</w:t>
      </w:r>
      <w:r w:rsidR="00100B92" w:rsidRPr="008A3C79">
        <w:rPr>
          <w:rFonts w:asciiTheme="minorHAnsi" w:eastAsia="Batang" w:hAnsiTheme="minorHAnsi"/>
          <w:b/>
          <w:bCs/>
          <w:sz w:val="22"/>
          <w:szCs w:val="22"/>
          <w:lang w:eastAsia="ko-KR"/>
        </w:rPr>
        <w:t>8</w:t>
      </w:r>
      <w:r w:rsidRPr="008A3C79">
        <w:rPr>
          <w:rFonts w:asciiTheme="minorHAnsi" w:eastAsia="Batang" w:hAnsiTheme="minorHAnsi"/>
          <w:b/>
          <w:bCs/>
          <w:sz w:val="22"/>
          <w:szCs w:val="22"/>
          <w:lang w:eastAsia="ko-KR"/>
        </w:rPr>
        <w:t xml:space="preserve"> – Contribution income</w:t>
      </w:r>
    </w:p>
    <w:p w:rsidR="00471803" w:rsidRPr="008A3C79" w:rsidRDefault="00471803" w:rsidP="00CD54B4">
      <w:pPr>
        <w:ind w:left="426" w:hanging="426"/>
        <w:rPr>
          <w:rFonts w:asciiTheme="minorHAnsi" w:eastAsia="Batang" w:hAnsiTheme="minorHAnsi"/>
          <w:b/>
          <w:bCs/>
          <w:sz w:val="22"/>
          <w:szCs w:val="22"/>
          <w:lang w:eastAsia="ko-KR"/>
        </w:rPr>
      </w:pPr>
    </w:p>
    <w:p w:rsidR="00471803" w:rsidRPr="008A3C79" w:rsidRDefault="00471803"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Cs/>
          <w:sz w:val="22"/>
          <w:szCs w:val="22"/>
          <w:lang w:eastAsia="ko-KR"/>
        </w:rPr>
        <w:t>The starting point for the 201</w:t>
      </w:r>
      <w:r w:rsidR="004B18CA" w:rsidRPr="008A3C79">
        <w:rPr>
          <w:rFonts w:asciiTheme="minorHAnsi" w:eastAsia="Batang" w:hAnsiTheme="minorHAnsi"/>
          <w:bCs/>
          <w:sz w:val="22"/>
          <w:szCs w:val="22"/>
          <w:lang w:eastAsia="ko-KR"/>
        </w:rPr>
        <w:t>6</w:t>
      </w:r>
      <w:r w:rsidRPr="008A3C79">
        <w:rPr>
          <w:rFonts w:asciiTheme="minorHAnsi" w:eastAsia="Batang" w:hAnsiTheme="minorHAnsi"/>
          <w:bCs/>
          <w:sz w:val="22"/>
          <w:szCs w:val="22"/>
          <w:lang w:eastAsia="ko-KR"/>
        </w:rPr>
        <w:t>-201</w:t>
      </w:r>
      <w:r w:rsidR="004B18CA" w:rsidRPr="008A3C79">
        <w:rPr>
          <w:rFonts w:asciiTheme="minorHAnsi" w:eastAsia="Batang" w:hAnsiTheme="minorHAnsi"/>
          <w:bCs/>
          <w:sz w:val="22"/>
          <w:szCs w:val="22"/>
          <w:lang w:eastAsia="ko-KR"/>
        </w:rPr>
        <w:t>8</w:t>
      </w:r>
      <w:r w:rsidRPr="008A3C79">
        <w:rPr>
          <w:rFonts w:asciiTheme="minorHAnsi" w:eastAsia="Batang" w:hAnsiTheme="minorHAnsi"/>
          <w:bCs/>
          <w:sz w:val="22"/>
          <w:szCs w:val="22"/>
          <w:lang w:eastAsia="ko-KR"/>
        </w:rPr>
        <w:t xml:space="preserve"> Core </w:t>
      </w:r>
      <w:r w:rsidR="00E9458E" w:rsidRPr="008A3C79">
        <w:rPr>
          <w:rFonts w:asciiTheme="minorHAnsi" w:eastAsia="Batang" w:hAnsiTheme="minorHAnsi"/>
          <w:bCs/>
          <w:sz w:val="22"/>
          <w:szCs w:val="22"/>
          <w:lang w:eastAsia="ko-KR"/>
        </w:rPr>
        <w:t>budgets</w:t>
      </w:r>
      <w:r w:rsidRPr="008A3C79">
        <w:rPr>
          <w:rFonts w:asciiTheme="minorHAnsi" w:eastAsia="Batang" w:hAnsiTheme="minorHAnsi"/>
          <w:bCs/>
          <w:sz w:val="22"/>
          <w:szCs w:val="22"/>
          <w:lang w:eastAsia="ko-KR"/>
        </w:rPr>
        <w:t xml:space="preserve"> is the Core contributions from all Parties for 201</w:t>
      </w:r>
      <w:r w:rsidR="004B18CA" w:rsidRPr="008A3C79">
        <w:rPr>
          <w:rFonts w:asciiTheme="minorHAnsi" w:eastAsia="Batang" w:hAnsiTheme="minorHAnsi"/>
          <w:bCs/>
          <w:sz w:val="22"/>
          <w:szCs w:val="22"/>
          <w:lang w:eastAsia="ko-KR"/>
        </w:rPr>
        <w:t>5</w:t>
      </w:r>
      <w:r w:rsidRPr="008A3C79">
        <w:rPr>
          <w:rFonts w:asciiTheme="minorHAnsi" w:eastAsia="Batang" w:hAnsiTheme="minorHAnsi"/>
          <w:bCs/>
          <w:sz w:val="22"/>
          <w:szCs w:val="22"/>
          <w:lang w:eastAsia="ko-KR"/>
        </w:rPr>
        <w:t>, as approved at COP1</w:t>
      </w:r>
      <w:r w:rsidR="004B18CA" w:rsidRPr="008A3C79">
        <w:rPr>
          <w:rFonts w:asciiTheme="minorHAnsi" w:eastAsia="Batang" w:hAnsiTheme="minorHAnsi"/>
          <w:bCs/>
          <w:sz w:val="22"/>
          <w:szCs w:val="22"/>
          <w:lang w:eastAsia="ko-KR"/>
        </w:rPr>
        <w:t>1</w:t>
      </w:r>
      <w:r w:rsidRPr="008A3C79">
        <w:rPr>
          <w:rFonts w:asciiTheme="minorHAnsi" w:eastAsia="Batang" w:hAnsiTheme="minorHAnsi"/>
          <w:bCs/>
          <w:sz w:val="22"/>
          <w:szCs w:val="22"/>
          <w:lang w:eastAsia="ko-KR"/>
        </w:rPr>
        <w:t xml:space="preserve">. </w:t>
      </w:r>
      <w:r w:rsidR="004B18CA" w:rsidRPr="008A3C79">
        <w:rPr>
          <w:rFonts w:asciiTheme="minorHAnsi" w:eastAsia="Batang" w:hAnsiTheme="minorHAnsi"/>
          <w:bCs/>
          <w:sz w:val="22"/>
          <w:szCs w:val="22"/>
          <w:lang w:eastAsia="ko-KR"/>
        </w:rPr>
        <w:t>Scenario</w:t>
      </w:r>
      <w:r w:rsidRPr="008A3C79">
        <w:rPr>
          <w:rFonts w:asciiTheme="minorHAnsi" w:eastAsia="Batang" w:hAnsiTheme="minorHAnsi"/>
          <w:bCs/>
          <w:sz w:val="22"/>
          <w:szCs w:val="22"/>
          <w:lang w:eastAsia="ko-KR"/>
        </w:rPr>
        <w:t xml:space="preserve"> A assumes that these contributions (in total amount) do </w:t>
      </w:r>
      <w:r w:rsidRPr="008A3C79">
        <w:rPr>
          <w:rFonts w:asciiTheme="minorHAnsi" w:eastAsia="Batang" w:hAnsiTheme="minorHAnsi"/>
          <w:bCs/>
          <w:sz w:val="22"/>
          <w:szCs w:val="22"/>
          <w:lang w:eastAsia="ko-KR"/>
        </w:rPr>
        <w:lastRenderedPageBreak/>
        <w:t>not change for 201</w:t>
      </w:r>
      <w:r w:rsidR="004B18CA" w:rsidRPr="008A3C79">
        <w:rPr>
          <w:rFonts w:asciiTheme="minorHAnsi" w:eastAsia="Batang" w:hAnsiTheme="minorHAnsi"/>
          <w:bCs/>
          <w:sz w:val="22"/>
          <w:szCs w:val="22"/>
          <w:lang w:eastAsia="ko-KR"/>
        </w:rPr>
        <w:t>6</w:t>
      </w:r>
      <w:r w:rsidRPr="008A3C79">
        <w:rPr>
          <w:rFonts w:asciiTheme="minorHAnsi" w:eastAsia="Batang" w:hAnsiTheme="minorHAnsi"/>
          <w:bCs/>
          <w:sz w:val="22"/>
          <w:szCs w:val="22"/>
          <w:lang w:eastAsia="ko-KR"/>
        </w:rPr>
        <w:t>, 201</w:t>
      </w:r>
      <w:r w:rsidR="004B18CA" w:rsidRPr="008A3C79">
        <w:rPr>
          <w:rFonts w:asciiTheme="minorHAnsi" w:eastAsia="Batang" w:hAnsiTheme="minorHAnsi"/>
          <w:bCs/>
          <w:sz w:val="22"/>
          <w:szCs w:val="22"/>
          <w:lang w:eastAsia="ko-KR"/>
        </w:rPr>
        <w:t>7</w:t>
      </w:r>
      <w:r w:rsidRPr="008A3C79">
        <w:rPr>
          <w:rFonts w:asciiTheme="minorHAnsi" w:eastAsia="Batang" w:hAnsiTheme="minorHAnsi"/>
          <w:bCs/>
          <w:sz w:val="22"/>
          <w:szCs w:val="22"/>
          <w:lang w:eastAsia="ko-KR"/>
        </w:rPr>
        <w:t>, and 201</w:t>
      </w:r>
      <w:r w:rsidR="004B18CA" w:rsidRPr="008A3C79">
        <w:rPr>
          <w:rFonts w:asciiTheme="minorHAnsi" w:eastAsia="Batang" w:hAnsiTheme="minorHAnsi"/>
          <w:bCs/>
          <w:sz w:val="22"/>
          <w:szCs w:val="22"/>
          <w:lang w:eastAsia="ko-KR"/>
        </w:rPr>
        <w:t>8</w:t>
      </w:r>
      <w:r w:rsidRPr="008A3C79">
        <w:rPr>
          <w:rFonts w:asciiTheme="minorHAnsi" w:eastAsia="Batang" w:hAnsiTheme="minorHAnsi"/>
          <w:bCs/>
          <w:sz w:val="22"/>
          <w:szCs w:val="22"/>
          <w:lang w:eastAsia="ko-KR"/>
        </w:rPr>
        <w:t xml:space="preserve">. </w:t>
      </w:r>
      <w:r w:rsidR="004B18CA" w:rsidRPr="008A3C79">
        <w:rPr>
          <w:rFonts w:asciiTheme="minorHAnsi" w:eastAsia="Batang" w:hAnsiTheme="minorHAnsi"/>
          <w:bCs/>
          <w:sz w:val="22"/>
          <w:szCs w:val="22"/>
          <w:lang w:eastAsia="ko-KR"/>
        </w:rPr>
        <w:t xml:space="preserve">Scenario </w:t>
      </w:r>
      <w:r w:rsidRPr="008A3C79">
        <w:rPr>
          <w:rFonts w:asciiTheme="minorHAnsi" w:eastAsia="Batang" w:hAnsiTheme="minorHAnsi"/>
          <w:bCs/>
          <w:sz w:val="22"/>
          <w:szCs w:val="22"/>
          <w:lang w:eastAsia="ko-KR"/>
        </w:rPr>
        <w:t xml:space="preserve">B assumes that these contributions increase by 2% </w:t>
      </w:r>
      <w:r w:rsidR="004B18CA" w:rsidRPr="008A3C79">
        <w:rPr>
          <w:rFonts w:asciiTheme="minorHAnsi" w:eastAsia="Batang" w:hAnsiTheme="minorHAnsi"/>
          <w:bCs/>
          <w:sz w:val="22"/>
          <w:szCs w:val="22"/>
          <w:lang w:eastAsia="ko-KR"/>
        </w:rPr>
        <w:t xml:space="preserve">from 2015 and remain the same </w:t>
      </w:r>
      <w:r w:rsidRPr="008A3C79">
        <w:rPr>
          <w:rFonts w:asciiTheme="minorHAnsi" w:eastAsia="Batang" w:hAnsiTheme="minorHAnsi"/>
          <w:bCs/>
          <w:sz w:val="22"/>
          <w:szCs w:val="22"/>
          <w:lang w:eastAsia="ko-KR"/>
        </w:rPr>
        <w:t xml:space="preserve">in each of the three years. </w:t>
      </w:r>
      <w:r w:rsidR="004B18CA" w:rsidRPr="008A3C79">
        <w:rPr>
          <w:rFonts w:asciiTheme="minorHAnsi" w:eastAsia="Batang" w:hAnsiTheme="minorHAnsi"/>
          <w:bCs/>
          <w:sz w:val="22"/>
          <w:szCs w:val="22"/>
          <w:lang w:eastAsia="ko-KR"/>
        </w:rPr>
        <w:t>Scenario C assumes that these contributions increase by 4% from 2015 and remain the same for each of the three years.</w:t>
      </w:r>
    </w:p>
    <w:p w:rsidR="00471803" w:rsidRPr="008A3C79" w:rsidRDefault="00471803" w:rsidP="00CD54B4">
      <w:pPr>
        <w:ind w:left="426" w:hanging="426"/>
        <w:rPr>
          <w:rFonts w:asciiTheme="minorHAnsi" w:eastAsia="Batang" w:hAnsiTheme="minorHAnsi"/>
          <w:b/>
          <w:bCs/>
          <w:sz w:val="22"/>
          <w:szCs w:val="22"/>
          <w:lang w:eastAsia="ko-KR"/>
        </w:rPr>
      </w:pPr>
    </w:p>
    <w:p w:rsidR="00471803" w:rsidRPr="008A3C79" w:rsidRDefault="00471803" w:rsidP="00CD54B4">
      <w:pPr>
        <w:ind w:left="426" w:hanging="426"/>
        <w:rPr>
          <w:rFonts w:asciiTheme="minorHAnsi" w:eastAsia="Batang" w:hAnsiTheme="minorHAnsi"/>
          <w:b/>
          <w:bCs/>
          <w:sz w:val="22"/>
          <w:szCs w:val="22"/>
          <w:lang w:eastAsia="ko-KR"/>
        </w:rPr>
      </w:pPr>
      <w:r w:rsidRPr="008A3C79">
        <w:rPr>
          <w:rFonts w:asciiTheme="minorHAnsi" w:eastAsia="Batang" w:hAnsiTheme="minorHAnsi"/>
          <w:b/>
          <w:bCs/>
          <w:sz w:val="22"/>
          <w:szCs w:val="22"/>
          <w:lang w:eastAsia="ko-KR"/>
        </w:rPr>
        <w:t>Core 201</w:t>
      </w:r>
      <w:r w:rsidR="00100B92" w:rsidRPr="008A3C79">
        <w:rPr>
          <w:rFonts w:asciiTheme="minorHAnsi" w:eastAsia="Batang" w:hAnsiTheme="minorHAnsi"/>
          <w:b/>
          <w:bCs/>
          <w:sz w:val="22"/>
          <w:szCs w:val="22"/>
          <w:lang w:eastAsia="ko-KR"/>
        </w:rPr>
        <w:t>6</w:t>
      </w:r>
      <w:r w:rsidRPr="008A3C79">
        <w:rPr>
          <w:rFonts w:asciiTheme="minorHAnsi" w:eastAsia="Batang" w:hAnsiTheme="minorHAnsi"/>
          <w:b/>
          <w:bCs/>
          <w:sz w:val="22"/>
          <w:szCs w:val="22"/>
          <w:lang w:eastAsia="ko-KR"/>
        </w:rPr>
        <w:t>-201</w:t>
      </w:r>
      <w:r w:rsidR="00100B92" w:rsidRPr="008A3C79">
        <w:rPr>
          <w:rFonts w:asciiTheme="minorHAnsi" w:eastAsia="Batang" w:hAnsiTheme="minorHAnsi"/>
          <w:b/>
          <w:bCs/>
          <w:sz w:val="22"/>
          <w:szCs w:val="22"/>
          <w:lang w:eastAsia="ko-KR"/>
        </w:rPr>
        <w:t>8</w:t>
      </w:r>
      <w:r w:rsidRPr="008A3C79">
        <w:rPr>
          <w:rFonts w:asciiTheme="minorHAnsi" w:eastAsia="Batang" w:hAnsiTheme="minorHAnsi"/>
          <w:b/>
          <w:bCs/>
          <w:sz w:val="22"/>
          <w:szCs w:val="22"/>
          <w:lang w:eastAsia="ko-KR"/>
        </w:rPr>
        <w:t xml:space="preserve"> – Other incomes and expenditure</w:t>
      </w:r>
    </w:p>
    <w:p w:rsidR="00471803" w:rsidRPr="008A3C79" w:rsidRDefault="00471803" w:rsidP="00CD54B4">
      <w:pPr>
        <w:ind w:left="426" w:hanging="426"/>
        <w:rPr>
          <w:rFonts w:asciiTheme="minorHAnsi" w:eastAsia="Batang" w:hAnsiTheme="minorHAnsi"/>
          <w:b/>
          <w:bCs/>
          <w:sz w:val="22"/>
          <w:szCs w:val="22"/>
          <w:lang w:eastAsia="ko-KR"/>
        </w:rPr>
      </w:pPr>
    </w:p>
    <w:p w:rsidR="008A3C79" w:rsidRDefault="00471803"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Cs/>
          <w:sz w:val="22"/>
          <w:szCs w:val="22"/>
          <w:lang w:eastAsia="ko-KR"/>
        </w:rPr>
        <w:t>All other incomes and expenditures for 201</w:t>
      </w:r>
      <w:r w:rsidR="00100B92" w:rsidRPr="008A3C79">
        <w:rPr>
          <w:rFonts w:asciiTheme="minorHAnsi" w:eastAsia="Batang" w:hAnsiTheme="minorHAnsi"/>
          <w:bCs/>
          <w:sz w:val="22"/>
          <w:szCs w:val="22"/>
          <w:lang w:eastAsia="ko-KR"/>
        </w:rPr>
        <w:t>6</w:t>
      </w:r>
      <w:r w:rsidRPr="008A3C79">
        <w:rPr>
          <w:rFonts w:asciiTheme="minorHAnsi" w:eastAsia="Batang" w:hAnsiTheme="minorHAnsi"/>
          <w:bCs/>
          <w:sz w:val="22"/>
          <w:szCs w:val="22"/>
          <w:lang w:eastAsia="ko-KR"/>
        </w:rPr>
        <w:t>-201</w:t>
      </w:r>
      <w:r w:rsidR="00100B92" w:rsidRPr="008A3C79">
        <w:rPr>
          <w:rFonts w:asciiTheme="minorHAnsi" w:eastAsia="Batang" w:hAnsiTheme="minorHAnsi"/>
          <w:bCs/>
          <w:sz w:val="22"/>
          <w:szCs w:val="22"/>
          <w:lang w:eastAsia="ko-KR"/>
        </w:rPr>
        <w:t>8</w:t>
      </w:r>
      <w:r w:rsidRPr="008A3C79">
        <w:rPr>
          <w:rFonts w:asciiTheme="minorHAnsi" w:eastAsia="Batang" w:hAnsiTheme="minorHAnsi"/>
          <w:bCs/>
          <w:sz w:val="22"/>
          <w:szCs w:val="22"/>
          <w:lang w:eastAsia="ko-KR"/>
        </w:rPr>
        <w:t xml:space="preserve"> have been reassessed based on current expectations, working within the overall constraints of paragraph 6 above and guided by the decisions of SC4</w:t>
      </w:r>
      <w:r w:rsidR="00100B92" w:rsidRPr="008A3C79">
        <w:rPr>
          <w:rFonts w:asciiTheme="minorHAnsi" w:eastAsia="Batang" w:hAnsiTheme="minorHAnsi"/>
          <w:bCs/>
          <w:sz w:val="22"/>
          <w:szCs w:val="22"/>
          <w:lang w:eastAsia="ko-KR"/>
        </w:rPr>
        <w:t>8</w:t>
      </w:r>
      <w:r w:rsidR="00E9458E" w:rsidRPr="008A3C79">
        <w:rPr>
          <w:rFonts w:asciiTheme="minorHAnsi" w:eastAsia="Batang" w:hAnsiTheme="minorHAnsi"/>
          <w:bCs/>
          <w:sz w:val="22"/>
          <w:szCs w:val="22"/>
          <w:lang w:eastAsia="ko-KR"/>
        </w:rPr>
        <w:t>. Please refer to Annex 1</w:t>
      </w:r>
      <w:r w:rsidRPr="008A3C79">
        <w:rPr>
          <w:rFonts w:asciiTheme="minorHAnsi" w:eastAsia="Batang" w:hAnsiTheme="minorHAnsi"/>
          <w:bCs/>
          <w:sz w:val="22"/>
          <w:szCs w:val="22"/>
          <w:lang w:eastAsia="ko-KR"/>
        </w:rPr>
        <w:t xml:space="preserve"> for the details. </w:t>
      </w:r>
    </w:p>
    <w:p w:rsidR="008A3C79" w:rsidRDefault="008A3C79" w:rsidP="00CD54B4">
      <w:pPr>
        <w:pStyle w:val="ListParagraph"/>
        <w:ind w:left="426" w:hanging="426"/>
        <w:rPr>
          <w:rFonts w:asciiTheme="minorHAnsi" w:eastAsia="Batang" w:hAnsiTheme="minorHAnsi"/>
          <w:bCs/>
          <w:sz w:val="22"/>
          <w:szCs w:val="22"/>
          <w:lang w:eastAsia="ko-KR"/>
        </w:rPr>
      </w:pPr>
    </w:p>
    <w:p w:rsidR="00471803" w:rsidRPr="00AB158F" w:rsidRDefault="00471803"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Cs/>
          <w:sz w:val="22"/>
          <w:szCs w:val="22"/>
          <w:lang w:eastAsia="ko-KR"/>
        </w:rPr>
        <w:t xml:space="preserve">Further explanation of key elements of the Core budget is provided in </w:t>
      </w:r>
      <w:r w:rsidRPr="00563B46">
        <w:rPr>
          <w:rFonts w:asciiTheme="minorHAnsi" w:eastAsia="Batang" w:hAnsiTheme="minorHAnsi"/>
          <w:bCs/>
          <w:sz w:val="22"/>
          <w:szCs w:val="22"/>
          <w:lang w:eastAsia="ko-KR"/>
        </w:rPr>
        <w:t xml:space="preserve">paragraphs </w:t>
      </w:r>
      <w:r w:rsidR="00F50992" w:rsidRPr="00563B46">
        <w:rPr>
          <w:rFonts w:asciiTheme="minorHAnsi" w:eastAsia="Batang" w:hAnsiTheme="minorHAnsi"/>
          <w:bCs/>
          <w:sz w:val="22"/>
          <w:szCs w:val="22"/>
          <w:lang w:eastAsia="ko-KR"/>
        </w:rPr>
        <w:t>9 to 27</w:t>
      </w:r>
      <w:r w:rsidRPr="00563B46">
        <w:rPr>
          <w:rFonts w:asciiTheme="minorHAnsi" w:eastAsia="Batang" w:hAnsiTheme="minorHAnsi"/>
          <w:bCs/>
          <w:sz w:val="22"/>
          <w:szCs w:val="22"/>
          <w:lang w:eastAsia="ko-KR"/>
        </w:rPr>
        <w:t xml:space="preserve"> below</w:t>
      </w:r>
      <w:r w:rsidRPr="008A3C79">
        <w:rPr>
          <w:rFonts w:asciiTheme="minorHAnsi" w:eastAsia="Batang" w:hAnsiTheme="minorHAnsi"/>
          <w:bCs/>
          <w:sz w:val="22"/>
          <w:szCs w:val="22"/>
          <w:lang w:eastAsia="ko-KR"/>
        </w:rPr>
        <w:t>, taking first the elements where the treatment of the element</w:t>
      </w:r>
      <w:r w:rsidR="00686F58">
        <w:rPr>
          <w:rFonts w:asciiTheme="minorHAnsi" w:eastAsia="Batang" w:hAnsiTheme="minorHAnsi"/>
          <w:bCs/>
          <w:sz w:val="22"/>
          <w:szCs w:val="22"/>
          <w:lang w:eastAsia="ko-KR"/>
        </w:rPr>
        <w:t>s</w:t>
      </w:r>
      <w:r w:rsidRPr="008A3C79">
        <w:rPr>
          <w:rFonts w:asciiTheme="minorHAnsi" w:eastAsia="Batang" w:hAnsiTheme="minorHAnsi"/>
          <w:bCs/>
          <w:sz w:val="22"/>
          <w:szCs w:val="22"/>
          <w:lang w:eastAsia="ko-KR"/>
        </w:rPr>
        <w:t xml:space="preserve"> is consistent in </w:t>
      </w:r>
      <w:r w:rsidR="005C566E" w:rsidRPr="008A3C79">
        <w:rPr>
          <w:rFonts w:asciiTheme="minorHAnsi" w:eastAsia="Batang" w:hAnsiTheme="minorHAnsi"/>
          <w:bCs/>
          <w:sz w:val="22"/>
          <w:szCs w:val="22"/>
          <w:lang w:eastAsia="ko-KR"/>
        </w:rPr>
        <w:t>all</w:t>
      </w:r>
      <w:r w:rsidRPr="008A3C79">
        <w:rPr>
          <w:rFonts w:asciiTheme="minorHAnsi" w:eastAsia="Batang" w:hAnsiTheme="minorHAnsi"/>
          <w:bCs/>
          <w:sz w:val="22"/>
          <w:szCs w:val="22"/>
          <w:lang w:eastAsia="ko-KR"/>
        </w:rPr>
        <w:t xml:space="preserve"> budget versions, and then those </w:t>
      </w:r>
      <w:r w:rsidR="00686F58">
        <w:rPr>
          <w:rFonts w:asciiTheme="minorHAnsi" w:eastAsia="Batang" w:hAnsiTheme="minorHAnsi"/>
          <w:bCs/>
          <w:sz w:val="22"/>
          <w:szCs w:val="22"/>
          <w:lang w:eastAsia="ko-KR"/>
        </w:rPr>
        <w:t xml:space="preserve">elements </w:t>
      </w:r>
      <w:r w:rsidRPr="008A3C79">
        <w:rPr>
          <w:rFonts w:asciiTheme="minorHAnsi" w:eastAsia="Batang" w:hAnsiTheme="minorHAnsi"/>
          <w:bCs/>
          <w:sz w:val="22"/>
          <w:szCs w:val="22"/>
          <w:lang w:eastAsia="ko-KR"/>
        </w:rPr>
        <w:t xml:space="preserve">where the budget assumptions are different. </w:t>
      </w:r>
      <w:r w:rsidRPr="003B495D">
        <w:rPr>
          <w:rFonts w:asciiTheme="minorHAnsi" w:eastAsia="Batang" w:hAnsiTheme="minorHAnsi"/>
          <w:bCs/>
          <w:sz w:val="22"/>
          <w:szCs w:val="22"/>
          <w:lang w:eastAsia="ko-KR"/>
        </w:rPr>
        <w:t xml:space="preserve">Budget version A is considered by the Secretary General to be an </w:t>
      </w:r>
      <w:r w:rsidR="00AB158F" w:rsidRPr="003B495D">
        <w:rPr>
          <w:rFonts w:asciiTheme="minorHAnsi" w:eastAsia="Batang" w:hAnsiTheme="minorHAnsi"/>
          <w:bCs/>
          <w:sz w:val="22"/>
          <w:szCs w:val="22"/>
          <w:lang w:eastAsia="ko-KR"/>
        </w:rPr>
        <w:t xml:space="preserve">unfortunate </w:t>
      </w:r>
      <w:r w:rsidRPr="003B495D">
        <w:rPr>
          <w:rFonts w:asciiTheme="minorHAnsi" w:eastAsia="Batang" w:hAnsiTheme="minorHAnsi"/>
          <w:bCs/>
          <w:sz w:val="22"/>
          <w:szCs w:val="22"/>
          <w:lang w:eastAsia="ko-KR"/>
        </w:rPr>
        <w:t>choice as it will likely reduce Secretariat capacity over the triennium (see paragraphs 19 to 22 below).</w:t>
      </w:r>
    </w:p>
    <w:p w:rsidR="00471803" w:rsidRPr="008A3C79" w:rsidRDefault="00471803" w:rsidP="00CD54B4">
      <w:pPr>
        <w:ind w:left="426" w:hanging="426"/>
        <w:rPr>
          <w:rFonts w:asciiTheme="minorHAnsi" w:eastAsia="Batang" w:hAnsiTheme="minorHAnsi"/>
          <w:b/>
          <w:bCs/>
          <w:sz w:val="22"/>
          <w:szCs w:val="22"/>
          <w:lang w:eastAsia="ko-KR"/>
        </w:rPr>
      </w:pPr>
    </w:p>
    <w:p w:rsidR="00471803" w:rsidRPr="008A3C79" w:rsidRDefault="00471803" w:rsidP="00CD54B4">
      <w:pPr>
        <w:ind w:left="426" w:hanging="426"/>
        <w:rPr>
          <w:rFonts w:asciiTheme="minorHAnsi" w:eastAsia="Batang" w:hAnsiTheme="minorHAnsi"/>
          <w:b/>
          <w:bCs/>
          <w:sz w:val="22"/>
          <w:szCs w:val="22"/>
          <w:lang w:eastAsia="ko-KR"/>
        </w:rPr>
      </w:pPr>
      <w:r w:rsidRPr="008A3C79">
        <w:rPr>
          <w:rFonts w:asciiTheme="minorHAnsi" w:eastAsia="Batang" w:hAnsiTheme="minorHAnsi"/>
          <w:b/>
          <w:bCs/>
          <w:sz w:val="22"/>
          <w:szCs w:val="22"/>
          <w:lang w:eastAsia="ko-KR"/>
        </w:rPr>
        <w:t xml:space="preserve">Core expenditure assumptions consistent in </w:t>
      </w:r>
      <w:r w:rsidR="00100B92" w:rsidRPr="008A3C79">
        <w:rPr>
          <w:rFonts w:asciiTheme="minorHAnsi" w:eastAsia="Batang" w:hAnsiTheme="minorHAnsi"/>
          <w:b/>
          <w:bCs/>
          <w:sz w:val="22"/>
          <w:szCs w:val="22"/>
          <w:lang w:eastAsia="ko-KR"/>
        </w:rPr>
        <w:t>Scenarios A, B and C</w:t>
      </w:r>
    </w:p>
    <w:p w:rsidR="00471803" w:rsidRPr="008A3C79" w:rsidRDefault="00471803" w:rsidP="00CD54B4">
      <w:pPr>
        <w:ind w:left="426" w:hanging="426"/>
        <w:rPr>
          <w:rFonts w:asciiTheme="minorHAnsi" w:eastAsia="Batang" w:hAnsiTheme="minorHAnsi"/>
          <w:bCs/>
          <w:sz w:val="22"/>
          <w:szCs w:val="22"/>
          <w:lang w:eastAsia="ko-KR"/>
        </w:rPr>
      </w:pPr>
    </w:p>
    <w:p w:rsidR="008A3C79" w:rsidRDefault="00471803"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Cs/>
          <w:sz w:val="22"/>
          <w:szCs w:val="22"/>
          <w:lang w:eastAsia="ko-KR"/>
        </w:rPr>
        <w:t>No changes in hosting arrangements for the Secretariat are anticipated. The budgets assume continued hosting by IUCN under the Letter of Agreement with IUCN signed in 2009. The charges are renegotiated annually</w:t>
      </w:r>
      <w:r w:rsidR="00100B92" w:rsidRPr="008A3C79">
        <w:rPr>
          <w:rFonts w:asciiTheme="minorHAnsi" w:eastAsia="Batang" w:hAnsiTheme="minorHAnsi"/>
          <w:bCs/>
          <w:sz w:val="22"/>
          <w:szCs w:val="22"/>
          <w:lang w:eastAsia="ko-KR"/>
        </w:rPr>
        <w:t xml:space="preserve">. </w:t>
      </w:r>
      <w:r w:rsidR="00C65800" w:rsidRPr="008A3C79">
        <w:rPr>
          <w:rFonts w:asciiTheme="minorHAnsi" w:eastAsia="Batang" w:hAnsiTheme="minorHAnsi"/>
          <w:bCs/>
          <w:sz w:val="22"/>
          <w:szCs w:val="22"/>
          <w:lang w:eastAsia="ko-KR"/>
        </w:rPr>
        <w:t>In 2015, negotiations</w:t>
      </w:r>
      <w:r w:rsidR="00AB158F">
        <w:rPr>
          <w:rFonts w:asciiTheme="minorHAnsi" w:eastAsia="Batang" w:hAnsiTheme="minorHAnsi"/>
          <w:bCs/>
          <w:sz w:val="22"/>
          <w:szCs w:val="22"/>
          <w:lang w:eastAsia="ko-KR"/>
        </w:rPr>
        <w:t xml:space="preserve"> will start on renegotiation of</w:t>
      </w:r>
      <w:r w:rsidR="00C65800" w:rsidRPr="008A3C79">
        <w:rPr>
          <w:rFonts w:asciiTheme="minorHAnsi" w:eastAsia="Batang" w:hAnsiTheme="minorHAnsi"/>
          <w:bCs/>
          <w:sz w:val="22"/>
          <w:szCs w:val="22"/>
          <w:lang w:eastAsia="ko-KR"/>
        </w:rPr>
        <w:t xml:space="preserve"> </w:t>
      </w:r>
      <w:r w:rsidR="00AB158F" w:rsidRPr="008A3C79">
        <w:rPr>
          <w:rFonts w:asciiTheme="minorHAnsi" w:eastAsia="Batang" w:hAnsiTheme="minorHAnsi"/>
          <w:bCs/>
          <w:sz w:val="22"/>
          <w:szCs w:val="22"/>
          <w:lang w:eastAsia="ko-KR"/>
        </w:rPr>
        <w:t xml:space="preserve">the Letter of Agreement </w:t>
      </w:r>
      <w:r w:rsidR="00AB158F">
        <w:rPr>
          <w:rFonts w:asciiTheme="minorHAnsi" w:eastAsia="Batang" w:hAnsiTheme="minorHAnsi"/>
          <w:bCs/>
          <w:sz w:val="22"/>
          <w:szCs w:val="22"/>
          <w:lang w:eastAsia="ko-KR"/>
        </w:rPr>
        <w:t>as requested by Parties (SC48-17)</w:t>
      </w:r>
      <w:r w:rsidR="00DE1B27">
        <w:rPr>
          <w:rFonts w:asciiTheme="minorHAnsi" w:eastAsia="Batang" w:hAnsiTheme="minorHAnsi"/>
          <w:bCs/>
          <w:sz w:val="22"/>
          <w:szCs w:val="22"/>
          <w:lang w:eastAsia="ko-KR"/>
        </w:rPr>
        <w:t>. Discussion will include the</w:t>
      </w:r>
      <w:r w:rsidR="00C65800" w:rsidRPr="008A3C79">
        <w:rPr>
          <w:rFonts w:asciiTheme="minorHAnsi" w:eastAsia="Batang" w:hAnsiTheme="minorHAnsi"/>
          <w:bCs/>
          <w:sz w:val="22"/>
          <w:szCs w:val="22"/>
          <w:lang w:eastAsia="ko-KR"/>
        </w:rPr>
        <w:t xml:space="preserve"> service fees </w:t>
      </w:r>
      <w:r w:rsidR="00DE1B27">
        <w:rPr>
          <w:rFonts w:asciiTheme="minorHAnsi" w:eastAsia="Batang" w:hAnsiTheme="minorHAnsi"/>
          <w:bCs/>
          <w:sz w:val="22"/>
          <w:szCs w:val="22"/>
          <w:lang w:eastAsia="ko-KR"/>
        </w:rPr>
        <w:t>taking into account</w:t>
      </w:r>
      <w:r w:rsidR="00C65800" w:rsidRPr="008A3C79">
        <w:rPr>
          <w:rFonts w:asciiTheme="minorHAnsi" w:eastAsia="Batang" w:hAnsiTheme="minorHAnsi"/>
          <w:bCs/>
          <w:sz w:val="22"/>
          <w:szCs w:val="22"/>
          <w:lang w:eastAsia="ko-KR"/>
        </w:rPr>
        <w:t xml:space="preserve">: i) a new accounting system implemented by IUCN </w:t>
      </w:r>
      <w:r w:rsidR="00DE1B27">
        <w:rPr>
          <w:rFonts w:asciiTheme="minorHAnsi" w:eastAsia="Batang" w:hAnsiTheme="minorHAnsi"/>
          <w:bCs/>
          <w:sz w:val="22"/>
          <w:szCs w:val="22"/>
          <w:lang w:eastAsia="ko-KR"/>
        </w:rPr>
        <w:t xml:space="preserve">that has increased </w:t>
      </w:r>
      <w:r w:rsidR="00C65800" w:rsidRPr="008A3C79">
        <w:rPr>
          <w:rFonts w:asciiTheme="minorHAnsi" w:eastAsia="Batang" w:hAnsiTheme="minorHAnsi"/>
          <w:bCs/>
          <w:sz w:val="22"/>
          <w:szCs w:val="22"/>
          <w:lang w:eastAsia="ko-KR"/>
        </w:rPr>
        <w:t xml:space="preserve">Ramsar </w:t>
      </w:r>
      <w:r w:rsidR="00DE1B27">
        <w:rPr>
          <w:rFonts w:asciiTheme="minorHAnsi" w:eastAsia="Batang" w:hAnsiTheme="minorHAnsi"/>
          <w:bCs/>
          <w:sz w:val="22"/>
          <w:szCs w:val="22"/>
          <w:lang w:eastAsia="ko-KR"/>
        </w:rPr>
        <w:t>staff workload</w:t>
      </w:r>
      <w:r w:rsidR="00C65800" w:rsidRPr="008A3C79">
        <w:rPr>
          <w:rFonts w:asciiTheme="minorHAnsi" w:eastAsia="Batang" w:hAnsiTheme="minorHAnsi"/>
          <w:bCs/>
          <w:sz w:val="22"/>
          <w:szCs w:val="22"/>
          <w:lang w:eastAsia="ko-KR"/>
        </w:rPr>
        <w:t xml:space="preserve">, and ii) review of the service fees </w:t>
      </w:r>
      <w:r w:rsidR="00DE1B27">
        <w:rPr>
          <w:rFonts w:asciiTheme="minorHAnsi" w:eastAsia="Batang" w:hAnsiTheme="minorHAnsi"/>
          <w:bCs/>
          <w:sz w:val="22"/>
          <w:szCs w:val="22"/>
          <w:lang w:eastAsia="ko-KR"/>
        </w:rPr>
        <w:t>against delivered services</w:t>
      </w:r>
      <w:r w:rsidR="00C65800" w:rsidRPr="008A3C79">
        <w:rPr>
          <w:rFonts w:asciiTheme="minorHAnsi" w:eastAsia="Batang" w:hAnsiTheme="minorHAnsi"/>
          <w:bCs/>
          <w:sz w:val="22"/>
          <w:szCs w:val="22"/>
          <w:lang w:eastAsia="ko-KR"/>
        </w:rPr>
        <w:t xml:space="preserve">. All scenarios assume the service fees to be reduced to CHF 540,000 (from CHF 566,000 in 2013-2015 budgets). The 2016-2018 service fees of CHF 540,000 represent </w:t>
      </w:r>
      <w:r w:rsidR="002F392C" w:rsidRPr="008A3C79">
        <w:rPr>
          <w:rFonts w:asciiTheme="minorHAnsi" w:eastAsia="Batang" w:hAnsiTheme="minorHAnsi"/>
          <w:bCs/>
          <w:sz w:val="22"/>
          <w:szCs w:val="22"/>
          <w:lang w:eastAsia="ko-KR"/>
        </w:rPr>
        <w:t>10-11% of the total Core expenditure budget lines and do not exceed the</w:t>
      </w:r>
      <w:r w:rsidRPr="008A3C79">
        <w:rPr>
          <w:rFonts w:asciiTheme="minorHAnsi" w:eastAsia="Batang" w:hAnsiTheme="minorHAnsi"/>
          <w:bCs/>
          <w:sz w:val="22"/>
          <w:szCs w:val="22"/>
          <w:lang w:eastAsia="ko-KR"/>
        </w:rPr>
        <w:t xml:space="preserve"> 13% </w:t>
      </w:r>
      <w:r w:rsidR="002F392C" w:rsidRPr="008A3C79">
        <w:rPr>
          <w:rFonts w:asciiTheme="minorHAnsi" w:eastAsia="Batang" w:hAnsiTheme="minorHAnsi"/>
          <w:bCs/>
          <w:sz w:val="22"/>
          <w:szCs w:val="22"/>
          <w:lang w:eastAsia="ko-KR"/>
        </w:rPr>
        <w:t xml:space="preserve">maximum </w:t>
      </w:r>
      <w:r w:rsidRPr="008A3C79">
        <w:rPr>
          <w:rFonts w:asciiTheme="minorHAnsi" w:eastAsia="Batang" w:hAnsiTheme="minorHAnsi"/>
          <w:bCs/>
          <w:sz w:val="22"/>
          <w:szCs w:val="22"/>
          <w:lang w:eastAsia="ko-KR"/>
        </w:rPr>
        <w:t>introduced by decision SC37-41(2008) and now included in paragraph 12 of Draft Resolution COP1</w:t>
      </w:r>
      <w:r w:rsidR="00A26360" w:rsidRPr="008A3C79">
        <w:rPr>
          <w:rFonts w:asciiTheme="minorHAnsi" w:eastAsia="Batang" w:hAnsiTheme="minorHAnsi"/>
          <w:bCs/>
          <w:sz w:val="22"/>
          <w:szCs w:val="22"/>
          <w:lang w:eastAsia="ko-KR"/>
        </w:rPr>
        <w:t>2</w:t>
      </w:r>
      <w:r w:rsidRPr="008A3C79">
        <w:rPr>
          <w:rFonts w:asciiTheme="minorHAnsi" w:eastAsia="Batang" w:hAnsiTheme="minorHAnsi"/>
          <w:bCs/>
          <w:sz w:val="22"/>
          <w:szCs w:val="22"/>
          <w:lang w:eastAsia="ko-KR"/>
        </w:rPr>
        <w:t xml:space="preserve"> </w:t>
      </w:r>
      <w:r w:rsidRPr="005F1C90">
        <w:rPr>
          <w:rFonts w:asciiTheme="minorHAnsi" w:eastAsia="Batang" w:hAnsiTheme="minorHAnsi"/>
          <w:bCs/>
          <w:sz w:val="22"/>
          <w:szCs w:val="22"/>
          <w:lang w:eastAsia="ko-KR"/>
        </w:rPr>
        <w:t>DR</w:t>
      </w:r>
      <w:r w:rsidR="005F1C90" w:rsidRPr="005F1C90">
        <w:rPr>
          <w:rFonts w:asciiTheme="minorHAnsi" w:eastAsia="Batang" w:hAnsiTheme="minorHAnsi"/>
          <w:bCs/>
          <w:sz w:val="22"/>
          <w:szCs w:val="22"/>
          <w:lang w:eastAsia="ko-KR"/>
        </w:rPr>
        <w:t>1</w:t>
      </w:r>
      <w:r w:rsidRPr="008A3C79">
        <w:rPr>
          <w:rFonts w:asciiTheme="minorHAnsi" w:eastAsia="Batang" w:hAnsiTheme="minorHAnsi"/>
          <w:bCs/>
          <w:sz w:val="22"/>
          <w:szCs w:val="22"/>
          <w:lang w:eastAsia="ko-KR"/>
        </w:rPr>
        <w:t>.</w:t>
      </w:r>
    </w:p>
    <w:p w:rsidR="008A3C79" w:rsidRDefault="008A3C79" w:rsidP="00CD54B4">
      <w:pPr>
        <w:pStyle w:val="ListParagraph"/>
        <w:ind w:left="426" w:hanging="426"/>
        <w:rPr>
          <w:rFonts w:asciiTheme="minorHAnsi" w:eastAsia="Batang" w:hAnsiTheme="minorHAnsi"/>
          <w:bCs/>
          <w:sz w:val="22"/>
          <w:szCs w:val="22"/>
          <w:lang w:eastAsia="ko-KR"/>
        </w:rPr>
      </w:pPr>
    </w:p>
    <w:p w:rsidR="008A3C79" w:rsidRDefault="00471803" w:rsidP="00CD54B4">
      <w:pPr>
        <w:pStyle w:val="ListParagraph"/>
        <w:numPr>
          <w:ilvl w:val="0"/>
          <w:numId w:val="1"/>
        </w:numPr>
        <w:ind w:left="426" w:hanging="426"/>
        <w:rPr>
          <w:rFonts w:asciiTheme="minorHAnsi" w:eastAsia="Batang" w:hAnsiTheme="minorHAnsi"/>
          <w:bCs/>
          <w:sz w:val="22"/>
          <w:szCs w:val="22"/>
          <w:lang w:eastAsia="ko-KR"/>
        </w:rPr>
      </w:pPr>
      <w:r w:rsidRPr="003B495D">
        <w:rPr>
          <w:rFonts w:asciiTheme="minorHAnsi" w:eastAsia="Batang" w:hAnsiTheme="minorHAnsi"/>
          <w:b/>
          <w:bCs/>
          <w:sz w:val="22"/>
          <w:szCs w:val="22"/>
          <w:lang w:eastAsia="ko-KR"/>
        </w:rPr>
        <w:t>Sta</w:t>
      </w:r>
      <w:r w:rsidRPr="008A3C79">
        <w:rPr>
          <w:rFonts w:asciiTheme="minorHAnsi" w:eastAsia="Batang" w:hAnsiTheme="minorHAnsi"/>
          <w:b/>
          <w:bCs/>
          <w:sz w:val="22"/>
          <w:szCs w:val="22"/>
          <w:lang w:eastAsia="ko-KR"/>
        </w:rPr>
        <w:t>ffing</w:t>
      </w:r>
      <w:r w:rsidRPr="008A3C79">
        <w:rPr>
          <w:rFonts w:asciiTheme="minorHAnsi" w:eastAsia="Batang" w:hAnsiTheme="minorHAnsi"/>
          <w:bCs/>
          <w:sz w:val="22"/>
          <w:szCs w:val="22"/>
          <w:lang w:eastAsia="ko-KR"/>
        </w:rPr>
        <w:t xml:space="preserve">. </w:t>
      </w:r>
      <w:r w:rsidR="00CF7EDF" w:rsidRPr="008A3C79">
        <w:rPr>
          <w:rFonts w:asciiTheme="minorHAnsi" w:eastAsia="Batang" w:hAnsiTheme="minorHAnsi"/>
          <w:bCs/>
          <w:sz w:val="22"/>
          <w:szCs w:val="22"/>
          <w:lang w:eastAsia="ko-KR"/>
        </w:rPr>
        <w:t>All three Core budget scenarios</w:t>
      </w:r>
      <w:r w:rsidRPr="008A3C79">
        <w:rPr>
          <w:rFonts w:asciiTheme="minorHAnsi" w:eastAsia="Batang" w:hAnsiTheme="minorHAnsi"/>
          <w:bCs/>
          <w:sz w:val="22"/>
          <w:szCs w:val="22"/>
          <w:lang w:eastAsia="ko-KR"/>
        </w:rPr>
        <w:t xml:space="preserve"> assume the continuation of the 2</w:t>
      </w:r>
      <w:r w:rsidR="00CF7EDF" w:rsidRPr="008A3C79">
        <w:rPr>
          <w:rFonts w:asciiTheme="minorHAnsi" w:eastAsia="Batang" w:hAnsiTheme="minorHAnsi"/>
          <w:bCs/>
          <w:sz w:val="22"/>
          <w:szCs w:val="22"/>
          <w:lang w:eastAsia="ko-KR"/>
        </w:rPr>
        <w:t>6</w:t>
      </w:r>
      <w:r w:rsidRPr="008A3C79">
        <w:rPr>
          <w:rFonts w:asciiTheme="minorHAnsi" w:eastAsia="Batang" w:hAnsiTheme="minorHAnsi"/>
          <w:bCs/>
          <w:sz w:val="22"/>
          <w:szCs w:val="22"/>
          <w:lang w:eastAsia="ko-KR"/>
        </w:rPr>
        <w:t xml:space="preserve"> positions </w:t>
      </w:r>
      <w:r w:rsidR="00CF7EDF" w:rsidRPr="008A3C79">
        <w:rPr>
          <w:rFonts w:asciiTheme="minorHAnsi" w:eastAsia="Batang" w:hAnsiTheme="minorHAnsi"/>
          <w:bCs/>
          <w:sz w:val="22"/>
          <w:szCs w:val="22"/>
          <w:lang w:eastAsia="ko-KR"/>
        </w:rPr>
        <w:t xml:space="preserve">(24.5 full-time equivalents) </w:t>
      </w:r>
      <w:r w:rsidRPr="008A3C79">
        <w:rPr>
          <w:rFonts w:asciiTheme="minorHAnsi" w:eastAsia="Batang" w:hAnsiTheme="minorHAnsi"/>
          <w:bCs/>
          <w:sz w:val="22"/>
          <w:szCs w:val="22"/>
          <w:lang w:eastAsia="ko-KR"/>
        </w:rPr>
        <w:t xml:space="preserve">listed in Annex </w:t>
      </w:r>
      <w:r w:rsidR="00CF7EDF" w:rsidRPr="008A3C79">
        <w:rPr>
          <w:rFonts w:asciiTheme="minorHAnsi" w:eastAsia="Batang" w:hAnsiTheme="minorHAnsi"/>
          <w:bCs/>
          <w:sz w:val="22"/>
          <w:szCs w:val="22"/>
          <w:lang w:eastAsia="ko-KR"/>
        </w:rPr>
        <w:t>4</w:t>
      </w:r>
      <w:r w:rsidRPr="008A3C79">
        <w:rPr>
          <w:rFonts w:asciiTheme="minorHAnsi" w:eastAsia="Batang" w:hAnsiTheme="minorHAnsi"/>
          <w:bCs/>
          <w:sz w:val="22"/>
          <w:szCs w:val="22"/>
          <w:lang w:eastAsia="ko-KR"/>
        </w:rPr>
        <w:t xml:space="preserve">. In </w:t>
      </w:r>
      <w:r w:rsidR="00CF7EDF" w:rsidRPr="008A3C79">
        <w:rPr>
          <w:rFonts w:asciiTheme="minorHAnsi" w:eastAsia="Batang" w:hAnsiTheme="minorHAnsi"/>
          <w:bCs/>
          <w:sz w:val="22"/>
          <w:szCs w:val="22"/>
          <w:lang w:eastAsia="ko-KR"/>
        </w:rPr>
        <w:t>all scenarios</w:t>
      </w:r>
      <w:r w:rsidRPr="008A3C79">
        <w:rPr>
          <w:rFonts w:asciiTheme="minorHAnsi" w:eastAsia="Batang" w:hAnsiTheme="minorHAnsi"/>
          <w:bCs/>
          <w:sz w:val="22"/>
          <w:szCs w:val="22"/>
          <w:lang w:eastAsia="ko-KR"/>
        </w:rPr>
        <w:t xml:space="preserve">, payroll costs represent approximately 66% of the Core budget. </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8A3C79" w:rsidRDefault="00D601C4"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Other Employment Benefits</w:t>
      </w:r>
      <w:r w:rsidRPr="008A3C79">
        <w:rPr>
          <w:rFonts w:asciiTheme="minorHAnsi" w:eastAsia="Batang" w:hAnsiTheme="minorHAnsi"/>
          <w:bCs/>
          <w:sz w:val="22"/>
          <w:szCs w:val="22"/>
          <w:lang w:eastAsia="ko-KR"/>
        </w:rPr>
        <w:t xml:space="preserve">. </w:t>
      </w:r>
      <w:r w:rsidR="001F686A" w:rsidRPr="008A3C79">
        <w:rPr>
          <w:rFonts w:asciiTheme="minorHAnsi" w:eastAsia="Batang" w:hAnsiTheme="minorHAnsi"/>
          <w:bCs/>
          <w:sz w:val="22"/>
          <w:szCs w:val="22"/>
          <w:lang w:eastAsia="ko-KR"/>
        </w:rPr>
        <w:t xml:space="preserve">Other employment benefits consist of </w:t>
      </w:r>
      <w:r w:rsidR="00771583" w:rsidRPr="008A3C79">
        <w:rPr>
          <w:rFonts w:asciiTheme="minorHAnsi" w:eastAsia="Batang" w:hAnsiTheme="minorHAnsi"/>
          <w:bCs/>
          <w:sz w:val="22"/>
          <w:szCs w:val="22"/>
          <w:lang w:eastAsia="ko-KR"/>
        </w:rPr>
        <w:t>home leave (expatriates), child education allowance and relocation costs</w:t>
      </w:r>
      <w:r w:rsidR="001F686A" w:rsidRPr="008A3C79">
        <w:rPr>
          <w:rFonts w:asciiTheme="minorHAnsi" w:eastAsia="Batang" w:hAnsiTheme="minorHAnsi"/>
          <w:bCs/>
          <w:sz w:val="22"/>
          <w:szCs w:val="22"/>
          <w:lang w:eastAsia="ko-KR"/>
        </w:rPr>
        <w:t xml:space="preserve">. There are slight changes to </w:t>
      </w:r>
      <w:r w:rsidR="00771583" w:rsidRPr="008A3C79">
        <w:rPr>
          <w:rFonts w:asciiTheme="minorHAnsi" w:eastAsia="Batang" w:hAnsiTheme="minorHAnsi"/>
          <w:bCs/>
          <w:sz w:val="22"/>
          <w:szCs w:val="22"/>
          <w:lang w:eastAsia="ko-KR"/>
        </w:rPr>
        <w:t>“other employment benefits” to account for cost increases</w:t>
      </w:r>
      <w:r w:rsidRPr="008A3C79">
        <w:rPr>
          <w:rFonts w:asciiTheme="minorHAnsi" w:eastAsia="Batang" w:hAnsiTheme="minorHAnsi"/>
          <w:bCs/>
          <w:sz w:val="22"/>
          <w:szCs w:val="22"/>
          <w:lang w:eastAsia="ko-KR"/>
        </w:rPr>
        <w:t>.</w:t>
      </w:r>
      <w:r w:rsidR="00771583" w:rsidRPr="008A3C79">
        <w:rPr>
          <w:rFonts w:asciiTheme="minorHAnsi" w:eastAsia="Batang" w:hAnsiTheme="minorHAnsi"/>
          <w:bCs/>
          <w:sz w:val="22"/>
          <w:szCs w:val="22"/>
          <w:lang w:eastAsia="ko-KR"/>
        </w:rPr>
        <w:t xml:space="preserve"> The exception is the senior management budget with a decrease of CHF 13,000 from 2015 due to </w:t>
      </w:r>
      <w:r w:rsidR="00DE1B27">
        <w:rPr>
          <w:rFonts w:asciiTheme="minorHAnsi" w:eastAsia="Batang" w:hAnsiTheme="minorHAnsi"/>
          <w:bCs/>
          <w:sz w:val="22"/>
          <w:szCs w:val="22"/>
          <w:lang w:eastAsia="ko-KR"/>
        </w:rPr>
        <w:t>the</w:t>
      </w:r>
      <w:r w:rsidR="00DE1B27" w:rsidRPr="008A3C79">
        <w:rPr>
          <w:rFonts w:asciiTheme="minorHAnsi" w:eastAsia="Batang" w:hAnsiTheme="minorHAnsi"/>
          <w:bCs/>
          <w:sz w:val="22"/>
          <w:szCs w:val="22"/>
          <w:lang w:eastAsia="ko-KR"/>
        </w:rPr>
        <w:t xml:space="preserve"> </w:t>
      </w:r>
      <w:r w:rsidR="00771583" w:rsidRPr="008A3C79">
        <w:rPr>
          <w:rFonts w:asciiTheme="minorHAnsi" w:eastAsia="Batang" w:hAnsiTheme="minorHAnsi"/>
          <w:bCs/>
          <w:sz w:val="22"/>
          <w:szCs w:val="22"/>
          <w:lang w:eastAsia="ko-KR"/>
        </w:rPr>
        <w:t xml:space="preserve">allowance </w:t>
      </w:r>
      <w:r w:rsidR="00DE1B27">
        <w:rPr>
          <w:rFonts w:asciiTheme="minorHAnsi" w:eastAsia="Batang" w:hAnsiTheme="minorHAnsi"/>
          <w:bCs/>
          <w:sz w:val="22"/>
          <w:szCs w:val="22"/>
          <w:lang w:eastAsia="ko-KR"/>
        </w:rPr>
        <w:t xml:space="preserve">made </w:t>
      </w:r>
      <w:r w:rsidR="00771583" w:rsidRPr="008A3C79">
        <w:rPr>
          <w:rFonts w:asciiTheme="minorHAnsi" w:eastAsia="Batang" w:hAnsiTheme="minorHAnsi"/>
          <w:bCs/>
          <w:sz w:val="22"/>
          <w:szCs w:val="22"/>
          <w:lang w:eastAsia="ko-KR"/>
        </w:rPr>
        <w:t xml:space="preserve">in 2015 for the deputy secretary general relocation. </w:t>
      </w:r>
      <w:r w:rsidRPr="008A3C79">
        <w:rPr>
          <w:rFonts w:asciiTheme="minorHAnsi" w:eastAsia="Batang" w:hAnsiTheme="minorHAnsi"/>
          <w:bCs/>
          <w:sz w:val="22"/>
          <w:szCs w:val="22"/>
          <w:lang w:eastAsia="ko-KR"/>
        </w:rPr>
        <w:t xml:space="preserve"> </w:t>
      </w:r>
      <w:r w:rsidR="00DE1B27">
        <w:rPr>
          <w:rFonts w:asciiTheme="minorHAnsi" w:eastAsia="Batang" w:hAnsiTheme="minorHAnsi"/>
          <w:bCs/>
          <w:sz w:val="22"/>
          <w:szCs w:val="22"/>
          <w:lang w:eastAsia="ko-KR"/>
        </w:rPr>
        <w:t xml:space="preserve"> </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8A3C79" w:rsidRDefault="00605A9B"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 xml:space="preserve">Travel. </w:t>
      </w:r>
      <w:r w:rsidR="00471803" w:rsidRPr="008A3C79">
        <w:rPr>
          <w:rFonts w:asciiTheme="minorHAnsi" w:eastAsia="Batang" w:hAnsiTheme="minorHAnsi"/>
          <w:bCs/>
          <w:sz w:val="22"/>
          <w:szCs w:val="22"/>
          <w:lang w:eastAsia="ko-KR"/>
        </w:rPr>
        <w:t xml:space="preserve">Travel budgets </w:t>
      </w:r>
      <w:r w:rsidR="00EC1284" w:rsidRPr="008A3C79">
        <w:rPr>
          <w:rFonts w:asciiTheme="minorHAnsi" w:eastAsia="Batang" w:hAnsiTheme="minorHAnsi"/>
          <w:bCs/>
          <w:sz w:val="22"/>
          <w:szCs w:val="22"/>
          <w:lang w:eastAsia="ko-KR"/>
        </w:rPr>
        <w:t xml:space="preserve">for </w:t>
      </w:r>
      <w:r w:rsidR="005C566E" w:rsidRPr="008A3C79">
        <w:rPr>
          <w:rFonts w:asciiTheme="minorHAnsi" w:eastAsia="Batang" w:hAnsiTheme="minorHAnsi"/>
          <w:bCs/>
          <w:sz w:val="22"/>
          <w:szCs w:val="22"/>
          <w:lang w:eastAsia="ko-KR"/>
        </w:rPr>
        <w:t xml:space="preserve">the </w:t>
      </w:r>
      <w:r w:rsidR="008E69FC" w:rsidRPr="008A3C79">
        <w:rPr>
          <w:rFonts w:asciiTheme="minorHAnsi" w:eastAsia="Batang" w:hAnsiTheme="minorHAnsi"/>
          <w:bCs/>
          <w:sz w:val="22"/>
          <w:szCs w:val="22"/>
          <w:lang w:eastAsia="ko-KR"/>
        </w:rPr>
        <w:t xml:space="preserve">2016-2018 triennium </w:t>
      </w:r>
      <w:r w:rsidR="00471803" w:rsidRPr="008A3C79">
        <w:rPr>
          <w:rFonts w:asciiTheme="minorHAnsi" w:eastAsia="Batang" w:hAnsiTheme="minorHAnsi"/>
          <w:bCs/>
          <w:sz w:val="22"/>
          <w:szCs w:val="22"/>
          <w:lang w:eastAsia="ko-KR"/>
        </w:rPr>
        <w:t>increase</w:t>
      </w:r>
      <w:r w:rsidR="005C566E" w:rsidRPr="008A3C79">
        <w:rPr>
          <w:rFonts w:asciiTheme="minorHAnsi" w:eastAsia="Batang" w:hAnsiTheme="minorHAnsi"/>
          <w:bCs/>
          <w:sz w:val="22"/>
          <w:szCs w:val="22"/>
          <w:lang w:eastAsia="ko-KR"/>
        </w:rPr>
        <w:t xml:space="preserve"> </w:t>
      </w:r>
      <w:r w:rsidR="00DE1B27">
        <w:rPr>
          <w:rFonts w:asciiTheme="minorHAnsi" w:eastAsia="Batang" w:hAnsiTheme="minorHAnsi"/>
          <w:bCs/>
          <w:sz w:val="22"/>
          <w:szCs w:val="22"/>
          <w:lang w:eastAsia="ko-KR"/>
        </w:rPr>
        <w:t xml:space="preserve">by </w:t>
      </w:r>
      <w:r w:rsidR="005C566E" w:rsidRPr="008A3C79">
        <w:rPr>
          <w:rFonts w:asciiTheme="minorHAnsi" w:eastAsia="Batang" w:hAnsiTheme="minorHAnsi"/>
          <w:bCs/>
          <w:sz w:val="22"/>
          <w:szCs w:val="22"/>
          <w:lang w:eastAsia="ko-KR"/>
        </w:rPr>
        <w:t>CHF 30,000 (</w:t>
      </w:r>
      <w:r w:rsidR="00EC1284" w:rsidRPr="008A3C79">
        <w:rPr>
          <w:rFonts w:asciiTheme="minorHAnsi" w:eastAsia="Batang" w:hAnsiTheme="minorHAnsi"/>
          <w:bCs/>
          <w:sz w:val="22"/>
          <w:szCs w:val="22"/>
          <w:lang w:eastAsia="ko-KR"/>
        </w:rPr>
        <w:t>from C</w:t>
      </w:r>
      <w:r w:rsidR="005C566E" w:rsidRPr="008A3C79">
        <w:rPr>
          <w:rFonts w:asciiTheme="minorHAnsi" w:eastAsia="Batang" w:hAnsiTheme="minorHAnsi"/>
          <w:bCs/>
          <w:sz w:val="22"/>
          <w:szCs w:val="22"/>
          <w:lang w:eastAsia="ko-KR"/>
        </w:rPr>
        <w:t xml:space="preserve">HF 135,000 to CHF 165,000). </w:t>
      </w:r>
      <w:r w:rsidR="00471803" w:rsidRPr="008A3C79">
        <w:rPr>
          <w:rFonts w:asciiTheme="minorHAnsi" w:eastAsia="Batang" w:hAnsiTheme="minorHAnsi"/>
          <w:bCs/>
          <w:sz w:val="22"/>
          <w:szCs w:val="22"/>
          <w:lang w:eastAsia="ko-KR"/>
        </w:rPr>
        <w:t xml:space="preserve">This is </w:t>
      </w:r>
      <w:r w:rsidR="00EC1284" w:rsidRPr="008A3C79">
        <w:rPr>
          <w:rFonts w:asciiTheme="minorHAnsi" w:eastAsia="Batang" w:hAnsiTheme="minorHAnsi"/>
          <w:bCs/>
          <w:sz w:val="22"/>
          <w:szCs w:val="22"/>
          <w:lang w:eastAsia="ko-KR"/>
        </w:rPr>
        <w:t>to adjust for</w:t>
      </w:r>
      <w:r w:rsidR="00471803" w:rsidRPr="008A3C79">
        <w:rPr>
          <w:rFonts w:asciiTheme="minorHAnsi" w:eastAsia="Batang" w:hAnsiTheme="minorHAnsi"/>
          <w:bCs/>
          <w:sz w:val="22"/>
          <w:szCs w:val="22"/>
          <w:lang w:eastAsia="ko-KR"/>
        </w:rPr>
        <w:t xml:space="preserve"> </w:t>
      </w:r>
      <w:r w:rsidR="00EC1284" w:rsidRPr="008A3C79">
        <w:rPr>
          <w:rFonts w:asciiTheme="minorHAnsi" w:eastAsia="Batang" w:hAnsiTheme="minorHAnsi"/>
          <w:bCs/>
          <w:sz w:val="22"/>
          <w:szCs w:val="22"/>
          <w:lang w:eastAsia="ko-KR"/>
        </w:rPr>
        <w:t xml:space="preserve">travel </w:t>
      </w:r>
      <w:r w:rsidR="00471803" w:rsidRPr="008A3C79">
        <w:rPr>
          <w:rFonts w:asciiTheme="minorHAnsi" w:eastAsia="Batang" w:hAnsiTheme="minorHAnsi"/>
          <w:bCs/>
          <w:sz w:val="22"/>
          <w:szCs w:val="22"/>
          <w:lang w:eastAsia="ko-KR"/>
        </w:rPr>
        <w:t>cost</w:t>
      </w:r>
      <w:r w:rsidR="00EC1284" w:rsidRPr="008A3C79">
        <w:rPr>
          <w:rFonts w:asciiTheme="minorHAnsi" w:eastAsia="Batang" w:hAnsiTheme="minorHAnsi"/>
          <w:bCs/>
          <w:sz w:val="22"/>
          <w:szCs w:val="22"/>
          <w:lang w:eastAsia="ko-KR"/>
        </w:rPr>
        <w:t xml:space="preserve"> increases and proposed increases to</w:t>
      </w:r>
      <w:r w:rsidR="00471803" w:rsidRPr="008A3C79">
        <w:rPr>
          <w:rFonts w:asciiTheme="minorHAnsi" w:eastAsia="Batang" w:hAnsiTheme="minorHAnsi"/>
          <w:bCs/>
          <w:sz w:val="22"/>
          <w:szCs w:val="22"/>
          <w:lang w:eastAsia="ko-KR"/>
        </w:rPr>
        <w:t xml:space="preserve"> </w:t>
      </w:r>
      <w:r w:rsidR="00EC1284" w:rsidRPr="008A3C79">
        <w:rPr>
          <w:rFonts w:asciiTheme="minorHAnsi" w:eastAsia="Batang" w:hAnsiTheme="minorHAnsi"/>
          <w:bCs/>
          <w:sz w:val="22"/>
          <w:szCs w:val="22"/>
          <w:lang w:eastAsia="ko-KR"/>
        </w:rPr>
        <w:t>Senior Management</w:t>
      </w:r>
      <w:r w:rsidR="005C566E" w:rsidRPr="008A3C79">
        <w:rPr>
          <w:rFonts w:asciiTheme="minorHAnsi" w:eastAsia="Batang" w:hAnsiTheme="minorHAnsi"/>
          <w:bCs/>
          <w:sz w:val="22"/>
          <w:szCs w:val="22"/>
          <w:lang w:eastAsia="ko-KR"/>
        </w:rPr>
        <w:t>, Regional Advisors</w:t>
      </w:r>
      <w:r w:rsidR="00EC1284" w:rsidRPr="008A3C79">
        <w:rPr>
          <w:rFonts w:asciiTheme="minorHAnsi" w:eastAsia="Batang" w:hAnsiTheme="minorHAnsi"/>
          <w:bCs/>
          <w:sz w:val="22"/>
          <w:szCs w:val="22"/>
          <w:lang w:eastAsia="ko-KR"/>
        </w:rPr>
        <w:t xml:space="preserve"> and Communications travel budgets.</w:t>
      </w:r>
      <w:r w:rsidR="005C566E" w:rsidRPr="008A3C79">
        <w:rPr>
          <w:rFonts w:asciiTheme="minorHAnsi" w:eastAsia="Batang" w:hAnsiTheme="minorHAnsi"/>
          <w:bCs/>
          <w:sz w:val="22"/>
          <w:szCs w:val="22"/>
          <w:lang w:eastAsia="ko-KR"/>
        </w:rPr>
        <w:t xml:space="preserve"> Travel costs represent 4% of core budget.</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8A3C79" w:rsidRDefault="005174C9"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RSIS</w:t>
      </w:r>
      <w:r w:rsidR="00DE6136" w:rsidRPr="008A3C79">
        <w:rPr>
          <w:rFonts w:asciiTheme="minorHAnsi" w:eastAsia="Batang" w:hAnsiTheme="minorHAnsi"/>
          <w:b/>
          <w:bCs/>
          <w:sz w:val="22"/>
          <w:szCs w:val="22"/>
          <w:lang w:eastAsia="ko-KR"/>
        </w:rPr>
        <w:t xml:space="preserve"> and Web/IT Support</w:t>
      </w:r>
      <w:r w:rsidR="00DE6136" w:rsidRPr="008A3C79">
        <w:rPr>
          <w:rFonts w:asciiTheme="minorHAnsi" w:eastAsia="Batang" w:hAnsiTheme="minorHAnsi"/>
          <w:bCs/>
          <w:sz w:val="22"/>
          <w:szCs w:val="22"/>
          <w:lang w:eastAsia="ko-KR"/>
        </w:rPr>
        <w:t xml:space="preserve">. There is a RSIS </w:t>
      </w:r>
      <w:r w:rsidR="008E69FC" w:rsidRPr="008A3C79">
        <w:rPr>
          <w:rFonts w:asciiTheme="minorHAnsi" w:eastAsia="Batang" w:hAnsiTheme="minorHAnsi"/>
          <w:bCs/>
          <w:sz w:val="22"/>
          <w:szCs w:val="22"/>
          <w:lang w:eastAsia="ko-KR"/>
        </w:rPr>
        <w:t xml:space="preserve">annual </w:t>
      </w:r>
      <w:r w:rsidR="00DE6136" w:rsidRPr="008A3C79">
        <w:rPr>
          <w:rFonts w:asciiTheme="minorHAnsi" w:eastAsia="Batang" w:hAnsiTheme="minorHAnsi"/>
          <w:bCs/>
          <w:sz w:val="22"/>
          <w:szCs w:val="22"/>
          <w:lang w:eastAsia="ko-KR"/>
        </w:rPr>
        <w:t>budget reduction of CHF 75,000 from 2013-2015 triennium</w:t>
      </w:r>
      <w:r w:rsidR="00DE1B27">
        <w:rPr>
          <w:rFonts w:asciiTheme="minorHAnsi" w:eastAsia="Batang" w:hAnsiTheme="minorHAnsi"/>
          <w:bCs/>
          <w:sz w:val="22"/>
          <w:szCs w:val="22"/>
          <w:lang w:eastAsia="ko-KR"/>
        </w:rPr>
        <w:t>, considering that the</w:t>
      </w:r>
      <w:r w:rsidR="00DE6136" w:rsidRPr="008A3C79">
        <w:rPr>
          <w:rFonts w:asciiTheme="minorHAnsi" w:eastAsia="Batang" w:hAnsiTheme="minorHAnsi"/>
          <w:bCs/>
          <w:sz w:val="22"/>
          <w:szCs w:val="22"/>
          <w:lang w:eastAsia="ko-KR"/>
        </w:rPr>
        <w:t xml:space="preserve"> COP10 approved investment in the RSIS redevelopment </w:t>
      </w:r>
      <w:r w:rsidR="00DE1B27">
        <w:rPr>
          <w:rFonts w:asciiTheme="minorHAnsi" w:eastAsia="Batang" w:hAnsiTheme="minorHAnsi"/>
          <w:bCs/>
          <w:sz w:val="22"/>
          <w:szCs w:val="22"/>
          <w:lang w:eastAsia="ko-KR"/>
        </w:rPr>
        <w:t xml:space="preserve">was finally </w:t>
      </w:r>
      <w:r w:rsidR="00DE6136" w:rsidRPr="008A3C79">
        <w:rPr>
          <w:rFonts w:asciiTheme="minorHAnsi" w:eastAsia="Batang" w:hAnsiTheme="minorHAnsi"/>
          <w:bCs/>
          <w:sz w:val="22"/>
          <w:szCs w:val="22"/>
          <w:lang w:eastAsia="ko-KR"/>
        </w:rPr>
        <w:t>completed in 2015. The o</w:t>
      </w:r>
      <w:r w:rsidR="00471803" w:rsidRPr="008A3C79">
        <w:rPr>
          <w:rFonts w:asciiTheme="minorHAnsi" w:eastAsia="Batang" w:hAnsiTheme="minorHAnsi"/>
          <w:bCs/>
          <w:sz w:val="22"/>
          <w:szCs w:val="22"/>
          <w:lang w:eastAsia="ko-KR"/>
        </w:rPr>
        <w:t xml:space="preserve">ngoing web support costs of CHF </w:t>
      </w:r>
      <w:r w:rsidR="00DE6136" w:rsidRPr="008A3C79">
        <w:rPr>
          <w:rFonts w:asciiTheme="minorHAnsi" w:eastAsia="Batang" w:hAnsiTheme="minorHAnsi"/>
          <w:bCs/>
          <w:sz w:val="22"/>
          <w:szCs w:val="22"/>
          <w:lang w:eastAsia="ko-KR"/>
        </w:rPr>
        <w:t>65</w:t>
      </w:r>
      <w:r w:rsidR="00471803" w:rsidRPr="008A3C79">
        <w:rPr>
          <w:rFonts w:asciiTheme="minorHAnsi" w:eastAsia="Batang" w:hAnsiTheme="minorHAnsi"/>
          <w:bCs/>
          <w:sz w:val="22"/>
          <w:szCs w:val="22"/>
          <w:lang w:eastAsia="ko-KR"/>
        </w:rPr>
        <w:t xml:space="preserve">,000 per annum are supplemented by an anticipated necessary investment in the </w:t>
      </w:r>
      <w:r w:rsidR="00DE6136" w:rsidRPr="008A3C79">
        <w:rPr>
          <w:rFonts w:asciiTheme="minorHAnsi" w:eastAsia="Batang" w:hAnsiTheme="minorHAnsi"/>
          <w:bCs/>
          <w:sz w:val="22"/>
          <w:szCs w:val="22"/>
          <w:lang w:eastAsia="ko-KR"/>
        </w:rPr>
        <w:t xml:space="preserve">RSIS </w:t>
      </w:r>
      <w:r w:rsidR="00471803" w:rsidRPr="008A3C79">
        <w:rPr>
          <w:rFonts w:asciiTheme="minorHAnsi" w:eastAsia="Batang" w:hAnsiTheme="minorHAnsi"/>
          <w:bCs/>
          <w:sz w:val="22"/>
          <w:szCs w:val="22"/>
          <w:lang w:eastAsia="ko-KR"/>
        </w:rPr>
        <w:t>website</w:t>
      </w:r>
      <w:r w:rsidR="00DE6136" w:rsidRPr="008A3C79">
        <w:rPr>
          <w:rFonts w:asciiTheme="minorHAnsi" w:eastAsia="Batang" w:hAnsiTheme="minorHAnsi"/>
          <w:bCs/>
          <w:sz w:val="22"/>
          <w:szCs w:val="22"/>
          <w:lang w:eastAsia="ko-KR"/>
        </w:rPr>
        <w:t xml:space="preserve"> of CHF 10,000 per annum</w:t>
      </w:r>
      <w:r w:rsidR="00DE1B27">
        <w:rPr>
          <w:rFonts w:asciiTheme="minorHAnsi" w:eastAsia="Batang" w:hAnsiTheme="minorHAnsi"/>
          <w:bCs/>
          <w:sz w:val="22"/>
          <w:szCs w:val="22"/>
          <w:lang w:eastAsia="ko-KR"/>
        </w:rPr>
        <w:t xml:space="preserve"> to cover further development of the facilities aimed at greater visibility</w:t>
      </w:r>
      <w:r w:rsidR="00DE6136" w:rsidRPr="008A3C79">
        <w:rPr>
          <w:rFonts w:asciiTheme="minorHAnsi" w:eastAsia="Batang" w:hAnsiTheme="minorHAnsi"/>
          <w:bCs/>
          <w:sz w:val="22"/>
          <w:szCs w:val="22"/>
          <w:lang w:eastAsia="ko-KR"/>
        </w:rPr>
        <w:t xml:space="preserve">. The Web/IT support budget of CHF 90,000 per annum consists of two main contracts </w:t>
      </w:r>
      <w:r w:rsidR="003F6441" w:rsidRPr="008A3C79">
        <w:rPr>
          <w:rFonts w:asciiTheme="minorHAnsi" w:eastAsia="Batang" w:hAnsiTheme="minorHAnsi"/>
          <w:bCs/>
          <w:sz w:val="22"/>
          <w:szCs w:val="22"/>
          <w:lang w:eastAsia="ko-KR"/>
        </w:rPr>
        <w:t xml:space="preserve">and costs </w:t>
      </w:r>
      <w:r w:rsidR="00D601C4" w:rsidRPr="008A3C79">
        <w:rPr>
          <w:rFonts w:asciiTheme="minorHAnsi" w:eastAsia="Batang" w:hAnsiTheme="minorHAnsi"/>
          <w:bCs/>
          <w:sz w:val="22"/>
          <w:szCs w:val="22"/>
          <w:lang w:eastAsia="ko-KR"/>
        </w:rPr>
        <w:t xml:space="preserve">are </w:t>
      </w:r>
      <w:r w:rsidR="003F6441" w:rsidRPr="008A3C79">
        <w:rPr>
          <w:rFonts w:asciiTheme="minorHAnsi" w:eastAsia="Batang" w:hAnsiTheme="minorHAnsi"/>
          <w:bCs/>
          <w:sz w:val="22"/>
          <w:szCs w:val="22"/>
          <w:lang w:eastAsia="ko-KR"/>
        </w:rPr>
        <w:t>expected to remain consistent</w:t>
      </w:r>
      <w:r w:rsidR="00DE6136" w:rsidRPr="008A3C79">
        <w:rPr>
          <w:rFonts w:asciiTheme="minorHAnsi" w:eastAsia="Batang" w:hAnsiTheme="minorHAnsi"/>
          <w:bCs/>
          <w:sz w:val="22"/>
          <w:szCs w:val="22"/>
          <w:lang w:eastAsia="ko-KR"/>
        </w:rPr>
        <w:t xml:space="preserve">.  </w:t>
      </w:r>
    </w:p>
    <w:p w:rsidR="008A3C79" w:rsidRPr="008A3C79" w:rsidRDefault="008A3C79" w:rsidP="00CD54B4">
      <w:pPr>
        <w:pStyle w:val="ListParagraph"/>
        <w:tabs>
          <w:tab w:val="left" w:pos="6036"/>
        </w:tabs>
        <w:ind w:left="426" w:hanging="426"/>
        <w:rPr>
          <w:rFonts w:asciiTheme="minorHAnsi" w:eastAsia="Batang" w:hAnsiTheme="minorHAnsi"/>
          <w:b/>
          <w:bCs/>
          <w:sz w:val="22"/>
          <w:szCs w:val="22"/>
          <w:lang w:eastAsia="ko-KR"/>
        </w:rPr>
      </w:pPr>
    </w:p>
    <w:p w:rsidR="008A3C79" w:rsidRDefault="00C44BF1"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Communications.</w:t>
      </w:r>
      <w:r w:rsidRPr="008A3C79">
        <w:rPr>
          <w:rFonts w:asciiTheme="minorHAnsi" w:eastAsia="Batang" w:hAnsiTheme="minorHAnsi"/>
          <w:bCs/>
          <w:sz w:val="22"/>
          <w:szCs w:val="22"/>
          <w:lang w:eastAsia="ko-KR"/>
        </w:rPr>
        <w:t xml:space="preserve"> An additional CHF 12,000 per annum is re-allocated for </w:t>
      </w:r>
      <w:r w:rsidR="00DE1B27">
        <w:rPr>
          <w:rFonts w:asciiTheme="minorHAnsi" w:eastAsia="Batang" w:hAnsiTheme="minorHAnsi"/>
          <w:bCs/>
          <w:sz w:val="22"/>
          <w:szCs w:val="22"/>
          <w:lang w:eastAsia="ko-KR"/>
        </w:rPr>
        <w:t>“</w:t>
      </w:r>
      <w:r w:rsidRPr="008A3C79">
        <w:rPr>
          <w:rFonts w:asciiTheme="minorHAnsi" w:eastAsia="Batang" w:hAnsiTheme="minorHAnsi"/>
          <w:bCs/>
          <w:sz w:val="22"/>
          <w:szCs w:val="22"/>
          <w:lang w:eastAsia="ko-KR"/>
        </w:rPr>
        <w:t>Communication, Translation, Publications and Reporting</w:t>
      </w:r>
      <w:r w:rsidR="00DE1B27">
        <w:rPr>
          <w:rFonts w:asciiTheme="minorHAnsi" w:eastAsia="Batang" w:hAnsiTheme="minorHAnsi"/>
          <w:bCs/>
          <w:sz w:val="22"/>
          <w:szCs w:val="22"/>
          <w:lang w:eastAsia="ko-KR"/>
        </w:rPr>
        <w:t>”</w:t>
      </w:r>
      <w:r w:rsidRPr="008A3C79">
        <w:rPr>
          <w:rFonts w:asciiTheme="minorHAnsi" w:eastAsia="Batang" w:hAnsiTheme="minorHAnsi"/>
          <w:bCs/>
          <w:sz w:val="22"/>
          <w:szCs w:val="22"/>
          <w:lang w:eastAsia="ko-KR"/>
        </w:rPr>
        <w:t xml:space="preserve"> to respond to the call for greater visibility and the importance of communicating key messages through traditional and new media, and to support Parties’ efforts and their need for materials (virtual, print, film, clip, photo, sound) which are highly attractive to the target audiences in different languages; this reflects the drive for an increased number of supporters for the Convention and for wider involvement in wetlands.</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8A3C79" w:rsidRDefault="00471803"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Regional Initiatives and STRP</w:t>
      </w:r>
      <w:r w:rsidRPr="008A3C79">
        <w:rPr>
          <w:rFonts w:asciiTheme="minorHAnsi" w:eastAsia="Batang" w:hAnsiTheme="minorHAnsi"/>
          <w:bCs/>
          <w:sz w:val="22"/>
          <w:szCs w:val="22"/>
          <w:lang w:eastAsia="ko-KR"/>
        </w:rPr>
        <w:t xml:space="preserve">. </w:t>
      </w:r>
      <w:r w:rsidR="00394639" w:rsidRPr="008A3C79">
        <w:rPr>
          <w:rFonts w:asciiTheme="minorHAnsi" w:eastAsia="Batang" w:hAnsiTheme="minorHAnsi"/>
          <w:bCs/>
          <w:sz w:val="22"/>
          <w:szCs w:val="22"/>
          <w:lang w:eastAsia="ko-KR"/>
        </w:rPr>
        <w:t xml:space="preserve">Core funding remain the same as the previous 2013-2015 triennium. </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8A3C79" w:rsidRDefault="008E69FC"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 xml:space="preserve">SC Translation. </w:t>
      </w:r>
      <w:r w:rsidRPr="008A3C79">
        <w:rPr>
          <w:rFonts w:asciiTheme="minorHAnsi" w:eastAsia="Batang" w:hAnsiTheme="minorHAnsi"/>
          <w:bCs/>
          <w:sz w:val="22"/>
          <w:szCs w:val="22"/>
          <w:lang w:eastAsia="ko-KR"/>
        </w:rPr>
        <w:t>A new budget line for SC Translations, CHF 60,000 per annum</w:t>
      </w:r>
      <w:r w:rsidR="00F87FDF" w:rsidRPr="008A3C79">
        <w:rPr>
          <w:rFonts w:asciiTheme="minorHAnsi" w:eastAsia="Batang" w:hAnsiTheme="minorHAnsi"/>
          <w:bCs/>
          <w:sz w:val="22"/>
          <w:szCs w:val="22"/>
          <w:lang w:eastAsia="ko-KR"/>
        </w:rPr>
        <w:t>,</w:t>
      </w:r>
      <w:r w:rsidRPr="008A3C79">
        <w:rPr>
          <w:rFonts w:asciiTheme="minorHAnsi" w:eastAsia="Batang" w:hAnsiTheme="minorHAnsi"/>
          <w:bCs/>
          <w:sz w:val="22"/>
          <w:szCs w:val="22"/>
          <w:lang w:eastAsia="ko-KR"/>
        </w:rPr>
        <w:t xml:space="preserve"> </w:t>
      </w:r>
      <w:r w:rsidR="00F87FDF" w:rsidRPr="008A3C79">
        <w:rPr>
          <w:rFonts w:asciiTheme="minorHAnsi" w:eastAsia="Batang" w:hAnsiTheme="minorHAnsi"/>
          <w:bCs/>
          <w:sz w:val="22"/>
          <w:szCs w:val="22"/>
          <w:lang w:eastAsia="ko-KR"/>
        </w:rPr>
        <w:t>is</w:t>
      </w:r>
      <w:r w:rsidRPr="008A3C79">
        <w:rPr>
          <w:rFonts w:asciiTheme="minorHAnsi" w:eastAsia="Batang" w:hAnsiTheme="minorHAnsi"/>
          <w:bCs/>
          <w:sz w:val="22"/>
          <w:szCs w:val="22"/>
          <w:lang w:eastAsia="ko-KR"/>
        </w:rPr>
        <w:t xml:space="preserve"> budgeted for translation of Standing Committee documents into Spanish and French, in line with Decision SC47-07 on “Concerning accommodation of UN Languages under Resolution XI.1”.  </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8A3C79" w:rsidRDefault="008E69FC"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Reserve Fund</w:t>
      </w:r>
      <w:r w:rsidRPr="008A3C79">
        <w:rPr>
          <w:rFonts w:asciiTheme="minorHAnsi" w:eastAsia="Batang" w:hAnsiTheme="minorHAnsi"/>
          <w:bCs/>
          <w:sz w:val="22"/>
          <w:szCs w:val="22"/>
          <w:lang w:eastAsia="ko-KR"/>
        </w:rPr>
        <w:t xml:space="preserve">. At COP11, Resolution XI.2, Financial and Budgetary Matters, paragraph 21.c, it was decided that reserve funds be 6-15% of annual core budget. As the reserve fund is 14% of the annual core budget, there is no reserve provision budgeted for the 2016-2018 triennium.  </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8A3C79" w:rsidRDefault="00471803"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Provisions</w:t>
      </w:r>
      <w:r w:rsidR="00394639" w:rsidRPr="008A3C79">
        <w:rPr>
          <w:rFonts w:asciiTheme="minorHAnsi" w:eastAsia="Batang" w:hAnsiTheme="minorHAnsi"/>
          <w:b/>
          <w:bCs/>
          <w:sz w:val="22"/>
          <w:szCs w:val="22"/>
          <w:lang w:eastAsia="ko-KR"/>
        </w:rPr>
        <w:t xml:space="preserve">. </w:t>
      </w:r>
      <w:r w:rsidR="00394639" w:rsidRPr="008A3C79">
        <w:rPr>
          <w:rFonts w:asciiTheme="minorHAnsi" w:eastAsia="Batang" w:hAnsiTheme="minorHAnsi"/>
          <w:bCs/>
          <w:sz w:val="22"/>
          <w:szCs w:val="22"/>
          <w:lang w:eastAsia="ko-KR"/>
        </w:rPr>
        <w:t>In the 2013-2015 triennium, there was a CHF 160,000 budget for provisions: reserves, bad debt (contributions)</w:t>
      </w:r>
      <w:r w:rsidR="00C97F48" w:rsidRPr="008A3C79">
        <w:rPr>
          <w:rFonts w:asciiTheme="minorHAnsi" w:eastAsia="Batang" w:hAnsiTheme="minorHAnsi"/>
          <w:bCs/>
          <w:sz w:val="22"/>
          <w:szCs w:val="22"/>
          <w:lang w:eastAsia="ko-KR"/>
        </w:rPr>
        <w:t>,</w:t>
      </w:r>
      <w:r w:rsidR="00394639" w:rsidRPr="008A3C79">
        <w:rPr>
          <w:rFonts w:asciiTheme="minorHAnsi" w:eastAsia="Batang" w:hAnsiTheme="minorHAnsi"/>
          <w:bCs/>
          <w:sz w:val="22"/>
          <w:szCs w:val="22"/>
          <w:lang w:eastAsia="ko-KR"/>
        </w:rPr>
        <w:t xml:space="preserve"> exchange rates, staff terminations and </w:t>
      </w:r>
      <w:r w:rsidR="00C97F48" w:rsidRPr="008A3C79">
        <w:rPr>
          <w:rFonts w:asciiTheme="minorHAnsi" w:eastAsia="Batang" w:hAnsiTheme="minorHAnsi"/>
          <w:bCs/>
          <w:sz w:val="22"/>
          <w:szCs w:val="22"/>
          <w:lang w:eastAsia="ko-KR"/>
        </w:rPr>
        <w:t xml:space="preserve">staff </w:t>
      </w:r>
      <w:r w:rsidR="00394639" w:rsidRPr="008A3C79">
        <w:rPr>
          <w:rFonts w:asciiTheme="minorHAnsi" w:eastAsia="Batang" w:hAnsiTheme="minorHAnsi"/>
          <w:bCs/>
          <w:sz w:val="22"/>
          <w:szCs w:val="22"/>
          <w:lang w:eastAsia="ko-KR"/>
        </w:rPr>
        <w:t xml:space="preserve">repatriations. </w:t>
      </w:r>
      <w:r w:rsidR="00C97F48" w:rsidRPr="008A3C79">
        <w:rPr>
          <w:rFonts w:asciiTheme="minorHAnsi" w:eastAsia="Batang" w:hAnsiTheme="minorHAnsi"/>
          <w:bCs/>
          <w:sz w:val="22"/>
          <w:szCs w:val="22"/>
          <w:lang w:eastAsia="ko-KR"/>
        </w:rPr>
        <w:t xml:space="preserve">Because these accounts are sufficiently funded, it is anticipated that a provision budget of CHF 50,000 per annum is sufficient for the 2016-2018 triennium. </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471803" w:rsidRPr="008A3C79" w:rsidRDefault="00C97F48"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Regional Officers.</w:t>
      </w:r>
      <w:r w:rsidRPr="008A3C79">
        <w:rPr>
          <w:rFonts w:asciiTheme="minorHAnsi" w:eastAsia="Batang" w:hAnsiTheme="minorHAnsi"/>
          <w:bCs/>
          <w:sz w:val="22"/>
          <w:szCs w:val="22"/>
          <w:lang w:eastAsia="ko-KR"/>
        </w:rPr>
        <w:t xml:space="preserve"> </w:t>
      </w:r>
      <w:r w:rsidR="00733CAB" w:rsidRPr="008A3C79">
        <w:rPr>
          <w:rFonts w:asciiTheme="minorHAnsi" w:eastAsia="Batang" w:hAnsiTheme="minorHAnsi"/>
          <w:bCs/>
          <w:sz w:val="22"/>
          <w:szCs w:val="22"/>
          <w:lang w:eastAsia="ko-KR"/>
        </w:rPr>
        <w:t>There is a long desired plan to recruit Regional Officers or additional support for the Partnership unit. At SC48, d</w:t>
      </w:r>
      <w:r w:rsidRPr="008A3C79">
        <w:rPr>
          <w:rFonts w:asciiTheme="minorHAnsi" w:eastAsia="Batang" w:hAnsiTheme="minorHAnsi"/>
          <w:bCs/>
          <w:sz w:val="22"/>
          <w:szCs w:val="22"/>
          <w:lang w:eastAsia="ko-KR"/>
        </w:rPr>
        <w:t>ecision SC48-12</w:t>
      </w:r>
      <w:r w:rsidR="00733CAB" w:rsidRPr="008A3C79">
        <w:rPr>
          <w:rFonts w:asciiTheme="minorHAnsi" w:eastAsia="Batang" w:hAnsiTheme="minorHAnsi"/>
          <w:bCs/>
          <w:sz w:val="22"/>
          <w:szCs w:val="22"/>
          <w:lang w:eastAsia="ko-KR"/>
        </w:rPr>
        <w:t xml:space="preserve"> approved </w:t>
      </w:r>
      <w:r w:rsidRPr="008A3C79">
        <w:rPr>
          <w:rFonts w:asciiTheme="minorHAnsi" w:eastAsia="Batang" w:hAnsiTheme="minorHAnsi"/>
          <w:bCs/>
          <w:sz w:val="22"/>
          <w:szCs w:val="22"/>
          <w:lang w:eastAsia="ko-KR"/>
        </w:rPr>
        <w:t>a Regional Officer (Africa) within the 2015 Core budget</w:t>
      </w:r>
      <w:r w:rsidR="00D601C4" w:rsidRPr="008A3C79">
        <w:rPr>
          <w:rFonts w:asciiTheme="minorHAnsi" w:eastAsia="Batang" w:hAnsiTheme="minorHAnsi"/>
          <w:bCs/>
          <w:sz w:val="22"/>
          <w:szCs w:val="22"/>
          <w:lang w:eastAsia="ko-KR"/>
        </w:rPr>
        <w:t xml:space="preserve"> and this position continues through the 2016-2018 triennium.</w:t>
      </w:r>
      <w:r w:rsidR="00733CAB" w:rsidRPr="008A3C79">
        <w:rPr>
          <w:rFonts w:asciiTheme="minorHAnsi" w:eastAsia="Batang" w:hAnsiTheme="minorHAnsi"/>
          <w:bCs/>
          <w:sz w:val="22"/>
          <w:szCs w:val="22"/>
          <w:lang w:eastAsia="ko-KR"/>
        </w:rPr>
        <w:t xml:space="preserve"> The support to fund a Regional Officer (Africa) shows progress toward those goals.</w:t>
      </w:r>
      <w:r w:rsidR="00471803" w:rsidRPr="008A3C79">
        <w:rPr>
          <w:rFonts w:asciiTheme="minorHAnsi" w:eastAsia="Batang" w:hAnsiTheme="minorHAnsi"/>
          <w:bCs/>
          <w:sz w:val="22"/>
          <w:szCs w:val="22"/>
          <w:lang w:eastAsia="ko-KR"/>
        </w:rPr>
        <w:t xml:space="preserve">  </w:t>
      </w:r>
    </w:p>
    <w:p w:rsidR="00471803" w:rsidRPr="008A3C79" w:rsidRDefault="00471803" w:rsidP="00CD54B4">
      <w:pPr>
        <w:ind w:left="426" w:hanging="426"/>
        <w:rPr>
          <w:rFonts w:asciiTheme="minorHAnsi" w:eastAsia="Batang" w:hAnsiTheme="minorHAnsi"/>
          <w:b/>
          <w:bCs/>
          <w:sz w:val="22"/>
          <w:szCs w:val="22"/>
          <w:lang w:eastAsia="ko-KR"/>
        </w:rPr>
      </w:pPr>
    </w:p>
    <w:p w:rsidR="00471803" w:rsidRPr="008A3C79" w:rsidRDefault="00471803" w:rsidP="00CD54B4">
      <w:pPr>
        <w:ind w:left="426" w:hanging="426"/>
        <w:rPr>
          <w:rFonts w:asciiTheme="minorHAnsi" w:eastAsia="Batang" w:hAnsiTheme="minorHAnsi"/>
          <w:b/>
          <w:bCs/>
          <w:sz w:val="22"/>
          <w:szCs w:val="22"/>
          <w:lang w:eastAsia="ko-KR"/>
        </w:rPr>
      </w:pPr>
      <w:r w:rsidRPr="008A3C79">
        <w:rPr>
          <w:rFonts w:asciiTheme="minorHAnsi" w:eastAsia="Batang" w:hAnsiTheme="minorHAnsi"/>
          <w:b/>
          <w:bCs/>
          <w:sz w:val="22"/>
          <w:szCs w:val="22"/>
          <w:lang w:eastAsia="ko-KR"/>
        </w:rPr>
        <w:t xml:space="preserve">Core expenditure assumptions differing in </w:t>
      </w:r>
      <w:r w:rsidR="008A0812" w:rsidRPr="008A3C79">
        <w:rPr>
          <w:rFonts w:asciiTheme="minorHAnsi" w:eastAsia="Batang" w:hAnsiTheme="minorHAnsi"/>
          <w:b/>
          <w:bCs/>
          <w:sz w:val="22"/>
          <w:szCs w:val="22"/>
          <w:lang w:eastAsia="ko-KR"/>
        </w:rPr>
        <w:t xml:space="preserve">Scenarios </w:t>
      </w:r>
      <w:r w:rsidRPr="008A3C79">
        <w:rPr>
          <w:rFonts w:asciiTheme="minorHAnsi" w:eastAsia="Batang" w:hAnsiTheme="minorHAnsi"/>
          <w:b/>
          <w:bCs/>
          <w:sz w:val="22"/>
          <w:szCs w:val="22"/>
          <w:lang w:eastAsia="ko-KR"/>
        </w:rPr>
        <w:t>A</w:t>
      </w:r>
      <w:r w:rsidR="008A0812" w:rsidRPr="008A3C79">
        <w:rPr>
          <w:rFonts w:asciiTheme="minorHAnsi" w:eastAsia="Batang" w:hAnsiTheme="minorHAnsi"/>
          <w:b/>
          <w:bCs/>
          <w:sz w:val="22"/>
          <w:szCs w:val="22"/>
          <w:lang w:eastAsia="ko-KR"/>
        </w:rPr>
        <w:t>,</w:t>
      </w:r>
      <w:r w:rsidRPr="008A3C79">
        <w:rPr>
          <w:rFonts w:asciiTheme="minorHAnsi" w:eastAsia="Batang" w:hAnsiTheme="minorHAnsi"/>
          <w:b/>
          <w:bCs/>
          <w:sz w:val="22"/>
          <w:szCs w:val="22"/>
          <w:lang w:eastAsia="ko-KR"/>
        </w:rPr>
        <w:t xml:space="preserve"> B</w:t>
      </w:r>
      <w:r w:rsidR="008A0812" w:rsidRPr="008A3C79">
        <w:rPr>
          <w:rFonts w:asciiTheme="minorHAnsi" w:eastAsia="Batang" w:hAnsiTheme="minorHAnsi"/>
          <w:b/>
          <w:bCs/>
          <w:sz w:val="22"/>
          <w:szCs w:val="22"/>
          <w:lang w:eastAsia="ko-KR"/>
        </w:rPr>
        <w:t xml:space="preserve"> and C.</w:t>
      </w:r>
    </w:p>
    <w:p w:rsidR="00471803" w:rsidRPr="008A3C79" w:rsidRDefault="00471803" w:rsidP="00CD54B4">
      <w:pPr>
        <w:ind w:left="426" w:hanging="426"/>
        <w:rPr>
          <w:rFonts w:asciiTheme="minorHAnsi" w:eastAsia="Batang" w:hAnsiTheme="minorHAnsi"/>
          <w:b/>
          <w:bCs/>
          <w:sz w:val="22"/>
          <w:szCs w:val="22"/>
          <w:lang w:eastAsia="ko-KR"/>
        </w:rPr>
      </w:pPr>
    </w:p>
    <w:p w:rsidR="008A0812" w:rsidRPr="008A3C79" w:rsidRDefault="00C50318"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Cs/>
          <w:sz w:val="22"/>
          <w:szCs w:val="22"/>
          <w:lang w:eastAsia="ko-KR"/>
        </w:rPr>
        <w:t>S</w:t>
      </w:r>
      <w:r w:rsidR="008A0812" w:rsidRPr="008A3C79">
        <w:rPr>
          <w:rFonts w:asciiTheme="minorHAnsi" w:eastAsia="Batang" w:hAnsiTheme="minorHAnsi"/>
          <w:bCs/>
          <w:sz w:val="22"/>
          <w:szCs w:val="22"/>
          <w:lang w:eastAsia="ko-KR"/>
        </w:rPr>
        <w:t>ummary of the main differences in Scenarios A, B and C.</w:t>
      </w:r>
    </w:p>
    <w:p w:rsidR="008A0812" w:rsidRPr="008A3C79" w:rsidRDefault="008A0812" w:rsidP="00CD54B4">
      <w:pPr>
        <w:ind w:left="426" w:hanging="426"/>
        <w:rPr>
          <w:rFonts w:asciiTheme="minorHAnsi" w:eastAsia="Batang" w:hAnsiTheme="minorHAnsi"/>
          <w:bCs/>
          <w:sz w:val="22"/>
          <w:szCs w:val="22"/>
          <w:lang w:eastAsia="ko-KR"/>
        </w:rPr>
      </w:pPr>
    </w:p>
    <w:p w:rsidR="008A0812" w:rsidRPr="008A3C79" w:rsidRDefault="005C4809" w:rsidP="00CD54B4">
      <w:pPr>
        <w:ind w:left="426"/>
        <w:rPr>
          <w:rFonts w:asciiTheme="minorHAnsi" w:eastAsia="Batang" w:hAnsiTheme="minorHAnsi"/>
          <w:bCs/>
          <w:sz w:val="22"/>
          <w:szCs w:val="22"/>
          <w:lang w:eastAsia="ko-KR"/>
        </w:rPr>
      </w:pPr>
      <w:r w:rsidRPr="008A3C79">
        <w:rPr>
          <w:rFonts w:asciiTheme="minorHAnsi" w:eastAsia="Batang" w:hAnsiTheme="minorHAnsi"/>
          <w:noProof/>
          <w:sz w:val="22"/>
          <w:szCs w:val="22"/>
        </w:rPr>
        <w:drawing>
          <wp:inline distT="0" distB="0" distL="0" distR="0">
            <wp:extent cx="3695700" cy="14361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0" cy="1436101"/>
                    </a:xfrm>
                    <a:prstGeom prst="rect">
                      <a:avLst/>
                    </a:prstGeom>
                    <a:noFill/>
                    <a:ln>
                      <a:noFill/>
                    </a:ln>
                  </pic:spPr>
                </pic:pic>
              </a:graphicData>
            </a:graphic>
          </wp:inline>
        </w:drawing>
      </w:r>
    </w:p>
    <w:p w:rsidR="008A0812" w:rsidRPr="008A3C79" w:rsidRDefault="008A0812" w:rsidP="00CD54B4">
      <w:pPr>
        <w:ind w:left="426" w:hanging="426"/>
        <w:rPr>
          <w:rFonts w:asciiTheme="minorHAnsi" w:eastAsia="Batang" w:hAnsiTheme="minorHAnsi"/>
          <w:bCs/>
          <w:sz w:val="22"/>
          <w:szCs w:val="22"/>
          <w:lang w:eastAsia="ko-KR"/>
        </w:rPr>
      </w:pPr>
    </w:p>
    <w:p w:rsidR="007D7768" w:rsidRPr="008A3C79" w:rsidRDefault="007D7768" w:rsidP="00CD54B4">
      <w:pPr>
        <w:ind w:left="426" w:hanging="426"/>
        <w:rPr>
          <w:rFonts w:asciiTheme="minorHAnsi" w:eastAsia="Batang" w:hAnsiTheme="minorHAnsi"/>
          <w:b/>
          <w:bCs/>
          <w:sz w:val="22"/>
          <w:szCs w:val="22"/>
          <w:lang w:eastAsia="ko-KR"/>
        </w:rPr>
      </w:pPr>
    </w:p>
    <w:p w:rsidR="008A3C79" w:rsidRDefault="007D7768"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Ramsar Advisory Missions</w:t>
      </w:r>
      <w:r w:rsidRPr="008A3C79">
        <w:rPr>
          <w:rFonts w:asciiTheme="minorHAnsi" w:eastAsia="Batang" w:hAnsiTheme="minorHAnsi"/>
          <w:bCs/>
          <w:sz w:val="22"/>
          <w:szCs w:val="22"/>
          <w:lang w:eastAsia="ko-KR"/>
        </w:rPr>
        <w:t>. Ramsar Advisory Missions (RAMS) for Parties unable to self-fund their missions as there is increasing need and recognition of the value of the RAMs around the world in all geographies</w:t>
      </w:r>
      <w:r w:rsidR="007B5616" w:rsidRPr="008A3C79">
        <w:rPr>
          <w:rFonts w:asciiTheme="minorHAnsi" w:eastAsia="Batang" w:hAnsiTheme="minorHAnsi"/>
          <w:bCs/>
          <w:sz w:val="22"/>
          <w:szCs w:val="22"/>
          <w:lang w:eastAsia="ko-KR"/>
        </w:rPr>
        <w:t>.</w:t>
      </w:r>
      <w:r w:rsidRPr="008A3C79">
        <w:rPr>
          <w:rFonts w:asciiTheme="minorHAnsi" w:eastAsia="Batang" w:hAnsiTheme="minorHAnsi"/>
          <w:bCs/>
          <w:sz w:val="22"/>
          <w:szCs w:val="22"/>
          <w:lang w:eastAsia="ko-KR"/>
        </w:rPr>
        <w:t xml:space="preserve"> </w:t>
      </w:r>
      <w:r w:rsidR="007B5616" w:rsidRPr="008A3C79">
        <w:rPr>
          <w:rFonts w:asciiTheme="minorHAnsi" w:eastAsia="Batang" w:hAnsiTheme="minorHAnsi"/>
          <w:bCs/>
          <w:sz w:val="22"/>
          <w:szCs w:val="22"/>
          <w:lang w:eastAsia="ko-KR"/>
        </w:rPr>
        <w:t>Scenarios B and C core budgets provide a modest CHF 50,000 annual</w:t>
      </w:r>
      <w:r w:rsidRPr="008A3C79">
        <w:rPr>
          <w:rFonts w:asciiTheme="minorHAnsi" w:eastAsia="Batang" w:hAnsiTheme="minorHAnsi"/>
          <w:bCs/>
          <w:sz w:val="22"/>
          <w:szCs w:val="22"/>
          <w:lang w:eastAsia="ko-KR"/>
        </w:rPr>
        <w:t xml:space="preserve"> increase </w:t>
      </w:r>
      <w:r w:rsidR="007B5616" w:rsidRPr="008A3C79">
        <w:rPr>
          <w:rFonts w:asciiTheme="minorHAnsi" w:eastAsia="Batang" w:hAnsiTheme="minorHAnsi"/>
          <w:bCs/>
          <w:sz w:val="22"/>
          <w:szCs w:val="22"/>
          <w:lang w:eastAsia="ko-KR"/>
        </w:rPr>
        <w:t>t</w:t>
      </w:r>
      <w:r w:rsidRPr="008A3C79">
        <w:rPr>
          <w:rFonts w:asciiTheme="minorHAnsi" w:eastAsia="Batang" w:hAnsiTheme="minorHAnsi"/>
          <w:bCs/>
          <w:sz w:val="22"/>
          <w:szCs w:val="22"/>
          <w:lang w:eastAsia="ko-KR"/>
        </w:rPr>
        <w:t xml:space="preserve">o support </w:t>
      </w:r>
      <w:r w:rsidR="007B5616" w:rsidRPr="008A3C79">
        <w:rPr>
          <w:rFonts w:asciiTheme="minorHAnsi" w:eastAsia="Batang" w:hAnsiTheme="minorHAnsi"/>
          <w:bCs/>
          <w:sz w:val="22"/>
          <w:szCs w:val="22"/>
          <w:lang w:eastAsia="ko-KR"/>
        </w:rPr>
        <w:t>Ramsar Advisory Missions.</w:t>
      </w:r>
    </w:p>
    <w:p w:rsidR="008A3C79" w:rsidRPr="008A3C79" w:rsidRDefault="008A3C79" w:rsidP="00CD54B4">
      <w:pPr>
        <w:pStyle w:val="ListParagraph"/>
        <w:ind w:left="426" w:hanging="426"/>
        <w:rPr>
          <w:rFonts w:asciiTheme="minorHAnsi" w:eastAsia="Batang" w:hAnsiTheme="minorHAnsi"/>
          <w:bCs/>
          <w:sz w:val="22"/>
          <w:szCs w:val="22"/>
          <w:lang w:eastAsia="ko-KR"/>
        </w:rPr>
      </w:pPr>
    </w:p>
    <w:p w:rsidR="008A3C79" w:rsidRDefault="007D7768"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Regional Officer</w:t>
      </w:r>
      <w:r w:rsidRPr="008A3C79">
        <w:rPr>
          <w:rFonts w:asciiTheme="minorHAnsi" w:eastAsia="Batang" w:hAnsiTheme="minorHAnsi"/>
          <w:bCs/>
          <w:sz w:val="22"/>
          <w:szCs w:val="22"/>
          <w:lang w:eastAsia="ko-KR"/>
        </w:rPr>
        <w:t xml:space="preserve">. The proposed staff member, under Scenario C, is for </w:t>
      </w:r>
      <w:r w:rsidR="007B5616" w:rsidRPr="008A3C79">
        <w:rPr>
          <w:rFonts w:asciiTheme="minorHAnsi" w:eastAsia="Batang" w:hAnsiTheme="minorHAnsi"/>
          <w:bCs/>
          <w:sz w:val="22"/>
          <w:szCs w:val="22"/>
          <w:lang w:eastAsia="ko-KR"/>
        </w:rPr>
        <w:t>one</w:t>
      </w:r>
      <w:r w:rsidRPr="008A3C79">
        <w:rPr>
          <w:rFonts w:asciiTheme="minorHAnsi" w:eastAsia="Batang" w:hAnsiTheme="minorHAnsi"/>
          <w:bCs/>
          <w:sz w:val="22"/>
          <w:szCs w:val="22"/>
          <w:lang w:eastAsia="ko-KR"/>
        </w:rPr>
        <w:t xml:space="preserve"> Regional Officer (Americas). This would add to the post of Regional Officers for Africa and </w:t>
      </w:r>
      <w:r w:rsidR="000D0D48">
        <w:rPr>
          <w:rFonts w:asciiTheme="minorHAnsi" w:eastAsia="Batang" w:hAnsiTheme="minorHAnsi"/>
          <w:bCs/>
          <w:sz w:val="22"/>
          <w:szCs w:val="22"/>
          <w:lang w:eastAsia="ko-KR"/>
        </w:rPr>
        <w:t xml:space="preserve">for </w:t>
      </w:r>
      <w:r w:rsidRPr="008A3C79">
        <w:rPr>
          <w:rFonts w:asciiTheme="minorHAnsi" w:eastAsia="Batang" w:hAnsiTheme="minorHAnsi"/>
          <w:bCs/>
          <w:sz w:val="22"/>
          <w:szCs w:val="22"/>
          <w:lang w:eastAsia="ko-KR"/>
        </w:rPr>
        <w:t xml:space="preserve">Oceania that have been agreed previously. The choice to support the Americas responds to the call from the </w:t>
      </w:r>
      <w:r w:rsidRPr="008A3C79">
        <w:rPr>
          <w:rFonts w:asciiTheme="minorHAnsi" w:eastAsia="Batang" w:hAnsiTheme="minorHAnsi"/>
          <w:bCs/>
          <w:sz w:val="22"/>
          <w:szCs w:val="22"/>
          <w:lang w:eastAsia="ko-KR"/>
        </w:rPr>
        <w:lastRenderedPageBreak/>
        <w:t xml:space="preserve">Region and increasing needs of Parties for support and advice and the ever-increasing work related to both Ramsar Sites and other wetlands and the needs in relation to the new Strategic Plan. This post will, inter alia, provide technical support to Parties in using and updating the new RSIS and in the analysis, investigation and resolution of Article 3.2 files, and assistance to make regional initiatives active and secure finance for regional and national initiatives. Scenario C is the only option with sufficient funding to support the cost of hiring a staff member.  </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8A3C79" w:rsidRDefault="007D7768"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Salary increase for merit.</w:t>
      </w:r>
      <w:r w:rsidRPr="008A3C79">
        <w:rPr>
          <w:rFonts w:asciiTheme="minorHAnsi" w:eastAsia="Batang" w:hAnsiTheme="minorHAnsi"/>
          <w:bCs/>
          <w:sz w:val="22"/>
          <w:szCs w:val="22"/>
          <w:lang w:eastAsia="ko-KR"/>
        </w:rPr>
        <w:t xml:space="preserve"> Salaries for all staff have remained static since 2011. Incentives are needed to retain staff and reward the highest achievers</w:t>
      </w:r>
      <w:r w:rsidR="00642556" w:rsidRPr="008A3C79">
        <w:rPr>
          <w:rFonts w:asciiTheme="minorHAnsi" w:eastAsia="Batang" w:hAnsiTheme="minorHAnsi"/>
          <w:bCs/>
          <w:sz w:val="22"/>
          <w:szCs w:val="22"/>
          <w:lang w:eastAsia="ko-KR"/>
        </w:rPr>
        <w:t xml:space="preserve">. In Scenarios </w:t>
      </w:r>
      <w:r w:rsidR="007B5616" w:rsidRPr="008A3C79">
        <w:rPr>
          <w:rFonts w:asciiTheme="minorHAnsi" w:eastAsia="Batang" w:hAnsiTheme="minorHAnsi"/>
          <w:bCs/>
          <w:sz w:val="22"/>
          <w:szCs w:val="22"/>
          <w:lang w:eastAsia="ko-KR"/>
        </w:rPr>
        <w:t>B</w:t>
      </w:r>
      <w:r w:rsidR="00642556" w:rsidRPr="008A3C79">
        <w:rPr>
          <w:rFonts w:asciiTheme="minorHAnsi" w:eastAsia="Batang" w:hAnsiTheme="minorHAnsi"/>
          <w:bCs/>
          <w:sz w:val="22"/>
          <w:szCs w:val="22"/>
          <w:lang w:eastAsia="ko-KR"/>
        </w:rPr>
        <w:t xml:space="preserve"> and </w:t>
      </w:r>
      <w:r w:rsidR="007B5616" w:rsidRPr="008A3C79">
        <w:rPr>
          <w:rFonts w:asciiTheme="minorHAnsi" w:eastAsia="Batang" w:hAnsiTheme="minorHAnsi"/>
          <w:bCs/>
          <w:sz w:val="22"/>
          <w:szCs w:val="22"/>
          <w:lang w:eastAsia="ko-KR"/>
        </w:rPr>
        <w:t>C</w:t>
      </w:r>
      <w:r w:rsidR="00642556" w:rsidRPr="008A3C79">
        <w:rPr>
          <w:rFonts w:asciiTheme="minorHAnsi" w:eastAsia="Batang" w:hAnsiTheme="minorHAnsi"/>
          <w:bCs/>
          <w:sz w:val="22"/>
          <w:szCs w:val="22"/>
          <w:lang w:eastAsia="ko-KR"/>
        </w:rPr>
        <w:t>, CHF 30</w:t>
      </w:r>
      <w:r w:rsidRPr="008A3C79">
        <w:rPr>
          <w:rFonts w:asciiTheme="minorHAnsi" w:eastAsia="Batang" w:hAnsiTheme="minorHAnsi"/>
          <w:bCs/>
          <w:sz w:val="22"/>
          <w:szCs w:val="22"/>
          <w:lang w:eastAsia="ko-KR"/>
        </w:rPr>
        <w:t xml:space="preserve">,000 </w:t>
      </w:r>
      <w:r w:rsidR="00642556" w:rsidRPr="008A3C79">
        <w:rPr>
          <w:rFonts w:asciiTheme="minorHAnsi" w:eastAsia="Batang" w:hAnsiTheme="minorHAnsi"/>
          <w:bCs/>
          <w:sz w:val="22"/>
          <w:szCs w:val="22"/>
          <w:lang w:eastAsia="ko-KR"/>
        </w:rPr>
        <w:t>is budget</w:t>
      </w:r>
      <w:r w:rsidR="007B5616" w:rsidRPr="008A3C79">
        <w:rPr>
          <w:rFonts w:asciiTheme="minorHAnsi" w:eastAsia="Batang" w:hAnsiTheme="minorHAnsi"/>
          <w:bCs/>
          <w:sz w:val="22"/>
          <w:szCs w:val="22"/>
          <w:lang w:eastAsia="ko-KR"/>
        </w:rPr>
        <w:t>ed</w:t>
      </w:r>
      <w:r w:rsidR="00642556" w:rsidRPr="008A3C79">
        <w:rPr>
          <w:rFonts w:asciiTheme="minorHAnsi" w:eastAsia="Batang" w:hAnsiTheme="minorHAnsi"/>
          <w:bCs/>
          <w:sz w:val="22"/>
          <w:szCs w:val="22"/>
          <w:lang w:eastAsia="ko-KR"/>
        </w:rPr>
        <w:t xml:space="preserve"> to </w:t>
      </w:r>
      <w:r w:rsidRPr="008A3C79">
        <w:rPr>
          <w:rFonts w:asciiTheme="minorHAnsi" w:eastAsia="Batang" w:hAnsiTheme="minorHAnsi"/>
          <w:bCs/>
          <w:sz w:val="22"/>
          <w:szCs w:val="22"/>
          <w:lang w:eastAsia="ko-KR"/>
        </w:rPr>
        <w:t xml:space="preserve">provide </w:t>
      </w:r>
      <w:r w:rsidR="00642556" w:rsidRPr="008A3C79">
        <w:rPr>
          <w:rFonts w:asciiTheme="minorHAnsi" w:eastAsia="Batang" w:hAnsiTheme="minorHAnsi"/>
          <w:bCs/>
          <w:sz w:val="22"/>
          <w:szCs w:val="22"/>
          <w:lang w:eastAsia="ko-KR"/>
        </w:rPr>
        <w:t xml:space="preserve">annual </w:t>
      </w:r>
      <w:r w:rsidRPr="008A3C79">
        <w:rPr>
          <w:rFonts w:asciiTheme="minorHAnsi" w:eastAsia="Batang" w:hAnsiTheme="minorHAnsi"/>
          <w:bCs/>
          <w:sz w:val="22"/>
          <w:szCs w:val="22"/>
          <w:lang w:eastAsia="ko-KR"/>
        </w:rPr>
        <w:t xml:space="preserve">merit awards for 5-6 staff members. </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8A3C79" w:rsidRDefault="00642556"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Training.</w:t>
      </w:r>
      <w:r w:rsidRPr="008A3C79">
        <w:rPr>
          <w:rFonts w:asciiTheme="minorHAnsi" w:eastAsia="Batang" w:hAnsiTheme="minorHAnsi"/>
          <w:bCs/>
          <w:sz w:val="22"/>
          <w:szCs w:val="22"/>
          <w:lang w:eastAsia="ko-KR"/>
        </w:rPr>
        <w:t xml:space="preserve"> IUCN is starting to introduce a training budget for its staff and it is considered that opportunities for development of Ramsar staff should also be opened up. The initial call on this budget would serve to assess demand for all staff, but it is recognized that the amount is relatively low considering that </w:t>
      </w:r>
      <w:r w:rsidR="000D0D48">
        <w:rPr>
          <w:rFonts w:asciiTheme="minorHAnsi" w:eastAsia="Batang" w:hAnsiTheme="minorHAnsi"/>
          <w:bCs/>
          <w:sz w:val="22"/>
          <w:szCs w:val="22"/>
          <w:lang w:eastAsia="ko-KR"/>
        </w:rPr>
        <w:t>major</w:t>
      </w:r>
      <w:r w:rsidR="000D0D48" w:rsidRPr="008A3C79">
        <w:rPr>
          <w:rFonts w:asciiTheme="minorHAnsi" w:eastAsia="Batang" w:hAnsiTheme="minorHAnsi"/>
          <w:bCs/>
          <w:sz w:val="22"/>
          <w:szCs w:val="22"/>
          <w:lang w:eastAsia="ko-KR"/>
        </w:rPr>
        <w:t xml:space="preserve"> </w:t>
      </w:r>
      <w:r w:rsidRPr="008A3C79">
        <w:rPr>
          <w:rFonts w:asciiTheme="minorHAnsi" w:eastAsia="Batang" w:hAnsiTheme="minorHAnsi"/>
          <w:bCs/>
          <w:sz w:val="22"/>
          <w:szCs w:val="22"/>
          <w:lang w:eastAsia="ko-KR"/>
        </w:rPr>
        <w:t xml:space="preserve">employers are investing 1.0 - 1.5% of staff budget costs for training and development. </w:t>
      </w:r>
      <w:r w:rsidR="00CB16D1" w:rsidRPr="008A3C79">
        <w:rPr>
          <w:rFonts w:asciiTheme="minorHAnsi" w:eastAsia="Batang" w:hAnsiTheme="minorHAnsi"/>
          <w:bCs/>
          <w:sz w:val="22"/>
          <w:szCs w:val="22"/>
          <w:lang w:eastAsia="ko-KR"/>
        </w:rPr>
        <w:t xml:space="preserve"> </w:t>
      </w:r>
    </w:p>
    <w:p w:rsidR="008A3C79" w:rsidRPr="008A3C79" w:rsidRDefault="008A3C79" w:rsidP="00CD54B4">
      <w:pPr>
        <w:pStyle w:val="ListParagraph"/>
        <w:ind w:left="426" w:hanging="426"/>
        <w:rPr>
          <w:rFonts w:asciiTheme="minorHAnsi" w:eastAsia="Batang" w:hAnsiTheme="minorHAnsi"/>
          <w:b/>
          <w:bCs/>
          <w:sz w:val="22"/>
          <w:szCs w:val="22"/>
          <w:lang w:eastAsia="ko-KR"/>
        </w:rPr>
      </w:pPr>
    </w:p>
    <w:p w:rsidR="008A3C79" w:rsidRDefault="00471803"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
          <w:bCs/>
          <w:sz w:val="22"/>
          <w:szCs w:val="22"/>
          <w:lang w:eastAsia="ko-KR"/>
        </w:rPr>
        <w:t xml:space="preserve">The Secretary General is confident that </w:t>
      </w:r>
      <w:r w:rsidR="00642556" w:rsidRPr="008A3C79">
        <w:rPr>
          <w:rFonts w:asciiTheme="minorHAnsi" w:eastAsia="Batang" w:hAnsiTheme="minorHAnsi"/>
          <w:b/>
          <w:bCs/>
          <w:sz w:val="22"/>
          <w:szCs w:val="22"/>
          <w:lang w:eastAsia="ko-KR"/>
        </w:rPr>
        <w:t>Scenario</w:t>
      </w:r>
      <w:r w:rsidRPr="008A3C79">
        <w:rPr>
          <w:rFonts w:asciiTheme="minorHAnsi" w:eastAsia="Batang" w:hAnsiTheme="minorHAnsi"/>
          <w:b/>
          <w:bCs/>
          <w:sz w:val="22"/>
          <w:szCs w:val="22"/>
          <w:lang w:eastAsia="ko-KR"/>
        </w:rPr>
        <w:t xml:space="preserve"> A is not a realistic budget given the current and anticipated future demands of Parties.</w:t>
      </w:r>
      <w:r w:rsidRPr="008A3C79">
        <w:rPr>
          <w:rFonts w:asciiTheme="minorHAnsi" w:eastAsia="Batang" w:hAnsiTheme="minorHAnsi"/>
          <w:bCs/>
          <w:sz w:val="22"/>
          <w:szCs w:val="22"/>
          <w:lang w:eastAsia="ko-KR"/>
        </w:rPr>
        <w:t xml:space="preserve"> As presented, </w:t>
      </w:r>
      <w:r w:rsidR="00642556" w:rsidRPr="008A3C79">
        <w:rPr>
          <w:rFonts w:asciiTheme="minorHAnsi" w:eastAsia="Batang" w:hAnsiTheme="minorHAnsi"/>
          <w:bCs/>
          <w:sz w:val="22"/>
          <w:szCs w:val="22"/>
          <w:lang w:eastAsia="ko-KR"/>
        </w:rPr>
        <w:t>Scenario</w:t>
      </w:r>
      <w:r w:rsidRPr="008A3C79">
        <w:rPr>
          <w:rFonts w:asciiTheme="minorHAnsi" w:eastAsia="Batang" w:hAnsiTheme="minorHAnsi"/>
          <w:bCs/>
          <w:sz w:val="22"/>
          <w:szCs w:val="22"/>
          <w:lang w:eastAsia="ko-KR"/>
        </w:rPr>
        <w:t xml:space="preserve"> A is the best budget that can be proposed with a flat income for three years. With no salary increases in 201</w:t>
      </w:r>
      <w:r w:rsidR="00642556" w:rsidRPr="008A3C79">
        <w:rPr>
          <w:rFonts w:asciiTheme="minorHAnsi" w:eastAsia="Batang" w:hAnsiTheme="minorHAnsi"/>
          <w:bCs/>
          <w:sz w:val="22"/>
          <w:szCs w:val="22"/>
          <w:lang w:eastAsia="ko-KR"/>
        </w:rPr>
        <w:t>5</w:t>
      </w:r>
      <w:r w:rsidRPr="008A3C79">
        <w:rPr>
          <w:rFonts w:asciiTheme="minorHAnsi" w:eastAsia="Batang" w:hAnsiTheme="minorHAnsi"/>
          <w:bCs/>
          <w:sz w:val="22"/>
          <w:szCs w:val="22"/>
          <w:lang w:eastAsia="ko-KR"/>
        </w:rPr>
        <w:t>, however, and a budget allowing for no</w:t>
      </w:r>
      <w:r w:rsidR="000D0D48">
        <w:rPr>
          <w:rFonts w:asciiTheme="minorHAnsi" w:eastAsia="Batang" w:hAnsiTheme="minorHAnsi"/>
          <w:bCs/>
          <w:sz w:val="22"/>
          <w:szCs w:val="22"/>
          <w:lang w:eastAsia="ko-KR"/>
        </w:rPr>
        <w:t xml:space="preserve"> increase</w:t>
      </w:r>
      <w:r w:rsidRPr="008A3C79">
        <w:rPr>
          <w:rFonts w:asciiTheme="minorHAnsi" w:eastAsia="Batang" w:hAnsiTheme="minorHAnsi"/>
          <w:bCs/>
          <w:sz w:val="22"/>
          <w:szCs w:val="22"/>
          <w:lang w:eastAsia="ko-KR"/>
        </w:rPr>
        <w:t xml:space="preserve"> for another three years, </w:t>
      </w:r>
      <w:r w:rsidR="00642556" w:rsidRPr="008A3C79">
        <w:rPr>
          <w:rFonts w:asciiTheme="minorHAnsi" w:eastAsia="Batang" w:hAnsiTheme="minorHAnsi"/>
          <w:bCs/>
          <w:sz w:val="22"/>
          <w:szCs w:val="22"/>
          <w:lang w:eastAsia="ko-KR"/>
        </w:rPr>
        <w:t>Scenario</w:t>
      </w:r>
      <w:r w:rsidRPr="008A3C79">
        <w:rPr>
          <w:rFonts w:asciiTheme="minorHAnsi" w:eastAsia="Batang" w:hAnsiTheme="minorHAnsi"/>
          <w:bCs/>
          <w:sz w:val="22"/>
          <w:szCs w:val="22"/>
          <w:lang w:eastAsia="ko-KR"/>
        </w:rPr>
        <w:t xml:space="preserve"> A will have a dramatic effect upon the management of the Secretariat’s key resource – people. The Secretary General will not be able to resist some payroll cost increases, and he and the Standing Committee have few choices for other areas of cost savings. </w:t>
      </w:r>
    </w:p>
    <w:p w:rsidR="008A3C79" w:rsidRPr="008A3C79" w:rsidRDefault="008A3C79" w:rsidP="00CD54B4">
      <w:pPr>
        <w:pStyle w:val="ListParagraph"/>
        <w:ind w:left="426" w:hanging="426"/>
        <w:rPr>
          <w:rFonts w:asciiTheme="minorHAnsi" w:eastAsia="Batang" w:hAnsiTheme="minorHAnsi"/>
          <w:bCs/>
          <w:sz w:val="22"/>
          <w:szCs w:val="22"/>
          <w:lang w:eastAsia="ko-KR"/>
        </w:rPr>
      </w:pPr>
    </w:p>
    <w:p w:rsidR="008A3C79" w:rsidRDefault="00642556"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Cs/>
          <w:sz w:val="22"/>
          <w:szCs w:val="22"/>
          <w:lang w:eastAsia="ko-KR"/>
        </w:rPr>
        <w:t>Scenario</w:t>
      </w:r>
      <w:r w:rsidR="00471803" w:rsidRPr="008A3C79">
        <w:rPr>
          <w:rFonts w:asciiTheme="minorHAnsi" w:eastAsia="Batang" w:hAnsiTheme="minorHAnsi"/>
          <w:bCs/>
          <w:sz w:val="22"/>
          <w:szCs w:val="22"/>
          <w:lang w:eastAsia="ko-KR"/>
        </w:rPr>
        <w:t xml:space="preserve"> B gives the Secretary General a total of CHF </w:t>
      </w:r>
      <w:r w:rsidRPr="008A3C79">
        <w:rPr>
          <w:rFonts w:asciiTheme="minorHAnsi" w:eastAsia="Batang" w:hAnsiTheme="minorHAnsi"/>
          <w:bCs/>
          <w:sz w:val="22"/>
          <w:szCs w:val="22"/>
          <w:lang w:eastAsia="ko-KR"/>
        </w:rPr>
        <w:t>30</w:t>
      </w:r>
      <w:r w:rsidR="007B5616" w:rsidRPr="008A3C79">
        <w:rPr>
          <w:rFonts w:asciiTheme="minorHAnsi" w:eastAsia="Batang" w:hAnsiTheme="minorHAnsi"/>
          <w:bCs/>
          <w:sz w:val="22"/>
          <w:szCs w:val="22"/>
          <w:lang w:eastAsia="ko-KR"/>
        </w:rPr>
        <w:t>6</w:t>
      </w:r>
      <w:r w:rsidR="00471803" w:rsidRPr="008A3C79">
        <w:rPr>
          <w:rFonts w:asciiTheme="minorHAnsi" w:eastAsia="Batang" w:hAnsiTheme="minorHAnsi"/>
          <w:bCs/>
          <w:sz w:val="22"/>
          <w:szCs w:val="22"/>
          <w:lang w:eastAsia="ko-KR"/>
        </w:rPr>
        <w:t>,000 over three year</w:t>
      </w:r>
      <w:r w:rsidR="0055686A" w:rsidRPr="008A3C79">
        <w:rPr>
          <w:rFonts w:asciiTheme="minorHAnsi" w:eastAsia="Batang" w:hAnsiTheme="minorHAnsi"/>
          <w:bCs/>
          <w:sz w:val="22"/>
          <w:szCs w:val="22"/>
          <w:lang w:eastAsia="ko-KR"/>
        </w:rPr>
        <w:t>s to support</w:t>
      </w:r>
      <w:r w:rsidRPr="008A3C79">
        <w:rPr>
          <w:rFonts w:asciiTheme="minorHAnsi" w:eastAsia="Batang" w:hAnsiTheme="minorHAnsi"/>
          <w:bCs/>
          <w:sz w:val="22"/>
          <w:szCs w:val="22"/>
          <w:lang w:eastAsia="ko-KR"/>
        </w:rPr>
        <w:t xml:space="preserve"> Regional Advisory Mission</w:t>
      </w:r>
      <w:r w:rsidR="0055686A" w:rsidRPr="008A3C79">
        <w:rPr>
          <w:rFonts w:asciiTheme="minorHAnsi" w:eastAsia="Batang" w:hAnsiTheme="minorHAnsi"/>
          <w:bCs/>
          <w:sz w:val="22"/>
          <w:szCs w:val="22"/>
          <w:lang w:eastAsia="ko-KR"/>
        </w:rPr>
        <w:t>s</w:t>
      </w:r>
      <w:r w:rsidRPr="008A3C79">
        <w:rPr>
          <w:rFonts w:asciiTheme="minorHAnsi" w:eastAsia="Batang" w:hAnsiTheme="minorHAnsi"/>
          <w:bCs/>
          <w:sz w:val="22"/>
          <w:szCs w:val="22"/>
          <w:lang w:eastAsia="ko-KR"/>
        </w:rPr>
        <w:t xml:space="preserve"> and to reward staff with overdue salary merit increases and basic training. </w:t>
      </w:r>
      <w:r w:rsidR="00471803" w:rsidRPr="008A3C79">
        <w:rPr>
          <w:rFonts w:asciiTheme="minorHAnsi" w:eastAsia="Batang" w:hAnsiTheme="minorHAnsi"/>
          <w:bCs/>
          <w:sz w:val="22"/>
          <w:szCs w:val="22"/>
          <w:lang w:eastAsia="ko-KR"/>
        </w:rPr>
        <w:t xml:space="preserve">This is not a huge amount, but it </w:t>
      </w:r>
      <w:r w:rsidR="000D0D48">
        <w:rPr>
          <w:rFonts w:asciiTheme="minorHAnsi" w:eastAsia="Batang" w:hAnsiTheme="minorHAnsi"/>
          <w:bCs/>
          <w:sz w:val="22"/>
          <w:szCs w:val="22"/>
          <w:lang w:eastAsia="ko-KR"/>
        </w:rPr>
        <w:t xml:space="preserve">is a </w:t>
      </w:r>
      <w:r w:rsidRPr="008A3C79">
        <w:rPr>
          <w:rFonts w:asciiTheme="minorHAnsi" w:eastAsia="Batang" w:hAnsiTheme="minorHAnsi"/>
          <w:bCs/>
          <w:sz w:val="22"/>
          <w:szCs w:val="22"/>
          <w:lang w:eastAsia="ko-KR"/>
        </w:rPr>
        <w:t>balance</w:t>
      </w:r>
      <w:r w:rsidR="0055686A" w:rsidRPr="008A3C79">
        <w:rPr>
          <w:rFonts w:asciiTheme="minorHAnsi" w:eastAsia="Batang" w:hAnsiTheme="minorHAnsi"/>
          <w:bCs/>
          <w:sz w:val="22"/>
          <w:szCs w:val="22"/>
          <w:lang w:eastAsia="ko-KR"/>
        </w:rPr>
        <w:t xml:space="preserve"> between </w:t>
      </w:r>
      <w:r w:rsidR="007B5616" w:rsidRPr="008A3C79">
        <w:rPr>
          <w:rFonts w:asciiTheme="minorHAnsi" w:eastAsia="Batang" w:hAnsiTheme="minorHAnsi"/>
          <w:bCs/>
          <w:sz w:val="22"/>
          <w:szCs w:val="22"/>
          <w:lang w:eastAsia="ko-KR"/>
        </w:rPr>
        <w:t xml:space="preserve">investing </w:t>
      </w:r>
      <w:r w:rsidR="000D0D48">
        <w:rPr>
          <w:rFonts w:asciiTheme="minorHAnsi" w:eastAsia="Batang" w:hAnsiTheme="minorHAnsi"/>
          <w:bCs/>
          <w:sz w:val="22"/>
          <w:szCs w:val="22"/>
          <w:lang w:eastAsia="ko-KR"/>
        </w:rPr>
        <w:t>in</w:t>
      </w:r>
      <w:r w:rsidR="000D0D48" w:rsidRPr="008A3C79">
        <w:rPr>
          <w:rFonts w:asciiTheme="minorHAnsi" w:eastAsia="Batang" w:hAnsiTheme="minorHAnsi"/>
          <w:bCs/>
          <w:sz w:val="22"/>
          <w:szCs w:val="22"/>
          <w:lang w:eastAsia="ko-KR"/>
        </w:rPr>
        <w:t xml:space="preserve"> </w:t>
      </w:r>
      <w:r w:rsidR="0055686A" w:rsidRPr="008A3C79">
        <w:rPr>
          <w:rFonts w:asciiTheme="minorHAnsi" w:eastAsia="Batang" w:hAnsiTheme="minorHAnsi"/>
          <w:bCs/>
          <w:sz w:val="22"/>
          <w:szCs w:val="22"/>
          <w:lang w:eastAsia="ko-KR"/>
        </w:rPr>
        <w:t xml:space="preserve">the </w:t>
      </w:r>
      <w:r w:rsidR="007B5616" w:rsidRPr="008A3C79">
        <w:rPr>
          <w:rFonts w:asciiTheme="minorHAnsi" w:eastAsia="Batang" w:hAnsiTheme="minorHAnsi"/>
          <w:bCs/>
          <w:sz w:val="22"/>
          <w:szCs w:val="22"/>
          <w:lang w:eastAsia="ko-KR"/>
        </w:rPr>
        <w:t xml:space="preserve">Secretariat </w:t>
      </w:r>
      <w:r w:rsidR="0055686A" w:rsidRPr="008A3C79">
        <w:rPr>
          <w:rFonts w:asciiTheme="minorHAnsi" w:eastAsia="Batang" w:hAnsiTheme="minorHAnsi"/>
          <w:bCs/>
          <w:sz w:val="22"/>
          <w:szCs w:val="22"/>
          <w:lang w:eastAsia="ko-KR"/>
        </w:rPr>
        <w:t>(</w:t>
      </w:r>
      <w:r w:rsidR="007B5616" w:rsidRPr="008A3C79">
        <w:rPr>
          <w:rFonts w:asciiTheme="minorHAnsi" w:eastAsia="Batang" w:hAnsiTheme="minorHAnsi"/>
          <w:bCs/>
          <w:sz w:val="22"/>
          <w:szCs w:val="22"/>
          <w:lang w:eastAsia="ko-KR"/>
        </w:rPr>
        <w:t>staff</w:t>
      </w:r>
      <w:r w:rsidR="0055686A" w:rsidRPr="008A3C79">
        <w:rPr>
          <w:rFonts w:asciiTheme="minorHAnsi" w:eastAsia="Batang" w:hAnsiTheme="minorHAnsi"/>
          <w:bCs/>
          <w:sz w:val="22"/>
          <w:szCs w:val="22"/>
          <w:lang w:eastAsia="ko-KR"/>
        </w:rPr>
        <w:t>)</w:t>
      </w:r>
      <w:r w:rsidR="007B5616" w:rsidRPr="008A3C79">
        <w:rPr>
          <w:rFonts w:asciiTheme="minorHAnsi" w:eastAsia="Batang" w:hAnsiTheme="minorHAnsi"/>
          <w:bCs/>
          <w:sz w:val="22"/>
          <w:szCs w:val="22"/>
          <w:lang w:eastAsia="ko-KR"/>
        </w:rPr>
        <w:t xml:space="preserve"> and </w:t>
      </w:r>
      <w:r w:rsidR="0055686A" w:rsidRPr="008A3C79">
        <w:rPr>
          <w:rFonts w:asciiTheme="minorHAnsi" w:eastAsia="Batang" w:hAnsiTheme="minorHAnsi"/>
          <w:bCs/>
          <w:sz w:val="22"/>
          <w:szCs w:val="22"/>
          <w:lang w:eastAsia="ko-KR"/>
        </w:rPr>
        <w:t xml:space="preserve">outside the Secretariat through </w:t>
      </w:r>
      <w:r w:rsidR="007B5616" w:rsidRPr="008A3C79">
        <w:rPr>
          <w:rFonts w:asciiTheme="minorHAnsi" w:eastAsia="Batang" w:hAnsiTheme="minorHAnsi"/>
          <w:bCs/>
          <w:sz w:val="22"/>
          <w:szCs w:val="22"/>
          <w:lang w:eastAsia="ko-KR"/>
        </w:rPr>
        <w:t xml:space="preserve">advisory missions. </w:t>
      </w:r>
      <w:r w:rsidR="00471803" w:rsidRPr="008A3C79">
        <w:rPr>
          <w:rFonts w:asciiTheme="minorHAnsi" w:eastAsia="Batang" w:hAnsiTheme="minorHAnsi"/>
          <w:bCs/>
          <w:sz w:val="22"/>
          <w:szCs w:val="22"/>
          <w:lang w:eastAsia="ko-KR"/>
        </w:rPr>
        <w:t xml:space="preserve">The Conference of the Parties can </w:t>
      </w:r>
      <w:r w:rsidR="000D0D48">
        <w:rPr>
          <w:rFonts w:asciiTheme="minorHAnsi" w:eastAsia="Batang" w:hAnsiTheme="minorHAnsi"/>
          <w:bCs/>
          <w:sz w:val="22"/>
          <w:szCs w:val="22"/>
          <w:lang w:eastAsia="ko-KR"/>
        </w:rPr>
        <w:t>also</w:t>
      </w:r>
      <w:r w:rsidR="00471803" w:rsidRPr="008A3C79">
        <w:rPr>
          <w:rFonts w:asciiTheme="minorHAnsi" w:eastAsia="Batang" w:hAnsiTheme="minorHAnsi"/>
          <w:bCs/>
          <w:sz w:val="22"/>
          <w:szCs w:val="22"/>
          <w:lang w:eastAsia="ko-KR"/>
        </w:rPr>
        <w:t xml:space="preserve"> direct that these </w:t>
      </w:r>
      <w:r w:rsidR="0055686A" w:rsidRPr="008A3C79">
        <w:rPr>
          <w:rFonts w:asciiTheme="minorHAnsi" w:eastAsia="Batang" w:hAnsiTheme="minorHAnsi"/>
          <w:bCs/>
          <w:sz w:val="22"/>
          <w:szCs w:val="22"/>
          <w:lang w:eastAsia="ko-KR"/>
        </w:rPr>
        <w:t>Scenario</w:t>
      </w:r>
      <w:r w:rsidR="00471803" w:rsidRPr="008A3C79">
        <w:rPr>
          <w:rFonts w:asciiTheme="minorHAnsi" w:eastAsia="Batang" w:hAnsiTheme="minorHAnsi"/>
          <w:bCs/>
          <w:sz w:val="22"/>
          <w:szCs w:val="22"/>
          <w:lang w:eastAsia="ko-KR"/>
        </w:rPr>
        <w:t xml:space="preserve"> B increases should go elsewhere. </w:t>
      </w:r>
    </w:p>
    <w:p w:rsidR="008A3C79" w:rsidRPr="008A3C79" w:rsidRDefault="008A3C79" w:rsidP="00CD54B4">
      <w:pPr>
        <w:pStyle w:val="ListParagraph"/>
        <w:ind w:left="426" w:hanging="426"/>
        <w:rPr>
          <w:rFonts w:asciiTheme="minorHAnsi" w:eastAsia="Batang" w:hAnsiTheme="minorHAnsi"/>
          <w:bCs/>
          <w:sz w:val="22"/>
          <w:szCs w:val="22"/>
          <w:lang w:eastAsia="ko-KR"/>
        </w:rPr>
      </w:pPr>
    </w:p>
    <w:p w:rsidR="007B5616" w:rsidRPr="00904ED8" w:rsidRDefault="007B5616" w:rsidP="00CD54B4">
      <w:pPr>
        <w:pStyle w:val="ListParagraph"/>
        <w:numPr>
          <w:ilvl w:val="0"/>
          <w:numId w:val="1"/>
        </w:numPr>
        <w:ind w:left="426" w:hanging="426"/>
        <w:rPr>
          <w:rFonts w:asciiTheme="minorHAnsi" w:eastAsia="Batang" w:hAnsiTheme="minorHAnsi"/>
          <w:bCs/>
          <w:sz w:val="22"/>
          <w:szCs w:val="22"/>
          <w:lang w:eastAsia="ko-KR"/>
        </w:rPr>
      </w:pPr>
      <w:r w:rsidRPr="008A3C79">
        <w:rPr>
          <w:rFonts w:asciiTheme="minorHAnsi" w:eastAsia="Batang" w:hAnsiTheme="minorHAnsi"/>
          <w:bCs/>
          <w:sz w:val="22"/>
          <w:szCs w:val="22"/>
          <w:lang w:eastAsia="ko-KR"/>
        </w:rPr>
        <w:t>Scenario C gives the Secretary General a total of CHF 609,</w:t>
      </w:r>
      <w:r w:rsidR="0055686A" w:rsidRPr="008A3C79">
        <w:rPr>
          <w:rFonts w:asciiTheme="minorHAnsi" w:eastAsia="Batang" w:hAnsiTheme="minorHAnsi"/>
          <w:bCs/>
          <w:sz w:val="22"/>
          <w:szCs w:val="22"/>
          <w:lang w:eastAsia="ko-KR"/>
        </w:rPr>
        <w:t xml:space="preserve">000 over three years to make a real difference in supporting Ramsar work with a dedicated </w:t>
      </w:r>
      <w:r w:rsidR="000D0D48">
        <w:rPr>
          <w:rFonts w:asciiTheme="minorHAnsi" w:eastAsia="Batang" w:hAnsiTheme="minorHAnsi"/>
          <w:bCs/>
          <w:sz w:val="22"/>
          <w:szCs w:val="22"/>
          <w:lang w:eastAsia="ko-KR"/>
        </w:rPr>
        <w:t xml:space="preserve">Americas </w:t>
      </w:r>
      <w:r w:rsidR="0055686A" w:rsidRPr="008A3C79">
        <w:rPr>
          <w:rFonts w:asciiTheme="minorHAnsi" w:eastAsia="Batang" w:hAnsiTheme="minorHAnsi"/>
          <w:bCs/>
          <w:sz w:val="22"/>
          <w:szCs w:val="22"/>
          <w:lang w:eastAsia="ko-KR"/>
        </w:rPr>
        <w:t xml:space="preserve">Regional Advisor, Ramsar Advisory Missions and </w:t>
      </w:r>
      <w:r w:rsidRPr="008A3C79">
        <w:rPr>
          <w:rFonts w:asciiTheme="minorHAnsi" w:eastAsia="Batang" w:hAnsiTheme="minorHAnsi"/>
          <w:bCs/>
          <w:sz w:val="22"/>
          <w:szCs w:val="22"/>
          <w:lang w:eastAsia="ko-KR"/>
        </w:rPr>
        <w:t xml:space="preserve">reward staff with overdue salary merit increases. </w:t>
      </w:r>
      <w:r w:rsidR="0055686A" w:rsidRPr="008A3C79">
        <w:rPr>
          <w:rFonts w:asciiTheme="minorHAnsi" w:eastAsia="Batang" w:hAnsiTheme="minorHAnsi"/>
          <w:bCs/>
          <w:sz w:val="22"/>
          <w:szCs w:val="22"/>
          <w:lang w:eastAsia="ko-KR"/>
        </w:rPr>
        <w:t xml:space="preserve">As mentioned above, there is a long desired plan to recruit Regional Officers and Scenario C will bring Ramsar one step closer to achieving this goal. </w:t>
      </w:r>
      <w:r w:rsidRPr="008A3C79">
        <w:rPr>
          <w:rFonts w:asciiTheme="minorHAnsi" w:eastAsia="Batang" w:hAnsiTheme="minorHAnsi"/>
          <w:bCs/>
          <w:sz w:val="22"/>
          <w:szCs w:val="22"/>
          <w:lang w:eastAsia="ko-KR"/>
        </w:rPr>
        <w:t xml:space="preserve">The Conference of the Parties can </w:t>
      </w:r>
      <w:r w:rsidR="000D0D48">
        <w:rPr>
          <w:rFonts w:asciiTheme="minorHAnsi" w:eastAsia="Batang" w:hAnsiTheme="minorHAnsi"/>
          <w:bCs/>
          <w:sz w:val="22"/>
          <w:szCs w:val="22"/>
          <w:lang w:eastAsia="ko-KR"/>
        </w:rPr>
        <w:t>alternatively</w:t>
      </w:r>
      <w:r w:rsidR="0055686A" w:rsidRPr="008A3C79">
        <w:rPr>
          <w:rFonts w:asciiTheme="minorHAnsi" w:eastAsia="Batang" w:hAnsiTheme="minorHAnsi"/>
          <w:bCs/>
          <w:sz w:val="22"/>
          <w:szCs w:val="22"/>
          <w:lang w:eastAsia="ko-KR"/>
        </w:rPr>
        <w:t xml:space="preserve"> direct that </w:t>
      </w:r>
      <w:r w:rsidR="0055686A" w:rsidRPr="00904ED8">
        <w:rPr>
          <w:rFonts w:asciiTheme="minorHAnsi" w:eastAsia="Batang" w:hAnsiTheme="minorHAnsi"/>
          <w:bCs/>
          <w:sz w:val="22"/>
          <w:szCs w:val="22"/>
          <w:lang w:eastAsia="ko-KR"/>
        </w:rPr>
        <w:t>these Scenario</w:t>
      </w:r>
      <w:r w:rsidRPr="00904ED8">
        <w:rPr>
          <w:rFonts w:asciiTheme="minorHAnsi" w:eastAsia="Batang" w:hAnsiTheme="minorHAnsi"/>
          <w:bCs/>
          <w:sz w:val="22"/>
          <w:szCs w:val="22"/>
          <w:lang w:eastAsia="ko-KR"/>
        </w:rPr>
        <w:t xml:space="preserve"> </w:t>
      </w:r>
      <w:r w:rsidR="0055686A" w:rsidRPr="00904ED8">
        <w:rPr>
          <w:rFonts w:asciiTheme="minorHAnsi" w:eastAsia="Batang" w:hAnsiTheme="minorHAnsi"/>
          <w:bCs/>
          <w:sz w:val="22"/>
          <w:szCs w:val="22"/>
          <w:lang w:eastAsia="ko-KR"/>
        </w:rPr>
        <w:t>C</w:t>
      </w:r>
      <w:r w:rsidRPr="00904ED8">
        <w:rPr>
          <w:rFonts w:asciiTheme="minorHAnsi" w:eastAsia="Batang" w:hAnsiTheme="minorHAnsi"/>
          <w:bCs/>
          <w:sz w:val="22"/>
          <w:szCs w:val="22"/>
          <w:lang w:eastAsia="ko-KR"/>
        </w:rPr>
        <w:t xml:space="preserve"> increases should go elsewhere. </w:t>
      </w:r>
    </w:p>
    <w:p w:rsidR="007B5616" w:rsidRPr="00904ED8" w:rsidRDefault="007B5616" w:rsidP="00CD54B4">
      <w:pPr>
        <w:ind w:left="567" w:hanging="567"/>
        <w:rPr>
          <w:rFonts w:asciiTheme="minorHAnsi" w:eastAsia="Batang" w:hAnsiTheme="minorHAnsi"/>
          <w:bCs/>
          <w:sz w:val="22"/>
          <w:szCs w:val="22"/>
          <w:lang w:eastAsia="ko-KR"/>
        </w:rPr>
      </w:pPr>
    </w:p>
    <w:p w:rsidR="00471803" w:rsidRPr="00904ED8" w:rsidRDefault="00471803" w:rsidP="00CD54B4">
      <w:pPr>
        <w:pStyle w:val="MGfulltext"/>
        <w:spacing w:after="0"/>
        <w:rPr>
          <w:rFonts w:asciiTheme="minorHAnsi" w:eastAsia="Batang" w:hAnsiTheme="minorHAnsi" w:cs="Times New Roman"/>
          <w:b/>
          <w:sz w:val="22"/>
          <w:szCs w:val="22"/>
        </w:rPr>
      </w:pPr>
      <w:r w:rsidRPr="00904ED8">
        <w:rPr>
          <w:rFonts w:asciiTheme="minorHAnsi" w:eastAsia="Batang" w:hAnsiTheme="minorHAnsi" w:cs="Times New Roman"/>
          <w:b/>
          <w:sz w:val="22"/>
          <w:szCs w:val="22"/>
        </w:rPr>
        <w:t>Non-Core budget 201</w:t>
      </w:r>
      <w:r w:rsidR="00904ED8" w:rsidRPr="00904ED8">
        <w:rPr>
          <w:rFonts w:asciiTheme="minorHAnsi" w:eastAsia="Batang" w:hAnsiTheme="minorHAnsi" w:cs="Times New Roman"/>
          <w:b/>
          <w:sz w:val="22"/>
          <w:szCs w:val="22"/>
        </w:rPr>
        <w:t>6</w:t>
      </w:r>
      <w:r w:rsidRPr="00904ED8">
        <w:rPr>
          <w:rFonts w:asciiTheme="minorHAnsi" w:eastAsia="Batang" w:hAnsiTheme="minorHAnsi" w:cs="Times New Roman"/>
          <w:b/>
          <w:sz w:val="22"/>
          <w:szCs w:val="22"/>
        </w:rPr>
        <w:t>-201</w:t>
      </w:r>
      <w:r w:rsidR="00904ED8" w:rsidRPr="00904ED8">
        <w:rPr>
          <w:rFonts w:asciiTheme="minorHAnsi" w:eastAsia="Batang" w:hAnsiTheme="minorHAnsi" w:cs="Times New Roman"/>
          <w:b/>
          <w:sz w:val="22"/>
          <w:szCs w:val="22"/>
        </w:rPr>
        <w:t>8</w:t>
      </w:r>
      <w:r w:rsidR="00FF5511" w:rsidRPr="00904ED8">
        <w:rPr>
          <w:rFonts w:asciiTheme="minorHAnsi" w:eastAsia="Batang" w:hAnsiTheme="minorHAnsi" w:cs="Times New Roman"/>
          <w:b/>
          <w:sz w:val="22"/>
          <w:szCs w:val="22"/>
        </w:rPr>
        <w:t xml:space="preserve"> </w:t>
      </w:r>
    </w:p>
    <w:p w:rsidR="00471803" w:rsidRPr="00904ED8" w:rsidRDefault="00471803" w:rsidP="00CD54B4">
      <w:pPr>
        <w:pStyle w:val="MGfulltext"/>
        <w:spacing w:after="0"/>
        <w:ind w:left="360"/>
        <w:rPr>
          <w:rFonts w:asciiTheme="minorHAnsi" w:eastAsia="Batang" w:hAnsiTheme="minorHAnsi" w:cs="Times New Roman"/>
          <w:b/>
          <w:sz w:val="22"/>
          <w:szCs w:val="22"/>
        </w:rPr>
      </w:pPr>
    </w:p>
    <w:p w:rsidR="00471803" w:rsidRPr="00904ED8" w:rsidRDefault="00FF5511" w:rsidP="00CD54B4">
      <w:pPr>
        <w:pStyle w:val="ListParagraph"/>
        <w:numPr>
          <w:ilvl w:val="0"/>
          <w:numId w:val="1"/>
        </w:numPr>
        <w:ind w:left="426" w:hanging="426"/>
        <w:rPr>
          <w:rFonts w:asciiTheme="minorHAnsi" w:eastAsia="Batang" w:hAnsiTheme="minorHAnsi"/>
          <w:bCs/>
          <w:sz w:val="22"/>
          <w:szCs w:val="22"/>
          <w:lang w:eastAsia="ko-KR"/>
        </w:rPr>
      </w:pPr>
      <w:r w:rsidRPr="00904ED8">
        <w:rPr>
          <w:rFonts w:asciiTheme="minorHAnsi" w:eastAsia="Batang" w:hAnsiTheme="minorHAnsi"/>
          <w:sz w:val="22"/>
          <w:szCs w:val="22"/>
        </w:rPr>
        <w:t xml:space="preserve">A non-Core unfunded budget is in Annex 2. </w:t>
      </w:r>
      <w:r w:rsidR="00471803" w:rsidRPr="00904ED8">
        <w:rPr>
          <w:rFonts w:asciiTheme="minorHAnsi" w:eastAsia="Batang" w:hAnsiTheme="minorHAnsi"/>
          <w:bCs/>
          <w:sz w:val="22"/>
          <w:szCs w:val="22"/>
          <w:lang w:eastAsia="ko-KR"/>
        </w:rPr>
        <w:t>(In future, Core and non-Core alternatives will complement each other to a greater degree.)</w:t>
      </w:r>
    </w:p>
    <w:p w:rsidR="00471803" w:rsidRPr="00904ED8" w:rsidRDefault="00471803" w:rsidP="00CD54B4">
      <w:pPr>
        <w:rPr>
          <w:rFonts w:asciiTheme="minorHAnsi" w:eastAsia="Batang" w:hAnsiTheme="minorHAnsi"/>
          <w:bCs/>
          <w:sz w:val="22"/>
          <w:szCs w:val="22"/>
          <w:lang w:eastAsia="ko-KR"/>
        </w:rPr>
      </w:pPr>
    </w:p>
    <w:p w:rsidR="00471803" w:rsidRPr="00904ED8" w:rsidRDefault="00471803" w:rsidP="00CD54B4">
      <w:pPr>
        <w:pStyle w:val="ListParagraph"/>
        <w:numPr>
          <w:ilvl w:val="0"/>
          <w:numId w:val="1"/>
        </w:numPr>
        <w:ind w:left="426" w:hanging="426"/>
        <w:rPr>
          <w:rFonts w:asciiTheme="minorHAnsi" w:eastAsia="Batang" w:hAnsiTheme="minorHAnsi"/>
          <w:bCs/>
          <w:sz w:val="22"/>
          <w:szCs w:val="22"/>
          <w:lang w:eastAsia="ko-KR"/>
        </w:rPr>
      </w:pPr>
      <w:r w:rsidRPr="00904ED8">
        <w:rPr>
          <w:rFonts w:asciiTheme="minorHAnsi" w:eastAsia="Batang" w:hAnsiTheme="minorHAnsi"/>
          <w:bCs/>
          <w:sz w:val="22"/>
          <w:szCs w:val="22"/>
          <w:lang w:eastAsia="ko-KR"/>
        </w:rPr>
        <w:t>The expenditure items included in the non-Core, unfunded budget are those that are not funded by Core but are considered either necessary to deliver the Strategic Plan 20</w:t>
      </w:r>
      <w:r w:rsidR="003552A7" w:rsidRPr="00904ED8">
        <w:rPr>
          <w:rFonts w:asciiTheme="minorHAnsi" w:eastAsia="Batang" w:hAnsiTheme="minorHAnsi"/>
          <w:bCs/>
          <w:sz w:val="22"/>
          <w:szCs w:val="22"/>
          <w:lang w:eastAsia="ko-KR"/>
        </w:rPr>
        <w:t>16</w:t>
      </w:r>
      <w:r w:rsidRPr="00904ED8">
        <w:rPr>
          <w:rFonts w:asciiTheme="minorHAnsi" w:eastAsia="Batang" w:hAnsiTheme="minorHAnsi"/>
          <w:bCs/>
          <w:sz w:val="22"/>
          <w:szCs w:val="22"/>
          <w:lang w:eastAsia="ko-KR"/>
        </w:rPr>
        <w:t>-20</w:t>
      </w:r>
      <w:r w:rsidR="003552A7" w:rsidRPr="00904ED8">
        <w:rPr>
          <w:rFonts w:asciiTheme="minorHAnsi" w:eastAsia="Batang" w:hAnsiTheme="minorHAnsi"/>
          <w:bCs/>
          <w:sz w:val="22"/>
          <w:szCs w:val="22"/>
          <w:lang w:eastAsia="ko-KR"/>
        </w:rPr>
        <w:t>21</w:t>
      </w:r>
      <w:r w:rsidRPr="00904ED8">
        <w:rPr>
          <w:rFonts w:asciiTheme="minorHAnsi" w:eastAsia="Batang" w:hAnsiTheme="minorHAnsi"/>
          <w:bCs/>
          <w:sz w:val="22"/>
          <w:szCs w:val="22"/>
          <w:lang w:eastAsia="ko-KR"/>
        </w:rPr>
        <w:t xml:space="preserve"> or strongly directed by recent COP Resolutions and Standing Committee decisions. These include: </w:t>
      </w:r>
    </w:p>
    <w:p w:rsidR="00471803" w:rsidRPr="00904ED8" w:rsidRDefault="00471803" w:rsidP="00CD54B4">
      <w:pPr>
        <w:pStyle w:val="MGfulltext"/>
        <w:spacing w:after="0"/>
        <w:ind w:left="567" w:hanging="567"/>
        <w:rPr>
          <w:rFonts w:asciiTheme="minorHAnsi" w:eastAsia="Batang" w:hAnsiTheme="minorHAnsi" w:cs="Times New Roman"/>
          <w:sz w:val="22"/>
          <w:szCs w:val="22"/>
        </w:rPr>
      </w:pPr>
    </w:p>
    <w:p w:rsidR="003E0A5D" w:rsidRPr="00904ED8"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904ED8">
        <w:rPr>
          <w:rFonts w:asciiTheme="minorHAnsi" w:eastAsia="Batang" w:hAnsiTheme="minorHAnsi"/>
          <w:i/>
          <w:sz w:val="22"/>
          <w:szCs w:val="22"/>
        </w:rPr>
        <w:t>Budget Item A</w:t>
      </w:r>
      <w:r w:rsidRPr="00904ED8">
        <w:rPr>
          <w:rFonts w:asciiTheme="minorHAnsi" w:eastAsia="Batang" w:hAnsiTheme="minorHAnsi"/>
          <w:sz w:val="22"/>
          <w:szCs w:val="22"/>
        </w:rPr>
        <w:t>: a</w:t>
      </w:r>
      <w:r w:rsidRPr="00904ED8">
        <w:rPr>
          <w:rFonts w:asciiTheme="minorHAnsi" w:eastAsia="Batang" w:hAnsiTheme="minorHAnsi" w:cs="Times New Roman"/>
          <w:sz w:val="22"/>
          <w:szCs w:val="22"/>
        </w:rPr>
        <w:t>dditional Secretariat staffing and three Regional Officers from 2014;</w:t>
      </w:r>
    </w:p>
    <w:p w:rsidR="003E0A5D" w:rsidRDefault="003E0A5D" w:rsidP="003E0A5D">
      <w:pPr>
        <w:pStyle w:val="MGfulltext"/>
        <w:spacing w:after="0"/>
        <w:ind w:left="850"/>
        <w:rPr>
          <w:rFonts w:asciiTheme="minorHAnsi" w:eastAsia="Batang" w:hAnsiTheme="minorHAnsi" w:cs="Times New Roman"/>
          <w:sz w:val="22"/>
          <w:szCs w:val="22"/>
        </w:rPr>
      </w:pPr>
    </w:p>
    <w:p w:rsidR="003E0A5D"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1D1173">
        <w:rPr>
          <w:rFonts w:asciiTheme="minorHAnsi" w:eastAsia="Batang" w:hAnsiTheme="minorHAnsi" w:cs="Times New Roman"/>
          <w:i/>
          <w:sz w:val="22"/>
          <w:szCs w:val="22"/>
        </w:rPr>
        <w:t>Budget Item B</w:t>
      </w:r>
      <w:r>
        <w:rPr>
          <w:rFonts w:asciiTheme="minorHAnsi" w:eastAsia="Batang" w:hAnsiTheme="minorHAnsi" w:cs="Times New Roman"/>
          <w:sz w:val="22"/>
          <w:szCs w:val="22"/>
        </w:rPr>
        <w:t xml:space="preserve">: </w:t>
      </w:r>
      <w:r w:rsidRPr="00364C3A">
        <w:rPr>
          <w:rFonts w:asciiTheme="minorHAnsi" w:eastAsia="Batang" w:hAnsiTheme="minorHAnsi" w:cs="Times New Roman"/>
          <w:sz w:val="22"/>
          <w:szCs w:val="22"/>
        </w:rPr>
        <w:t>funding for emergency Ramsar Advisory Missions for Parties unable to self-fund their missions (Strategy 2.4, 2.6);</w:t>
      </w:r>
    </w:p>
    <w:p w:rsidR="003E0A5D" w:rsidRDefault="003E0A5D" w:rsidP="003E0A5D">
      <w:pPr>
        <w:pStyle w:val="ListParagraph"/>
        <w:rPr>
          <w:rFonts w:asciiTheme="minorHAnsi" w:eastAsia="Batang" w:hAnsiTheme="minorHAnsi"/>
          <w:sz w:val="22"/>
          <w:szCs w:val="22"/>
        </w:rPr>
      </w:pPr>
    </w:p>
    <w:p w:rsidR="003E0A5D"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1D1173">
        <w:rPr>
          <w:rFonts w:asciiTheme="minorHAnsi" w:eastAsia="Batang" w:hAnsiTheme="minorHAnsi" w:cs="Times New Roman"/>
          <w:i/>
          <w:sz w:val="22"/>
          <w:szCs w:val="22"/>
        </w:rPr>
        <w:t>Budget Item C</w:t>
      </w:r>
      <w:r>
        <w:rPr>
          <w:rFonts w:asciiTheme="minorHAnsi" w:eastAsia="Batang" w:hAnsiTheme="minorHAnsi" w:cs="Times New Roman"/>
          <w:sz w:val="22"/>
          <w:szCs w:val="22"/>
        </w:rPr>
        <w:t>: cost of staff member to convene and facilitate a coalition of governments, private sector and civil society for a Global Partnership on Wetlands Restoration;</w:t>
      </w:r>
    </w:p>
    <w:p w:rsidR="003E0A5D" w:rsidRDefault="003E0A5D" w:rsidP="003E0A5D">
      <w:pPr>
        <w:pStyle w:val="ListParagraph"/>
        <w:rPr>
          <w:rFonts w:asciiTheme="minorHAnsi" w:eastAsia="Batang" w:hAnsiTheme="minorHAnsi"/>
          <w:sz w:val="22"/>
          <w:szCs w:val="22"/>
        </w:rPr>
      </w:pPr>
    </w:p>
    <w:p w:rsidR="003E0A5D"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1D1173">
        <w:rPr>
          <w:rFonts w:asciiTheme="minorHAnsi" w:eastAsia="Batang" w:hAnsiTheme="minorHAnsi" w:cs="Times New Roman"/>
          <w:i/>
          <w:sz w:val="22"/>
          <w:szCs w:val="22"/>
        </w:rPr>
        <w:t>Budget Item D</w:t>
      </w:r>
      <w:r>
        <w:rPr>
          <w:rFonts w:asciiTheme="minorHAnsi" w:eastAsia="Batang" w:hAnsiTheme="minorHAnsi" w:cs="Times New Roman"/>
          <w:sz w:val="22"/>
          <w:szCs w:val="22"/>
        </w:rPr>
        <w:t>: cost of translation of documents into Arabic (3 year gradual translation process);</w:t>
      </w:r>
    </w:p>
    <w:p w:rsidR="003E0A5D" w:rsidRDefault="003E0A5D" w:rsidP="003E0A5D">
      <w:pPr>
        <w:pStyle w:val="ListParagraph"/>
        <w:rPr>
          <w:rFonts w:asciiTheme="minorHAnsi" w:eastAsia="Batang" w:hAnsiTheme="minorHAnsi"/>
          <w:sz w:val="22"/>
          <w:szCs w:val="22"/>
        </w:rPr>
      </w:pPr>
    </w:p>
    <w:p w:rsidR="003E0A5D"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1D1173">
        <w:rPr>
          <w:rFonts w:asciiTheme="minorHAnsi" w:eastAsia="Batang" w:hAnsiTheme="minorHAnsi" w:cs="Times New Roman"/>
          <w:i/>
          <w:sz w:val="22"/>
          <w:szCs w:val="22"/>
        </w:rPr>
        <w:t>Budget Item E</w:t>
      </w:r>
      <w:r>
        <w:rPr>
          <w:rFonts w:asciiTheme="minorHAnsi" w:eastAsia="Batang" w:hAnsiTheme="minorHAnsi" w:cs="Times New Roman"/>
          <w:sz w:val="22"/>
          <w:szCs w:val="22"/>
        </w:rPr>
        <w:t xml:space="preserve">: cost to build a virtual network of Wetland Professionals requiring a junior professional </w:t>
      </w:r>
      <w:r w:rsidRPr="00D9571F">
        <w:rPr>
          <w:rFonts w:asciiTheme="minorHAnsi" w:eastAsia="Batang" w:hAnsiTheme="minorHAnsi" w:cs="Times New Roman"/>
          <w:sz w:val="22"/>
          <w:szCs w:val="22"/>
        </w:rPr>
        <w:t xml:space="preserve">to manage the input, results management and capacity building for </w:t>
      </w:r>
      <w:r>
        <w:rPr>
          <w:rFonts w:asciiTheme="minorHAnsi" w:eastAsia="Batang" w:hAnsiTheme="minorHAnsi" w:cs="Times New Roman"/>
          <w:sz w:val="22"/>
          <w:szCs w:val="22"/>
        </w:rPr>
        <w:t xml:space="preserve">the new platform; </w:t>
      </w:r>
    </w:p>
    <w:p w:rsidR="003E0A5D" w:rsidRDefault="003E0A5D" w:rsidP="003E0A5D">
      <w:pPr>
        <w:pStyle w:val="ListParagraph"/>
        <w:rPr>
          <w:rFonts w:asciiTheme="minorHAnsi" w:eastAsia="Batang" w:hAnsiTheme="minorHAnsi"/>
          <w:sz w:val="22"/>
          <w:szCs w:val="22"/>
        </w:rPr>
      </w:pPr>
    </w:p>
    <w:p w:rsidR="003E0A5D" w:rsidRPr="00904ED8"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904ED8">
        <w:rPr>
          <w:rFonts w:asciiTheme="minorHAnsi" w:eastAsia="Batang" w:hAnsiTheme="minorHAnsi" w:cs="Times New Roman"/>
          <w:i/>
          <w:sz w:val="22"/>
          <w:szCs w:val="22"/>
        </w:rPr>
        <w:t>Budget Item F</w:t>
      </w:r>
      <w:r w:rsidRPr="00904ED8">
        <w:rPr>
          <w:rFonts w:asciiTheme="minorHAnsi" w:eastAsia="Batang" w:hAnsiTheme="minorHAnsi" w:cs="Times New Roman"/>
          <w:sz w:val="22"/>
          <w:szCs w:val="22"/>
        </w:rPr>
        <w:t>: execution of the STRP programme of work for 2013-2015 (Strategy 1.1, 1.2, 1.4, 1.5, 1.6, 1.7, 1.9, 2.5, 3.1). The cost estimate in budget item E includes all tasks planned for 2013-2015 including the GWOS project, but excluding the RSIS project in b below, which is included in Budget Category 1;</w:t>
      </w:r>
    </w:p>
    <w:p w:rsidR="003E0A5D" w:rsidRPr="00904ED8" w:rsidRDefault="003E0A5D" w:rsidP="003E0A5D">
      <w:pPr>
        <w:pStyle w:val="ListParagraph"/>
        <w:rPr>
          <w:rFonts w:asciiTheme="minorHAnsi" w:eastAsia="Batang" w:hAnsiTheme="minorHAnsi"/>
          <w:sz w:val="22"/>
          <w:szCs w:val="22"/>
        </w:rPr>
      </w:pPr>
    </w:p>
    <w:p w:rsidR="003E0A5D" w:rsidRPr="00904ED8"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904ED8">
        <w:rPr>
          <w:rFonts w:asciiTheme="minorHAnsi" w:eastAsia="Batang" w:hAnsiTheme="minorHAnsi"/>
          <w:i/>
          <w:sz w:val="22"/>
          <w:szCs w:val="22"/>
        </w:rPr>
        <w:t>Budget Item G</w:t>
      </w:r>
      <w:r w:rsidRPr="00904ED8">
        <w:rPr>
          <w:rFonts w:asciiTheme="minorHAnsi" w:eastAsia="Batang" w:hAnsiTheme="minorHAnsi"/>
          <w:sz w:val="22"/>
          <w:szCs w:val="22"/>
        </w:rPr>
        <w:t xml:space="preserve">: </w:t>
      </w:r>
      <w:r w:rsidRPr="00904ED8">
        <w:rPr>
          <w:rFonts w:asciiTheme="minorHAnsi" w:eastAsia="Batang" w:hAnsiTheme="minorHAnsi" w:cs="Times New Roman"/>
          <w:sz w:val="22"/>
          <w:szCs w:val="22"/>
        </w:rPr>
        <w:t>financial support for Regional Initiatives;</w:t>
      </w:r>
    </w:p>
    <w:p w:rsidR="003E0A5D" w:rsidRPr="00904ED8" w:rsidRDefault="003E0A5D" w:rsidP="003E0A5D">
      <w:pPr>
        <w:pStyle w:val="ListParagraph"/>
        <w:rPr>
          <w:rFonts w:asciiTheme="minorHAnsi" w:eastAsia="Batang" w:hAnsiTheme="minorHAnsi"/>
          <w:sz w:val="22"/>
          <w:szCs w:val="22"/>
        </w:rPr>
      </w:pPr>
    </w:p>
    <w:p w:rsidR="003E0A5D" w:rsidRPr="00904ED8"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904ED8">
        <w:rPr>
          <w:rFonts w:asciiTheme="minorHAnsi" w:eastAsia="Batang" w:hAnsiTheme="minorHAnsi" w:cs="Times New Roman"/>
          <w:i/>
          <w:sz w:val="22"/>
          <w:szCs w:val="22"/>
        </w:rPr>
        <w:t>Budget Item H</w:t>
      </w:r>
      <w:r w:rsidRPr="00904ED8">
        <w:rPr>
          <w:rFonts w:asciiTheme="minorHAnsi" w:eastAsia="Batang" w:hAnsiTheme="minorHAnsi" w:cs="Times New Roman"/>
          <w:sz w:val="22"/>
          <w:szCs w:val="22"/>
        </w:rPr>
        <w:t>: increase staffing capacity to leverage ongoing wetlands data mapping information from Japanese Space Agency, European Space Agency and others;</w:t>
      </w:r>
    </w:p>
    <w:p w:rsidR="003E0A5D" w:rsidRPr="00904ED8" w:rsidRDefault="003E0A5D" w:rsidP="003E0A5D">
      <w:pPr>
        <w:pStyle w:val="ListParagraph"/>
        <w:rPr>
          <w:rFonts w:asciiTheme="minorHAnsi" w:eastAsia="Batang" w:hAnsiTheme="minorHAnsi"/>
          <w:sz w:val="22"/>
          <w:szCs w:val="22"/>
        </w:rPr>
      </w:pPr>
    </w:p>
    <w:p w:rsidR="003E0A5D" w:rsidRPr="00904ED8"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904ED8">
        <w:rPr>
          <w:rFonts w:asciiTheme="minorHAnsi" w:eastAsia="Batang" w:hAnsiTheme="minorHAnsi" w:cs="Times New Roman"/>
          <w:i/>
          <w:sz w:val="22"/>
          <w:szCs w:val="22"/>
        </w:rPr>
        <w:t>Budget Item I</w:t>
      </w:r>
      <w:r w:rsidRPr="00904ED8">
        <w:rPr>
          <w:rFonts w:asciiTheme="minorHAnsi" w:eastAsia="Batang" w:hAnsiTheme="minorHAnsi" w:cs="Times New Roman"/>
          <w:sz w:val="22"/>
          <w:szCs w:val="22"/>
        </w:rPr>
        <w:t xml:space="preserve">: re-invigorate the appreciation of culture, wetlands and livelihoods. </w:t>
      </w:r>
      <w:r w:rsidR="00FF5511" w:rsidRPr="00904ED8">
        <w:rPr>
          <w:rFonts w:asciiTheme="minorHAnsi" w:eastAsia="Batang" w:hAnsiTheme="minorHAnsi" w:cs="Times New Roman"/>
          <w:sz w:val="22"/>
          <w:szCs w:val="22"/>
        </w:rPr>
        <w:t xml:space="preserve">Through </w:t>
      </w:r>
      <w:r w:rsidRPr="00904ED8">
        <w:rPr>
          <w:rFonts w:asciiTheme="minorHAnsi" w:eastAsia="Batang" w:hAnsiTheme="minorHAnsi" w:cs="Times New Roman"/>
          <w:sz w:val="22"/>
          <w:szCs w:val="22"/>
        </w:rPr>
        <w:t xml:space="preserve">Resolutions VIII.19 (2002) and IX.21 (2005), the Contracting Parties of Ramsar Convention have moved to strengthen the role of culture in supporting wise use and international co-operation associated with wetlands, and </w:t>
      </w:r>
      <w:r w:rsidR="00FF5511" w:rsidRPr="00904ED8">
        <w:rPr>
          <w:rFonts w:asciiTheme="minorHAnsi" w:eastAsia="Batang" w:hAnsiTheme="minorHAnsi" w:cs="Times New Roman"/>
          <w:sz w:val="22"/>
          <w:szCs w:val="22"/>
        </w:rPr>
        <w:t xml:space="preserve">these are </w:t>
      </w:r>
      <w:r w:rsidRPr="00904ED8">
        <w:rPr>
          <w:rFonts w:asciiTheme="minorHAnsi" w:eastAsia="Batang" w:hAnsiTheme="minorHAnsi" w:cs="Times New Roman"/>
          <w:sz w:val="22"/>
          <w:szCs w:val="22"/>
        </w:rPr>
        <w:t xml:space="preserve">supported by a Guidance Document (2008); </w:t>
      </w:r>
    </w:p>
    <w:p w:rsidR="003E0A5D" w:rsidRPr="00904ED8" w:rsidRDefault="003E0A5D" w:rsidP="003E0A5D">
      <w:pPr>
        <w:pStyle w:val="ListParagraph"/>
        <w:rPr>
          <w:rFonts w:asciiTheme="minorHAnsi" w:eastAsia="Batang" w:hAnsiTheme="minorHAnsi"/>
          <w:sz w:val="22"/>
          <w:szCs w:val="22"/>
        </w:rPr>
      </w:pPr>
    </w:p>
    <w:p w:rsidR="003E0A5D" w:rsidRPr="00904ED8"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904ED8">
        <w:rPr>
          <w:rFonts w:asciiTheme="minorHAnsi" w:eastAsia="Batang" w:hAnsiTheme="minorHAnsi" w:cs="Times New Roman"/>
          <w:i/>
          <w:sz w:val="22"/>
          <w:szCs w:val="22"/>
        </w:rPr>
        <w:t>Budget Item J</w:t>
      </w:r>
      <w:r w:rsidRPr="00904ED8">
        <w:rPr>
          <w:rFonts w:asciiTheme="minorHAnsi" w:eastAsia="Batang" w:hAnsiTheme="minorHAnsi" w:cs="Times New Roman"/>
          <w:sz w:val="22"/>
          <w:szCs w:val="22"/>
        </w:rPr>
        <w:t>: CHF 1 million per annum of resourcing for the Small Grants Fund and CHF 400,000 (total CHF 1,400,000) in other grant funding in order to keep the three current grant programmes operational. As discussed by the Parties at previous COPs, and at Standing Committee meetings, throughout the current triennium. These grant programmes need this minimum funding in order to keep the programmes alive and operationally efficient. At recent levels of funding, the programmes are not an efficient use of either the applicants’ or the Secretariat’s limited resources. (Grants support many 2009-2015 Strategies, including 1.3 and 5.1);</w:t>
      </w:r>
    </w:p>
    <w:p w:rsidR="003E0A5D" w:rsidRDefault="003E0A5D" w:rsidP="003E0A5D">
      <w:pPr>
        <w:pStyle w:val="ListParagraph"/>
        <w:rPr>
          <w:rFonts w:asciiTheme="minorHAnsi" w:eastAsia="Batang" w:hAnsiTheme="minorHAnsi"/>
          <w:sz w:val="22"/>
          <w:szCs w:val="22"/>
        </w:rPr>
      </w:pPr>
    </w:p>
    <w:p w:rsidR="003E0A5D"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1D1173">
        <w:rPr>
          <w:rFonts w:asciiTheme="minorHAnsi" w:eastAsia="Batang" w:hAnsiTheme="minorHAnsi" w:cs="Times New Roman"/>
          <w:i/>
          <w:sz w:val="22"/>
          <w:szCs w:val="22"/>
        </w:rPr>
        <w:t>Budget Item K</w:t>
      </w:r>
      <w:r>
        <w:rPr>
          <w:rFonts w:asciiTheme="minorHAnsi" w:eastAsia="Batang" w:hAnsiTheme="minorHAnsi" w:cs="Times New Roman"/>
          <w:sz w:val="22"/>
          <w:szCs w:val="22"/>
        </w:rPr>
        <w:t xml:space="preserve">: </w:t>
      </w:r>
      <w:r w:rsidRPr="00304FD2">
        <w:rPr>
          <w:rFonts w:asciiTheme="minorHAnsi" w:eastAsia="Batang" w:hAnsiTheme="minorHAnsi" w:cs="Times New Roman"/>
          <w:sz w:val="22"/>
          <w:szCs w:val="22"/>
        </w:rPr>
        <w:t>develop online reporting system</w:t>
      </w:r>
      <w:r>
        <w:rPr>
          <w:rFonts w:asciiTheme="minorHAnsi" w:eastAsia="Batang" w:hAnsiTheme="minorHAnsi" w:cs="Times New Roman"/>
          <w:sz w:val="22"/>
          <w:szCs w:val="22"/>
        </w:rPr>
        <w:t>s</w:t>
      </w:r>
      <w:r w:rsidRPr="00304FD2">
        <w:rPr>
          <w:rFonts w:asciiTheme="minorHAnsi" w:eastAsia="Batang" w:hAnsiTheme="minorHAnsi" w:cs="Times New Roman"/>
          <w:sz w:val="22"/>
          <w:szCs w:val="22"/>
        </w:rPr>
        <w:t xml:space="preserve"> based on indicators developed for the 4</w:t>
      </w:r>
      <w:r w:rsidRPr="003E0A5D">
        <w:rPr>
          <w:rFonts w:asciiTheme="minorHAnsi" w:eastAsia="Batang" w:hAnsiTheme="minorHAnsi" w:cs="Times New Roman"/>
          <w:sz w:val="22"/>
          <w:szCs w:val="22"/>
          <w:vertAlign w:val="superscript"/>
        </w:rPr>
        <w:t>th</w:t>
      </w:r>
      <w:r>
        <w:rPr>
          <w:rFonts w:asciiTheme="minorHAnsi" w:eastAsia="Batang" w:hAnsiTheme="minorHAnsi" w:cs="Times New Roman"/>
          <w:sz w:val="22"/>
          <w:szCs w:val="22"/>
        </w:rPr>
        <w:t xml:space="preserve"> </w:t>
      </w:r>
      <w:r w:rsidRPr="00304FD2">
        <w:rPr>
          <w:rFonts w:asciiTheme="minorHAnsi" w:eastAsia="Batang" w:hAnsiTheme="minorHAnsi" w:cs="Times New Roman"/>
          <w:sz w:val="22"/>
          <w:szCs w:val="22"/>
        </w:rPr>
        <w:t>Strategic Plan 2016-21</w:t>
      </w:r>
      <w:r>
        <w:rPr>
          <w:rFonts w:asciiTheme="minorHAnsi" w:eastAsia="Batang" w:hAnsiTheme="minorHAnsi" w:cs="Times New Roman"/>
          <w:sz w:val="22"/>
          <w:szCs w:val="22"/>
        </w:rPr>
        <w:t>;</w:t>
      </w:r>
    </w:p>
    <w:p w:rsidR="003E0A5D" w:rsidRDefault="003E0A5D" w:rsidP="003E0A5D">
      <w:pPr>
        <w:pStyle w:val="ListParagraph"/>
        <w:rPr>
          <w:rFonts w:asciiTheme="minorHAnsi" w:eastAsia="Batang" w:hAnsiTheme="minorHAnsi"/>
          <w:sz w:val="22"/>
          <w:szCs w:val="22"/>
        </w:rPr>
      </w:pPr>
    </w:p>
    <w:p w:rsidR="003E0A5D"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1D1173">
        <w:rPr>
          <w:rFonts w:asciiTheme="minorHAnsi" w:eastAsia="Batang" w:hAnsiTheme="minorHAnsi" w:cs="Times New Roman"/>
          <w:i/>
          <w:sz w:val="22"/>
          <w:szCs w:val="22"/>
        </w:rPr>
        <w:t>Budget Item L</w:t>
      </w:r>
      <w:r>
        <w:rPr>
          <w:rFonts w:asciiTheme="minorHAnsi" w:eastAsia="Batang" w:hAnsiTheme="minorHAnsi" w:cs="Times New Roman"/>
          <w:sz w:val="22"/>
          <w:szCs w:val="22"/>
        </w:rPr>
        <w:t xml:space="preserve">: </w:t>
      </w:r>
      <w:r w:rsidRPr="00364C3A">
        <w:rPr>
          <w:rFonts w:asciiTheme="minorHAnsi" w:eastAsia="Batang" w:hAnsiTheme="minorHAnsi" w:cs="Times New Roman"/>
          <w:sz w:val="22"/>
          <w:szCs w:val="22"/>
        </w:rPr>
        <w:t>delivery of one CEPA action planning workshop and other CEPA actions to support the Core-funded CEPA activities (Strategy 4.1);</w:t>
      </w:r>
    </w:p>
    <w:p w:rsidR="003E0A5D" w:rsidRDefault="003E0A5D" w:rsidP="003E0A5D">
      <w:pPr>
        <w:pStyle w:val="ListParagraph"/>
        <w:rPr>
          <w:rFonts w:asciiTheme="minorHAnsi" w:eastAsia="Batang" w:hAnsiTheme="minorHAnsi"/>
          <w:sz w:val="22"/>
          <w:szCs w:val="22"/>
        </w:rPr>
      </w:pPr>
    </w:p>
    <w:p w:rsidR="003E0A5D"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1D1173">
        <w:rPr>
          <w:rFonts w:asciiTheme="minorHAnsi" w:eastAsia="Batang" w:hAnsiTheme="minorHAnsi" w:cs="Times New Roman"/>
          <w:i/>
          <w:sz w:val="22"/>
          <w:szCs w:val="22"/>
        </w:rPr>
        <w:t>Budget Item M</w:t>
      </w:r>
      <w:r w:rsidRPr="007036CF">
        <w:rPr>
          <w:rFonts w:asciiTheme="minorHAnsi" w:eastAsia="Batang" w:hAnsiTheme="minorHAnsi" w:cs="Times New Roman"/>
          <w:sz w:val="22"/>
          <w:szCs w:val="22"/>
        </w:rPr>
        <w:t xml:space="preserve">: increase support to World Wetland Day of CHF 150,000 to complement Danone’s </w:t>
      </w:r>
      <w:r>
        <w:rPr>
          <w:rFonts w:asciiTheme="minorHAnsi" w:eastAsia="Batang" w:hAnsiTheme="minorHAnsi" w:cs="Times New Roman"/>
          <w:sz w:val="22"/>
          <w:szCs w:val="22"/>
        </w:rPr>
        <w:t>EUR</w:t>
      </w:r>
      <w:r w:rsidR="00FF5511">
        <w:rPr>
          <w:rFonts w:asciiTheme="minorHAnsi" w:eastAsia="Batang" w:hAnsiTheme="minorHAnsi" w:cs="Times New Roman"/>
          <w:sz w:val="22"/>
          <w:szCs w:val="22"/>
        </w:rPr>
        <w:t xml:space="preserve"> </w:t>
      </w:r>
      <w:r w:rsidRPr="007036CF">
        <w:rPr>
          <w:rFonts w:asciiTheme="minorHAnsi" w:eastAsia="Batang" w:hAnsiTheme="minorHAnsi" w:cs="Times New Roman"/>
          <w:sz w:val="22"/>
          <w:szCs w:val="22"/>
        </w:rPr>
        <w:t>250,000 contribution, with preparation and dissemination of products such as fact</w:t>
      </w:r>
      <w:r w:rsidR="00FF5511">
        <w:rPr>
          <w:rFonts w:asciiTheme="minorHAnsi" w:eastAsia="Batang" w:hAnsiTheme="minorHAnsi" w:cs="Times New Roman"/>
          <w:sz w:val="22"/>
          <w:szCs w:val="22"/>
        </w:rPr>
        <w:t xml:space="preserve"> </w:t>
      </w:r>
      <w:r w:rsidRPr="007036CF">
        <w:rPr>
          <w:rFonts w:asciiTheme="minorHAnsi" w:eastAsia="Batang" w:hAnsiTheme="minorHAnsi" w:cs="Times New Roman"/>
          <w:sz w:val="22"/>
          <w:szCs w:val="22"/>
        </w:rPr>
        <w:t xml:space="preserve">sheets, publicity leaflets posters and other CEPA materials for customization and </w:t>
      </w:r>
      <w:r>
        <w:rPr>
          <w:rFonts w:asciiTheme="minorHAnsi" w:eastAsia="Batang" w:hAnsiTheme="minorHAnsi" w:cs="Times New Roman"/>
          <w:sz w:val="22"/>
          <w:szCs w:val="22"/>
        </w:rPr>
        <w:t>promotion of WWD (Strategy 4.1);</w:t>
      </w:r>
    </w:p>
    <w:p w:rsidR="003E0A5D" w:rsidRDefault="003E0A5D" w:rsidP="003E0A5D">
      <w:pPr>
        <w:pStyle w:val="ListParagraph"/>
        <w:rPr>
          <w:rFonts w:asciiTheme="minorHAnsi" w:eastAsia="Batang" w:hAnsiTheme="minorHAnsi"/>
          <w:sz w:val="22"/>
          <w:szCs w:val="22"/>
        </w:rPr>
      </w:pPr>
    </w:p>
    <w:p w:rsidR="003E0A5D"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1D1173">
        <w:rPr>
          <w:rFonts w:asciiTheme="minorHAnsi" w:eastAsia="Batang" w:hAnsiTheme="minorHAnsi" w:cs="Times New Roman"/>
          <w:i/>
          <w:sz w:val="22"/>
          <w:szCs w:val="22"/>
        </w:rPr>
        <w:t>Budget Item N</w:t>
      </w:r>
      <w:r>
        <w:rPr>
          <w:rFonts w:asciiTheme="minorHAnsi" w:eastAsia="Batang" w:hAnsiTheme="minorHAnsi" w:cs="Times New Roman"/>
          <w:sz w:val="22"/>
          <w:szCs w:val="22"/>
        </w:rPr>
        <w:t>: extend “IUCN World Heritage Outlook” to another 100 Sites (as approved at SC48 DR Status of Ramsar List);</w:t>
      </w:r>
    </w:p>
    <w:p w:rsidR="003E0A5D" w:rsidRDefault="003E0A5D" w:rsidP="003E0A5D">
      <w:pPr>
        <w:pStyle w:val="ListParagraph"/>
        <w:rPr>
          <w:rFonts w:asciiTheme="minorHAnsi" w:eastAsia="Batang" w:hAnsiTheme="minorHAnsi"/>
          <w:sz w:val="22"/>
          <w:szCs w:val="22"/>
        </w:rPr>
      </w:pPr>
    </w:p>
    <w:p w:rsidR="003E0A5D"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1D1173">
        <w:rPr>
          <w:rFonts w:asciiTheme="minorHAnsi" w:eastAsia="Batang" w:hAnsiTheme="minorHAnsi" w:cs="Times New Roman"/>
          <w:i/>
          <w:sz w:val="22"/>
          <w:szCs w:val="22"/>
        </w:rPr>
        <w:lastRenderedPageBreak/>
        <w:t>Budget Item O</w:t>
      </w:r>
      <w:r w:rsidRPr="007036CF">
        <w:rPr>
          <w:rFonts w:asciiTheme="minorHAnsi" w:eastAsia="Batang" w:hAnsiTheme="minorHAnsi" w:cs="Times New Roman"/>
          <w:sz w:val="22"/>
          <w:szCs w:val="22"/>
        </w:rPr>
        <w:t xml:space="preserve">: annual regional meeting funding, with enhanced funding in the pre-COP year to fund delegates and meeting costs for COP preparatory regional meetings; </w:t>
      </w:r>
    </w:p>
    <w:p w:rsidR="003E0A5D" w:rsidRDefault="003E0A5D" w:rsidP="003E0A5D">
      <w:pPr>
        <w:pStyle w:val="ListParagraph"/>
        <w:rPr>
          <w:rFonts w:asciiTheme="minorHAnsi" w:eastAsia="Batang" w:hAnsiTheme="minorHAnsi"/>
          <w:sz w:val="22"/>
          <w:szCs w:val="22"/>
        </w:rPr>
      </w:pPr>
    </w:p>
    <w:p w:rsidR="003E0A5D" w:rsidRPr="00317F84" w:rsidRDefault="003E0A5D" w:rsidP="003E0A5D">
      <w:pPr>
        <w:pStyle w:val="MGfulltext"/>
        <w:numPr>
          <w:ilvl w:val="0"/>
          <w:numId w:val="7"/>
        </w:numPr>
        <w:spacing w:after="0"/>
        <w:ind w:left="850" w:hanging="425"/>
        <w:rPr>
          <w:rFonts w:asciiTheme="minorHAnsi" w:eastAsia="Batang" w:hAnsiTheme="minorHAnsi" w:cs="Times New Roman"/>
          <w:sz w:val="22"/>
          <w:szCs w:val="22"/>
        </w:rPr>
      </w:pPr>
      <w:r w:rsidRPr="001D1173">
        <w:rPr>
          <w:rFonts w:asciiTheme="minorHAnsi" w:eastAsia="Batang" w:hAnsiTheme="minorHAnsi" w:cs="Times New Roman"/>
          <w:i/>
          <w:sz w:val="22"/>
          <w:szCs w:val="22"/>
        </w:rPr>
        <w:t>Budget Item P</w:t>
      </w:r>
      <w:r w:rsidRPr="007036CF">
        <w:rPr>
          <w:rFonts w:asciiTheme="minorHAnsi" w:eastAsia="Batang" w:hAnsiTheme="minorHAnsi" w:cs="Times New Roman"/>
          <w:sz w:val="22"/>
          <w:szCs w:val="22"/>
        </w:rPr>
        <w:t xml:space="preserve">: funding for sponsoring eligible </w:t>
      </w:r>
      <w:r w:rsidRPr="00904ED8">
        <w:rPr>
          <w:rFonts w:asciiTheme="minorHAnsi" w:eastAsia="Batang" w:hAnsiTheme="minorHAnsi" w:cs="Times New Roman"/>
          <w:sz w:val="22"/>
          <w:szCs w:val="22"/>
        </w:rPr>
        <w:t>delegates to COP1</w:t>
      </w:r>
      <w:r w:rsidR="00904ED8" w:rsidRPr="00904ED8">
        <w:rPr>
          <w:rFonts w:asciiTheme="minorHAnsi" w:eastAsia="Batang" w:hAnsiTheme="minorHAnsi" w:cs="Times New Roman"/>
          <w:sz w:val="22"/>
          <w:szCs w:val="22"/>
        </w:rPr>
        <w:t>3</w:t>
      </w:r>
      <w:r w:rsidRPr="00904ED8">
        <w:rPr>
          <w:rFonts w:asciiTheme="minorHAnsi" w:eastAsia="Batang" w:hAnsiTheme="minorHAnsi" w:cs="Times New Roman"/>
          <w:sz w:val="22"/>
          <w:szCs w:val="22"/>
        </w:rPr>
        <w:t xml:space="preserve"> in 201</w:t>
      </w:r>
      <w:r w:rsidR="00904ED8">
        <w:rPr>
          <w:rFonts w:asciiTheme="minorHAnsi" w:eastAsia="Batang" w:hAnsiTheme="minorHAnsi" w:cs="Times New Roman"/>
          <w:sz w:val="22"/>
          <w:szCs w:val="22"/>
        </w:rPr>
        <w:t>8</w:t>
      </w:r>
      <w:r w:rsidRPr="00904ED8">
        <w:rPr>
          <w:rFonts w:asciiTheme="minorHAnsi" w:eastAsia="Batang" w:hAnsiTheme="minorHAnsi" w:cs="Times New Roman"/>
          <w:sz w:val="22"/>
          <w:szCs w:val="22"/>
        </w:rPr>
        <w:t xml:space="preserve"> (</w:t>
      </w:r>
      <w:r w:rsidRPr="007036CF">
        <w:rPr>
          <w:rFonts w:asciiTheme="minorHAnsi" w:eastAsia="Batang" w:hAnsiTheme="minorHAnsi" w:cs="Times New Roman"/>
          <w:sz w:val="22"/>
          <w:szCs w:val="22"/>
        </w:rPr>
        <w:t xml:space="preserve">Strategy 3.3, </w:t>
      </w:r>
      <w:r>
        <w:rPr>
          <w:rFonts w:asciiTheme="minorHAnsi" w:eastAsia="Batang" w:hAnsiTheme="minorHAnsi" w:cs="Times New Roman"/>
          <w:sz w:val="22"/>
          <w:szCs w:val="22"/>
        </w:rPr>
        <w:t>4.2).</w:t>
      </w:r>
    </w:p>
    <w:p w:rsidR="00471803" w:rsidRPr="00805569" w:rsidRDefault="00471803" w:rsidP="00CD54B4">
      <w:pPr>
        <w:pStyle w:val="MGfulltext"/>
        <w:tabs>
          <w:tab w:val="left" w:pos="567"/>
        </w:tabs>
        <w:spacing w:after="0"/>
        <w:ind w:left="567" w:hanging="567"/>
        <w:rPr>
          <w:rFonts w:asciiTheme="minorHAnsi" w:eastAsia="Batang" w:hAnsiTheme="minorHAnsi" w:cs="Times New Roman"/>
          <w:sz w:val="22"/>
          <w:szCs w:val="22"/>
        </w:rPr>
      </w:pPr>
    </w:p>
    <w:p w:rsidR="00471803" w:rsidRPr="008C1C61" w:rsidRDefault="00471803" w:rsidP="008C1C61">
      <w:pPr>
        <w:pStyle w:val="ListParagraph"/>
        <w:numPr>
          <w:ilvl w:val="0"/>
          <w:numId w:val="1"/>
        </w:numPr>
        <w:ind w:left="426" w:hanging="426"/>
        <w:rPr>
          <w:rFonts w:asciiTheme="minorHAnsi" w:eastAsia="Batang" w:hAnsiTheme="minorHAnsi"/>
          <w:bCs/>
          <w:sz w:val="22"/>
          <w:szCs w:val="22"/>
          <w:lang w:eastAsia="ko-KR"/>
        </w:rPr>
      </w:pPr>
      <w:r w:rsidRPr="008C1C61">
        <w:rPr>
          <w:rFonts w:asciiTheme="minorHAnsi" w:eastAsia="Batang" w:hAnsiTheme="minorHAnsi"/>
          <w:bCs/>
          <w:sz w:val="22"/>
          <w:szCs w:val="22"/>
          <w:lang w:eastAsia="ko-KR"/>
        </w:rPr>
        <w:t xml:space="preserve">The non-Core income is largely anticipated to come from Contracting Parties, although there is also an assumption that increasing contributions will be secured from non-Contracting Parties, including </w:t>
      </w:r>
      <w:r w:rsidR="00A82483" w:rsidRPr="008C1C61">
        <w:rPr>
          <w:rFonts w:asciiTheme="minorHAnsi" w:eastAsia="Batang" w:hAnsiTheme="minorHAnsi"/>
          <w:bCs/>
          <w:sz w:val="22"/>
          <w:szCs w:val="22"/>
          <w:lang w:eastAsia="ko-KR"/>
        </w:rPr>
        <w:t xml:space="preserve">foundations, individuals and </w:t>
      </w:r>
      <w:r w:rsidRPr="008C1C61">
        <w:rPr>
          <w:rFonts w:asciiTheme="minorHAnsi" w:eastAsia="Batang" w:hAnsiTheme="minorHAnsi"/>
          <w:bCs/>
          <w:sz w:val="22"/>
          <w:szCs w:val="22"/>
          <w:lang w:eastAsia="ko-KR"/>
        </w:rPr>
        <w:t xml:space="preserve">the private sector. </w:t>
      </w:r>
    </w:p>
    <w:p w:rsidR="00471803" w:rsidRPr="008A3C79" w:rsidRDefault="00471803" w:rsidP="00CD54B4">
      <w:pPr>
        <w:pStyle w:val="MGfulltext"/>
        <w:tabs>
          <w:tab w:val="left" w:pos="567"/>
        </w:tabs>
        <w:spacing w:after="0"/>
        <w:ind w:left="567" w:hanging="567"/>
        <w:rPr>
          <w:rFonts w:asciiTheme="minorHAnsi" w:eastAsia="Batang" w:hAnsiTheme="minorHAnsi" w:cs="Times New Roman"/>
          <w:sz w:val="22"/>
          <w:szCs w:val="22"/>
        </w:rPr>
      </w:pPr>
    </w:p>
    <w:p w:rsidR="00471803" w:rsidRPr="008A3C79" w:rsidRDefault="00471803" w:rsidP="00CD54B4">
      <w:pPr>
        <w:pStyle w:val="MGfulltext"/>
        <w:tabs>
          <w:tab w:val="left" w:pos="567"/>
        </w:tabs>
        <w:spacing w:after="0"/>
        <w:ind w:left="567" w:hanging="567"/>
        <w:rPr>
          <w:rFonts w:asciiTheme="minorHAnsi" w:eastAsia="Batang" w:hAnsiTheme="minorHAnsi" w:cs="Times New Roman"/>
          <w:b/>
          <w:sz w:val="22"/>
          <w:szCs w:val="22"/>
        </w:rPr>
      </w:pPr>
      <w:r w:rsidRPr="008A3C79">
        <w:rPr>
          <w:rFonts w:asciiTheme="minorHAnsi" w:eastAsia="Batang" w:hAnsiTheme="minorHAnsi" w:cs="Times New Roman"/>
          <w:b/>
          <w:sz w:val="22"/>
          <w:szCs w:val="22"/>
        </w:rPr>
        <w:t>Other comments</w:t>
      </w:r>
    </w:p>
    <w:p w:rsidR="00471803" w:rsidRPr="008A3C79" w:rsidRDefault="00471803" w:rsidP="00CD54B4">
      <w:pPr>
        <w:tabs>
          <w:tab w:val="left" w:pos="567"/>
        </w:tabs>
        <w:ind w:left="567" w:hanging="567"/>
        <w:rPr>
          <w:rFonts w:asciiTheme="minorHAnsi" w:hAnsiTheme="minorHAnsi"/>
          <w:sz w:val="22"/>
          <w:szCs w:val="22"/>
        </w:rPr>
      </w:pPr>
    </w:p>
    <w:p w:rsidR="00471803" w:rsidRPr="008C1C61" w:rsidRDefault="00471803" w:rsidP="008C1C61">
      <w:pPr>
        <w:pStyle w:val="ListParagraph"/>
        <w:numPr>
          <w:ilvl w:val="0"/>
          <w:numId w:val="1"/>
        </w:numPr>
        <w:ind w:left="426" w:hanging="426"/>
        <w:rPr>
          <w:rFonts w:asciiTheme="minorHAnsi" w:eastAsia="Batang" w:hAnsiTheme="minorHAnsi"/>
          <w:bCs/>
          <w:sz w:val="22"/>
          <w:szCs w:val="22"/>
          <w:lang w:eastAsia="ko-KR"/>
        </w:rPr>
      </w:pPr>
      <w:r w:rsidRPr="008C1C61">
        <w:rPr>
          <w:rFonts w:asciiTheme="minorHAnsi" w:eastAsia="Batang" w:hAnsiTheme="minorHAnsi"/>
          <w:bCs/>
          <w:sz w:val="22"/>
          <w:szCs w:val="22"/>
          <w:lang w:eastAsia="ko-KR"/>
        </w:rPr>
        <w:t>The presentation and COP approval of a Combined budget (with both a Core, funded element and a non-Core, unfunded element) should support the growth of the Convention and help the Parties and the Secretariat in their efforts to mobilize resources, and better align the Strategic Plan with the Financial Plan. Resources can come from different sources, and budgets can be revised and re-prioritised over time, but mid-term commitment for 201</w:t>
      </w:r>
      <w:r w:rsidR="00C44BF1" w:rsidRPr="008C1C61">
        <w:rPr>
          <w:rFonts w:asciiTheme="minorHAnsi" w:eastAsia="Batang" w:hAnsiTheme="minorHAnsi"/>
          <w:bCs/>
          <w:sz w:val="22"/>
          <w:szCs w:val="22"/>
          <w:lang w:eastAsia="ko-KR"/>
        </w:rPr>
        <w:t>6</w:t>
      </w:r>
      <w:r w:rsidRPr="008C1C61">
        <w:rPr>
          <w:rFonts w:asciiTheme="minorHAnsi" w:eastAsia="Batang" w:hAnsiTheme="minorHAnsi"/>
          <w:bCs/>
          <w:sz w:val="22"/>
          <w:szCs w:val="22"/>
          <w:lang w:eastAsia="ko-KR"/>
        </w:rPr>
        <w:t>-201</w:t>
      </w:r>
      <w:r w:rsidR="00C44BF1" w:rsidRPr="008C1C61">
        <w:rPr>
          <w:rFonts w:asciiTheme="minorHAnsi" w:eastAsia="Batang" w:hAnsiTheme="minorHAnsi"/>
          <w:bCs/>
          <w:sz w:val="22"/>
          <w:szCs w:val="22"/>
          <w:lang w:eastAsia="ko-KR"/>
        </w:rPr>
        <w:t>8</w:t>
      </w:r>
      <w:r w:rsidRPr="008C1C61">
        <w:rPr>
          <w:rFonts w:asciiTheme="minorHAnsi" w:eastAsia="Batang" w:hAnsiTheme="minorHAnsi"/>
          <w:bCs/>
          <w:sz w:val="22"/>
          <w:szCs w:val="22"/>
          <w:lang w:eastAsia="ko-KR"/>
        </w:rPr>
        <w:t xml:space="preserve"> via a Combined Budget, to </w:t>
      </w:r>
      <w:r w:rsidR="00A82483" w:rsidRPr="008C1C61">
        <w:rPr>
          <w:rFonts w:asciiTheme="minorHAnsi" w:eastAsia="Batang" w:hAnsiTheme="minorHAnsi"/>
          <w:bCs/>
          <w:sz w:val="22"/>
          <w:szCs w:val="22"/>
          <w:lang w:eastAsia="ko-KR"/>
        </w:rPr>
        <w:t xml:space="preserve">support </w:t>
      </w:r>
      <w:r w:rsidRPr="008C1C61">
        <w:rPr>
          <w:rFonts w:asciiTheme="minorHAnsi" w:eastAsia="Batang" w:hAnsiTheme="minorHAnsi"/>
          <w:bCs/>
          <w:sz w:val="22"/>
          <w:szCs w:val="22"/>
          <w:lang w:eastAsia="ko-KR"/>
        </w:rPr>
        <w:t xml:space="preserve">Core </w:t>
      </w:r>
      <w:r w:rsidR="00A82483" w:rsidRPr="008C1C61">
        <w:rPr>
          <w:rFonts w:asciiTheme="minorHAnsi" w:eastAsia="Batang" w:hAnsiTheme="minorHAnsi"/>
          <w:bCs/>
          <w:sz w:val="22"/>
          <w:szCs w:val="22"/>
          <w:lang w:eastAsia="ko-KR"/>
        </w:rPr>
        <w:t xml:space="preserve">costs </w:t>
      </w:r>
      <w:r w:rsidRPr="008C1C61">
        <w:rPr>
          <w:rFonts w:asciiTheme="minorHAnsi" w:eastAsia="Batang" w:hAnsiTheme="minorHAnsi"/>
          <w:bCs/>
          <w:sz w:val="22"/>
          <w:szCs w:val="22"/>
          <w:lang w:eastAsia="ko-KR"/>
        </w:rPr>
        <w:t xml:space="preserve">and more developmental activities, is helpful in the currently challenging financial times. Having a voluntary funded budget endorsed by Parties will </w:t>
      </w:r>
      <w:r w:rsidR="00A82483" w:rsidRPr="008C1C61">
        <w:rPr>
          <w:rFonts w:asciiTheme="minorHAnsi" w:eastAsia="Batang" w:hAnsiTheme="minorHAnsi"/>
          <w:bCs/>
          <w:sz w:val="22"/>
          <w:szCs w:val="22"/>
          <w:lang w:eastAsia="ko-KR"/>
        </w:rPr>
        <w:t xml:space="preserve">greatly </w:t>
      </w:r>
      <w:r w:rsidRPr="008C1C61">
        <w:rPr>
          <w:rFonts w:asciiTheme="minorHAnsi" w:eastAsia="Batang" w:hAnsiTheme="minorHAnsi"/>
          <w:bCs/>
          <w:sz w:val="22"/>
          <w:szCs w:val="22"/>
          <w:lang w:eastAsia="ko-KR"/>
        </w:rPr>
        <w:t>support the Convention’s fundraising efforts.</w:t>
      </w:r>
    </w:p>
    <w:p w:rsidR="00471803" w:rsidRPr="008C1C61" w:rsidRDefault="00471803" w:rsidP="008C1C61">
      <w:pPr>
        <w:pStyle w:val="ListParagraph"/>
        <w:ind w:left="426"/>
        <w:rPr>
          <w:rFonts w:asciiTheme="minorHAnsi" w:eastAsia="Batang" w:hAnsiTheme="minorHAnsi"/>
          <w:bCs/>
          <w:sz w:val="22"/>
          <w:szCs w:val="22"/>
          <w:lang w:eastAsia="ko-KR"/>
        </w:rPr>
      </w:pPr>
    </w:p>
    <w:p w:rsidR="00471803" w:rsidRPr="008C1C61" w:rsidRDefault="00471803" w:rsidP="008C1C61">
      <w:pPr>
        <w:pStyle w:val="ListParagraph"/>
        <w:numPr>
          <w:ilvl w:val="0"/>
          <w:numId w:val="1"/>
        </w:numPr>
        <w:ind w:left="426" w:hanging="426"/>
        <w:rPr>
          <w:rFonts w:asciiTheme="minorHAnsi" w:eastAsia="Batang" w:hAnsiTheme="minorHAnsi"/>
          <w:bCs/>
          <w:sz w:val="22"/>
          <w:szCs w:val="22"/>
          <w:lang w:eastAsia="ko-KR"/>
        </w:rPr>
      </w:pPr>
      <w:r w:rsidRPr="008C1C61">
        <w:rPr>
          <w:rFonts w:asciiTheme="minorHAnsi" w:eastAsia="Batang" w:hAnsiTheme="minorHAnsi"/>
          <w:bCs/>
          <w:sz w:val="22"/>
          <w:szCs w:val="22"/>
          <w:lang w:eastAsia="ko-KR"/>
        </w:rPr>
        <w:t>Parties’ commitment to clearing outstanding contributions could free up substantial additional resources. At 31 December 201</w:t>
      </w:r>
      <w:r w:rsidR="00C44BF1" w:rsidRPr="008C1C61">
        <w:rPr>
          <w:rFonts w:asciiTheme="minorHAnsi" w:eastAsia="Batang" w:hAnsiTheme="minorHAnsi"/>
          <w:bCs/>
          <w:sz w:val="22"/>
          <w:szCs w:val="22"/>
          <w:lang w:eastAsia="ko-KR"/>
        </w:rPr>
        <w:t>4</w:t>
      </w:r>
      <w:r w:rsidRPr="008C1C61">
        <w:rPr>
          <w:rFonts w:asciiTheme="minorHAnsi" w:eastAsia="Batang" w:hAnsiTheme="minorHAnsi"/>
          <w:bCs/>
          <w:sz w:val="22"/>
          <w:szCs w:val="22"/>
          <w:lang w:eastAsia="ko-KR"/>
        </w:rPr>
        <w:t>, outstanding contributions for 201</w:t>
      </w:r>
      <w:r w:rsidR="004A73F0" w:rsidRPr="008C1C61">
        <w:rPr>
          <w:rFonts w:asciiTheme="minorHAnsi" w:eastAsia="Batang" w:hAnsiTheme="minorHAnsi"/>
          <w:bCs/>
          <w:sz w:val="22"/>
          <w:szCs w:val="22"/>
          <w:lang w:eastAsia="ko-KR"/>
        </w:rPr>
        <w:t>4</w:t>
      </w:r>
      <w:r w:rsidRPr="008C1C61">
        <w:rPr>
          <w:rFonts w:asciiTheme="minorHAnsi" w:eastAsia="Batang" w:hAnsiTheme="minorHAnsi"/>
          <w:bCs/>
          <w:sz w:val="22"/>
          <w:szCs w:val="22"/>
          <w:lang w:eastAsia="ko-KR"/>
        </w:rPr>
        <w:t xml:space="preserve"> and prior amounted to more than CHF </w:t>
      </w:r>
      <w:r w:rsidR="004A73F0" w:rsidRPr="008C1C61">
        <w:rPr>
          <w:rFonts w:asciiTheme="minorHAnsi" w:eastAsia="Batang" w:hAnsiTheme="minorHAnsi"/>
          <w:bCs/>
          <w:sz w:val="22"/>
          <w:szCs w:val="22"/>
          <w:lang w:eastAsia="ko-KR"/>
        </w:rPr>
        <w:t>915</w:t>
      </w:r>
      <w:r w:rsidRPr="008C1C61">
        <w:rPr>
          <w:rFonts w:asciiTheme="minorHAnsi" w:eastAsia="Batang" w:hAnsiTheme="minorHAnsi"/>
          <w:bCs/>
          <w:sz w:val="22"/>
          <w:szCs w:val="22"/>
          <w:lang w:eastAsia="ko-KR"/>
        </w:rPr>
        <w:t xml:space="preserve">,000, which is more than </w:t>
      </w:r>
      <w:r w:rsidR="004A73F0" w:rsidRPr="008C1C61">
        <w:rPr>
          <w:rFonts w:asciiTheme="minorHAnsi" w:eastAsia="Batang" w:hAnsiTheme="minorHAnsi"/>
          <w:bCs/>
          <w:sz w:val="22"/>
          <w:szCs w:val="22"/>
          <w:lang w:eastAsia="ko-KR"/>
        </w:rPr>
        <w:t>24</w:t>
      </w:r>
      <w:r w:rsidRPr="008C1C61">
        <w:rPr>
          <w:rFonts w:asciiTheme="minorHAnsi" w:eastAsia="Batang" w:hAnsiTheme="minorHAnsi"/>
          <w:bCs/>
          <w:sz w:val="22"/>
          <w:szCs w:val="22"/>
          <w:lang w:eastAsia="ko-KR"/>
        </w:rPr>
        <w:t>% of that year’s income. More information on outstanding contributions is included in COP1</w:t>
      </w:r>
      <w:r w:rsidR="004A73F0" w:rsidRPr="008C1C61">
        <w:rPr>
          <w:rFonts w:asciiTheme="minorHAnsi" w:eastAsia="Batang" w:hAnsiTheme="minorHAnsi"/>
          <w:bCs/>
          <w:sz w:val="22"/>
          <w:szCs w:val="22"/>
          <w:lang w:eastAsia="ko-KR"/>
        </w:rPr>
        <w:t>2</w:t>
      </w:r>
      <w:r w:rsidRPr="008C1C61">
        <w:rPr>
          <w:rFonts w:asciiTheme="minorHAnsi" w:eastAsia="Batang" w:hAnsiTheme="minorHAnsi"/>
          <w:bCs/>
          <w:sz w:val="22"/>
          <w:szCs w:val="22"/>
          <w:lang w:eastAsia="ko-KR"/>
        </w:rPr>
        <w:t xml:space="preserve"> DOC.15.</w:t>
      </w:r>
    </w:p>
    <w:p w:rsidR="00471803" w:rsidRPr="008C1C61" w:rsidRDefault="00471803" w:rsidP="008C1C61">
      <w:pPr>
        <w:pStyle w:val="ListParagraph"/>
        <w:ind w:left="426"/>
        <w:rPr>
          <w:rFonts w:asciiTheme="minorHAnsi" w:eastAsia="Batang" w:hAnsiTheme="minorHAnsi"/>
          <w:bCs/>
          <w:sz w:val="22"/>
          <w:szCs w:val="22"/>
          <w:lang w:eastAsia="ko-KR"/>
        </w:rPr>
      </w:pPr>
    </w:p>
    <w:p w:rsidR="00471803" w:rsidRPr="008C1C61" w:rsidRDefault="00C44BF1" w:rsidP="008C1C61">
      <w:pPr>
        <w:pStyle w:val="ListParagraph"/>
        <w:numPr>
          <w:ilvl w:val="0"/>
          <w:numId w:val="1"/>
        </w:numPr>
        <w:ind w:left="426" w:hanging="426"/>
        <w:rPr>
          <w:rFonts w:asciiTheme="minorHAnsi" w:eastAsia="Batang" w:hAnsiTheme="minorHAnsi"/>
          <w:bCs/>
          <w:sz w:val="22"/>
          <w:szCs w:val="22"/>
          <w:lang w:eastAsia="ko-KR"/>
        </w:rPr>
      </w:pPr>
      <w:r w:rsidRPr="008C1C61">
        <w:rPr>
          <w:rFonts w:asciiTheme="minorHAnsi" w:eastAsia="Batang" w:hAnsiTheme="minorHAnsi"/>
          <w:bCs/>
          <w:sz w:val="22"/>
          <w:szCs w:val="22"/>
          <w:lang w:eastAsia="ko-KR"/>
        </w:rPr>
        <w:t xml:space="preserve">The </w:t>
      </w:r>
      <w:r w:rsidR="00A82483" w:rsidRPr="008C1C61">
        <w:rPr>
          <w:rFonts w:asciiTheme="minorHAnsi" w:eastAsia="Batang" w:hAnsiTheme="minorHAnsi"/>
          <w:bCs/>
          <w:sz w:val="22"/>
          <w:szCs w:val="22"/>
          <w:lang w:eastAsia="ko-KR"/>
        </w:rPr>
        <w:t xml:space="preserve">further </w:t>
      </w:r>
      <w:r w:rsidRPr="008C1C61">
        <w:rPr>
          <w:rFonts w:asciiTheme="minorHAnsi" w:eastAsia="Batang" w:hAnsiTheme="minorHAnsi"/>
          <w:bCs/>
          <w:sz w:val="22"/>
          <w:szCs w:val="22"/>
          <w:lang w:eastAsia="ko-KR"/>
        </w:rPr>
        <w:t xml:space="preserve">development of both people and technology is not well provided for in the Convention’s current core budget. There is no budget for training and development of Secretariat staff (except in the 2% scenario (B)), and </w:t>
      </w:r>
      <w:r w:rsidR="00A82483" w:rsidRPr="008C1C61">
        <w:rPr>
          <w:rFonts w:asciiTheme="minorHAnsi" w:eastAsia="Batang" w:hAnsiTheme="minorHAnsi"/>
          <w:bCs/>
          <w:sz w:val="22"/>
          <w:szCs w:val="22"/>
          <w:lang w:eastAsia="ko-KR"/>
        </w:rPr>
        <w:t xml:space="preserve">this </w:t>
      </w:r>
      <w:r w:rsidRPr="008C1C61">
        <w:rPr>
          <w:rFonts w:asciiTheme="minorHAnsi" w:eastAsia="Batang" w:hAnsiTheme="minorHAnsi"/>
          <w:bCs/>
          <w:sz w:val="22"/>
          <w:szCs w:val="22"/>
          <w:lang w:eastAsia="ko-KR"/>
        </w:rPr>
        <w:t>sum is considered small compared to other organizations that tend to set aside 1.5% of staff costs per staff per year. However, IUCN is also just starting to invest in training and we will work with the issue over the triennium.</w:t>
      </w:r>
    </w:p>
    <w:p w:rsidR="00C44BF1" w:rsidRPr="008C1C61" w:rsidRDefault="00C44BF1" w:rsidP="008C1C61">
      <w:pPr>
        <w:pStyle w:val="ListParagraph"/>
        <w:ind w:left="426"/>
        <w:rPr>
          <w:rFonts w:asciiTheme="minorHAnsi" w:eastAsia="Batang" w:hAnsiTheme="minorHAnsi"/>
          <w:bCs/>
          <w:sz w:val="22"/>
          <w:szCs w:val="22"/>
          <w:lang w:eastAsia="ko-KR"/>
        </w:rPr>
      </w:pPr>
    </w:p>
    <w:p w:rsidR="00C44BF1" w:rsidRPr="008C1C61" w:rsidRDefault="00C44BF1" w:rsidP="00943252">
      <w:pPr>
        <w:pStyle w:val="ListParagraph"/>
        <w:numPr>
          <w:ilvl w:val="0"/>
          <w:numId w:val="1"/>
        </w:numPr>
        <w:ind w:left="426" w:hanging="426"/>
        <w:rPr>
          <w:rFonts w:asciiTheme="minorHAnsi" w:eastAsia="Batang" w:hAnsiTheme="minorHAnsi"/>
          <w:bCs/>
          <w:sz w:val="22"/>
          <w:szCs w:val="22"/>
          <w:lang w:eastAsia="ko-KR"/>
        </w:rPr>
      </w:pPr>
      <w:r w:rsidRPr="008C1C61">
        <w:rPr>
          <w:rFonts w:asciiTheme="minorHAnsi" w:eastAsia="Batang" w:hAnsiTheme="minorHAnsi"/>
          <w:bCs/>
          <w:sz w:val="22"/>
          <w:szCs w:val="22"/>
          <w:lang w:eastAsia="ko-KR"/>
        </w:rPr>
        <w:t>There is still little capital development plan in terms of technology. Databases require regular and significant investment; key communications platforms and tools need regular 3-5 year refreshment or replacement. The Secretariat, as an information repository, needs highly effective document management technologies to efficiently support its activities, and providing access to various forms of wetland data is also critical to the Convention’s mission. Whilst Ramsar’s arrangement with IUCN provides for IT maintenance, IUCN’s internal and external needs in terms of communication and documentation, and their priorities, are somewhat different from Ramsar’s. The inclusion of an IT Officer on the payroll will still leave the need to consider a larger investment in technology by COP13 or earlier. In the 2016-2018 proposed budgets, the focus is not on IT personnel and technology investment; it is on supporting local, national and regional activities on the ground.</w:t>
      </w:r>
    </w:p>
    <w:p w:rsidR="00C44BF1" w:rsidRDefault="00C44BF1" w:rsidP="00943252">
      <w:pPr>
        <w:ind w:left="567" w:hanging="567"/>
        <w:rPr>
          <w:rFonts w:asciiTheme="minorHAnsi" w:hAnsiTheme="minorHAnsi"/>
          <w:sz w:val="22"/>
          <w:szCs w:val="22"/>
        </w:rPr>
      </w:pPr>
    </w:p>
    <w:p w:rsidR="005B5868" w:rsidRDefault="005B5868" w:rsidP="00943252">
      <w:pPr>
        <w:ind w:left="567" w:hanging="567"/>
        <w:rPr>
          <w:rFonts w:asciiTheme="minorHAnsi" w:hAnsiTheme="minorHAnsi"/>
          <w:sz w:val="22"/>
          <w:szCs w:val="22"/>
        </w:rPr>
      </w:pPr>
    </w:p>
    <w:p w:rsidR="005B5868" w:rsidRPr="006755E7" w:rsidRDefault="005B5868" w:rsidP="00943252">
      <w:pPr>
        <w:ind w:left="567" w:hanging="567"/>
        <w:rPr>
          <w:rFonts w:asciiTheme="minorHAnsi" w:hAnsiTheme="minorHAnsi"/>
          <w:sz w:val="22"/>
          <w:szCs w:val="22"/>
        </w:rPr>
      </w:pPr>
    </w:p>
    <w:p w:rsidR="004029F2" w:rsidRDefault="004029F2">
      <w:pPr>
        <w:spacing w:after="200" w:line="276" w:lineRule="auto"/>
        <w:rPr>
          <w:rFonts w:asciiTheme="minorHAnsi" w:hAnsiTheme="minorHAnsi" w:cs="Arial"/>
          <w:b/>
          <w:szCs w:val="24"/>
        </w:rPr>
      </w:pPr>
      <w:r>
        <w:rPr>
          <w:rFonts w:asciiTheme="minorHAnsi" w:hAnsiTheme="minorHAnsi" w:cs="Arial"/>
          <w:b/>
          <w:szCs w:val="24"/>
        </w:rPr>
        <w:br w:type="page"/>
      </w:r>
    </w:p>
    <w:p w:rsidR="005447E8" w:rsidRDefault="005B5868" w:rsidP="004029F2">
      <w:pPr>
        <w:pStyle w:val="Header"/>
        <w:rPr>
          <w:lang w:val="es-MX"/>
        </w:rPr>
      </w:pPr>
      <w:r w:rsidRPr="004029F2">
        <w:rPr>
          <w:rFonts w:asciiTheme="minorHAnsi" w:hAnsiTheme="minorHAnsi" w:cs="Arial"/>
          <w:b/>
          <w:szCs w:val="24"/>
        </w:rPr>
        <w:lastRenderedPageBreak/>
        <w:t>Annex 1: 2016-2018 Core Budget Scenarios</w:t>
      </w:r>
      <w:r w:rsidR="004A1837" w:rsidRPr="004A1837">
        <w:rPr>
          <w:noProof/>
        </w:rPr>
        <w:drawing>
          <wp:inline distT="0" distB="0" distL="0" distR="0">
            <wp:extent cx="5791200" cy="850601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0" cy="8506015"/>
                    </a:xfrm>
                    <a:prstGeom prst="rect">
                      <a:avLst/>
                    </a:prstGeom>
                    <a:noFill/>
                    <a:ln>
                      <a:noFill/>
                    </a:ln>
                  </pic:spPr>
                </pic:pic>
              </a:graphicData>
            </a:graphic>
          </wp:inline>
        </w:drawing>
      </w:r>
      <w:r w:rsidR="004A1837" w:rsidRPr="004A1837">
        <w:rPr>
          <w:noProof/>
        </w:rPr>
        <w:lastRenderedPageBreak/>
        <w:drawing>
          <wp:inline distT="0" distB="0" distL="0" distR="0">
            <wp:extent cx="5791200" cy="8506016"/>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7136" cy="8514735"/>
                    </a:xfrm>
                    <a:prstGeom prst="rect">
                      <a:avLst/>
                    </a:prstGeom>
                    <a:noFill/>
                    <a:ln>
                      <a:noFill/>
                    </a:ln>
                  </pic:spPr>
                </pic:pic>
              </a:graphicData>
            </a:graphic>
          </wp:inline>
        </w:drawing>
      </w:r>
    </w:p>
    <w:p w:rsidR="00D925B0" w:rsidRDefault="004A1837" w:rsidP="00943252">
      <w:pPr>
        <w:rPr>
          <w:lang w:val="es-MX"/>
        </w:rPr>
        <w:sectPr w:rsidR="00D925B0" w:rsidSect="00904ED8">
          <w:footerReference w:type="default" r:id="rId12"/>
          <w:pgSz w:w="11907" w:h="16839" w:code="9"/>
          <w:pgMar w:top="1440" w:right="1440" w:bottom="1440" w:left="1440" w:header="708" w:footer="708" w:gutter="0"/>
          <w:cols w:space="708"/>
          <w:titlePg/>
          <w:docGrid w:linePitch="360"/>
        </w:sectPr>
      </w:pPr>
      <w:r w:rsidRPr="004A1837">
        <w:rPr>
          <w:noProof/>
        </w:rPr>
        <w:lastRenderedPageBreak/>
        <w:drawing>
          <wp:inline distT="0" distB="0" distL="0" distR="0">
            <wp:extent cx="5748655" cy="8434602"/>
            <wp:effectExtent l="1905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8771" cy="8434772"/>
                    </a:xfrm>
                    <a:prstGeom prst="rect">
                      <a:avLst/>
                    </a:prstGeom>
                    <a:noFill/>
                    <a:ln>
                      <a:noFill/>
                    </a:ln>
                  </pic:spPr>
                </pic:pic>
              </a:graphicData>
            </a:graphic>
          </wp:inline>
        </w:drawing>
      </w:r>
    </w:p>
    <w:p w:rsidR="005B5868" w:rsidRPr="00D925B0" w:rsidRDefault="005B5868" w:rsidP="00943252">
      <w:pPr>
        <w:pStyle w:val="Header"/>
        <w:rPr>
          <w:rFonts w:ascii="Arial" w:hAnsi="Arial" w:cs="Arial"/>
          <w:b/>
          <w:sz w:val="28"/>
          <w:szCs w:val="28"/>
        </w:rPr>
      </w:pPr>
      <w:r w:rsidRPr="00FF5511">
        <w:rPr>
          <w:rFonts w:asciiTheme="minorHAnsi" w:hAnsiTheme="minorHAnsi" w:cs="Arial"/>
          <w:b/>
          <w:szCs w:val="24"/>
        </w:rPr>
        <w:lastRenderedPageBreak/>
        <w:t>Annex 2: 2016-2018 Non-Core Budget Scenarios</w:t>
      </w:r>
    </w:p>
    <w:p w:rsidR="00C677D2" w:rsidRDefault="00C677D2" w:rsidP="00943252">
      <w:pPr>
        <w:rPr>
          <w:lang w:val="es-MX"/>
        </w:rPr>
      </w:pPr>
    </w:p>
    <w:p w:rsidR="000125BC" w:rsidRDefault="00C677D2">
      <w:pPr>
        <w:rPr>
          <w:lang w:val="es-MX"/>
        </w:rPr>
      </w:pPr>
      <w:r w:rsidRPr="00C677D2">
        <w:rPr>
          <w:noProof/>
        </w:rPr>
        <w:drawing>
          <wp:inline distT="0" distB="0" distL="0" distR="0">
            <wp:extent cx="5493673" cy="826452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7656" cy="8270517"/>
                    </a:xfrm>
                    <a:prstGeom prst="rect">
                      <a:avLst/>
                    </a:prstGeom>
                    <a:noFill/>
                    <a:ln>
                      <a:noFill/>
                    </a:ln>
                  </pic:spPr>
                </pic:pic>
              </a:graphicData>
            </a:graphic>
          </wp:inline>
        </w:drawing>
      </w:r>
    </w:p>
    <w:p w:rsidR="005F1C90" w:rsidRDefault="005F1C90">
      <w:pPr>
        <w:rPr>
          <w:lang w:val="es-MX"/>
        </w:rPr>
      </w:pPr>
      <w:bookmarkStart w:id="0" w:name="_GoBack"/>
      <w:bookmarkEnd w:id="0"/>
    </w:p>
    <w:p w:rsidR="00943252" w:rsidRDefault="00943252" w:rsidP="00FF5511">
      <w:pPr>
        <w:pStyle w:val="Header"/>
        <w:rPr>
          <w:rFonts w:asciiTheme="minorHAnsi" w:hAnsiTheme="minorHAnsi" w:cs="Arial"/>
          <w:b/>
          <w:szCs w:val="24"/>
        </w:rPr>
      </w:pPr>
      <w:r w:rsidRPr="00FF5511">
        <w:rPr>
          <w:rFonts w:asciiTheme="minorHAnsi" w:hAnsiTheme="minorHAnsi" w:cs="Arial"/>
          <w:b/>
          <w:szCs w:val="24"/>
        </w:rPr>
        <w:lastRenderedPageBreak/>
        <w:t>Annex 3: Contracting Parties’ contributions 2016-2018 for Scenarios A, B and C</w:t>
      </w:r>
      <w:r w:rsidR="00FF5511">
        <w:rPr>
          <w:rFonts w:asciiTheme="minorHAnsi" w:hAnsiTheme="minorHAnsi" w:cs="Arial"/>
          <w:b/>
          <w:szCs w:val="24"/>
        </w:rPr>
        <w:t>,</w:t>
      </w:r>
      <w:r w:rsidRPr="00FF5511">
        <w:rPr>
          <w:rFonts w:asciiTheme="minorHAnsi" w:hAnsiTheme="minorHAnsi" w:cs="Arial"/>
          <w:b/>
          <w:szCs w:val="24"/>
        </w:rPr>
        <w:t xml:space="preserve"> and change from 2015</w:t>
      </w:r>
    </w:p>
    <w:p w:rsidR="00BD17F5" w:rsidRDefault="00BD17F5" w:rsidP="00FF5511">
      <w:pPr>
        <w:pStyle w:val="Header"/>
        <w:rPr>
          <w:rFonts w:asciiTheme="minorHAnsi" w:hAnsiTheme="minorHAnsi" w:cs="Arial"/>
          <w:b/>
          <w:szCs w:val="24"/>
        </w:rPr>
      </w:pPr>
    </w:p>
    <w:p w:rsidR="00BD17F5" w:rsidRPr="00FF5511" w:rsidRDefault="00BD17F5" w:rsidP="00FF5511">
      <w:pPr>
        <w:pStyle w:val="Header"/>
        <w:rPr>
          <w:rFonts w:asciiTheme="minorHAnsi" w:hAnsiTheme="minorHAnsi" w:cs="Arial"/>
          <w:b/>
          <w:szCs w:val="24"/>
        </w:rPr>
      </w:pPr>
      <w:r w:rsidRPr="00BD17F5">
        <w:rPr>
          <w:szCs w:val="24"/>
        </w:rPr>
        <w:drawing>
          <wp:inline distT="0" distB="0" distL="0" distR="0">
            <wp:extent cx="5644331" cy="7680961"/>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45541" cy="7682608"/>
                    </a:xfrm>
                    <a:prstGeom prst="rect">
                      <a:avLst/>
                    </a:prstGeom>
                    <a:noFill/>
                    <a:ln w="9525">
                      <a:noFill/>
                      <a:miter lim="800000"/>
                      <a:headEnd/>
                      <a:tailEnd/>
                    </a:ln>
                  </pic:spPr>
                </pic:pic>
              </a:graphicData>
            </a:graphic>
          </wp:inline>
        </w:drawing>
      </w:r>
    </w:p>
    <w:p w:rsidR="00FA72AF" w:rsidRDefault="00FA72AF" w:rsidP="00820027">
      <w:pPr>
        <w:rPr>
          <w:lang w:val="es-MX"/>
        </w:rPr>
      </w:pPr>
    </w:p>
    <w:p w:rsidR="00820027" w:rsidRDefault="00BD17F5" w:rsidP="00820027">
      <w:pPr>
        <w:rPr>
          <w:lang w:val="es-MX"/>
        </w:rPr>
      </w:pPr>
      <w:r w:rsidRPr="00BD17F5">
        <w:drawing>
          <wp:inline distT="0" distB="0" distL="0" distR="0">
            <wp:extent cx="5644331" cy="7680961"/>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645541" cy="7682608"/>
                    </a:xfrm>
                    <a:prstGeom prst="rect">
                      <a:avLst/>
                    </a:prstGeom>
                    <a:noFill/>
                    <a:ln w="9525">
                      <a:noFill/>
                      <a:miter lim="800000"/>
                      <a:headEnd/>
                      <a:tailEnd/>
                    </a:ln>
                  </pic:spPr>
                </pic:pic>
              </a:graphicData>
            </a:graphic>
          </wp:inline>
        </w:drawing>
      </w:r>
    </w:p>
    <w:p w:rsidR="004A1837" w:rsidRDefault="004A1837" w:rsidP="00820027">
      <w:pPr>
        <w:rPr>
          <w:lang w:val="es-MX"/>
        </w:rPr>
      </w:pPr>
    </w:p>
    <w:p w:rsidR="00BD17F5" w:rsidRDefault="00BD17F5" w:rsidP="00820027">
      <w:pPr>
        <w:rPr>
          <w:lang w:val="es-MX"/>
        </w:rPr>
      </w:pPr>
      <w:r w:rsidRPr="00BD17F5">
        <w:drawing>
          <wp:inline distT="0" distB="0" distL="0" distR="0">
            <wp:extent cx="5644331" cy="8532971"/>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645541" cy="8534801"/>
                    </a:xfrm>
                    <a:prstGeom prst="rect">
                      <a:avLst/>
                    </a:prstGeom>
                    <a:noFill/>
                    <a:ln w="9525">
                      <a:noFill/>
                      <a:miter lim="800000"/>
                      <a:headEnd/>
                      <a:tailEnd/>
                    </a:ln>
                  </pic:spPr>
                </pic:pic>
              </a:graphicData>
            </a:graphic>
          </wp:inline>
        </w:drawing>
      </w:r>
    </w:p>
    <w:p w:rsidR="00BD17F5" w:rsidRDefault="00BD17F5" w:rsidP="00820027">
      <w:pPr>
        <w:rPr>
          <w:lang w:val="es-MX"/>
        </w:rPr>
      </w:pPr>
    </w:p>
    <w:p w:rsidR="00FE4B05" w:rsidRPr="00FF5511" w:rsidRDefault="00943252" w:rsidP="00FF5511">
      <w:pPr>
        <w:pStyle w:val="Header"/>
        <w:rPr>
          <w:rFonts w:asciiTheme="minorHAnsi" w:hAnsiTheme="minorHAnsi" w:cs="Arial"/>
          <w:b/>
          <w:szCs w:val="24"/>
        </w:rPr>
      </w:pPr>
      <w:r w:rsidRPr="00FF5511">
        <w:rPr>
          <w:rFonts w:asciiTheme="minorHAnsi" w:hAnsiTheme="minorHAnsi" w:cs="Arial"/>
          <w:b/>
          <w:szCs w:val="24"/>
        </w:rPr>
        <w:lastRenderedPageBreak/>
        <w:t xml:space="preserve">Annex 4: Staff </w:t>
      </w:r>
      <w:r w:rsidR="00FE4B05" w:rsidRPr="00FF5511">
        <w:rPr>
          <w:rFonts w:asciiTheme="minorHAnsi" w:hAnsiTheme="minorHAnsi" w:cs="Arial"/>
          <w:b/>
          <w:szCs w:val="24"/>
        </w:rPr>
        <w:t xml:space="preserve">Positions as of </w:t>
      </w:r>
      <w:r w:rsidR="0058324D" w:rsidRPr="00FF5511">
        <w:rPr>
          <w:rFonts w:asciiTheme="minorHAnsi" w:hAnsiTheme="minorHAnsi" w:cs="Arial"/>
          <w:b/>
          <w:szCs w:val="24"/>
        </w:rPr>
        <w:t>February</w:t>
      </w:r>
      <w:r w:rsidR="00FE4B05" w:rsidRPr="00FF5511">
        <w:rPr>
          <w:rFonts w:asciiTheme="minorHAnsi" w:hAnsiTheme="minorHAnsi" w:cs="Arial"/>
          <w:b/>
          <w:szCs w:val="24"/>
        </w:rPr>
        <w:t xml:space="preserve"> 2015</w:t>
      </w:r>
    </w:p>
    <w:p w:rsidR="00FE4B05" w:rsidRPr="00C00F68" w:rsidRDefault="00FE4B05" w:rsidP="00820027">
      <w:pPr>
        <w:rPr>
          <w:sz w:val="28"/>
          <w:szCs w:val="28"/>
        </w:rPr>
      </w:pPr>
    </w:p>
    <w:p w:rsidR="00FE4B05" w:rsidRDefault="00C00F68" w:rsidP="00820027">
      <w:pPr>
        <w:rPr>
          <w:sz w:val="28"/>
          <w:szCs w:val="28"/>
          <w:lang w:val="es-MX"/>
        </w:rPr>
      </w:pPr>
      <w:r w:rsidRPr="00C00F68">
        <w:rPr>
          <w:noProof/>
        </w:rPr>
        <w:drawing>
          <wp:inline distT="0" distB="0" distL="0" distR="0">
            <wp:extent cx="5943600" cy="4846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846441"/>
                    </a:xfrm>
                    <a:prstGeom prst="rect">
                      <a:avLst/>
                    </a:prstGeom>
                    <a:noFill/>
                    <a:ln>
                      <a:noFill/>
                    </a:ln>
                  </pic:spPr>
                </pic:pic>
              </a:graphicData>
            </a:graphic>
          </wp:inline>
        </w:drawing>
      </w:r>
    </w:p>
    <w:p w:rsidR="00C55CAA" w:rsidRDefault="00C55CAA" w:rsidP="00820027">
      <w:pPr>
        <w:rPr>
          <w:sz w:val="28"/>
          <w:szCs w:val="28"/>
          <w:lang w:val="es-MX"/>
        </w:rPr>
      </w:pPr>
    </w:p>
    <w:p w:rsidR="00C55CAA" w:rsidRDefault="00C55CAA" w:rsidP="00820027">
      <w:pPr>
        <w:rPr>
          <w:sz w:val="28"/>
          <w:szCs w:val="28"/>
          <w:lang w:val="es-MX"/>
        </w:rPr>
      </w:pPr>
    </w:p>
    <w:p w:rsidR="00C55CAA" w:rsidRDefault="00C55CAA">
      <w:pPr>
        <w:spacing w:after="200" w:line="276" w:lineRule="auto"/>
        <w:rPr>
          <w:sz w:val="28"/>
          <w:szCs w:val="28"/>
          <w:lang w:val="es-MX"/>
        </w:rPr>
      </w:pPr>
      <w:r>
        <w:rPr>
          <w:sz w:val="28"/>
          <w:szCs w:val="28"/>
          <w:lang w:val="es-MX"/>
        </w:rPr>
        <w:br w:type="page"/>
      </w:r>
    </w:p>
    <w:p w:rsidR="00C55CAA" w:rsidRPr="00FF5511" w:rsidRDefault="00C55CAA" w:rsidP="00FF5511">
      <w:pPr>
        <w:pStyle w:val="Header"/>
        <w:rPr>
          <w:rFonts w:asciiTheme="minorHAnsi" w:hAnsiTheme="minorHAnsi" w:cs="Arial"/>
          <w:b/>
          <w:szCs w:val="24"/>
        </w:rPr>
      </w:pPr>
      <w:r w:rsidRPr="00FF5511">
        <w:rPr>
          <w:rFonts w:asciiTheme="minorHAnsi" w:hAnsiTheme="minorHAnsi" w:cs="Arial"/>
          <w:b/>
          <w:szCs w:val="24"/>
        </w:rPr>
        <w:lastRenderedPageBreak/>
        <w:t>Annex 5: Summary of financial results – Core, 2013-2014 and 2015 Approved Budget (SC48)</w:t>
      </w:r>
    </w:p>
    <w:p w:rsidR="00C55CAA" w:rsidRDefault="00C55CAA" w:rsidP="00C55CAA">
      <w:pPr>
        <w:rPr>
          <w:sz w:val="28"/>
          <w:szCs w:val="28"/>
          <w:lang w:val="es-MX"/>
        </w:rPr>
      </w:pPr>
    </w:p>
    <w:p w:rsidR="00C55CAA" w:rsidRPr="00FE4B05" w:rsidRDefault="00C55CAA" w:rsidP="00820027">
      <w:pPr>
        <w:rPr>
          <w:sz w:val="28"/>
          <w:szCs w:val="28"/>
          <w:lang w:val="es-MX"/>
        </w:rPr>
      </w:pPr>
      <w:r w:rsidRPr="00C55CAA">
        <w:rPr>
          <w:noProof/>
        </w:rPr>
        <w:drawing>
          <wp:inline distT="0" distB="0" distL="0" distR="0">
            <wp:extent cx="6115792" cy="427849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7051" cy="4279379"/>
                    </a:xfrm>
                    <a:prstGeom prst="rect">
                      <a:avLst/>
                    </a:prstGeom>
                    <a:noFill/>
                    <a:ln>
                      <a:noFill/>
                    </a:ln>
                  </pic:spPr>
                </pic:pic>
              </a:graphicData>
            </a:graphic>
          </wp:inline>
        </w:drawing>
      </w:r>
    </w:p>
    <w:sectPr w:rsidR="00C55CAA" w:rsidRPr="00FE4B05" w:rsidSect="005B5868">
      <w:headerReference w:type="default" r:id="rId2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D8" w:rsidRDefault="00904ED8" w:rsidP="00DC5A58">
      <w:r>
        <w:separator/>
      </w:r>
    </w:p>
  </w:endnote>
  <w:endnote w:type="continuationSeparator" w:id="0">
    <w:p w:rsidR="00904ED8" w:rsidRDefault="00904ED8" w:rsidP="00DC5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D8" w:rsidRPr="00904ED8" w:rsidRDefault="00904ED8" w:rsidP="00904ED8">
    <w:pPr>
      <w:pStyle w:val="Header"/>
      <w:ind w:right="-45"/>
      <w:rPr>
        <w:rFonts w:asciiTheme="minorHAnsi" w:hAnsiTheme="minorHAnsi"/>
        <w:sz w:val="20"/>
      </w:rPr>
    </w:pPr>
    <w:r w:rsidRPr="00A673F6">
      <w:rPr>
        <w:rFonts w:asciiTheme="minorHAnsi" w:hAnsiTheme="minorHAnsi"/>
        <w:sz w:val="20"/>
      </w:rPr>
      <w:t xml:space="preserve">Ramsar </w:t>
    </w:r>
    <w:r w:rsidRPr="004C3423">
      <w:rPr>
        <w:rFonts w:asciiTheme="minorHAnsi" w:hAnsiTheme="minorHAnsi"/>
        <w:sz w:val="20"/>
      </w:rPr>
      <w:t>COP12 DOC.</w:t>
    </w:r>
    <w:r>
      <w:rPr>
        <w:rFonts w:asciiTheme="minorHAnsi" w:hAnsiTheme="minorHAnsi"/>
        <w:sz w:val="20"/>
      </w:rPr>
      <w:t>14</w:t>
    </w:r>
    <w:r w:rsidRPr="00A673F6">
      <w:rPr>
        <w:rFonts w:asciiTheme="minorHAnsi" w:hAnsiTheme="minorHAnsi"/>
        <w:sz w:val="20"/>
      </w:rPr>
      <w:tab/>
    </w:r>
    <w:r w:rsidRPr="00A673F6">
      <w:rPr>
        <w:rFonts w:asciiTheme="minorHAnsi" w:hAnsiTheme="minorHAnsi"/>
        <w:sz w:val="20"/>
      </w:rPr>
      <w:tab/>
    </w:r>
    <w:r w:rsidR="00235742">
      <w:rPr>
        <w:rStyle w:val="PageNumber"/>
        <w:rFonts w:asciiTheme="minorHAnsi" w:hAnsiTheme="minorHAnsi"/>
        <w:sz w:val="20"/>
      </w:rPr>
      <w:fldChar w:fldCharType="begin"/>
    </w:r>
    <w:r>
      <w:rPr>
        <w:rStyle w:val="PageNumber"/>
        <w:rFonts w:asciiTheme="minorHAnsi" w:hAnsiTheme="minorHAnsi"/>
        <w:sz w:val="20"/>
      </w:rPr>
      <w:instrText xml:space="preserve"> PAGE  \* Arabic </w:instrText>
    </w:r>
    <w:r w:rsidR="00235742">
      <w:rPr>
        <w:rStyle w:val="PageNumber"/>
        <w:rFonts w:asciiTheme="minorHAnsi" w:hAnsiTheme="minorHAnsi"/>
        <w:sz w:val="20"/>
      </w:rPr>
      <w:fldChar w:fldCharType="separate"/>
    </w:r>
    <w:r w:rsidR="00BD17F5">
      <w:rPr>
        <w:rStyle w:val="PageNumber"/>
        <w:rFonts w:asciiTheme="minorHAnsi" w:hAnsiTheme="minorHAnsi"/>
        <w:noProof/>
        <w:sz w:val="20"/>
      </w:rPr>
      <w:t>15</w:t>
    </w:r>
    <w:r w:rsidR="00235742">
      <w:rPr>
        <w:rStyle w:val="PageNumbe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D8" w:rsidRDefault="00904ED8" w:rsidP="00DC5A58">
      <w:r>
        <w:separator/>
      </w:r>
    </w:p>
  </w:footnote>
  <w:footnote w:type="continuationSeparator" w:id="0">
    <w:p w:rsidR="00904ED8" w:rsidRDefault="00904ED8" w:rsidP="00DC5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D8" w:rsidRPr="00FE4B05" w:rsidRDefault="00904ED8" w:rsidP="00FE4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9C7"/>
    <w:multiLevelType w:val="hybridMultilevel"/>
    <w:tmpl w:val="C0586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35C54"/>
    <w:multiLevelType w:val="hybridMultilevel"/>
    <w:tmpl w:val="BAFE1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5B0767"/>
    <w:multiLevelType w:val="hybridMultilevel"/>
    <w:tmpl w:val="6C50B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233B"/>
    <w:multiLevelType w:val="hybridMultilevel"/>
    <w:tmpl w:val="80E8D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24436"/>
    <w:multiLevelType w:val="hybridMultilevel"/>
    <w:tmpl w:val="DC2C4578"/>
    <w:lvl w:ilvl="0" w:tplc="583C7D5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5887C07"/>
    <w:multiLevelType w:val="hybridMultilevel"/>
    <w:tmpl w:val="DF488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7725EC"/>
    <w:multiLevelType w:val="hybridMultilevel"/>
    <w:tmpl w:val="0F5A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040EF6"/>
    <w:rsid w:val="000125BC"/>
    <w:rsid w:val="000159F3"/>
    <w:rsid w:val="0002435D"/>
    <w:rsid w:val="00040EF6"/>
    <w:rsid w:val="00087806"/>
    <w:rsid w:val="000B2125"/>
    <w:rsid w:val="000B2DC5"/>
    <w:rsid w:val="000D0D48"/>
    <w:rsid w:val="000E5922"/>
    <w:rsid w:val="00100B92"/>
    <w:rsid w:val="00134C83"/>
    <w:rsid w:val="00191B7F"/>
    <w:rsid w:val="001D64E9"/>
    <w:rsid w:val="001F686A"/>
    <w:rsid w:val="00235742"/>
    <w:rsid w:val="002B1B12"/>
    <w:rsid w:val="002C68E5"/>
    <w:rsid w:val="002F392C"/>
    <w:rsid w:val="00311A70"/>
    <w:rsid w:val="003552A7"/>
    <w:rsid w:val="00356899"/>
    <w:rsid w:val="00364C3A"/>
    <w:rsid w:val="00374BA1"/>
    <w:rsid w:val="00380789"/>
    <w:rsid w:val="00394639"/>
    <w:rsid w:val="003B495D"/>
    <w:rsid w:val="003E0A5D"/>
    <w:rsid w:val="003F6441"/>
    <w:rsid w:val="004029F2"/>
    <w:rsid w:val="004136E8"/>
    <w:rsid w:val="0043227C"/>
    <w:rsid w:val="00471803"/>
    <w:rsid w:val="004A1837"/>
    <w:rsid w:val="004A73F0"/>
    <w:rsid w:val="004B18CA"/>
    <w:rsid w:val="004D103E"/>
    <w:rsid w:val="004F65C7"/>
    <w:rsid w:val="00501AD0"/>
    <w:rsid w:val="005174C9"/>
    <w:rsid w:val="005447E8"/>
    <w:rsid w:val="0055686A"/>
    <w:rsid w:val="00563B46"/>
    <w:rsid w:val="0058324D"/>
    <w:rsid w:val="00594423"/>
    <w:rsid w:val="005B5868"/>
    <w:rsid w:val="005C0376"/>
    <w:rsid w:val="005C4809"/>
    <w:rsid w:val="005C566E"/>
    <w:rsid w:val="005F1C90"/>
    <w:rsid w:val="005F794B"/>
    <w:rsid w:val="00605A9B"/>
    <w:rsid w:val="00642556"/>
    <w:rsid w:val="006755E7"/>
    <w:rsid w:val="00686074"/>
    <w:rsid w:val="00686F58"/>
    <w:rsid w:val="006C3299"/>
    <w:rsid w:val="006F073B"/>
    <w:rsid w:val="00711134"/>
    <w:rsid w:val="00713BDA"/>
    <w:rsid w:val="00733CAB"/>
    <w:rsid w:val="007349E2"/>
    <w:rsid w:val="00767D51"/>
    <w:rsid w:val="00771583"/>
    <w:rsid w:val="007B5616"/>
    <w:rsid w:val="007D0B37"/>
    <w:rsid w:val="007D7768"/>
    <w:rsid w:val="007F2EBB"/>
    <w:rsid w:val="00805569"/>
    <w:rsid w:val="00820027"/>
    <w:rsid w:val="00820E5E"/>
    <w:rsid w:val="00863820"/>
    <w:rsid w:val="008A0812"/>
    <w:rsid w:val="008A3C79"/>
    <w:rsid w:val="008C1C61"/>
    <w:rsid w:val="008D318E"/>
    <w:rsid w:val="008D3A94"/>
    <w:rsid w:val="008E69FC"/>
    <w:rsid w:val="008F7C5B"/>
    <w:rsid w:val="00904ED8"/>
    <w:rsid w:val="00943252"/>
    <w:rsid w:val="0096581C"/>
    <w:rsid w:val="00984962"/>
    <w:rsid w:val="00994B3E"/>
    <w:rsid w:val="009E43BF"/>
    <w:rsid w:val="00A26360"/>
    <w:rsid w:val="00A60C55"/>
    <w:rsid w:val="00A82483"/>
    <w:rsid w:val="00AB158F"/>
    <w:rsid w:val="00AE77BA"/>
    <w:rsid w:val="00BD17F5"/>
    <w:rsid w:val="00C00F68"/>
    <w:rsid w:val="00C44BF1"/>
    <w:rsid w:val="00C50318"/>
    <w:rsid w:val="00C55CAA"/>
    <w:rsid w:val="00C65800"/>
    <w:rsid w:val="00C677D2"/>
    <w:rsid w:val="00C97F48"/>
    <w:rsid w:val="00CB16D1"/>
    <w:rsid w:val="00CD54B4"/>
    <w:rsid w:val="00CF228E"/>
    <w:rsid w:val="00CF7EDF"/>
    <w:rsid w:val="00D33413"/>
    <w:rsid w:val="00D41DE1"/>
    <w:rsid w:val="00D601C4"/>
    <w:rsid w:val="00D703EB"/>
    <w:rsid w:val="00D7043C"/>
    <w:rsid w:val="00D70CBD"/>
    <w:rsid w:val="00D910C1"/>
    <w:rsid w:val="00D925B0"/>
    <w:rsid w:val="00DA42B8"/>
    <w:rsid w:val="00DC5A58"/>
    <w:rsid w:val="00DE1B27"/>
    <w:rsid w:val="00DE6136"/>
    <w:rsid w:val="00E05C7D"/>
    <w:rsid w:val="00E21D3C"/>
    <w:rsid w:val="00E910B1"/>
    <w:rsid w:val="00E9458E"/>
    <w:rsid w:val="00EC1284"/>
    <w:rsid w:val="00EC6EF6"/>
    <w:rsid w:val="00F412F1"/>
    <w:rsid w:val="00F50992"/>
    <w:rsid w:val="00F81462"/>
    <w:rsid w:val="00F87FDF"/>
    <w:rsid w:val="00FA72AF"/>
    <w:rsid w:val="00FB4872"/>
    <w:rsid w:val="00FC0D69"/>
    <w:rsid w:val="00FE4B05"/>
    <w:rsid w:val="00FF130D"/>
    <w:rsid w:val="00FF5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character" w:styleId="Strong">
    <w:name w:val="Strong"/>
    <w:basedOn w:val="DefaultParagraphFont"/>
    <w:qFormat/>
    <w:rsid w:val="00471803"/>
    <w:rPr>
      <w:b/>
      <w:bCs/>
    </w:rPr>
  </w:style>
  <w:style w:type="paragraph" w:customStyle="1" w:styleId="MGfulltext">
    <w:name w:val="MG_fulltext"/>
    <w:basedOn w:val="Normal"/>
    <w:link w:val="MGfulltextChar"/>
    <w:qFormat/>
    <w:rsid w:val="00471803"/>
    <w:pPr>
      <w:spacing w:after="120"/>
    </w:pPr>
    <w:rPr>
      <w:rFonts w:ascii="Arial" w:hAnsi="Arial" w:cs="Arial"/>
      <w:szCs w:val="24"/>
    </w:rPr>
  </w:style>
  <w:style w:type="character" w:customStyle="1" w:styleId="MGfulltextChar">
    <w:name w:val="MG_fulltext Char"/>
    <w:basedOn w:val="DefaultParagraphFont"/>
    <w:link w:val="MGfulltext"/>
    <w:rsid w:val="00471803"/>
    <w:rPr>
      <w:rFonts w:ascii="Arial" w:eastAsia="Times New Roman" w:hAnsi="Arial" w:cs="Arial"/>
      <w:sz w:val="24"/>
      <w:szCs w:val="24"/>
    </w:rPr>
  </w:style>
  <w:style w:type="paragraph" w:styleId="Header">
    <w:name w:val="header"/>
    <w:basedOn w:val="Normal"/>
    <w:link w:val="HeaderChar"/>
    <w:uiPriority w:val="99"/>
    <w:unhideWhenUsed/>
    <w:rsid w:val="00DC5A58"/>
    <w:pPr>
      <w:tabs>
        <w:tab w:val="center" w:pos="4513"/>
        <w:tab w:val="right" w:pos="9026"/>
      </w:tabs>
    </w:pPr>
  </w:style>
  <w:style w:type="character" w:customStyle="1" w:styleId="HeaderChar">
    <w:name w:val="Header Char"/>
    <w:basedOn w:val="DefaultParagraphFont"/>
    <w:link w:val="Header"/>
    <w:uiPriority w:val="99"/>
    <w:rsid w:val="00DC5A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5A58"/>
    <w:pPr>
      <w:tabs>
        <w:tab w:val="center" w:pos="4513"/>
        <w:tab w:val="right" w:pos="9026"/>
      </w:tabs>
    </w:pPr>
  </w:style>
  <w:style w:type="character" w:customStyle="1" w:styleId="FooterChar">
    <w:name w:val="Footer Char"/>
    <w:basedOn w:val="DefaultParagraphFont"/>
    <w:link w:val="Footer"/>
    <w:uiPriority w:val="99"/>
    <w:rsid w:val="00DC5A5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00B92"/>
    <w:rPr>
      <w:sz w:val="16"/>
      <w:szCs w:val="16"/>
    </w:rPr>
  </w:style>
  <w:style w:type="paragraph" w:styleId="CommentText">
    <w:name w:val="annotation text"/>
    <w:basedOn w:val="Normal"/>
    <w:link w:val="CommentTextChar"/>
    <w:uiPriority w:val="99"/>
    <w:semiHidden/>
    <w:unhideWhenUsed/>
    <w:rsid w:val="00100B92"/>
    <w:rPr>
      <w:sz w:val="20"/>
    </w:rPr>
  </w:style>
  <w:style w:type="character" w:customStyle="1" w:styleId="CommentTextChar">
    <w:name w:val="Comment Text Char"/>
    <w:basedOn w:val="DefaultParagraphFont"/>
    <w:link w:val="CommentText"/>
    <w:uiPriority w:val="99"/>
    <w:semiHidden/>
    <w:rsid w:val="00100B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B92"/>
    <w:rPr>
      <w:b/>
      <w:bCs/>
    </w:rPr>
  </w:style>
  <w:style w:type="character" w:customStyle="1" w:styleId="CommentSubjectChar">
    <w:name w:val="Comment Subject Char"/>
    <w:basedOn w:val="CommentTextChar"/>
    <w:link w:val="CommentSubject"/>
    <w:uiPriority w:val="99"/>
    <w:semiHidden/>
    <w:rsid w:val="00100B92"/>
    <w:rPr>
      <w:rFonts w:ascii="Times New Roman" w:eastAsia="Times New Roman" w:hAnsi="Times New Roman" w:cs="Times New Roman"/>
      <w:b/>
      <w:bCs/>
      <w:sz w:val="20"/>
      <w:szCs w:val="20"/>
    </w:rPr>
  </w:style>
  <w:style w:type="paragraph" w:styleId="ListParagraph">
    <w:name w:val="List Paragraph"/>
    <w:basedOn w:val="Normal"/>
    <w:uiPriority w:val="34"/>
    <w:qFormat/>
    <w:rsid w:val="000B2DC5"/>
    <w:pPr>
      <w:ind w:left="720"/>
      <w:contextualSpacing/>
    </w:pPr>
  </w:style>
  <w:style w:type="character" w:styleId="PageNumber">
    <w:name w:val="page number"/>
    <w:basedOn w:val="DefaultParagraphFont"/>
    <w:rsid w:val="005B5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character" w:styleId="Strong">
    <w:name w:val="Strong"/>
    <w:basedOn w:val="DefaultParagraphFont"/>
    <w:qFormat/>
    <w:rsid w:val="00471803"/>
    <w:rPr>
      <w:b/>
      <w:bCs/>
    </w:rPr>
  </w:style>
  <w:style w:type="paragraph" w:customStyle="1" w:styleId="MGfulltext">
    <w:name w:val="MG_fulltext"/>
    <w:basedOn w:val="Normal"/>
    <w:link w:val="MGfulltextChar"/>
    <w:qFormat/>
    <w:rsid w:val="00471803"/>
    <w:pPr>
      <w:spacing w:after="120"/>
    </w:pPr>
    <w:rPr>
      <w:rFonts w:ascii="Arial" w:hAnsi="Arial" w:cs="Arial"/>
      <w:szCs w:val="24"/>
    </w:rPr>
  </w:style>
  <w:style w:type="character" w:customStyle="1" w:styleId="MGfulltextChar">
    <w:name w:val="MG_fulltext Char"/>
    <w:basedOn w:val="DefaultParagraphFont"/>
    <w:link w:val="MGfulltext"/>
    <w:rsid w:val="00471803"/>
    <w:rPr>
      <w:rFonts w:ascii="Arial" w:eastAsia="Times New Roman" w:hAnsi="Arial" w:cs="Arial"/>
      <w:sz w:val="24"/>
      <w:szCs w:val="24"/>
    </w:rPr>
  </w:style>
  <w:style w:type="paragraph" w:styleId="Header">
    <w:name w:val="header"/>
    <w:basedOn w:val="Normal"/>
    <w:link w:val="HeaderChar"/>
    <w:uiPriority w:val="99"/>
    <w:unhideWhenUsed/>
    <w:rsid w:val="00DC5A58"/>
    <w:pPr>
      <w:tabs>
        <w:tab w:val="center" w:pos="4513"/>
        <w:tab w:val="right" w:pos="9026"/>
      </w:tabs>
    </w:pPr>
  </w:style>
  <w:style w:type="character" w:customStyle="1" w:styleId="HeaderChar">
    <w:name w:val="Header Char"/>
    <w:basedOn w:val="DefaultParagraphFont"/>
    <w:link w:val="Header"/>
    <w:uiPriority w:val="99"/>
    <w:rsid w:val="00DC5A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5A58"/>
    <w:pPr>
      <w:tabs>
        <w:tab w:val="center" w:pos="4513"/>
        <w:tab w:val="right" w:pos="9026"/>
      </w:tabs>
    </w:pPr>
  </w:style>
  <w:style w:type="character" w:customStyle="1" w:styleId="FooterChar">
    <w:name w:val="Footer Char"/>
    <w:basedOn w:val="DefaultParagraphFont"/>
    <w:link w:val="Footer"/>
    <w:uiPriority w:val="99"/>
    <w:rsid w:val="00DC5A5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00B92"/>
    <w:rPr>
      <w:sz w:val="16"/>
      <w:szCs w:val="16"/>
    </w:rPr>
  </w:style>
  <w:style w:type="paragraph" w:styleId="CommentText">
    <w:name w:val="annotation text"/>
    <w:basedOn w:val="Normal"/>
    <w:link w:val="CommentTextChar"/>
    <w:uiPriority w:val="99"/>
    <w:semiHidden/>
    <w:unhideWhenUsed/>
    <w:rsid w:val="00100B92"/>
    <w:rPr>
      <w:sz w:val="20"/>
    </w:rPr>
  </w:style>
  <w:style w:type="character" w:customStyle="1" w:styleId="CommentTextChar">
    <w:name w:val="Comment Text Char"/>
    <w:basedOn w:val="DefaultParagraphFont"/>
    <w:link w:val="CommentText"/>
    <w:uiPriority w:val="99"/>
    <w:semiHidden/>
    <w:rsid w:val="00100B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B92"/>
    <w:rPr>
      <w:b/>
      <w:bCs/>
    </w:rPr>
  </w:style>
  <w:style w:type="character" w:customStyle="1" w:styleId="CommentSubjectChar">
    <w:name w:val="Comment Subject Char"/>
    <w:basedOn w:val="CommentTextChar"/>
    <w:link w:val="CommentSubject"/>
    <w:uiPriority w:val="99"/>
    <w:semiHidden/>
    <w:rsid w:val="00100B92"/>
    <w:rPr>
      <w:rFonts w:ascii="Times New Roman" w:eastAsia="Times New Roman" w:hAnsi="Times New Roman" w:cs="Times New Roman"/>
      <w:b/>
      <w:bCs/>
      <w:sz w:val="20"/>
      <w:szCs w:val="20"/>
    </w:rPr>
  </w:style>
  <w:style w:type="paragraph" w:styleId="ListParagraph">
    <w:name w:val="List Paragraph"/>
    <w:basedOn w:val="Normal"/>
    <w:uiPriority w:val="34"/>
    <w:qFormat/>
    <w:rsid w:val="000B2DC5"/>
    <w:pPr>
      <w:ind w:left="720"/>
      <w:contextualSpacing/>
    </w:pPr>
  </w:style>
</w:styles>
</file>

<file path=word/webSettings.xml><?xml version="1.0" encoding="utf-8"?>
<w:webSettings xmlns:r="http://schemas.openxmlformats.org/officeDocument/2006/relationships" xmlns:w="http://schemas.openxmlformats.org/wordprocessingml/2006/main">
  <w:divs>
    <w:div w:id="275646084">
      <w:bodyDiv w:val="1"/>
      <w:marLeft w:val="0"/>
      <w:marRight w:val="0"/>
      <w:marTop w:val="0"/>
      <w:marBottom w:val="0"/>
      <w:divBdr>
        <w:top w:val="none" w:sz="0" w:space="0" w:color="auto"/>
        <w:left w:val="none" w:sz="0" w:space="0" w:color="auto"/>
        <w:bottom w:val="none" w:sz="0" w:space="0" w:color="auto"/>
        <w:right w:val="none" w:sz="0" w:space="0" w:color="auto"/>
      </w:divBdr>
    </w:div>
    <w:div w:id="422261069">
      <w:bodyDiv w:val="1"/>
      <w:marLeft w:val="0"/>
      <w:marRight w:val="0"/>
      <w:marTop w:val="0"/>
      <w:marBottom w:val="0"/>
      <w:divBdr>
        <w:top w:val="none" w:sz="0" w:space="0" w:color="auto"/>
        <w:left w:val="none" w:sz="0" w:space="0" w:color="auto"/>
        <w:bottom w:val="none" w:sz="0" w:space="0" w:color="auto"/>
        <w:right w:val="none" w:sz="0" w:space="0" w:color="auto"/>
      </w:divBdr>
    </w:div>
    <w:div w:id="505171496">
      <w:bodyDiv w:val="1"/>
      <w:marLeft w:val="0"/>
      <w:marRight w:val="0"/>
      <w:marTop w:val="0"/>
      <w:marBottom w:val="0"/>
      <w:divBdr>
        <w:top w:val="none" w:sz="0" w:space="0" w:color="auto"/>
        <w:left w:val="none" w:sz="0" w:space="0" w:color="auto"/>
        <w:bottom w:val="none" w:sz="0" w:space="0" w:color="auto"/>
        <w:right w:val="none" w:sz="0" w:space="0" w:color="auto"/>
      </w:divBdr>
    </w:div>
    <w:div w:id="859780724">
      <w:bodyDiv w:val="1"/>
      <w:marLeft w:val="0"/>
      <w:marRight w:val="0"/>
      <w:marTop w:val="0"/>
      <w:marBottom w:val="0"/>
      <w:divBdr>
        <w:top w:val="none" w:sz="0" w:space="0" w:color="auto"/>
        <w:left w:val="none" w:sz="0" w:space="0" w:color="auto"/>
        <w:bottom w:val="none" w:sz="0" w:space="0" w:color="auto"/>
        <w:right w:val="none" w:sz="0" w:space="0" w:color="auto"/>
      </w:divBdr>
    </w:div>
    <w:div w:id="1505436714">
      <w:bodyDiv w:val="1"/>
      <w:marLeft w:val="0"/>
      <w:marRight w:val="0"/>
      <w:marTop w:val="0"/>
      <w:marBottom w:val="0"/>
      <w:divBdr>
        <w:top w:val="none" w:sz="0" w:space="0" w:color="auto"/>
        <w:left w:val="none" w:sz="0" w:space="0" w:color="auto"/>
        <w:bottom w:val="none" w:sz="0" w:space="0" w:color="auto"/>
        <w:right w:val="none" w:sz="0" w:space="0" w:color="auto"/>
      </w:divBdr>
    </w:div>
    <w:div w:id="1707634716">
      <w:bodyDiv w:val="1"/>
      <w:marLeft w:val="0"/>
      <w:marRight w:val="0"/>
      <w:marTop w:val="0"/>
      <w:marBottom w:val="0"/>
      <w:divBdr>
        <w:top w:val="none" w:sz="0" w:space="0" w:color="auto"/>
        <w:left w:val="none" w:sz="0" w:space="0" w:color="auto"/>
        <w:bottom w:val="none" w:sz="0" w:space="0" w:color="auto"/>
        <w:right w:val="none" w:sz="0" w:space="0" w:color="auto"/>
      </w:divBdr>
    </w:div>
    <w:div w:id="1782605130">
      <w:bodyDiv w:val="1"/>
      <w:marLeft w:val="0"/>
      <w:marRight w:val="0"/>
      <w:marTop w:val="0"/>
      <w:marBottom w:val="0"/>
      <w:divBdr>
        <w:top w:val="none" w:sz="0" w:space="0" w:color="auto"/>
        <w:left w:val="none" w:sz="0" w:space="0" w:color="auto"/>
        <w:bottom w:val="none" w:sz="0" w:space="0" w:color="auto"/>
        <w:right w:val="none" w:sz="0" w:space="0" w:color="auto"/>
      </w:divBdr>
    </w:div>
    <w:div w:id="20259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4E44-FD4F-40D8-B48E-23CD4DA1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Ramsar\BarsinO</dc:creator>
  <cp:lastModifiedBy>Ramsar\JenningsE</cp:lastModifiedBy>
  <cp:revision>2</cp:revision>
  <cp:lastPrinted>2015-03-31T14:53:00Z</cp:lastPrinted>
  <dcterms:created xsi:type="dcterms:W3CDTF">2015-04-07T15:59:00Z</dcterms:created>
  <dcterms:modified xsi:type="dcterms:W3CDTF">2015-04-07T15:59:00Z</dcterms:modified>
</cp:coreProperties>
</file>