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10A4" w:rsidRPr="00F10669" w:rsidRDefault="007B10A4" w:rsidP="007B10A4">
      <w:pPr>
        <w:tabs>
          <w:tab w:val="left" w:pos="2977"/>
        </w:tabs>
        <w:jc w:val="center"/>
        <w:rPr>
          <w:b/>
          <w:spacing w:val="-4"/>
          <w:sz w:val="25"/>
          <w:szCs w:val="25"/>
          <w:lang w:val="es-ES_tradnl"/>
        </w:rPr>
      </w:pPr>
      <w:r w:rsidRPr="00F10669">
        <w:rPr>
          <w:noProof/>
          <w:spacing w:val="-4"/>
          <w:sz w:val="25"/>
          <w:szCs w:val="25"/>
        </w:rPr>
        <w:drawing>
          <wp:anchor distT="0" distB="0" distL="114300" distR="114300" simplePos="0" relativeHeight="251686912" behindDoc="0" locked="0" layoutInCell="1" allowOverlap="1">
            <wp:simplePos x="0" y="0"/>
            <wp:positionH relativeFrom="margin">
              <wp:posOffset>-171450</wp:posOffset>
            </wp:positionH>
            <wp:positionV relativeFrom="margin">
              <wp:posOffset>-255905</wp:posOffset>
            </wp:positionV>
            <wp:extent cx="2216150" cy="952500"/>
            <wp:effectExtent l="19050" t="0" r="0" b="0"/>
            <wp:wrapSquare wrapText="bothSides"/>
            <wp:docPr id="1"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9" cstate="print"/>
                    <a:stretch>
                      <a:fillRect/>
                    </a:stretch>
                  </pic:blipFill>
                  <pic:spPr bwMode="auto">
                    <a:xfrm>
                      <a:off x="0" y="0"/>
                      <a:ext cx="2216150" cy="952500"/>
                    </a:xfrm>
                    <a:prstGeom prst="rect">
                      <a:avLst/>
                    </a:prstGeom>
                    <a:noFill/>
                    <a:ln>
                      <a:noFill/>
                    </a:ln>
                  </pic:spPr>
                </pic:pic>
              </a:graphicData>
            </a:graphic>
          </wp:anchor>
        </w:drawing>
      </w:r>
      <w:r w:rsidRPr="00F10669">
        <w:rPr>
          <w:b/>
          <w:spacing w:val="-4"/>
          <w:sz w:val="25"/>
          <w:szCs w:val="25"/>
          <w:lang w:val="es-ES_tradnl"/>
        </w:rPr>
        <w:t>12</w:t>
      </w:r>
      <w:r w:rsidRPr="00F10669">
        <w:rPr>
          <w:b/>
          <w:spacing w:val="-4"/>
          <w:sz w:val="25"/>
          <w:szCs w:val="25"/>
          <w:vertAlign w:val="superscript"/>
          <w:lang w:val="es-ES_tradnl"/>
        </w:rPr>
        <w:t>e</w:t>
      </w:r>
      <w:r w:rsidRPr="00F10669">
        <w:rPr>
          <w:b/>
          <w:spacing w:val="-4"/>
          <w:sz w:val="25"/>
          <w:szCs w:val="25"/>
          <w:lang w:val="es-ES_tradnl"/>
        </w:rPr>
        <w:t xml:space="preserve"> </w:t>
      </w:r>
      <w:r w:rsidRPr="00F10669">
        <w:rPr>
          <w:b/>
          <w:spacing w:val="-4"/>
          <w:sz w:val="25"/>
          <w:szCs w:val="25"/>
          <w:lang w:val="fr-FR"/>
        </w:rPr>
        <w:t>Session de la Conférence des Parties à la Convention sur les zones humides (Ramsar, Iran, 1971)</w:t>
      </w:r>
    </w:p>
    <w:p w:rsidR="007B10A4" w:rsidRPr="00F10669" w:rsidRDefault="007B10A4" w:rsidP="007B10A4">
      <w:pPr>
        <w:tabs>
          <w:tab w:val="left" w:pos="3261"/>
          <w:tab w:val="left" w:pos="3544"/>
        </w:tabs>
        <w:jc w:val="center"/>
        <w:rPr>
          <w:spacing w:val="-4"/>
          <w:sz w:val="16"/>
          <w:szCs w:val="16"/>
          <w:lang w:val="es-ES_tradnl"/>
        </w:rPr>
      </w:pPr>
    </w:p>
    <w:p w:rsidR="007B10A4" w:rsidRPr="00F10669" w:rsidRDefault="007B10A4" w:rsidP="007B10A4">
      <w:pPr>
        <w:tabs>
          <w:tab w:val="left" w:pos="3261"/>
          <w:tab w:val="left" w:pos="3402"/>
          <w:tab w:val="left" w:pos="3544"/>
        </w:tabs>
        <w:jc w:val="center"/>
        <w:rPr>
          <w:b/>
          <w:spacing w:val="-4"/>
          <w:sz w:val="25"/>
          <w:szCs w:val="25"/>
          <w:lang w:val="es-ES_tradnl"/>
        </w:rPr>
      </w:pPr>
      <w:r w:rsidRPr="00F10669">
        <w:rPr>
          <w:b/>
          <w:spacing w:val="-4"/>
          <w:sz w:val="25"/>
          <w:szCs w:val="25"/>
          <w:lang w:val="es-ES_tradnl"/>
        </w:rPr>
        <w:t>Punta del Este, Uruguay, 1</w:t>
      </w:r>
      <w:r w:rsidRPr="00107426">
        <w:rPr>
          <w:b/>
          <w:spacing w:val="-4"/>
          <w:sz w:val="25"/>
          <w:szCs w:val="25"/>
          <w:vertAlign w:val="superscript"/>
          <w:lang w:val="es-ES_tradnl"/>
        </w:rPr>
        <w:t>er</w:t>
      </w:r>
      <w:r w:rsidRPr="00F10669">
        <w:rPr>
          <w:b/>
          <w:spacing w:val="-4"/>
          <w:sz w:val="25"/>
          <w:szCs w:val="25"/>
          <w:lang w:val="es-ES_tradnl"/>
        </w:rPr>
        <w:t xml:space="preserve"> au 9 juin 2015</w:t>
      </w:r>
    </w:p>
    <w:p w:rsidR="00910DB3" w:rsidRPr="003715B5" w:rsidRDefault="00910DB3" w:rsidP="00910DB3">
      <w:pPr>
        <w:rPr>
          <w:lang w:val="fr-FR"/>
        </w:rPr>
      </w:pPr>
    </w:p>
    <w:p w:rsidR="00910DB3" w:rsidRPr="003715B5" w:rsidRDefault="00910DB3" w:rsidP="00910DB3">
      <w:pPr>
        <w:rPr>
          <w:lang w:val="fr-FR"/>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910DB3" w:rsidRPr="003715B5" w:rsidTr="00910DB3">
        <w:tc>
          <w:tcPr>
            <w:tcW w:w="4528" w:type="dxa"/>
          </w:tcPr>
          <w:p w:rsidR="00910DB3" w:rsidRPr="003715B5" w:rsidRDefault="00910DB3" w:rsidP="00910DB3">
            <w:pPr>
              <w:rPr>
                <w:b/>
                <w:sz w:val="25"/>
                <w:szCs w:val="25"/>
                <w:lang w:val="fr-FR"/>
              </w:rPr>
            </w:pPr>
          </w:p>
        </w:tc>
        <w:tc>
          <w:tcPr>
            <w:tcW w:w="4602" w:type="dxa"/>
          </w:tcPr>
          <w:p w:rsidR="00910DB3" w:rsidRPr="003715B5" w:rsidRDefault="00910DB3" w:rsidP="00910DB3">
            <w:pPr>
              <w:jc w:val="right"/>
              <w:rPr>
                <w:b/>
                <w:sz w:val="25"/>
                <w:szCs w:val="25"/>
                <w:lang w:val="fr-FR"/>
              </w:rPr>
            </w:pPr>
            <w:r w:rsidRPr="003715B5">
              <w:rPr>
                <w:b/>
                <w:sz w:val="25"/>
                <w:szCs w:val="25"/>
                <w:lang w:val="fr-FR"/>
              </w:rPr>
              <w:t>Ramsar COP12 DOC.11</w:t>
            </w:r>
          </w:p>
        </w:tc>
      </w:tr>
    </w:tbl>
    <w:p w:rsidR="0001533C" w:rsidRPr="003715B5" w:rsidRDefault="0001533C" w:rsidP="00910DB3">
      <w:pPr>
        <w:jc w:val="center"/>
        <w:rPr>
          <w:rFonts w:ascii="Calibri" w:hAnsi="Calibri" w:cs="Calibri"/>
          <w:b/>
          <w:sz w:val="28"/>
          <w:szCs w:val="28"/>
          <w:lang w:val="fr-FR"/>
        </w:rPr>
      </w:pPr>
    </w:p>
    <w:p w:rsidR="0001533C" w:rsidRPr="003715B5" w:rsidRDefault="00FF73FE" w:rsidP="00910DB3">
      <w:pPr>
        <w:jc w:val="center"/>
        <w:rPr>
          <w:rFonts w:ascii="Calibri" w:hAnsi="Calibri" w:cs="Calibri"/>
          <w:b/>
          <w:sz w:val="28"/>
          <w:szCs w:val="28"/>
          <w:lang w:val="fr-FR"/>
        </w:rPr>
      </w:pPr>
      <w:r w:rsidRPr="003715B5">
        <w:rPr>
          <w:rFonts w:ascii="Calibri" w:hAnsi="Calibri" w:cs="Calibri"/>
          <w:b/>
          <w:sz w:val="28"/>
          <w:szCs w:val="28"/>
          <w:lang w:val="fr-FR"/>
        </w:rPr>
        <w:t>R</w:t>
      </w:r>
      <w:r w:rsidR="00906BB4" w:rsidRPr="003715B5">
        <w:rPr>
          <w:rFonts w:ascii="Calibri" w:hAnsi="Calibri" w:cs="Calibri"/>
          <w:b/>
          <w:sz w:val="28"/>
          <w:szCs w:val="28"/>
          <w:lang w:val="fr-FR"/>
        </w:rPr>
        <w:t xml:space="preserve">apport de synthèse sur l’application </w:t>
      </w:r>
      <w:r w:rsidR="00FE7ED7" w:rsidRPr="003715B5">
        <w:rPr>
          <w:rFonts w:ascii="Calibri" w:hAnsi="Calibri" w:cs="Calibri"/>
          <w:b/>
          <w:sz w:val="28"/>
          <w:szCs w:val="28"/>
          <w:lang w:val="fr-FR"/>
        </w:rPr>
        <w:t xml:space="preserve">de la Convention et de son Plan </w:t>
      </w:r>
      <w:r w:rsidR="00906BB4" w:rsidRPr="003715B5">
        <w:rPr>
          <w:rFonts w:ascii="Calibri" w:hAnsi="Calibri" w:cs="Calibri"/>
          <w:b/>
          <w:sz w:val="28"/>
          <w:szCs w:val="28"/>
          <w:lang w:val="fr-FR"/>
        </w:rPr>
        <w:t>stratégique en Europe</w:t>
      </w:r>
    </w:p>
    <w:p w:rsidR="00A35961" w:rsidRPr="003715B5" w:rsidRDefault="00A35961" w:rsidP="007776D0">
      <w:pPr>
        <w:pStyle w:val="BodyText"/>
        <w:ind w:left="0" w:right="730" w:firstLine="0"/>
        <w:rPr>
          <w:lang w:val="fr-FR"/>
        </w:rPr>
      </w:pPr>
    </w:p>
    <w:p w:rsidR="0001533C" w:rsidRPr="00325F68" w:rsidRDefault="00AC431A" w:rsidP="007776D0">
      <w:pPr>
        <w:pStyle w:val="BodyText"/>
        <w:ind w:left="0" w:right="730" w:firstLine="0"/>
        <w:rPr>
          <w:rFonts w:asciiTheme="minorHAnsi" w:hAnsiTheme="minorHAnsi"/>
          <w:sz w:val="22"/>
          <w:szCs w:val="22"/>
          <w:lang w:val="fr-FR"/>
        </w:rPr>
      </w:pPr>
      <w:r w:rsidRPr="003715B5">
        <w:rPr>
          <w:rFonts w:asciiTheme="minorHAnsi" w:hAnsiTheme="minorHAnsi"/>
          <w:sz w:val="22"/>
          <w:szCs w:val="22"/>
          <w:lang w:val="fr-FR"/>
        </w:rPr>
        <w:t>Les R</w:t>
      </w:r>
      <w:r w:rsidR="00906BB4" w:rsidRPr="003715B5">
        <w:rPr>
          <w:rFonts w:asciiTheme="minorHAnsi" w:hAnsiTheme="minorHAnsi"/>
          <w:sz w:val="22"/>
          <w:szCs w:val="22"/>
          <w:lang w:val="fr-FR"/>
        </w:rPr>
        <w:t xml:space="preserve">apports </w:t>
      </w:r>
      <w:r w:rsidR="00906BB4" w:rsidRPr="00325F68">
        <w:rPr>
          <w:rFonts w:asciiTheme="minorHAnsi" w:hAnsiTheme="minorHAnsi"/>
          <w:sz w:val="22"/>
          <w:szCs w:val="22"/>
          <w:lang w:val="fr-FR"/>
        </w:rPr>
        <w:t>nationaux su</w:t>
      </w:r>
      <w:r w:rsidRPr="00325F68">
        <w:rPr>
          <w:rFonts w:asciiTheme="minorHAnsi" w:hAnsiTheme="minorHAnsi"/>
          <w:sz w:val="22"/>
          <w:szCs w:val="22"/>
          <w:lang w:val="fr-FR"/>
        </w:rPr>
        <w:t>r lesquels s’appuie le présent R</w:t>
      </w:r>
      <w:r w:rsidR="00906BB4" w:rsidRPr="00325F68">
        <w:rPr>
          <w:rFonts w:asciiTheme="minorHAnsi" w:hAnsiTheme="minorHAnsi"/>
          <w:sz w:val="22"/>
          <w:szCs w:val="22"/>
          <w:lang w:val="fr-FR"/>
        </w:rPr>
        <w:t>apport</w:t>
      </w:r>
      <w:r w:rsidRPr="00325F68">
        <w:rPr>
          <w:rFonts w:asciiTheme="minorHAnsi" w:hAnsiTheme="minorHAnsi"/>
          <w:sz w:val="22"/>
          <w:szCs w:val="22"/>
          <w:lang w:val="fr-FR"/>
        </w:rPr>
        <w:t xml:space="preserve"> de synthèse</w:t>
      </w:r>
      <w:r w:rsidR="00906BB4" w:rsidRPr="00325F68">
        <w:rPr>
          <w:rFonts w:asciiTheme="minorHAnsi" w:hAnsiTheme="minorHAnsi"/>
          <w:sz w:val="22"/>
          <w:szCs w:val="22"/>
          <w:lang w:val="fr-FR"/>
        </w:rPr>
        <w:t xml:space="preserve"> peuvent être consultés à l’adresse </w:t>
      </w:r>
      <w:r w:rsidR="00FF73FE" w:rsidRPr="00325F68">
        <w:rPr>
          <w:rFonts w:asciiTheme="minorHAnsi" w:hAnsiTheme="minorHAnsi"/>
          <w:sz w:val="22"/>
          <w:szCs w:val="22"/>
          <w:lang w:val="fr-FR"/>
        </w:rPr>
        <w:t>:</w:t>
      </w:r>
    </w:p>
    <w:p w:rsidR="0001533C" w:rsidRPr="00325F68" w:rsidRDefault="00325F68" w:rsidP="007776D0">
      <w:pPr>
        <w:rPr>
          <w:color w:val="FF0000"/>
          <w:lang w:val="fr-FR"/>
        </w:rPr>
      </w:pPr>
      <w:hyperlink r:id="rId10" w:history="1">
        <w:r w:rsidRPr="00325F68">
          <w:rPr>
            <w:rStyle w:val="Hyperlink"/>
            <w:lang w:val="fr-FR"/>
          </w:rPr>
          <w:t>http://www.ramsar.org/fr/library/field_date/%5B2015-01-01T00%3A00%3A00Z%20TO%202016-01-01T00%3A00%3A00Z%5D/field_document_type/contracting-party-documents-418/field_document_type/na</w:t>
        </w:r>
        <w:r w:rsidRPr="00325F68">
          <w:rPr>
            <w:rStyle w:val="Hyperlink"/>
            <w:lang w:val="fr-FR"/>
          </w:rPr>
          <w:t>t</w:t>
        </w:r>
        <w:r w:rsidRPr="00325F68">
          <w:rPr>
            <w:rStyle w:val="Hyperlink"/>
            <w:lang w:val="fr-FR"/>
          </w:rPr>
          <w:t>ional-reports-532/field_tag_countries/europe-14</w:t>
        </w:r>
      </w:hyperlink>
      <w:r w:rsidRPr="00325F68">
        <w:rPr>
          <w:lang w:val="fr-FR"/>
        </w:rPr>
        <w:t xml:space="preserve"> </w:t>
      </w:r>
      <w:r w:rsidR="00910DB3" w:rsidRPr="00325F68">
        <w:rPr>
          <w:lang w:val="fr-FR"/>
        </w:rPr>
        <w:t>.</w:t>
      </w:r>
    </w:p>
    <w:p w:rsidR="00910DB3" w:rsidRPr="003715B5" w:rsidRDefault="00910DB3" w:rsidP="007776D0">
      <w:pPr>
        <w:rPr>
          <w:rFonts w:eastAsia="Garamond" w:cs="Garamond"/>
          <w:sz w:val="24"/>
          <w:szCs w:val="24"/>
          <w:lang w:val="fr-FR"/>
        </w:rPr>
      </w:pPr>
    </w:p>
    <w:p w:rsidR="007776D0" w:rsidRPr="003715B5" w:rsidRDefault="007776D0" w:rsidP="007776D0">
      <w:pPr>
        <w:ind w:left="-426"/>
        <w:rPr>
          <w:rFonts w:eastAsia="Garamond" w:cs="Garamond"/>
          <w:sz w:val="24"/>
          <w:szCs w:val="24"/>
          <w:lang w:val="fr-FR"/>
        </w:rPr>
      </w:pPr>
    </w:p>
    <w:p w:rsidR="007776D0" w:rsidRPr="003715B5" w:rsidRDefault="003F124C" w:rsidP="007776D0">
      <w:pPr>
        <w:ind w:left="-426"/>
        <w:rPr>
          <w:b/>
          <w:sz w:val="24"/>
          <w:szCs w:val="24"/>
          <w:lang w:val="fr-FR"/>
        </w:rPr>
      </w:pPr>
      <w:r>
        <w:rPr>
          <w:b/>
          <w:noProof/>
          <w:sz w:val="24"/>
          <w:szCs w:val="24"/>
        </w:rPr>
        <w:pict>
          <v:shapetype id="_x0000_t202" coordsize="21600,21600" o:spt="202" path="m,l,21600r21600,l21600,xe">
            <v:stroke joinstyle="miter"/>
            <v:path gradientshapeok="t" o:connecttype="rect"/>
          </v:shapetype>
          <v:shape id="_x0000_s1070" type="#_x0000_t202" style="position:absolute;left:0;text-align:left;margin-left:340.35pt;margin-top:206.55pt;width:50.5pt;height:15.05pt;z-index:251669504;v-text-anchor:middle" stroked="f">
            <v:textbox inset=".5mm,.5mm,.5mm,.5mm">
              <w:txbxContent>
                <w:p w:rsidR="001B043A" w:rsidRPr="003E12A5" w:rsidRDefault="001B043A" w:rsidP="003E12A5">
                  <w:pPr>
                    <w:rPr>
                      <w:sz w:val="18"/>
                      <w:szCs w:val="18"/>
                    </w:rPr>
                  </w:pPr>
                  <w:r w:rsidRPr="003E12A5">
                    <w:rPr>
                      <w:sz w:val="18"/>
                      <w:szCs w:val="18"/>
                    </w:rPr>
                    <w:t>Janvier 2015</w:t>
                  </w:r>
                </w:p>
              </w:txbxContent>
            </v:textbox>
          </v:shape>
        </w:pict>
      </w:r>
      <w:r>
        <w:rPr>
          <w:b/>
          <w:noProof/>
          <w:sz w:val="24"/>
          <w:szCs w:val="24"/>
        </w:rPr>
        <w:pict>
          <v:shape id="_x0000_s1068" type="#_x0000_t202" style="position:absolute;left:0;text-align:left;margin-left:29.25pt;margin-top:191.5pt;width:134.5pt;height:15.05pt;z-index:251667456;v-text-anchor:middle" stroked="f">
            <v:textbox inset=".5mm,.5mm,.5mm,.5mm">
              <w:txbxContent>
                <w:p w:rsidR="001B043A" w:rsidRPr="003E12A5" w:rsidRDefault="001B043A" w:rsidP="003E12A5">
                  <w:pPr>
                    <w:jc w:val="center"/>
                    <w:rPr>
                      <w:sz w:val="18"/>
                      <w:szCs w:val="18"/>
                      <w:lang w:val="fr-FR"/>
                    </w:rPr>
                  </w:pPr>
                  <w:r w:rsidRPr="003E12A5">
                    <w:rPr>
                      <w:sz w:val="18"/>
                      <w:szCs w:val="18"/>
                      <w:lang w:val="fr-FR"/>
                    </w:rPr>
                    <w:t>Rapports nationaux communiqués</w:t>
                  </w:r>
                </w:p>
                <w:p w:rsidR="001B043A" w:rsidRDefault="001B043A"/>
              </w:txbxContent>
            </v:textbox>
          </v:shape>
        </w:pict>
      </w:r>
      <w:r>
        <w:rPr>
          <w:b/>
          <w:noProof/>
          <w:sz w:val="24"/>
          <w:szCs w:val="24"/>
        </w:rPr>
        <w:pict>
          <v:shape id="_x0000_s1069" type="#_x0000_t202" style="position:absolute;left:0;text-align:left;margin-left:29.25pt;margin-top:206.55pt;width:192.95pt;height:15pt;z-index:251668480;v-text-anchor:middle" stroked="f">
            <v:textbox inset=".5mm,.5mm,.5mm,.5mm">
              <w:txbxContent>
                <w:p w:rsidR="001B043A" w:rsidRPr="003E12A5" w:rsidRDefault="001B043A" w:rsidP="003E12A5">
                  <w:pPr>
                    <w:jc w:val="center"/>
                    <w:rPr>
                      <w:sz w:val="18"/>
                      <w:szCs w:val="18"/>
                      <w:lang w:val="fr-FR"/>
                    </w:rPr>
                  </w:pPr>
                  <w:r w:rsidRPr="003E12A5">
                    <w:rPr>
                      <w:sz w:val="18"/>
                      <w:szCs w:val="18"/>
                      <w:lang w:val="fr-FR"/>
                    </w:rPr>
                    <w:t>Pas de rapport national communiqué ou en retard</w:t>
                  </w:r>
                </w:p>
                <w:p w:rsidR="001B043A" w:rsidRDefault="001B043A" w:rsidP="003E12A5"/>
              </w:txbxContent>
            </v:textbox>
          </v:shape>
        </w:pict>
      </w:r>
      <w:r w:rsidR="003E12A5" w:rsidRPr="003715B5">
        <w:rPr>
          <w:rFonts w:eastAsia="Garamond" w:cs="Garamond"/>
          <w:noProof/>
          <w:sz w:val="24"/>
          <w:szCs w:val="24"/>
        </w:rPr>
        <w:drawing>
          <wp:inline distT="0" distB="0" distL="0" distR="0">
            <wp:extent cx="5746750" cy="2863221"/>
            <wp:effectExtent l="0" t="0" r="0" b="0"/>
            <wp:docPr id="7" name="Picture 5" descr="C:\Users\SalatheT\AppData\Local\Microsoft\Windows\Temporary Internet Files\Content.Outlook\IWY3M198\EuropeNR Conve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theT\AppData\Local\Microsoft\Windows\Temporary Internet Files\Content.Outlook\IWY3M198\EuropeNR Converted.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6750" cy="2863221"/>
                    </a:xfrm>
                    <a:prstGeom prst="rect">
                      <a:avLst/>
                    </a:prstGeom>
                    <a:noFill/>
                    <a:ln>
                      <a:noFill/>
                    </a:ln>
                  </pic:spPr>
                </pic:pic>
              </a:graphicData>
            </a:graphic>
          </wp:inline>
        </w:drawing>
      </w:r>
    </w:p>
    <w:p w:rsidR="00AC431A" w:rsidRPr="003715B5" w:rsidRDefault="00AC431A" w:rsidP="007776D0">
      <w:pPr>
        <w:ind w:left="-426"/>
        <w:rPr>
          <w:b/>
          <w:sz w:val="24"/>
          <w:szCs w:val="24"/>
          <w:lang w:val="fr-FR"/>
        </w:rPr>
      </w:pPr>
    </w:p>
    <w:p w:rsidR="00F12D6E" w:rsidRPr="003715B5" w:rsidRDefault="00AC431A" w:rsidP="007776D0">
      <w:pPr>
        <w:tabs>
          <w:tab w:val="left" w:pos="1029"/>
        </w:tabs>
        <w:rPr>
          <w:b/>
          <w:sz w:val="24"/>
          <w:szCs w:val="24"/>
          <w:lang w:val="fr-FR"/>
        </w:rPr>
      </w:pPr>
      <w:r w:rsidRPr="003715B5">
        <w:rPr>
          <w:b/>
          <w:sz w:val="24"/>
          <w:szCs w:val="24"/>
          <w:lang w:val="fr-FR"/>
        </w:rPr>
        <w:t xml:space="preserve">Rapports nationaux </w:t>
      </w:r>
      <w:r w:rsidR="00197B2F" w:rsidRPr="003715B5">
        <w:rPr>
          <w:b/>
          <w:sz w:val="24"/>
          <w:szCs w:val="24"/>
          <w:lang w:val="fr-FR"/>
        </w:rPr>
        <w:t>analysés</w:t>
      </w:r>
    </w:p>
    <w:p w:rsidR="00F12D6E" w:rsidRPr="003715B5" w:rsidRDefault="00F12D6E" w:rsidP="007776D0">
      <w:pPr>
        <w:tabs>
          <w:tab w:val="left" w:pos="1029"/>
        </w:tabs>
        <w:rPr>
          <w:sz w:val="24"/>
          <w:szCs w:val="24"/>
          <w:lang w:val="fr-FR"/>
        </w:rPr>
      </w:pPr>
    </w:p>
    <w:p w:rsidR="0001533C" w:rsidRPr="003715B5" w:rsidRDefault="00AC431A" w:rsidP="00197B2F">
      <w:pPr>
        <w:pStyle w:val="ListParagraph"/>
        <w:numPr>
          <w:ilvl w:val="0"/>
          <w:numId w:val="7"/>
        </w:numPr>
        <w:ind w:left="426" w:right="352" w:hanging="426"/>
        <w:rPr>
          <w:lang w:val="fr-FR"/>
        </w:rPr>
      </w:pPr>
      <w:r w:rsidRPr="003715B5">
        <w:rPr>
          <w:lang w:val="fr-FR"/>
        </w:rPr>
        <w:t xml:space="preserve">Le présent Rapport de synthèse s’appuie sur les Rapports nationaux </w:t>
      </w:r>
      <w:r w:rsidR="00197B2F" w:rsidRPr="003715B5">
        <w:rPr>
          <w:lang w:val="fr-FR"/>
        </w:rPr>
        <w:t xml:space="preserve">communiqués à temps pour être analysés par </w:t>
      </w:r>
      <w:r w:rsidR="00197B2F" w:rsidRPr="003715B5">
        <w:rPr>
          <w:b/>
          <w:lang w:val="fr-FR"/>
        </w:rPr>
        <w:t>3</w:t>
      </w:r>
      <w:r w:rsidR="003E12A5">
        <w:rPr>
          <w:b/>
          <w:lang w:val="fr-FR"/>
        </w:rPr>
        <w:t>2</w:t>
      </w:r>
      <w:r w:rsidR="00197B2F" w:rsidRPr="003715B5">
        <w:rPr>
          <w:b/>
          <w:lang w:val="fr-FR"/>
        </w:rPr>
        <w:t> </w:t>
      </w:r>
      <w:r w:rsidR="00D82189" w:rsidRPr="003715B5">
        <w:rPr>
          <w:b/>
          <w:lang w:val="fr-FR"/>
        </w:rPr>
        <w:t>Parties</w:t>
      </w:r>
      <w:r w:rsidR="00197B2F" w:rsidRPr="003715B5">
        <w:rPr>
          <w:b/>
          <w:lang w:val="fr-FR"/>
        </w:rPr>
        <w:t xml:space="preserve"> européen</w:t>
      </w:r>
      <w:r w:rsidR="00D82189" w:rsidRPr="003715B5">
        <w:rPr>
          <w:b/>
          <w:lang w:val="fr-FR"/>
        </w:rPr>
        <w:t>ne</w:t>
      </w:r>
      <w:r w:rsidR="00197B2F" w:rsidRPr="003715B5">
        <w:rPr>
          <w:b/>
          <w:lang w:val="fr-FR"/>
        </w:rPr>
        <w:t xml:space="preserve">s </w:t>
      </w:r>
      <w:r w:rsidR="00FF73FE" w:rsidRPr="003715B5">
        <w:rPr>
          <w:lang w:val="fr-FR"/>
        </w:rPr>
        <w:t>(</w:t>
      </w:r>
      <w:r w:rsidR="00D82189" w:rsidRPr="003715B5">
        <w:rPr>
          <w:lang w:val="fr-FR"/>
        </w:rPr>
        <w:t>soit </w:t>
      </w:r>
      <w:r w:rsidR="006D5F31" w:rsidRPr="003715B5">
        <w:rPr>
          <w:lang w:val="fr-FR"/>
        </w:rPr>
        <w:t>72%</w:t>
      </w:r>
      <w:r w:rsidR="00447400" w:rsidRPr="003715B5">
        <w:rPr>
          <w:lang w:val="fr-FR"/>
        </w:rPr>
        <w:t xml:space="preserve"> </w:t>
      </w:r>
      <w:r w:rsidR="00197B2F" w:rsidRPr="003715B5">
        <w:rPr>
          <w:lang w:val="fr-FR"/>
        </w:rPr>
        <w:t>des</w:t>
      </w:r>
      <w:r w:rsidR="00D82189" w:rsidRPr="003715B5">
        <w:rPr>
          <w:lang w:val="fr-FR"/>
        </w:rPr>
        <w:t> </w:t>
      </w:r>
      <w:r w:rsidR="00AF21BD" w:rsidRPr="003715B5">
        <w:rPr>
          <w:lang w:val="fr-FR"/>
        </w:rPr>
        <w:t>47</w:t>
      </w:r>
      <w:r w:rsidR="006D5F31" w:rsidRPr="003715B5">
        <w:rPr>
          <w:lang w:val="fr-FR"/>
        </w:rPr>
        <w:t xml:space="preserve"> Parties</w:t>
      </w:r>
      <w:r w:rsidR="00197B2F" w:rsidRPr="003715B5">
        <w:rPr>
          <w:lang w:val="fr-FR"/>
        </w:rPr>
        <w:t xml:space="preserve"> au total</w:t>
      </w:r>
      <w:r w:rsidR="00FF73FE" w:rsidRPr="003715B5">
        <w:rPr>
          <w:lang w:val="fr-FR"/>
        </w:rPr>
        <w:t>)</w:t>
      </w:r>
      <w:r w:rsidR="00AF21BD" w:rsidRPr="003715B5">
        <w:rPr>
          <w:rStyle w:val="FootnoteReference"/>
          <w:lang w:val="fr-FR"/>
        </w:rPr>
        <w:footnoteReference w:id="1"/>
      </w:r>
      <w:r w:rsidR="00C51390" w:rsidRPr="003715B5">
        <w:rPr>
          <w:lang w:val="fr-FR"/>
        </w:rPr>
        <w:t> </w:t>
      </w:r>
      <w:r w:rsidR="00FF73FE" w:rsidRPr="003715B5">
        <w:rPr>
          <w:lang w:val="fr-FR"/>
        </w:rPr>
        <w:t xml:space="preserve">: </w:t>
      </w:r>
      <w:r w:rsidR="00EB559C" w:rsidRPr="003715B5">
        <w:rPr>
          <w:lang w:val="fr-FR"/>
        </w:rPr>
        <w:t>Albanie</w:t>
      </w:r>
      <w:r w:rsidR="00FF73FE" w:rsidRPr="003715B5">
        <w:rPr>
          <w:lang w:val="fr-FR"/>
        </w:rPr>
        <w:t xml:space="preserve">, </w:t>
      </w:r>
      <w:r w:rsidR="00EB559C" w:rsidRPr="003715B5">
        <w:rPr>
          <w:lang w:val="fr-FR"/>
        </w:rPr>
        <w:t>Allemagne, Andorre, Autriche</w:t>
      </w:r>
      <w:r w:rsidR="00FF73FE" w:rsidRPr="003715B5">
        <w:rPr>
          <w:lang w:val="fr-FR"/>
        </w:rPr>
        <w:t xml:space="preserve">, </w:t>
      </w:r>
      <w:r w:rsidR="00EB559C" w:rsidRPr="003715B5">
        <w:rPr>
          <w:lang w:val="fr-FR"/>
        </w:rPr>
        <w:t>Azerbaïdjan</w:t>
      </w:r>
      <w:r w:rsidR="006B5D74" w:rsidRPr="003715B5">
        <w:rPr>
          <w:lang w:val="fr-FR"/>
        </w:rPr>
        <w:t xml:space="preserve">, </w:t>
      </w:r>
      <w:r w:rsidR="00EB559C" w:rsidRPr="003715B5">
        <w:rPr>
          <w:lang w:val="fr-FR"/>
        </w:rPr>
        <w:t>Bé</w:t>
      </w:r>
      <w:r w:rsidR="00FF73FE" w:rsidRPr="003715B5">
        <w:rPr>
          <w:lang w:val="fr-FR"/>
        </w:rPr>
        <w:t>larus, Belg</w:t>
      </w:r>
      <w:r w:rsidR="00EB559C" w:rsidRPr="003715B5">
        <w:rPr>
          <w:lang w:val="fr-FR"/>
        </w:rPr>
        <w:t>ique, Bosnie-Herzégovine, Bulgarie, Croatie</w:t>
      </w:r>
      <w:r w:rsidR="00FF73FE" w:rsidRPr="003715B5">
        <w:rPr>
          <w:lang w:val="fr-FR"/>
        </w:rPr>
        <w:t>, C</w:t>
      </w:r>
      <w:r w:rsidR="00EB559C" w:rsidRPr="003715B5">
        <w:rPr>
          <w:lang w:val="fr-FR"/>
        </w:rPr>
        <w:t>hypre, Da</w:t>
      </w:r>
      <w:r w:rsidR="00FF73FE" w:rsidRPr="003715B5">
        <w:rPr>
          <w:lang w:val="fr-FR"/>
        </w:rPr>
        <w:t>n</w:t>
      </w:r>
      <w:r w:rsidR="00EB559C" w:rsidRPr="003715B5">
        <w:rPr>
          <w:lang w:val="fr-FR"/>
        </w:rPr>
        <w:t>e</w:t>
      </w:r>
      <w:r w:rsidR="00FF73FE" w:rsidRPr="003715B5">
        <w:rPr>
          <w:lang w:val="fr-FR"/>
        </w:rPr>
        <w:t>mark (</w:t>
      </w:r>
      <w:r w:rsidR="00EB559C" w:rsidRPr="003715B5">
        <w:rPr>
          <w:lang w:val="fr-FR"/>
        </w:rPr>
        <w:t xml:space="preserve">rapport séparé pour le Groenland), </w:t>
      </w:r>
      <w:r w:rsidR="008D3EFA" w:rsidRPr="003715B5">
        <w:rPr>
          <w:lang w:val="fr-FR"/>
        </w:rPr>
        <w:t xml:space="preserve">Espagne, </w:t>
      </w:r>
      <w:r w:rsidR="00EB559C" w:rsidRPr="003715B5">
        <w:rPr>
          <w:lang w:val="fr-FR"/>
        </w:rPr>
        <w:t>Estonie</w:t>
      </w:r>
      <w:r w:rsidR="00FF73FE" w:rsidRPr="003715B5">
        <w:rPr>
          <w:lang w:val="fr-FR"/>
        </w:rPr>
        <w:t>, Finland</w:t>
      </w:r>
      <w:r w:rsidR="00EB559C" w:rsidRPr="003715B5">
        <w:rPr>
          <w:lang w:val="fr-FR"/>
        </w:rPr>
        <w:t>e, France, Géorgie</w:t>
      </w:r>
      <w:r w:rsidR="00FF73FE" w:rsidRPr="003715B5">
        <w:rPr>
          <w:lang w:val="fr-FR"/>
        </w:rPr>
        <w:t>, H</w:t>
      </w:r>
      <w:r w:rsidR="00EB559C" w:rsidRPr="003715B5">
        <w:rPr>
          <w:lang w:val="fr-FR"/>
        </w:rPr>
        <w:t>ongrie</w:t>
      </w:r>
      <w:r w:rsidR="00FF73FE" w:rsidRPr="003715B5">
        <w:rPr>
          <w:lang w:val="fr-FR"/>
        </w:rPr>
        <w:t>, I</w:t>
      </w:r>
      <w:r w:rsidR="00EB559C" w:rsidRPr="003715B5">
        <w:rPr>
          <w:lang w:val="fr-FR"/>
        </w:rPr>
        <w:t>slande, Italie</w:t>
      </w:r>
      <w:r w:rsidR="00FF73FE" w:rsidRPr="003715B5">
        <w:rPr>
          <w:lang w:val="fr-FR"/>
        </w:rPr>
        <w:t xml:space="preserve">, </w:t>
      </w:r>
      <w:r w:rsidR="00EB559C" w:rsidRPr="003715B5">
        <w:rPr>
          <w:lang w:val="fr-FR"/>
        </w:rPr>
        <w:t>Lettonie, Liechtenstein, Lituanie</w:t>
      </w:r>
      <w:r w:rsidR="00FF73FE" w:rsidRPr="003715B5">
        <w:rPr>
          <w:lang w:val="fr-FR"/>
        </w:rPr>
        <w:t xml:space="preserve">, Monaco, </w:t>
      </w:r>
      <w:r w:rsidR="00EB559C" w:rsidRPr="003715B5">
        <w:rPr>
          <w:lang w:val="fr-FR"/>
        </w:rPr>
        <w:t>Norvège, Pays-Bas</w:t>
      </w:r>
      <w:r w:rsidR="00FF73FE" w:rsidRPr="003715B5">
        <w:rPr>
          <w:lang w:val="fr-FR"/>
        </w:rPr>
        <w:t xml:space="preserve"> (</w:t>
      </w:r>
      <w:r w:rsidR="00EB559C" w:rsidRPr="003715B5">
        <w:rPr>
          <w:lang w:val="fr-FR"/>
        </w:rPr>
        <w:t xml:space="preserve">rapport séparé pour ses territoires des Antilles, inclus dans l’analyse figurant dans le document </w:t>
      </w:r>
      <w:r w:rsidR="00FF73FE" w:rsidRPr="003715B5">
        <w:rPr>
          <w:lang w:val="fr-FR"/>
        </w:rPr>
        <w:t xml:space="preserve">Ramsar </w:t>
      </w:r>
      <w:r w:rsidR="006B5D74" w:rsidRPr="003715B5">
        <w:rPr>
          <w:lang w:val="fr-FR"/>
        </w:rPr>
        <w:t>COP12</w:t>
      </w:r>
      <w:r w:rsidR="00FF73FE" w:rsidRPr="003715B5">
        <w:rPr>
          <w:lang w:val="fr-FR"/>
        </w:rPr>
        <w:t xml:space="preserve"> DOC.</w:t>
      </w:r>
      <w:r w:rsidR="00250325" w:rsidRPr="003715B5">
        <w:rPr>
          <w:lang w:val="fr-FR"/>
        </w:rPr>
        <w:t>10</w:t>
      </w:r>
      <w:r w:rsidR="00EB559C" w:rsidRPr="003715B5">
        <w:rPr>
          <w:lang w:val="fr-FR"/>
        </w:rPr>
        <w:t>)</w:t>
      </w:r>
      <w:r w:rsidR="00FF73FE" w:rsidRPr="003715B5">
        <w:rPr>
          <w:lang w:val="fr-FR"/>
        </w:rPr>
        <w:t xml:space="preserve">, </w:t>
      </w:r>
      <w:r w:rsidR="008D3EFA" w:rsidRPr="003715B5">
        <w:rPr>
          <w:lang w:val="fr-FR"/>
        </w:rPr>
        <w:t>République</w:t>
      </w:r>
      <w:r w:rsidR="006B5D74" w:rsidRPr="003715B5">
        <w:rPr>
          <w:lang w:val="fr-FR"/>
        </w:rPr>
        <w:t xml:space="preserve"> </w:t>
      </w:r>
      <w:r w:rsidR="008D3EFA" w:rsidRPr="003715B5">
        <w:rPr>
          <w:lang w:val="fr-FR"/>
        </w:rPr>
        <w:t>de</w:t>
      </w:r>
      <w:r w:rsidR="006B5D74" w:rsidRPr="003715B5">
        <w:rPr>
          <w:lang w:val="fr-FR"/>
        </w:rPr>
        <w:t xml:space="preserve"> Moldova, </w:t>
      </w:r>
      <w:r w:rsidR="00FF73FE" w:rsidRPr="003715B5">
        <w:rPr>
          <w:lang w:val="fr-FR"/>
        </w:rPr>
        <w:t>Ro</w:t>
      </w:r>
      <w:r w:rsidR="008D3EFA" w:rsidRPr="003715B5">
        <w:rPr>
          <w:lang w:val="fr-FR"/>
        </w:rPr>
        <w:t>umanie, Serbie, Slovaquie</w:t>
      </w:r>
      <w:r w:rsidR="00FF73FE" w:rsidRPr="003715B5">
        <w:rPr>
          <w:lang w:val="fr-FR"/>
        </w:rPr>
        <w:t xml:space="preserve">, </w:t>
      </w:r>
      <w:r w:rsidR="008D3EFA" w:rsidRPr="003715B5">
        <w:rPr>
          <w:lang w:val="fr-FR"/>
        </w:rPr>
        <w:t>Slovénie</w:t>
      </w:r>
      <w:r w:rsidR="00FF73FE" w:rsidRPr="003715B5">
        <w:rPr>
          <w:lang w:val="fr-FR"/>
        </w:rPr>
        <w:t>, S</w:t>
      </w:r>
      <w:r w:rsidR="008D3EFA" w:rsidRPr="003715B5">
        <w:rPr>
          <w:lang w:val="fr-FR"/>
        </w:rPr>
        <w:t>uède</w:t>
      </w:r>
      <w:r w:rsidR="00FF73FE" w:rsidRPr="003715B5">
        <w:rPr>
          <w:lang w:val="fr-FR"/>
        </w:rPr>
        <w:t>, S</w:t>
      </w:r>
      <w:r w:rsidR="008D3EFA" w:rsidRPr="003715B5">
        <w:rPr>
          <w:lang w:val="fr-FR"/>
        </w:rPr>
        <w:t>uisse et</w:t>
      </w:r>
      <w:r w:rsidR="006B5D74" w:rsidRPr="003715B5">
        <w:rPr>
          <w:lang w:val="fr-FR"/>
        </w:rPr>
        <w:t xml:space="preserve"> </w:t>
      </w:r>
      <w:r w:rsidR="00FF73FE" w:rsidRPr="003715B5">
        <w:rPr>
          <w:lang w:val="fr-FR"/>
        </w:rPr>
        <w:t>Ukraine.</w:t>
      </w:r>
    </w:p>
    <w:p w:rsidR="0001533C" w:rsidRPr="003715B5" w:rsidRDefault="0001533C" w:rsidP="007776D0">
      <w:pPr>
        <w:rPr>
          <w:rFonts w:eastAsia="Garamond" w:cs="Garamond"/>
          <w:lang w:val="fr-FR"/>
        </w:rPr>
      </w:pPr>
    </w:p>
    <w:p w:rsidR="0001533C" w:rsidRPr="003715B5" w:rsidRDefault="008D3EFA" w:rsidP="00404278">
      <w:pPr>
        <w:pStyle w:val="BodyText"/>
        <w:numPr>
          <w:ilvl w:val="0"/>
          <w:numId w:val="7"/>
        </w:numPr>
        <w:ind w:left="426" w:right="353" w:hanging="426"/>
        <w:rPr>
          <w:rFonts w:asciiTheme="minorHAnsi" w:hAnsiTheme="minorHAnsi"/>
          <w:sz w:val="22"/>
          <w:szCs w:val="22"/>
          <w:lang w:val="fr-FR"/>
        </w:rPr>
      </w:pPr>
      <w:r w:rsidRPr="003715B5">
        <w:rPr>
          <w:rFonts w:asciiTheme="minorHAnsi" w:hAnsiTheme="minorHAnsi"/>
          <w:b/>
          <w:sz w:val="22"/>
          <w:szCs w:val="22"/>
          <w:lang w:val="fr-FR"/>
        </w:rPr>
        <w:t>Treize parties</w:t>
      </w:r>
      <w:r w:rsidRPr="003715B5">
        <w:rPr>
          <w:rFonts w:asciiTheme="minorHAnsi" w:hAnsiTheme="minorHAnsi"/>
          <w:sz w:val="22"/>
          <w:szCs w:val="22"/>
          <w:lang w:val="fr-FR"/>
        </w:rPr>
        <w:t xml:space="preserve"> n’ont pas remis leur Rapport national à temps pour être analysé : Arménie</w:t>
      </w:r>
      <w:r w:rsidR="006B5D74" w:rsidRPr="003715B5">
        <w:rPr>
          <w:rFonts w:asciiTheme="minorHAnsi" w:hAnsiTheme="minorHAnsi"/>
          <w:sz w:val="22"/>
          <w:szCs w:val="22"/>
          <w:lang w:val="fr-FR"/>
        </w:rPr>
        <w:t xml:space="preserve">, </w:t>
      </w:r>
      <w:r w:rsidR="00BF47AE" w:rsidRPr="003715B5">
        <w:rPr>
          <w:rFonts w:asciiTheme="minorHAnsi" w:hAnsiTheme="minorHAnsi"/>
          <w:sz w:val="22"/>
          <w:szCs w:val="22"/>
          <w:lang w:val="fr-FR"/>
        </w:rPr>
        <w:t xml:space="preserve">ex-République yougoslave </w:t>
      </w:r>
      <w:r w:rsidR="00E9421B" w:rsidRPr="003715B5">
        <w:rPr>
          <w:rFonts w:asciiTheme="minorHAnsi" w:hAnsiTheme="minorHAnsi"/>
          <w:sz w:val="22"/>
          <w:szCs w:val="22"/>
          <w:lang w:val="fr-FR"/>
        </w:rPr>
        <w:t xml:space="preserve">de </w:t>
      </w:r>
      <w:r w:rsidR="00BF47AE" w:rsidRPr="003715B5">
        <w:rPr>
          <w:rFonts w:asciiTheme="minorHAnsi" w:hAnsiTheme="minorHAnsi"/>
          <w:sz w:val="22"/>
          <w:szCs w:val="22"/>
          <w:lang w:val="fr-FR"/>
        </w:rPr>
        <w:t xml:space="preserve">Macédoine, Fédération de Russie, </w:t>
      </w:r>
      <w:r w:rsidRPr="003715B5">
        <w:rPr>
          <w:rFonts w:asciiTheme="minorHAnsi" w:hAnsiTheme="minorHAnsi"/>
          <w:sz w:val="22"/>
          <w:szCs w:val="22"/>
          <w:lang w:val="fr-FR"/>
        </w:rPr>
        <w:t>Grèce, Ir</w:t>
      </w:r>
      <w:r w:rsidR="00FF73FE" w:rsidRPr="003715B5">
        <w:rPr>
          <w:rFonts w:asciiTheme="minorHAnsi" w:hAnsiTheme="minorHAnsi"/>
          <w:sz w:val="22"/>
          <w:szCs w:val="22"/>
          <w:lang w:val="fr-FR"/>
        </w:rPr>
        <w:t>land</w:t>
      </w:r>
      <w:r w:rsidRPr="003715B5">
        <w:rPr>
          <w:rFonts w:asciiTheme="minorHAnsi" w:hAnsiTheme="minorHAnsi"/>
          <w:sz w:val="22"/>
          <w:szCs w:val="22"/>
          <w:lang w:val="fr-FR"/>
        </w:rPr>
        <w:t>e, Luxembourg, Malte</w:t>
      </w:r>
      <w:r w:rsidR="00FF73FE" w:rsidRPr="003715B5">
        <w:rPr>
          <w:rFonts w:asciiTheme="minorHAnsi" w:hAnsiTheme="minorHAnsi"/>
          <w:sz w:val="22"/>
          <w:szCs w:val="22"/>
          <w:lang w:val="fr-FR"/>
        </w:rPr>
        <w:t xml:space="preserve">, </w:t>
      </w:r>
      <w:r w:rsidRPr="003715B5">
        <w:rPr>
          <w:rFonts w:asciiTheme="minorHAnsi" w:hAnsiTheme="minorHAnsi"/>
          <w:sz w:val="22"/>
          <w:szCs w:val="22"/>
          <w:lang w:val="fr-FR"/>
        </w:rPr>
        <w:t>Monténégro</w:t>
      </w:r>
      <w:r w:rsidR="006B5D74" w:rsidRPr="003715B5">
        <w:rPr>
          <w:rFonts w:asciiTheme="minorHAnsi" w:hAnsiTheme="minorHAnsi"/>
          <w:sz w:val="22"/>
          <w:szCs w:val="22"/>
          <w:lang w:val="fr-FR"/>
        </w:rPr>
        <w:t xml:space="preserve">, </w:t>
      </w:r>
      <w:r w:rsidR="00FF73FE" w:rsidRPr="003715B5">
        <w:rPr>
          <w:rFonts w:asciiTheme="minorHAnsi" w:hAnsiTheme="minorHAnsi"/>
          <w:sz w:val="22"/>
          <w:szCs w:val="22"/>
          <w:lang w:val="fr-FR"/>
        </w:rPr>
        <w:t>Pol</w:t>
      </w:r>
      <w:r w:rsidRPr="003715B5">
        <w:rPr>
          <w:rFonts w:asciiTheme="minorHAnsi" w:hAnsiTheme="minorHAnsi"/>
          <w:sz w:val="22"/>
          <w:szCs w:val="22"/>
          <w:lang w:val="fr-FR"/>
        </w:rPr>
        <w:t>ogne</w:t>
      </w:r>
      <w:r w:rsidR="00FF73FE" w:rsidRPr="003715B5">
        <w:rPr>
          <w:rFonts w:asciiTheme="minorHAnsi" w:hAnsiTheme="minorHAnsi"/>
          <w:sz w:val="22"/>
          <w:szCs w:val="22"/>
          <w:lang w:val="fr-FR"/>
        </w:rPr>
        <w:t xml:space="preserve">, </w:t>
      </w:r>
      <w:r w:rsidR="006B5D74" w:rsidRPr="003715B5">
        <w:rPr>
          <w:rFonts w:asciiTheme="minorHAnsi" w:hAnsiTheme="minorHAnsi"/>
          <w:sz w:val="22"/>
          <w:szCs w:val="22"/>
          <w:lang w:val="fr-FR"/>
        </w:rPr>
        <w:t xml:space="preserve">Portugal, </w:t>
      </w:r>
      <w:r w:rsidRPr="003715B5">
        <w:rPr>
          <w:rFonts w:asciiTheme="minorHAnsi" w:hAnsiTheme="minorHAnsi"/>
          <w:sz w:val="22"/>
          <w:szCs w:val="22"/>
          <w:lang w:val="fr-FR"/>
        </w:rPr>
        <w:t>République tchèque, Royaume-Uni et Turquie.</w:t>
      </w:r>
    </w:p>
    <w:p w:rsidR="0001533C" w:rsidRPr="003715B5" w:rsidRDefault="0001533C" w:rsidP="00404278">
      <w:pPr>
        <w:ind w:left="426" w:hanging="426"/>
        <w:rPr>
          <w:rFonts w:eastAsia="Garamond" w:cs="Garamond"/>
          <w:lang w:val="fr-FR"/>
        </w:rPr>
      </w:pPr>
    </w:p>
    <w:p w:rsidR="0001533C" w:rsidRPr="003715B5" w:rsidRDefault="00BF47AE" w:rsidP="00404278">
      <w:pPr>
        <w:pStyle w:val="BodyText"/>
        <w:numPr>
          <w:ilvl w:val="0"/>
          <w:numId w:val="7"/>
        </w:numPr>
        <w:ind w:left="426" w:hanging="426"/>
        <w:rPr>
          <w:rFonts w:asciiTheme="minorHAnsi" w:hAnsiTheme="minorHAnsi"/>
          <w:sz w:val="22"/>
          <w:szCs w:val="22"/>
          <w:lang w:val="fr-FR"/>
        </w:rPr>
      </w:pPr>
      <w:r w:rsidRPr="003715B5">
        <w:rPr>
          <w:rFonts w:asciiTheme="minorHAnsi" w:hAnsiTheme="minorHAnsi"/>
          <w:sz w:val="22"/>
          <w:szCs w:val="22"/>
          <w:lang w:val="fr-FR"/>
        </w:rPr>
        <w:t>Deux pays d’Europe ne sont encore Parties à la Convention de Ramsar : Saint-Marin et le Saint-Siège</w:t>
      </w:r>
      <w:r w:rsidR="00FF73FE" w:rsidRPr="003715B5">
        <w:rPr>
          <w:rFonts w:asciiTheme="minorHAnsi" w:hAnsiTheme="minorHAnsi"/>
          <w:sz w:val="22"/>
          <w:szCs w:val="22"/>
          <w:lang w:val="fr-FR"/>
        </w:rPr>
        <w:t>.</w:t>
      </w:r>
    </w:p>
    <w:p w:rsidR="0001533C" w:rsidRPr="003715B5" w:rsidRDefault="0001533C" w:rsidP="00404278">
      <w:pPr>
        <w:ind w:left="426" w:hanging="426"/>
        <w:rPr>
          <w:rFonts w:eastAsia="Garamond" w:cs="Garamond"/>
          <w:lang w:val="fr-FR"/>
        </w:rPr>
      </w:pPr>
    </w:p>
    <w:p w:rsidR="006D5F31" w:rsidRPr="003715B5" w:rsidRDefault="00B178FD" w:rsidP="00404278">
      <w:pPr>
        <w:pStyle w:val="BodyText"/>
        <w:numPr>
          <w:ilvl w:val="0"/>
          <w:numId w:val="7"/>
        </w:numPr>
        <w:ind w:left="426" w:right="137" w:hanging="426"/>
        <w:rPr>
          <w:rFonts w:asciiTheme="minorHAnsi" w:hAnsiTheme="minorHAnsi"/>
          <w:sz w:val="22"/>
          <w:szCs w:val="22"/>
          <w:lang w:val="fr-FR"/>
        </w:rPr>
      </w:pPr>
      <w:r w:rsidRPr="003715B5">
        <w:rPr>
          <w:rFonts w:asciiTheme="minorHAnsi" w:hAnsiTheme="minorHAnsi"/>
          <w:sz w:val="22"/>
          <w:szCs w:val="22"/>
          <w:lang w:val="fr-FR"/>
        </w:rPr>
        <w:t xml:space="preserve">Le nombre </w:t>
      </w:r>
      <w:r w:rsidR="003502AD" w:rsidRPr="003715B5">
        <w:rPr>
          <w:rFonts w:asciiTheme="minorHAnsi" w:hAnsiTheme="minorHAnsi"/>
          <w:sz w:val="22"/>
          <w:szCs w:val="22"/>
          <w:lang w:val="fr-FR"/>
        </w:rPr>
        <w:t>(</w:t>
      </w:r>
      <w:r w:rsidRPr="003715B5">
        <w:rPr>
          <w:rFonts w:asciiTheme="minorHAnsi" w:hAnsiTheme="minorHAnsi"/>
          <w:sz w:val="22"/>
          <w:szCs w:val="22"/>
          <w:lang w:val="fr-FR"/>
        </w:rPr>
        <w:t>et le pourcentage</w:t>
      </w:r>
      <w:r w:rsidR="003502AD" w:rsidRPr="003715B5">
        <w:rPr>
          <w:rFonts w:asciiTheme="minorHAnsi" w:hAnsiTheme="minorHAnsi"/>
          <w:sz w:val="22"/>
          <w:szCs w:val="22"/>
          <w:lang w:val="fr-FR"/>
        </w:rPr>
        <w:t>)</w:t>
      </w:r>
      <w:r w:rsidRPr="003715B5">
        <w:rPr>
          <w:rFonts w:asciiTheme="minorHAnsi" w:hAnsiTheme="minorHAnsi"/>
          <w:sz w:val="22"/>
          <w:szCs w:val="22"/>
          <w:lang w:val="fr-FR"/>
        </w:rPr>
        <w:t xml:space="preserve"> d</w:t>
      </w:r>
      <w:r w:rsidR="00D82189" w:rsidRPr="003715B5">
        <w:rPr>
          <w:rFonts w:asciiTheme="minorHAnsi" w:hAnsiTheme="minorHAnsi"/>
          <w:sz w:val="22"/>
          <w:szCs w:val="22"/>
          <w:lang w:val="fr-FR"/>
        </w:rPr>
        <w:t>e P</w:t>
      </w:r>
      <w:r w:rsidRPr="003715B5">
        <w:rPr>
          <w:rFonts w:asciiTheme="minorHAnsi" w:hAnsiTheme="minorHAnsi"/>
          <w:sz w:val="22"/>
          <w:szCs w:val="22"/>
          <w:lang w:val="fr-FR"/>
        </w:rPr>
        <w:t>art</w:t>
      </w:r>
      <w:r w:rsidR="00D82189" w:rsidRPr="003715B5">
        <w:rPr>
          <w:rFonts w:asciiTheme="minorHAnsi" w:hAnsiTheme="minorHAnsi"/>
          <w:sz w:val="22"/>
          <w:szCs w:val="22"/>
          <w:lang w:val="fr-FR"/>
        </w:rPr>
        <w:t>ies européennes ayant soumis des R</w:t>
      </w:r>
      <w:r w:rsidRPr="003715B5">
        <w:rPr>
          <w:rFonts w:asciiTheme="minorHAnsi" w:hAnsiTheme="minorHAnsi"/>
          <w:sz w:val="22"/>
          <w:szCs w:val="22"/>
          <w:lang w:val="fr-FR"/>
        </w:rPr>
        <w:t>apports nationaux à temps pour l’analyse pour chacune des cinq dernières session</w:t>
      </w:r>
      <w:r w:rsidR="009C1B16" w:rsidRPr="003715B5">
        <w:rPr>
          <w:rFonts w:asciiTheme="minorHAnsi" w:hAnsiTheme="minorHAnsi"/>
          <w:sz w:val="22"/>
          <w:szCs w:val="22"/>
          <w:lang w:val="fr-FR"/>
        </w:rPr>
        <w:t xml:space="preserve">s de la Conférence des Parties </w:t>
      </w:r>
      <w:r w:rsidR="00FF73FE" w:rsidRPr="003715B5">
        <w:rPr>
          <w:rFonts w:asciiTheme="minorHAnsi" w:hAnsiTheme="minorHAnsi"/>
          <w:sz w:val="22"/>
          <w:szCs w:val="22"/>
          <w:lang w:val="fr-FR"/>
        </w:rPr>
        <w:t xml:space="preserve">(COP) </w:t>
      </w:r>
      <w:r w:rsidR="003502AD" w:rsidRPr="003715B5">
        <w:rPr>
          <w:rFonts w:asciiTheme="minorHAnsi" w:hAnsiTheme="minorHAnsi"/>
          <w:sz w:val="22"/>
          <w:szCs w:val="22"/>
          <w:lang w:val="fr-FR"/>
        </w:rPr>
        <w:t>a diminué</w:t>
      </w:r>
      <w:r w:rsidR="00250325" w:rsidRPr="003715B5">
        <w:rPr>
          <w:rFonts w:asciiTheme="minorHAnsi" w:hAnsiTheme="minorHAnsi"/>
          <w:sz w:val="22"/>
          <w:szCs w:val="22"/>
          <w:lang w:val="fr-FR"/>
        </w:rPr>
        <w:t>,</w:t>
      </w:r>
      <w:r w:rsidR="00FF73FE" w:rsidRPr="003715B5">
        <w:rPr>
          <w:rFonts w:asciiTheme="minorHAnsi" w:hAnsiTheme="minorHAnsi"/>
          <w:sz w:val="22"/>
          <w:szCs w:val="22"/>
          <w:lang w:val="fr-FR"/>
        </w:rPr>
        <w:t xml:space="preserve"> </w:t>
      </w:r>
      <w:r w:rsidR="003502AD" w:rsidRPr="003715B5">
        <w:rPr>
          <w:rFonts w:asciiTheme="minorHAnsi" w:hAnsiTheme="minorHAnsi"/>
          <w:sz w:val="22"/>
          <w:szCs w:val="22"/>
          <w:lang w:val="fr-FR"/>
        </w:rPr>
        <w:t>avec</w:t>
      </w:r>
      <w:r w:rsidR="00D82189" w:rsidRPr="003715B5">
        <w:rPr>
          <w:rFonts w:asciiTheme="minorHAnsi" w:hAnsiTheme="minorHAnsi"/>
          <w:sz w:val="22"/>
          <w:szCs w:val="22"/>
          <w:lang w:val="fr-FR"/>
        </w:rPr>
        <w:t> </w:t>
      </w:r>
      <w:r w:rsidR="00C63AFE" w:rsidRPr="003715B5">
        <w:rPr>
          <w:rFonts w:asciiTheme="minorHAnsi" w:hAnsiTheme="minorHAnsi"/>
          <w:sz w:val="22"/>
          <w:szCs w:val="22"/>
          <w:lang w:val="fr-FR"/>
        </w:rPr>
        <w:t xml:space="preserve">34 </w:t>
      </w:r>
      <w:r w:rsidR="006B5D74" w:rsidRPr="003715B5">
        <w:rPr>
          <w:rFonts w:asciiTheme="minorHAnsi" w:hAnsiTheme="minorHAnsi"/>
          <w:sz w:val="22"/>
          <w:szCs w:val="22"/>
          <w:lang w:val="fr-FR"/>
        </w:rPr>
        <w:t>(</w:t>
      </w:r>
      <w:r w:rsidR="006D5F31" w:rsidRPr="003715B5">
        <w:rPr>
          <w:rFonts w:asciiTheme="minorHAnsi" w:hAnsiTheme="minorHAnsi"/>
          <w:b/>
          <w:sz w:val="22"/>
          <w:szCs w:val="22"/>
          <w:lang w:val="fr-FR"/>
        </w:rPr>
        <w:t>72</w:t>
      </w:r>
      <w:r w:rsidR="003502AD" w:rsidRPr="003715B5">
        <w:rPr>
          <w:rFonts w:asciiTheme="minorHAnsi" w:hAnsiTheme="minorHAnsi"/>
          <w:sz w:val="22"/>
          <w:szCs w:val="22"/>
          <w:lang w:val="fr-FR"/>
        </w:rPr>
        <w:t>%) ra</w:t>
      </w:r>
      <w:r w:rsidR="006B5D74" w:rsidRPr="003715B5">
        <w:rPr>
          <w:rFonts w:asciiTheme="minorHAnsi" w:hAnsiTheme="minorHAnsi"/>
          <w:sz w:val="22"/>
          <w:szCs w:val="22"/>
          <w:lang w:val="fr-FR"/>
        </w:rPr>
        <w:t>p</w:t>
      </w:r>
      <w:r w:rsidR="003502AD" w:rsidRPr="003715B5">
        <w:rPr>
          <w:rFonts w:asciiTheme="minorHAnsi" w:hAnsiTheme="minorHAnsi"/>
          <w:sz w:val="22"/>
          <w:szCs w:val="22"/>
          <w:lang w:val="fr-FR"/>
        </w:rPr>
        <w:t>p</w:t>
      </w:r>
      <w:r w:rsidR="006B5D74" w:rsidRPr="003715B5">
        <w:rPr>
          <w:rFonts w:asciiTheme="minorHAnsi" w:hAnsiTheme="minorHAnsi"/>
          <w:sz w:val="22"/>
          <w:szCs w:val="22"/>
          <w:lang w:val="fr-FR"/>
        </w:rPr>
        <w:t xml:space="preserve">orts </w:t>
      </w:r>
      <w:r w:rsidR="003502AD" w:rsidRPr="003715B5">
        <w:rPr>
          <w:rFonts w:asciiTheme="minorHAnsi" w:hAnsiTheme="minorHAnsi"/>
          <w:sz w:val="22"/>
          <w:szCs w:val="22"/>
          <w:lang w:val="fr-FR"/>
        </w:rPr>
        <w:t>analysés</w:t>
      </w:r>
      <w:r w:rsidR="006B5D74" w:rsidRPr="003715B5">
        <w:rPr>
          <w:rFonts w:asciiTheme="minorHAnsi" w:hAnsiTheme="minorHAnsi"/>
          <w:sz w:val="22"/>
          <w:szCs w:val="22"/>
          <w:lang w:val="fr-FR"/>
        </w:rPr>
        <w:t xml:space="preserve"> </w:t>
      </w:r>
      <w:r w:rsidR="003502AD" w:rsidRPr="003715B5">
        <w:rPr>
          <w:rFonts w:asciiTheme="minorHAnsi" w:hAnsiTheme="minorHAnsi"/>
          <w:sz w:val="22"/>
          <w:szCs w:val="22"/>
          <w:lang w:val="fr-FR"/>
        </w:rPr>
        <w:t>pour la COP12 e</w:t>
      </w:r>
      <w:r w:rsidR="006B5D74" w:rsidRPr="003715B5">
        <w:rPr>
          <w:rFonts w:asciiTheme="minorHAnsi" w:hAnsiTheme="minorHAnsi"/>
          <w:sz w:val="22"/>
          <w:szCs w:val="22"/>
          <w:lang w:val="fr-FR"/>
        </w:rPr>
        <w:t>n</w:t>
      </w:r>
      <w:r w:rsidR="006D5F31" w:rsidRPr="003715B5">
        <w:rPr>
          <w:rFonts w:asciiTheme="minorHAnsi" w:hAnsiTheme="minorHAnsi"/>
          <w:sz w:val="22"/>
          <w:szCs w:val="22"/>
          <w:lang w:val="fr-FR"/>
        </w:rPr>
        <w:t xml:space="preserve"> 2015,</w:t>
      </w:r>
      <w:r w:rsidR="00FF73FE" w:rsidRPr="003715B5">
        <w:rPr>
          <w:rFonts w:asciiTheme="minorHAnsi" w:hAnsiTheme="minorHAnsi"/>
          <w:sz w:val="22"/>
          <w:szCs w:val="22"/>
          <w:lang w:val="fr-FR"/>
        </w:rPr>
        <w:t xml:space="preserve"> 39 (</w:t>
      </w:r>
      <w:r w:rsidR="00FF73FE" w:rsidRPr="003715B5">
        <w:rPr>
          <w:rFonts w:asciiTheme="minorHAnsi" w:hAnsiTheme="minorHAnsi"/>
          <w:b/>
          <w:sz w:val="22"/>
          <w:szCs w:val="22"/>
          <w:lang w:val="fr-FR"/>
        </w:rPr>
        <w:t>87</w:t>
      </w:r>
      <w:r w:rsidR="003502AD" w:rsidRPr="003715B5">
        <w:rPr>
          <w:rFonts w:asciiTheme="minorHAnsi" w:hAnsiTheme="minorHAnsi"/>
          <w:sz w:val="22"/>
          <w:szCs w:val="22"/>
          <w:lang w:val="fr-FR"/>
        </w:rPr>
        <w:t>%) p</w:t>
      </w:r>
      <w:r w:rsidR="00FF73FE" w:rsidRPr="003715B5">
        <w:rPr>
          <w:rFonts w:asciiTheme="minorHAnsi" w:hAnsiTheme="minorHAnsi"/>
          <w:sz w:val="22"/>
          <w:szCs w:val="22"/>
          <w:lang w:val="fr-FR"/>
        </w:rPr>
        <w:t>o</w:t>
      </w:r>
      <w:r w:rsidR="003502AD" w:rsidRPr="003715B5">
        <w:rPr>
          <w:rFonts w:asciiTheme="minorHAnsi" w:hAnsiTheme="minorHAnsi"/>
          <w:sz w:val="22"/>
          <w:szCs w:val="22"/>
          <w:lang w:val="fr-FR"/>
        </w:rPr>
        <w:t>u</w:t>
      </w:r>
      <w:r w:rsidR="00FF73FE" w:rsidRPr="003715B5">
        <w:rPr>
          <w:rFonts w:asciiTheme="minorHAnsi" w:hAnsiTheme="minorHAnsi"/>
          <w:sz w:val="22"/>
          <w:szCs w:val="22"/>
          <w:lang w:val="fr-FR"/>
        </w:rPr>
        <w:t>r</w:t>
      </w:r>
      <w:r w:rsidR="003502AD" w:rsidRPr="003715B5">
        <w:rPr>
          <w:rFonts w:asciiTheme="minorHAnsi" w:hAnsiTheme="minorHAnsi"/>
          <w:sz w:val="22"/>
          <w:szCs w:val="22"/>
          <w:lang w:val="fr-FR"/>
        </w:rPr>
        <w:t xml:space="preserve"> la COP11 e</w:t>
      </w:r>
      <w:r w:rsidR="00FF73FE" w:rsidRPr="003715B5">
        <w:rPr>
          <w:rFonts w:asciiTheme="minorHAnsi" w:hAnsiTheme="minorHAnsi"/>
          <w:sz w:val="22"/>
          <w:szCs w:val="22"/>
          <w:lang w:val="fr-FR"/>
        </w:rPr>
        <w:t>n 2012, 36 (</w:t>
      </w:r>
      <w:r w:rsidR="00FF73FE" w:rsidRPr="003715B5">
        <w:rPr>
          <w:rFonts w:asciiTheme="minorHAnsi" w:hAnsiTheme="minorHAnsi"/>
          <w:b/>
          <w:sz w:val="22"/>
          <w:szCs w:val="22"/>
          <w:lang w:val="fr-FR"/>
        </w:rPr>
        <w:t>80</w:t>
      </w:r>
      <w:r w:rsidR="003502AD" w:rsidRPr="003715B5">
        <w:rPr>
          <w:rFonts w:asciiTheme="minorHAnsi" w:hAnsiTheme="minorHAnsi"/>
          <w:sz w:val="22"/>
          <w:szCs w:val="22"/>
          <w:lang w:val="fr-FR"/>
        </w:rPr>
        <w:t>%) pou</w:t>
      </w:r>
      <w:r w:rsidR="00FF73FE" w:rsidRPr="003715B5">
        <w:rPr>
          <w:rFonts w:asciiTheme="minorHAnsi" w:hAnsiTheme="minorHAnsi"/>
          <w:sz w:val="22"/>
          <w:szCs w:val="22"/>
          <w:lang w:val="fr-FR"/>
        </w:rPr>
        <w:t xml:space="preserve">r </w:t>
      </w:r>
      <w:r w:rsidR="003502AD" w:rsidRPr="003715B5">
        <w:rPr>
          <w:rFonts w:asciiTheme="minorHAnsi" w:hAnsiTheme="minorHAnsi"/>
          <w:sz w:val="22"/>
          <w:szCs w:val="22"/>
          <w:lang w:val="fr-FR"/>
        </w:rPr>
        <w:t>la COP10 e</w:t>
      </w:r>
      <w:r w:rsidR="00FF73FE" w:rsidRPr="003715B5">
        <w:rPr>
          <w:rFonts w:asciiTheme="minorHAnsi" w:hAnsiTheme="minorHAnsi"/>
          <w:sz w:val="22"/>
          <w:szCs w:val="22"/>
          <w:lang w:val="fr-FR"/>
        </w:rPr>
        <w:t>n 2008, 40 (</w:t>
      </w:r>
      <w:r w:rsidR="00FF73FE" w:rsidRPr="003715B5">
        <w:rPr>
          <w:rFonts w:asciiTheme="minorHAnsi" w:hAnsiTheme="minorHAnsi"/>
          <w:b/>
          <w:sz w:val="22"/>
          <w:szCs w:val="22"/>
          <w:lang w:val="fr-FR"/>
        </w:rPr>
        <w:t>91</w:t>
      </w:r>
      <w:r w:rsidR="003502AD" w:rsidRPr="003715B5">
        <w:rPr>
          <w:rFonts w:asciiTheme="minorHAnsi" w:hAnsiTheme="minorHAnsi"/>
          <w:sz w:val="22"/>
          <w:szCs w:val="22"/>
          <w:lang w:val="fr-FR"/>
        </w:rPr>
        <w:t>%) pour la COP9 en 2005 et</w:t>
      </w:r>
      <w:r w:rsidR="00FF73FE" w:rsidRPr="003715B5">
        <w:rPr>
          <w:rFonts w:asciiTheme="minorHAnsi" w:hAnsiTheme="minorHAnsi"/>
          <w:sz w:val="22"/>
          <w:szCs w:val="22"/>
          <w:lang w:val="fr-FR"/>
        </w:rPr>
        <w:t xml:space="preserve"> 40 (</w:t>
      </w:r>
      <w:r w:rsidR="00FF73FE" w:rsidRPr="003715B5">
        <w:rPr>
          <w:rFonts w:asciiTheme="minorHAnsi" w:hAnsiTheme="minorHAnsi"/>
          <w:b/>
          <w:sz w:val="22"/>
          <w:szCs w:val="22"/>
          <w:lang w:val="fr-FR"/>
        </w:rPr>
        <w:t>95</w:t>
      </w:r>
      <w:r w:rsidR="00FF73FE" w:rsidRPr="003715B5">
        <w:rPr>
          <w:rFonts w:asciiTheme="minorHAnsi" w:hAnsiTheme="minorHAnsi"/>
          <w:sz w:val="22"/>
          <w:szCs w:val="22"/>
          <w:lang w:val="fr-FR"/>
        </w:rPr>
        <w:t xml:space="preserve">%) </w:t>
      </w:r>
      <w:r w:rsidR="003502AD" w:rsidRPr="003715B5">
        <w:rPr>
          <w:rFonts w:asciiTheme="minorHAnsi" w:hAnsiTheme="minorHAnsi"/>
          <w:sz w:val="22"/>
          <w:szCs w:val="22"/>
          <w:lang w:val="fr-FR"/>
        </w:rPr>
        <w:t>pour la COP8 e</w:t>
      </w:r>
      <w:r w:rsidR="00FF73FE" w:rsidRPr="003715B5">
        <w:rPr>
          <w:rFonts w:asciiTheme="minorHAnsi" w:hAnsiTheme="minorHAnsi"/>
          <w:sz w:val="22"/>
          <w:szCs w:val="22"/>
          <w:lang w:val="fr-FR"/>
        </w:rPr>
        <w:t xml:space="preserve">n 2002. </w:t>
      </w:r>
    </w:p>
    <w:p w:rsidR="006D5F31" w:rsidRPr="003715B5" w:rsidRDefault="006D5F31" w:rsidP="007776D0">
      <w:pPr>
        <w:pStyle w:val="BodyText"/>
        <w:tabs>
          <w:tab w:val="left" w:pos="689"/>
        </w:tabs>
        <w:ind w:left="0" w:right="137" w:firstLine="0"/>
        <w:rPr>
          <w:rFonts w:asciiTheme="minorHAnsi" w:hAnsiTheme="minorHAnsi"/>
          <w:sz w:val="22"/>
          <w:szCs w:val="22"/>
          <w:lang w:val="fr-FR"/>
        </w:rPr>
      </w:pPr>
    </w:p>
    <w:p w:rsidR="00630D96" w:rsidRPr="003715B5" w:rsidRDefault="003F124C" w:rsidP="007776D0">
      <w:pPr>
        <w:pStyle w:val="BodyText"/>
        <w:tabs>
          <w:tab w:val="left" w:pos="689"/>
        </w:tabs>
        <w:ind w:left="0" w:right="137" w:firstLine="0"/>
        <w:rPr>
          <w:rFonts w:asciiTheme="minorHAnsi" w:hAnsiTheme="minorHAnsi"/>
          <w:lang w:val="fr-FR"/>
        </w:rPr>
      </w:pPr>
      <w:r w:rsidRPr="003F124C">
        <w:rPr>
          <w:b/>
          <w:noProof/>
        </w:rPr>
        <w:pict>
          <v:shape id="_x0000_s1071" type="#_x0000_t202" style="position:absolute;margin-left:285.5pt;margin-top:109.75pt;width:72.5pt;height:27pt;z-index:251670528;v-text-anchor:middle" stroked="f">
            <v:textbox inset=".5mm,.5mm,.5mm,.5mm">
              <w:txbxContent>
                <w:p w:rsidR="001B043A" w:rsidRPr="003E12A5" w:rsidRDefault="001B043A" w:rsidP="003E12A5">
                  <w:pPr>
                    <w:rPr>
                      <w:sz w:val="18"/>
                      <w:szCs w:val="18"/>
                    </w:rPr>
                  </w:pPr>
                  <w:r>
                    <w:rPr>
                      <w:sz w:val="18"/>
                      <w:szCs w:val="18"/>
                    </w:rPr>
                    <w:t xml:space="preserve">Ensemble des Parties </w:t>
                  </w:r>
                </w:p>
              </w:txbxContent>
            </v:textbox>
          </v:shape>
        </w:pict>
      </w:r>
      <w:r w:rsidRPr="003F124C">
        <w:rPr>
          <w:b/>
          <w:noProof/>
        </w:rPr>
        <w:pict>
          <v:shape id="_x0000_s1072" type="#_x0000_t202" style="position:absolute;margin-left:285.5pt;margin-top:82.75pt;width:72.5pt;height:27pt;z-index:251671552;v-text-anchor:middle" stroked="f">
            <v:textbox inset=".5mm,.5mm,.5mm,.5mm">
              <w:txbxContent>
                <w:p w:rsidR="001B043A" w:rsidRPr="003E12A5" w:rsidRDefault="001B043A" w:rsidP="003E12A5">
                  <w:pPr>
                    <w:rPr>
                      <w:sz w:val="18"/>
                      <w:szCs w:val="18"/>
                    </w:rPr>
                  </w:pPr>
                  <w:r>
                    <w:rPr>
                      <w:sz w:val="18"/>
                      <w:szCs w:val="18"/>
                    </w:rPr>
                    <w:t>Parties ayant soumis un RN</w:t>
                  </w:r>
                </w:p>
              </w:txbxContent>
            </v:textbox>
          </v:shape>
        </w:pict>
      </w:r>
      <w:r w:rsidR="0023147A" w:rsidRPr="003715B5">
        <w:rPr>
          <w:rFonts w:asciiTheme="minorHAnsi" w:hAnsiTheme="minorHAnsi"/>
          <w:noProof/>
        </w:rPr>
        <w:drawing>
          <wp:inline distT="0" distB="0" distL="0" distR="0">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502AD" w:rsidRPr="003715B5" w:rsidRDefault="003502AD" w:rsidP="007776D0">
      <w:pPr>
        <w:pStyle w:val="BodyText"/>
        <w:tabs>
          <w:tab w:val="left" w:pos="689"/>
        </w:tabs>
        <w:ind w:left="0" w:right="137" w:firstLine="0"/>
        <w:rPr>
          <w:rFonts w:asciiTheme="minorHAnsi" w:hAnsiTheme="minorHAnsi"/>
          <w:sz w:val="22"/>
          <w:szCs w:val="22"/>
          <w:lang w:val="fr-FR"/>
        </w:rPr>
      </w:pPr>
    </w:p>
    <w:p w:rsidR="0001533C" w:rsidRPr="003715B5" w:rsidRDefault="00E9421B" w:rsidP="00F97CC1">
      <w:pPr>
        <w:pStyle w:val="BodyText"/>
        <w:numPr>
          <w:ilvl w:val="0"/>
          <w:numId w:val="7"/>
        </w:numPr>
        <w:ind w:left="426" w:right="353" w:hanging="426"/>
        <w:rPr>
          <w:rFonts w:asciiTheme="minorHAnsi" w:hAnsiTheme="minorHAnsi"/>
          <w:sz w:val="22"/>
          <w:szCs w:val="22"/>
          <w:lang w:val="fr-FR"/>
        </w:rPr>
      </w:pPr>
      <w:r w:rsidRPr="003715B5">
        <w:rPr>
          <w:rFonts w:asciiTheme="minorHAnsi" w:hAnsiTheme="minorHAnsi"/>
          <w:sz w:val="22"/>
          <w:szCs w:val="22"/>
          <w:lang w:val="fr-FR"/>
        </w:rPr>
        <w:t>Les P</w:t>
      </w:r>
      <w:r w:rsidR="003502AD" w:rsidRPr="003715B5">
        <w:rPr>
          <w:rFonts w:asciiTheme="minorHAnsi" w:hAnsiTheme="minorHAnsi"/>
          <w:sz w:val="22"/>
          <w:szCs w:val="22"/>
          <w:lang w:val="fr-FR"/>
        </w:rPr>
        <w:t>arties européen</w:t>
      </w:r>
      <w:r w:rsidRPr="003715B5">
        <w:rPr>
          <w:rFonts w:asciiTheme="minorHAnsi" w:hAnsiTheme="minorHAnsi"/>
          <w:sz w:val="22"/>
          <w:szCs w:val="22"/>
          <w:lang w:val="fr-FR"/>
        </w:rPr>
        <w:t>ne</w:t>
      </w:r>
      <w:r w:rsidR="003502AD" w:rsidRPr="003715B5">
        <w:rPr>
          <w:rFonts w:asciiTheme="minorHAnsi" w:hAnsiTheme="minorHAnsi"/>
          <w:sz w:val="22"/>
          <w:szCs w:val="22"/>
          <w:lang w:val="fr-FR"/>
        </w:rPr>
        <w:t>s n’ayant pas fait l’objet d’une analyse sont les suivant</w:t>
      </w:r>
      <w:r w:rsidRPr="003715B5">
        <w:rPr>
          <w:rFonts w:asciiTheme="minorHAnsi" w:hAnsiTheme="minorHAnsi"/>
          <w:sz w:val="22"/>
          <w:szCs w:val="22"/>
          <w:lang w:val="fr-FR"/>
        </w:rPr>
        <w:t>e</w:t>
      </w:r>
      <w:r w:rsidR="003502AD" w:rsidRPr="003715B5">
        <w:rPr>
          <w:rFonts w:asciiTheme="minorHAnsi" w:hAnsiTheme="minorHAnsi"/>
          <w:sz w:val="22"/>
          <w:szCs w:val="22"/>
          <w:lang w:val="fr-FR"/>
        </w:rPr>
        <w:t>s : Albanie (e</w:t>
      </w:r>
      <w:r w:rsidR="00FF73FE" w:rsidRPr="003715B5">
        <w:rPr>
          <w:rFonts w:asciiTheme="minorHAnsi" w:hAnsiTheme="minorHAnsi"/>
          <w:sz w:val="22"/>
          <w:szCs w:val="22"/>
          <w:lang w:val="fr-FR"/>
        </w:rPr>
        <w:t xml:space="preserve">n 2008), </w:t>
      </w:r>
      <w:r w:rsidR="003502AD" w:rsidRPr="003715B5">
        <w:rPr>
          <w:rFonts w:asciiTheme="minorHAnsi" w:hAnsiTheme="minorHAnsi"/>
          <w:sz w:val="22"/>
          <w:szCs w:val="22"/>
          <w:lang w:val="fr-FR"/>
        </w:rPr>
        <w:t xml:space="preserve">Arménie (2015), </w:t>
      </w:r>
      <w:r w:rsidR="00F97CC1" w:rsidRPr="003715B5">
        <w:rPr>
          <w:rFonts w:asciiTheme="minorHAnsi" w:hAnsiTheme="minorHAnsi"/>
          <w:sz w:val="22"/>
          <w:szCs w:val="22"/>
          <w:lang w:val="fr-FR"/>
        </w:rPr>
        <w:t xml:space="preserve">ex-République yougoslave </w:t>
      </w:r>
      <w:r w:rsidRPr="003715B5">
        <w:rPr>
          <w:rFonts w:asciiTheme="minorHAnsi" w:hAnsiTheme="minorHAnsi"/>
          <w:sz w:val="22"/>
          <w:szCs w:val="22"/>
          <w:lang w:val="fr-FR"/>
        </w:rPr>
        <w:t xml:space="preserve">de </w:t>
      </w:r>
      <w:r w:rsidR="00F97CC1" w:rsidRPr="003715B5">
        <w:rPr>
          <w:rFonts w:asciiTheme="minorHAnsi" w:hAnsiTheme="minorHAnsi"/>
          <w:sz w:val="22"/>
          <w:szCs w:val="22"/>
          <w:lang w:val="fr-FR"/>
        </w:rPr>
        <w:t xml:space="preserve">Macédoine (2015), Fédération de Russie (2015, 2012, 2008), </w:t>
      </w:r>
      <w:r w:rsidR="003502AD" w:rsidRPr="003715B5">
        <w:rPr>
          <w:rFonts w:asciiTheme="minorHAnsi" w:hAnsiTheme="minorHAnsi"/>
          <w:sz w:val="22"/>
          <w:szCs w:val="22"/>
          <w:lang w:val="fr-FR"/>
        </w:rPr>
        <w:t>Géorgie (2008), Grè</w:t>
      </w:r>
      <w:r w:rsidR="00FF73FE" w:rsidRPr="003715B5">
        <w:rPr>
          <w:rFonts w:asciiTheme="minorHAnsi" w:hAnsiTheme="minorHAnsi"/>
          <w:sz w:val="22"/>
          <w:szCs w:val="22"/>
          <w:lang w:val="fr-FR"/>
        </w:rPr>
        <w:t>ce (</w:t>
      </w:r>
      <w:r w:rsidR="006D5F31" w:rsidRPr="003715B5">
        <w:rPr>
          <w:rFonts w:asciiTheme="minorHAnsi" w:hAnsiTheme="minorHAnsi"/>
          <w:sz w:val="22"/>
          <w:szCs w:val="22"/>
          <w:lang w:val="fr-FR"/>
        </w:rPr>
        <w:t xml:space="preserve">2015, </w:t>
      </w:r>
      <w:r w:rsidR="003502AD" w:rsidRPr="003715B5">
        <w:rPr>
          <w:rFonts w:asciiTheme="minorHAnsi" w:hAnsiTheme="minorHAnsi"/>
          <w:sz w:val="22"/>
          <w:szCs w:val="22"/>
          <w:lang w:val="fr-FR"/>
        </w:rPr>
        <w:t>2012, 2008, 2005), Ir</w:t>
      </w:r>
      <w:r w:rsidR="00FF73FE" w:rsidRPr="003715B5">
        <w:rPr>
          <w:rFonts w:asciiTheme="minorHAnsi" w:hAnsiTheme="minorHAnsi"/>
          <w:sz w:val="22"/>
          <w:szCs w:val="22"/>
          <w:lang w:val="fr-FR"/>
        </w:rPr>
        <w:t>land</w:t>
      </w:r>
      <w:r w:rsidR="003502AD" w:rsidRPr="003715B5">
        <w:rPr>
          <w:rFonts w:asciiTheme="minorHAnsi" w:hAnsiTheme="minorHAnsi"/>
          <w:sz w:val="22"/>
          <w:szCs w:val="22"/>
          <w:lang w:val="fr-FR"/>
        </w:rPr>
        <w:t>e</w:t>
      </w:r>
      <w:r w:rsidR="00FF73FE" w:rsidRPr="003715B5">
        <w:rPr>
          <w:rFonts w:asciiTheme="minorHAnsi" w:hAnsiTheme="minorHAnsi"/>
          <w:sz w:val="22"/>
          <w:szCs w:val="22"/>
          <w:lang w:val="fr-FR"/>
        </w:rPr>
        <w:t xml:space="preserve"> (</w:t>
      </w:r>
      <w:r w:rsidR="006D5F31" w:rsidRPr="003715B5">
        <w:rPr>
          <w:rFonts w:asciiTheme="minorHAnsi" w:hAnsiTheme="minorHAnsi"/>
          <w:sz w:val="22"/>
          <w:szCs w:val="22"/>
          <w:lang w:val="fr-FR"/>
        </w:rPr>
        <w:t xml:space="preserve">2015, </w:t>
      </w:r>
      <w:r w:rsidR="00FF73FE" w:rsidRPr="003715B5">
        <w:rPr>
          <w:rFonts w:asciiTheme="minorHAnsi" w:hAnsiTheme="minorHAnsi"/>
          <w:sz w:val="22"/>
          <w:szCs w:val="22"/>
          <w:lang w:val="fr-FR"/>
        </w:rPr>
        <w:t>2012, 2008, 2005), Luxembourg (</w:t>
      </w:r>
      <w:r w:rsidR="006D5F31" w:rsidRPr="003715B5">
        <w:rPr>
          <w:rFonts w:asciiTheme="minorHAnsi" w:hAnsiTheme="minorHAnsi"/>
          <w:sz w:val="22"/>
          <w:szCs w:val="22"/>
          <w:lang w:val="fr-FR"/>
        </w:rPr>
        <w:t xml:space="preserve">2015, </w:t>
      </w:r>
      <w:r w:rsidR="003502AD" w:rsidRPr="003715B5">
        <w:rPr>
          <w:rFonts w:asciiTheme="minorHAnsi" w:hAnsiTheme="minorHAnsi"/>
          <w:sz w:val="22"/>
          <w:szCs w:val="22"/>
          <w:lang w:val="fr-FR"/>
        </w:rPr>
        <w:t>2012, 2008, 2002), Malte</w:t>
      </w:r>
      <w:r w:rsidR="00FF73FE" w:rsidRPr="003715B5">
        <w:rPr>
          <w:rFonts w:asciiTheme="minorHAnsi" w:hAnsiTheme="minorHAnsi"/>
          <w:sz w:val="22"/>
          <w:szCs w:val="22"/>
          <w:lang w:val="fr-FR"/>
        </w:rPr>
        <w:t xml:space="preserve"> (</w:t>
      </w:r>
      <w:r w:rsidR="006D5F31" w:rsidRPr="003715B5">
        <w:rPr>
          <w:rFonts w:asciiTheme="minorHAnsi" w:hAnsiTheme="minorHAnsi"/>
          <w:sz w:val="22"/>
          <w:szCs w:val="22"/>
          <w:lang w:val="fr-FR"/>
        </w:rPr>
        <w:t xml:space="preserve">2015, </w:t>
      </w:r>
      <w:r w:rsidR="00FF73FE" w:rsidRPr="003715B5">
        <w:rPr>
          <w:rFonts w:asciiTheme="minorHAnsi" w:hAnsiTheme="minorHAnsi"/>
          <w:sz w:val="22"/>
          <w:szCs w:val="22"/>
          <w:lang w:val="fr-FR"/>
        </w:rPr>
        <w:t xml:space="preserve">2012, 2008, 2002), Monaco (2008, 2005), </w:t>
      </w:r>
      <w:r w:rsidR="003502AD" w:rsidRPr="003715B5">
        <w:rPr>
          <w:rFonts w:asciiTheme="minorHAnsi" w:hAnsiTheme="minorHAnsi"/>
          <w:sz w:val="22"/>
          <w:szCs w:val="22"/>
          <w:lang w:val="fr-FR"/>
        </w:rPr>
        <w:t>Monténégro</w:t>
      </w:r>
      <w:r w:rsidR="006D5F31" w:rsidRPr="003715B5">
        <w:rPr>
          <w:rFonts w:asciiTheme="minorHAnsi" w:hAnsiTheme="minorHAnsi"/>
          <w:sz w:val="22"/>
          <w:szCs w:val="22"/>
          <w:lang w:val="fr-FR"/>
        </w:rPr>
        <w:t xml:space="preserve"> (2015), </w:t>
      </w:r>
      <w:r w:rsidR="003502AD" w:rsidRPr="003715B5">
        <w:rPr>
          <w:rFonts w:asciiTheme="minorHAnsi" w:hAnsiTheme="minorHAnsi"/>
          <w:sz w:val="22"/>
          <w:szCs w:val="22"/>
          <w:lang w:val="fr-FR"/>
        </w:rPr>
        <w:t>Pologne</w:t>
      </w:r>
      <w:r w:rsidR="00FF73FE" w:rsidRPr="003715B5">
        <w:rPr>
          <w:rFonts w:asciiTheme="minorHAnsi" w:hAnsiTheme="minorHAnsi"/>
          <w:sz w:val="22"/>
          <w:szCs w:val="22"/>
          <w:lang w:val="fr-FR"/>
        </w:rPr>
        <w:t xml:space="preserve"> (</w:t>
      </w:r>
      <w:r w:rsidR="006D5F31" w:rsidRPr="003715B5">
        <w:rPr>
          <w:rFonts w:asciiTheme="minorHAnsi" w:hAnsiTheme="minorHAnsi"/>
          <w:sz w:val="22"/>
          <w:szCs w:val="22"/>
          <w:lang w:val="fr-FR"/>
        </w:rPr>
        <w:t xml:space="preserve">2015, </w:t>
      </w:r>
      <w:r w:rsidR="00FF73FE" w:rsidRPr="003715B5">
        <w:rPr>
          <w:rFonts w:asciiTheme="minorHAnsi" w:hAnsiTheme="minorHAnsi"/>
          <w:sz w:val="22"/>
          <w:szCs w:val="22"/>
          <w:lang w:val="fr-FR"/>
        </w:rPr>
        <w:t xml:space="preserve">2012), </w:t>
      </w:r>
      <w:r w:rsidR="00F97CC1" w:rsidRPr="003715B5">
        <w:rPr>
          <w:rFonts w:asciiTheme="minorHAnsi" w:hAnsiTheme="minorHAnsi"/>
          <w:sz w:val="22"/>
          <w:szCs w:val="22"/>
          <w:lang w:val="fr-FR"/>
        </w:rPr>
        <w:t>République tchèque (2015, 2005), Royaume-Uni (2015)</w:t>
      </w:r>
      <w:r w:rsidRPr="003715B5">
        <w:rPr>
          <w:rFonts w:asciiTheme="minorHAnsi" w:hAnsiTheme="minorHAnsi"/>
          <w:sz w:val="22"/>
          <w:szCs w:val="22"/>
          <w:lang w:val="fr-FR"/>
        </w:rPr>
        <w:t>,</w:t>
      </w:r>
      <w:r w:rsidR="00F97CC1" w:rsidRPr="003715B5">
        <w:rPr>
          <w:rFonts w:asciiTheme="minorHAnsi" w:hAnsiTheme="minorHAnsi"/>
          <w:sz w:val="22"/>
          <w:szCs w:val="22"/>
          <w:lang w:val="fr-FR"/>
        </w:rPr>
        <w:t xml:space="preserve"> Serbie (2008) et Turquie</w:t>
      </w:r>
      <w:r w:rsidR="006D5F31" w:rsidRPr="003715B5">
        <w:rPr>
          <w:rFonts w:asciiTheme="minorHAnsi" w:hAnsiTheme="minorHAnsi"/>
          <w:sz w:val="22"/>
          <w:szCs w:val="22"/>
          <w:lang w:val="fr-FR"/>
        </w:rPr>
        <w:t xml:space="preserve"> (201</w:t>
      </w:r>
      <w:r w:rsidR="00F97CC1" w:rsidRPr="003715B5">
        <w:rPr>
          <w:rFonts w:asciiTheme="minorHAnsi" w:hAnsiTheme="minorHAnsi"/>
          <w:sz w:val="22"/>
          <w:szCs w:val="22"/>
          <w:lang w:val="fr-FR"/>
        </w:rPr>
        <w:t>5).</w:t>
      </w:r>
    </w:p>
    <w:p w:rsidR="0001533C" w:rsidRPr="003715B5" w:rsidRDefault="0001533C" w:rsidP="00E41376">
      <w:pPr>
        <w:rPr>
          <w:rFonts w:eastAsia="Garamond" w:cs="Garamond"/>
          <w:lang w:val="fr-FR"/>
        </w:rPr>
      </w:pPr>
    </w:p>
    <w:p w:rsidR="0001533C" w:rsidRPr="003715B5" w:rsidRDefault="00F97CC1" w:rsidP="00E41376">
      <w:pPr>
        <w:pStyle w:val="Heading1"/>
        <w:ind w:left="0"/>
        <w:rPr>
          <w:rFonts w:asciiTheme="minorHAnsi" w:hAnsiTheme="minorHAnsi"/>
          <w:b w:val="0"/>
          <w:bCs w:val="0"/>
          <w:sz w:val="24"/>
          <w:szCs w:val="24"/>
          <w:lang w:val="fr-FR"/>
        </w:rPr>
      </w:pPr>
      <w:r w:rsidRPr="003715B5">
        <w:rPr>
          <w:rFonts w:asciiTheme="minorHAnsi" w:hAnsiTheme="minorHAnsi"/>
          <w:sz w:val="24"/>
          <w:szCs w:val="24"/>
          <w:lang w:val="fr-FR"/>
        </w:rPr>
        <w:t>Résumé et pistes pour l’aveni</w:t>
      </w:r>
      <w:r w:rsidR="005529E3" w:rsidRPr="003715B5">
        <w:rPr>
          <w:rFonts w:asciiTheme="minorHAnsi" w:hAnsiTheme="minorHAnsi"/>
          <w:sz w:val="24"/>
          <w:szCs w:val="24"/>
          <w:lang w:val="fr-FR"/>
        </w:rPr>
        <w:t>r</w:t>
      </w:r>
    </w:p>
    <w:p w:rsidR="0001533C" w:rsidRPr="003715B5" w:rsidRDefault="0001533C" w:rsidP="00E41376">
      <w:pPr>
        <w:rPr>
          <w:rFonts w:eastAsia="Garamond" w:cs="Garamond"/>
          <w:b/>
          <w:bCs/>
          <w:lang w:val="fr-FR"/>
        </w:rPr>
      </w:pPr>
    </w:p>
    <w:p w:rsidR="00CE312E" w:rsidRPr="003715B5" w:rsidRDefault="005529E3" w:rsidP="0023168A">
      <w:pPr>
        <w:pStyle w:val="BodyText"/>
        <w:numPr>
          <w:ilvl w:val="0"/>
          <w:numId w:val="7"/>
        </w:numPr>
        <w:ind w:left="426" w:hanging="426"/>
        <w:rPr>
          <w:rFonts w:asciiTheme="minorHAnsi" w:hAnsiTheme="minorHAnsi"/>
          <w:sz w:val="22"/>
          <w:szCs w:val="22"/>
          <w:lang w:val="fr-FR"/>
        </w:rPr>
      </w:pPr>
      <w:r w:rsidRPr="003715B5">
        <w:rPr>
          <w:rFonts w:asciiTheme="minorHAnsi" w:hAnsiTheme="minorHAnsi"/>
          <w:sz w:val="22"/>
          <w:szCs w:val="22"/>
          <w:lang w:val="fr-FR"/>
        </w:rPr>
        <w:t>E</w:t>
      </w:r>
      <w:r w:rsidR="00EC5D39" w:rsidRPr="003715B5">
        <w:rPr>
          <w:rFonts w:asciiTheme="minorHAnsi" w:hAnsiTheme="minorHAnsi"/>
          <w:sz w:val="22"/>
          <w:szCs w:val="22"/>
          <w:lang w:val="fr-FR"/>
        </w:rPr>
        <w:t xml:space="preserve">n Europe, </w:t>
      </w:r>
      <w:r w:rsidRPr="003715B5">
        <w:rPr>
          <w:rFonts w:asciiTheme="minorHAnsi" w:hAnsiTheme="minorHAnsi"/>
          <w:sz w:val="22"/>
          <w:szCs w:val="22"/>
          <w:lang w:val="fr-FR"/>
        </w:rPr>
        <w:t xml:space="preserve">la </w:t>
      </w:r>
      <w:r w:rsidR="00EC5D39" w:rsidRPr="003715B5">
        <w:rPr>
          <w:rFonts w:asciiTheme="minorHAnsi" w:hAnsiTheme="minorHAnsi"/>
          <w:sz w:val="22"/>
          <w:szCs w:val="22"/>
          <w:lang w:val="fr-FR"/>
        </w:rPr>
        <w:t xml:space="preserve">Convention </w:t>
      </w:r>
      <w:r w:rsidRPr="003715B5">
        <w:rPr>
          <w:rFonts w:asciiTheme="minorHAnsi" w:hAnsiTheme="minorHAnsi"/>
          <w:sz w:val="22"/>
          <w:szCs w:val="22"/>
          <w:lang w:val="fr-FR"/>
        </w:rPr>
        <w:t xml:space="preserve">de Ramsar </w:t>
      </w:r>
      <w:r w:rsidR="005834A3" w:rsidRPr="003715B5">
        <w:rPr>
          <w:rFonts w:asciiTheme="minorHAnsi" w:hAnsiTheme="minorHAnsi"/>
          <w:sz w:val="22"/>
          <w:szCs w:val="22"/>
          <w:lang w:val="fr-FR"/>
        </w:rPr>
        <w:t>est en concurrence avec de très nombreuses autres organisations de protection de l’environnement et reçoit peu de soutien administratif ou financier comparé à d’autres Accords multilatéraux sur l’environnement (AME)</w:t>
      </w:r>
      <w:r w:rsidR="00C3523F" w:rsidRPr="003715B5">
        <w:rPr>
          <w:rFonts w:asciiTheme="minorHAnsi" w:hAnsiTheme="minorHAnsi"/>
          <w:sz w:val="22"/>
          <w:szCs w:val="22"/>
          <w:lang w:val="fr-FR"/>
        </w:rPr>
        <w:t xml:space="preserve">. </w:t>
      </w:r>
      <w:r w:rsidR="001354BE" w:rsidRPr="003715B5">
        <w:rPr>
          <w:rFonts w:asciiTheme="minorHAnsi" w:hAnsiTheme="minorHAnsi"/>
          <w:sz w:val="22"/>
          <w:szCs w:val="22"/>
          <w:lang w:val="fr-FR"/>
        </w:rPr>
        <w:t xml:space="preserve">Les États parties à la Convention se heurtent à une augmentation des </w:t>
      </w:r>
      <w:r w:rsidR="00E9421B" w:rsidRPr="003715B5">
        <w:rPr>
          <w:rFonts w:asciiTheme="minorHAnsi" w:hAnsiTheme="minorHAnsi"/>
          <w:sz w:val="22"/>
          <w:szCs w:val="22"/>
          <w:lang w:val="fr-FR"/>
        </w:rPr>
        <w:t xml:space="preserve">pressions </w:t>
      </w:r>
      <w:r w:rsidR="001354BE" w:rsidRPr="003715B5">
        <w:rPr>
          <w:rFonts w:asciiTheme="minorHAnsi" w:hAnsiTheme="minorHAnsi"/>
          <w:sz w:val="22"/>
          <w:szCs w:val="22"/>
          <w:lang w:val="fr-FR"/>
        </w:rPr>
        <w:t>exercées sur les zones humides du fait d’une urbanisation rapide et de changements dans l’utilisation des terres pour répondre aux besoins du tourisme, de la construction d’infrastructures (transport, énergie) et de l’exploitat</w:t>
      </w:r>
      <w:r w:rsidR="009C1B16" w:rsidRPr="003715B5">
        <w:rPr>
          <w:rFonts w:asciiTheme="minorHAnsi" w:hAnsiTheme="minorHAnsi"/>
          <w:sz w:val="22"/>
          <w:szCs w:val="22"/>
          <w:lang w:val="fr-FR"/>
        </w:rPr>
        <w:t xml:space="preserve">ion non durable des ressources </w:t>
      </w:r>
      <w:r w:rsidR="001354BE" w:rsidRPr="003715B5">
        <w:rPr>
          <w:rFonts w:asciiTheme="minorHAnsi" w:hAnsiTheme="minorHAnsi"/>
          <w:sz w:val="22"/>
          <w:szCs w:val="22"/>
          <w:lang w:val="fr-FR"/>
        </w:rPr>
        <w:t xml:space="preserve">naturelles (eau, gravier, tourbe, pétrole, gaz, etc.). Les changements climatiques en cours aggravent </w:t>
      </w:r>
      <w:r w:rsidR="00FE1A9A" w:rsidRPr="003715B5">
        <w:rPr>
          <w:rFonts w:asciiTheme="minorHAnsi" w:hAnsiTheme="minorHAnsi"/>
          <w:sz w:val="22"/>
          <w:szCs w:val="22"/>
          <w:lang w:val="fr-FR"/>
        </w:rPr>
        <w:t xml:space="preserve">les contraintes </w:t>
      </w:r>
      <w:r w:rsidR="001354BE" w:rsidRPr="003715B5">
        <w:rPr>
          <w:rFonts w:asciiTheme="minorHAnsi" w:hAnsiTheme="minorHAnsi"/>
          <w:sz w:val="22"/>
          <w:szCs w:val="22"/>
          <w:lang w:val="fr-FR"/>
        </w:rPr>
        <w:t>sur l</w:t>
      </w:r>
      <w:r w:rsidR="009C1B16" w:rsidRPr="003715B5">
        <w:rPr>
          <w:rFonts w:asciiTheme="minorHAnsi" w:hAnsiTheme="minorHAnsi"/>
          <w:sz w:val="22"/>
          <w:szCs w:val="22"/>
          <w:lang w:val="fr-FR"/>
        </w:rPr>
        <w:t xml:space="preserve">’environnement et la fréquence </w:t>
      </w:r>
      <w:r w:rsidR="001354BE" w:rsidRPr="003715B5">
        <w:rPr>
          <w:rFonts w:asciiTheme="minorHAnsi" w:hAnsiTheme="minorHAnsi"/>
          <w:sz w:val="22"/>
          <w:szCs w:val="22"/>
          <w:lang w:val="fr-FR"/>
        </w:rPr>
        <w:t>des catastrophes</w:t>
      </w:r>
      <w:r w:rsidR="00FE1A9A" w:rsidRPr="003715B5">
        <w:rPr>
          <w:rFonts w:asciiTheme="minorHAnsi" w:hAnsiTheme="minorHAnsi"/>
          <w:sz w:val="22"/>
          <w:szCs w:val="22"/>
          <w:lang w:val="fr-FR"/>
        </w:rPr>
        <w:t xml:space="preserve"> naturelles</w:t>
      </w:r>
      <w:r w:rsidR="001354BE" w:rsidRPr="003715B5">
        <w:rPr>
          <w:rFonts w:asciiTheme="minorHAnsi" w:hAnsiTheme="minorHAnsi"/>
          <w:sz w:val="22"/>
          <w:szCs w:val="22"/>
          <w:lang w:val="fr-FR"/>
        </w:rPr>
        <w:t xml:space="preserve"> comme les sécheresses, les inondations, les tempêtes </w:t>
      </w:r>
      <w:r w:rsidR="00FE1A9A" w:rsidRPr="003715B5">
        <w:rPr>
          <w:rFonts w:asciiTheme="minorHAnsi" w:hAnsiTheme="minorHAnsi"/>
          <w:sz w:val="22"/>
          <w:szCs w:val="22"/>
          <w:lang w:val="fr-FR"/>
        </w:rPr>
        <w:t xml:space="preserve">ou </w:t>
      </w:r>
      <w:r w:rsidR="009C1B16" w:rsidRPr="003715B5">
        <w:rPr>
          <w:rFonts w:asciiTheme="minorHAnsi" w:hAnsiTheme="minorHAnsi"/>
          <w:sz w:val="22"/>
          <w:szCs w:val="22"/>
          <w:lang w:val="fr-FR"/>
        </w:rPr>
        <w:t xml:space="preserve">les glissements de </w:t>
      </w:r>
      <w:r w:rsidR="001354BE" w:rsidRPr="003715B5">
        <w:rPr>
          <w:rFonts w:asciiTheme="minorHAnsi" w:hAnsiTheme="minorHAnsi"/>
          <w:sz w:val="22"/>
          <w:szCs w:val="22"/>
          <w:lang w:val="fr-FR"/>
        </w:rPr>
        <w:t xml:space="preserve">terrain. </w:t>
      </w:r>
      <w:r w:rsidR="00FE1A9A" w:rsidRPr="003715B5">
        <w:rPr>
          <w:rFonts w:asciiTheme="minorHAnsi" w:hAnsiTheme="minorHAnsi"/>
          <w:sz w:val="22"/>
          <w:szCs w:val="22"/>
          <w:lang w:val="fr-FR"/>
        </w:rPr>
        <w:t xml:space="preserve">Dans ce contexte, les services de régulation que peuvent offrir les </w:t>
      </w:r>
      <w:r w:rsidR="00FE1A9A" w:rsidRPr="003715B5">
        <w:rPr>
          <w:rFonts w:asciiTheme="minorHAnsi" w:hAnsiTheme="minorHAnsi"/>
          <w:sz w:val="22"/>
          <w:szCs w:val="22"/>
          <w:lang w:val="fr-FR"/>
        </w:rPr>
        <w:lastRenderedPageBreak/>
        <w:t xml:space="preserve">zones humides restent encore largement méconnus et rarement pris en considération. </w:t>
      </w:r>
      <w:r w:rsidR="001354BE" w:rsidRPr="003715B5">
        <w:rPr>
          <w:rFonts w:asciiTheme="minorHAnsi" w:hAnsiTheme="minorHAnsi"/>
          <w:sz w:val="22"/>
          <w:szCs w:val="22"/>
          <w:lang w:val="fr-FR"/>
        </w:rPr>
        <w:t>De nom</w:t>
      </w:r>
      <w:r w:rsidR="00926FA2" w:rsidRPr="003715B5">
        <w:rPr>
          <w:rFonts w:asciiTheme="minorHAnsi" w:hAnsiTheme="minorHAnsi"/>
          <w:sz w:val="22"/>
          <w:szCs w:val="22"/>
          <w:lang w:val="fr-FR"/>
        </w:rPr>
        <w:t>breux pays européens, y compris</w:t>
      </w:r>
      <w:r w:rsidR="001354BE" w:rsidRPr="003715B5">
        <w:rPr>
          <w:rFonts w:asciiTheme="minorHAnsi" w:hAnsiTheme="minorHAnsi"/>
          <w:sz w:val="22"/>
          <w:szCs w:val="22"/>
          <w:lang w:val="fr-FR"/>
        </w:rPr>
        <w:t xml:space="preserve"> </w:t>
      </w:r>
      <w:r w:rsidR="00E9421B" w:rsidRPr="003715B5">
        <w:rPr>
          <w:rFonts w:asciiTheme="minorHAnsi" w:hAnsiTheme="minorHAnsi"/>
          <w:sz w:val="22"/>
          <w:szCs w:val="22"/>
          <w:lang w:val="fr-FR"/>
        </w:rPr>
        <w:t>une partie d</w:t>
      </w:r>
      <w:r w:rsidR="001354BE" w:rsidRPr="003715B5">
        <w:rPr>
          <w:rFonts w:asciiTheme="minorHAnsi" w:hAnsiTheme="minorHAnsi"/>
          <w:sz w:val="22"/>
          <w:szCs w:val="22"/>
          <w:lang w:val="fr-FR"/>
        </w:rPr>
        <w:t xml:space="preserve">es plus riches, </w:t>
      </w:r>
      <w:r w:rsidR="0023168A" w:rsidRPr="003715B5">
        <w:rPr>
          <w:rFonts w:asciiTheme="minorHAnsi" w:hAnsiTheme="minorHAnsi"/>
          <w:sz w:val="22"/>
          <w:szCs w:val="22"/>
          <w:lang w:val="fr-FR"/>
        </w:rPr>
        <w:t>sont également confrontés à un</w:t>
      </w:r>
      <w:r w:rsidR="00926FA2" w:rsidRPr="003715B5">
        <w:rPr>
          <w:rFonts w:asciiTheme="minorHAnsi" w:hAnsiTheme="minorHAnsi"/>
          <w:sz w:val="22"/>
          <w:szCs w:val="22"/>
          <w:lang w:val="fr-FR"/>
        </w:rPr>
        <w:t xml:space="preserve"> taux de </w:t>
      </w:r>
      <w:r w:rsidR="0023168A" w:rsidRPr="003715B5">
        <w:rPr>
          <w:rFonts w:asciiTheme="minorHAnsi" w:hAnsiTheme="minorHAnsi"/>
          <w:sz w:val="22"/>
          <w:szCs w:val="22"/>
          <w:lang w:val="fr-FR"/>
        </w:rPr>
        <w:t>chômage de masse et au marasme économique.</w:t>
      </w:r>
    </w:p>
    <w:p w:rsidR="00716931" w:rsidRPr="003715B5" w:rsidRDefault="00716931" w:rsidP="00716931">
      <w:pPr>
        <w:pStyle w:val="BodyText"/>
        <w:rPr>
          <w:rFonts w:asciiTheme="minorHAnsi" w:hAnsiTheme="minorHAnsi"/>
          <w:sz w:val="22"/>
          <w:szCs w:val="22"/>
          <w:lang w:val="fr-FR"/>
        </w:rPr>
      </w:pPr>
    </w:p>
    <w:p w:rsidR="008E5739" w:rsidRPr="003715B5" w:rsidRDefault="0023168A" w:rsidP="00716931">
      <w:pPr>
        <w:pStyle w:val="BodyText"/>
        <w:numPr>
          <w:ilvl w:val="0"/>
          <w:numId w:val="7"/>
        </w:numPr>
        <w:ind w:left="426" w:hanging="426"/>
        <w:rPr>
          <w:rFonts w:asciiTheme="minorHAnsi" w:hAnsiTheme="minorHAnsi"/>
          <w:sz w:val="22"/>
          <w:szCs w:val="22"/>
          <w:lang w:val="fr-FR"/>
        </w:rPr>
      </w:pPr>
      <w:r w:rsidRPr="003715B5">
        <w:rPr>
          <w:rFonts w:ascii="Calibri" w:hAnsi="Calibri"/>
          <w:sz w:val="22"/>
          <w:szCs w:val="22"/>
          <w:lang w:val="fr-FR"/>
        </w:rPr>
        <w:t xml:space="preserve">Il est donc indispensable de créer des modèles novateurs pour trouver des moyens durables </w:t>
      </w:r>
      <w:r w:rsidR="0015764F" w:rsidRPr="003715B5">
        <w:rPr>
          <w:rFonts w:ascii="Calibri" w:hAnsi="Calibri"/>
          <w:sz w:val="22"/>
          <w:szCs w:val="22"/>
          <w:lang w:val="fr-FR"/>
        </w:rPr>
        <w:t>de préserver notre environnement, en tenant compte de manière coordonnée de ses ressources naturelles, économiques et sociales</w:t>
      </w:r>
      <w:r w:rsidR="0015764F" w:rsidRPr="003715B5">
        <w:rPr>
          <w:rFonts w:asciiTheme="minorHAnsi" w:hAnsiTheme="minorHAnsi"/>
          <w:sz w:val="22"/>
          <w:szCs w:val="22"/>
          <w:lang w:val="fr-FR"/>
        </w:rPr>
        <w:t>. La Convention de</w:t>
      </w:r>
      <w:r w:rsidR="00C3523F" w:rsidRPr="003715B5">
        <w:rPr>
          <w:rFonts w:asciiTheme="minorHAnsi" w:hAnsiTheme="minorHAnsi"/>
          <w:sz w:val="22"/>
          <w:szCs w:val="22"/>
          <w:lang w:val="fr-FR"/>
        </w:rPr>
        <w:t xml:space="preserve"> Ramsar </w:t>
      </w:r>
      <w:r w:rsidR="0015764F" w:rsidRPr="003715B5">
        <w:rPr>
          <w:rFonts w:asciiTheme="minorHAnsi" w:hAnsiTheme="minorHAnsi"/>
          <w:sz w:val="22"/>
          <w:szCs w:val="22"/>
          <w:lang w:val="fr-FR"/>
        </w:rPr>
        <w:t xml:space="preserve">donne des outils pour nous aider à réaliser ces objectifs. Pour en tirer le meilleur parti, les experts Ramsar doivent être à l’avant-garde de cette nouvelle façon de penser et d’agir. Nous </w:t>
      </w:r>
      <w:r w:rsidR="008C653F" w:rsidRPr="003715B5">
        <w:rPr>
          <w:rFonts w:asciiTheme="minorHAnsi" w:hAnsiTheme="minorHAnsi"/>
          <w:sz w:val="22"/>
          <w:szCs w:val="22"/>
          <w:lang w:val="fr-FR"/>
        </w:rPr>
        <w:t>devons être les cham</w:t>
      </w:r>
      <w:r w:rsidR="00B957DF" w:rsidRPr="003715B5">
        <w:rPr>
          <w:rFonts w:asciiTheme="minorHAnsi" w:hAnsiTheme="minorHAnsi"/>
          <w:sz w:val="22"/>
          <w:szCs w:val="22"/>
          <w:lang w:val="fr-FR"/>
        </w:rPr>
        <w:t xml:space="preserve">pions d’une approche globale, </w:t>
      </w:r>
      <w:r w:rsidR="008C653F" w:rsidRPr="003715B5">
        <w:rPr>
          <w:rFonts w:asciiTheme="minorHAnsi" w:hAnsiTheme="minorHAnsi"/>
          <w:sz w:val="22"/>
          <w:szCs w:val="22"/>
          <w:lang w:val="fr-FR"/>
        </w:rPr>
        <w:t>d’une utilisation rationnelle de tous les écosystèmes de zones humides (cours d’eau, lacs, zones humides continentales, côtières ou artificielles, etc.) et d’une évaluation complète des services qu’ils fournissent à l’humanité, en particulier aux sociétés de cette partie du monde à</w:t>
      </w:r>
      <w:r w:rsidR="009C1B16" w:rsidRPr="003715B5">
        <w:rPr>
          <w:rFonts w:asciiTheme="minorHAnsi" w:hAnsiTheme="minorHAnsi"/>
          <w:sz w:val="22"/>
          <w:szCs w:val="22"/>
          <w:lang w:val="fr-FR"/>
        </w:rPr>
        <w:t xml:space="preserve"> très forte industrialisation. </w:t>
      </w:r>
      <w:r w:rsidR="000D473A" w:rsidRPr="003715B5">
        <w:rPr>
          <w:rFonts w:asciiTheme="minorHAnsi" w:hAnsiTheme="minorHAnsi"/>
          <w:sz w:val="22"/>
          <w:szCs w:val="22"/>
          <w:lang w:val="fr-FR"/>
        </w:rPr>
        <w:t>Force est néanmoins de reconnaître que, trop souvent encore, c’est une conception étroite des zones humides qui l’emporte d</w:t>
      </w:r>
      <w:r w:rsidR="009C1B16" w:rsidRPr="003715B5">
        <w:rPr>
          <w:rFonts w:asciiTheme="minorHAnsi" w:hAnsiTheme="minorHAnsi"/>
          <w:sz w:val="22"/>
          <w:szCs w:val="22"/>
          <w:lang w:val="fr-FR"/>
        </w:rPr>
        <w:t>ans notre travail au quotidien.</w:t>
      </w:r>
      <w:r w:rsidR="0054063B" w:rsidRPr="003715B5">
        <w:rPr>
          <w:rFonts w:asciiTheme="minorHAnsi" w:hAnsiTheme="minorHAnsi"/>
          <w:sz w:val="22"/>
          <w:szCs w:val="22"/>
          <w:lang w:val="fr-FR"/>
        </w:rPr>
        <w:t xml:space="preserve"> En se concentrant principalement sur les aires protégées et la conservation des espèces, on sous-estime l’importance des zones humides et de leurs services écosystémiques en tant qu’atouts clés pour le développement socio-économique des régions et on fragilise fortement la reconnaissance de nos activités et de la </w:t>
      </w:r>
      <w:r w:rsidR="00FF73FE" w:rsidRPr="003715B5">
        <w:rPr>
          <w:rFonts w:asciiTheme="minorHAnsi" w:hAnsiTheme="minorHAnsi"/>
          <w:sz w:val="22"/>
          <w:szCs w:val="22"/>
          <w:lang w:val="fr-FR"/>
        </w:rPr>
        <w:t>Convention.</w:t>
      </w:r>
    </w:p>
    <w:p w:rsidR="0001533C" w:rsidRPr="003715B5" w:rsidRDefault="0001533C" w:rsidP="008E5739">
      <w:pPr>
        <w:pStyle w:val="BodyText"/>
        <w:rPr>
          <w:rFonts w:asciiTheme="minorHAnsi" w:hAnsiTheme="minorHAnsi"/>
          <w:sz w:val="22"/>
          <w:szCs w:val="22"/>
          <w:lang w:val="fr-FR"/>
        </w:rPr>
      </w:pPr>
    </w:p>
    <w:p w:rsidR="0001533C" w:rsidRPr="003715B5" w:rsidRDefault="006D1C58" w:rsidP="006D1C58">
      <w:pPr>
        <w:pStyle w:val="BodyText"/>
        <w:numPr>
          <w:ilvl w:val="0"/>
          <w:numId w:val="7"/>
        </w:numPr>
        <w:ind w:left="426" w:hanging="426"/>
        <w:rPr>
          <w:rFonts w:asciiTheme="minorHAnsi" w:hAnsiTheme="minorHAnsi"/>
          <w:sz w:val="22"/>
          <w:szCs w:val="22"/>
          <w:lang w:val="fr-FR"/>
        </w:rPr>
      </w:pPr>
      <w:r w:rsidRPr="003715B5">
        <w:rPr>
          <w:rFonts w:asciiTheme="minorHAnsi" w:hAnsiTheme="minorHAnsi"/>
          <w:sz w:val="22"/>
          <w:szCs w:val="22"/>
          <w:lang w:val="fr-FR"/>
        </w:rPr>
        <w:t>Les acteurs de Ramsar au sein de nos Autorités administratives nationales, des ONG, du secteur privé et de la société civile en génér</w:t>
      </w:r>
      <w:r w:rsidR="00B957DF" w:rsidRPr="003715B5">
        <w:rPr>
          <w:rFonts w:asciiTheme="minorHAnsi" w:hAnsiTheme="minorHAnsi"/>
          <w:sz w:val="22"/>
          <w:szCs w:val="22"/>
          <w:lang w:val="fr-FR"/>
        </w:rPr>
        <w:t>al</w:t>
      </w:r>
      <w:r w:rsidRPr="003715B5">
        <w:rPr>
          <w:rFonts w:asciiTheme="minorHAnsi" w:hAnsiTheme="minorHAnsi"/>
          <w:sz w:val="22"/>
          <w:szCs w:val="22"/>
          <w:lang w:val="fr-FR"/>
        </w:rPr>
        <w:t xml:space="preserve"> ont tous des occasions extraordinaires d’accroître la sensibilisation du public et de faire mieux comprendre le rôle crucial que les écosystèmes de zones humides jouent vis-à-vis du cycle de l’eau, de l’adaptation aux changements climatiques et de l’atténuation de leurs effets, a</w:t>
      </w:r>
      <w:r w:rsidR="009C1B16" w:rsidRPr="003715B5">
        <w:rPr>
          <w:rFonts w:asciiTheme="minorHAnsi" w:hAnsiTheme="minorHAnsi"/>
          <w:sz w:val="22"/>
          <w:szCs w:val="22"/>
          <w:lang w:val="fr-FR"/>
        </w:rPr>
        <w:t xml:space="preserve">insi que de la conservation de </w:t>
      </w:r>
      <w:r w:rsidRPr="003715B5">
        <w:rPr>
          <w:rFonts w:asciiTheme="minorHAnsi" w:hAnsiTheme="minorHAnsi"/>
          <w:sz w:val="22"/>
          <w:szCs w:val="22"/>
          <w:lang w:val="fr-FR"/>
        </w:rPr>
        <w:t>la biodiversi</w:t>
      </w:r>
      <w:r w:rsidR="009C1B16" w:rsidRPr="003715B5">
        <w:rPr>
          <w:rFonts w:asciiTheme="minorHAnsi" w:hAnsiTheme="minorHAnsi"/>
          <w:sz w:val="22"/>
          <w:szCs w:val="22"/>
          <w:lang w:val="fr-FR"/>
        </w:rPr>
        <w:t>té. Nous devons faire connaître</w:t>
      </w:r>
      <w:r w:rsidRPr="003715B5">
        <w:rPr>
          <w:rFonts w:asciiTheme="minorHAnsi" w:hAnsiTheme="minorHAnsi"/>
          <w:sz w:val="22"/>
          <w:szCs w:val="22"/>
          <w:lang w:val="fr-FR"/>
        </w:rPr>
        <w:t xml:space="preserve"> les avantages que nos sociétés peuvent tirer des zones humides, tant </w:t>
      </w:r>
      <w:r w:rsidR="00B957DF" w:rsidRPr="003715B5">
        <w:rPr>
          <w:rFonts w:asciiTheme="minorHAnsi" w:hAnsiTheme="minorHAnsi"/>
          <w:sz w:val="22"/>
          <w:szCs w:val="22"/>
          <w:lang w:val="fr-FR"/>
        </w:rPr>
        <w:t>qu’elles existent. Avec près de </w:t>
      </w:r>
      <w:r w:rsidRPr="003715B5">
        <w:rPr>
          <w:rFonts w:asciiTheme="minorHAnsi" w:hAnsiTheme="minorHAnsi"/>
          <w:sz w:val="22"/>
          <w:szCs w:val="22"/>
          <w:lang w:val="fr-FR"/>
        </w:rPr>
        <w:t xml:space="preserve">1000 Sites Ramsar européens, nous disposons d’une base solide pour montrer comment intégrer nos besoins en matière de développement local à long terme </w:t>
      </w:r>
      <w:r w:rsidR="00B957DF" w:rsidRPr="003715B5">
        <w:rPr>
          <w:rFonts w:asciiTheme="minorHAnsi" w:hAnsiTheme="minorHAnsi"/>
          <w:sz w:val="22"/>
          <w:szCs w:val="22"/>
          <w:lang w:val="fr-FR"/>
        </w:rPr>
        <w:t>à</w:t>
      </w:r>
      <w:r w:rsidRPr="003715B5">
        <w:rPr>
          <w:rFonts w:asciiTheme="minorHAnsi" w:hAnsiTheme="minorHAnsi"/>
          <w:sz w:val="22"/>
          <w:szCs w:val="22"/>
          <w:lang w:val="fr-FR"/>
        </w:rPr>
        <w:t xml:space="preserve"> la gestion des ressources en eau à l’échelle des bassins versants</w:t>
      </w:r>
      <w:r w:rsidR="00B957DF" w:rsidRPr="003715B5">
        <w:rPr>
          <w:rFonts w:asciiTheme="minorHAnsi" w:hAnsiTheme="minorHAnsi"/>
          <w:sz w:val="22"/>
          <w:szCs w:val="22"/>
          <w:lang w:val="fr-FR"/>
        </w:rPr>
        <w:t>,</w:t>
      </w:r>
      <w:r w:rsidRPr="003715B5">
        <w:rPr>
          <w:rFonts w:asciiTheme="minorHAnsi" w:hAnsiTheme="minorHAnsi"/>
          <w:sz w:val="22"/>
          <w:szCs w:val="22"/>
          <w:lang w:val="fr-FR"/>
        </w:rPr>
        <w:t xml:space="preserve"> et comment mettre un terme à la tendance continue à l’appauvrissement de la biodiversité mondiale, de ses produits et de ses valeurs</w:t>
      </w:r>
      <w:r w:rsidR="008E5739" w:rsidRPr="003715B5">
        <w:rPr>
          <w:rFonts w:asciiTheme="minorHAnsi" w:hAnsiTheme="minorHAnsi"/>
          <w:sz w:val="22"/>
          <w:szCs w:val="22"/>
          <w:lang w:val="fr-FR"/>
        </w:rPr>
        <w:t>.</w:t>
      </w:r>
    </w:p>
    <w:p w:rsidR="00FB7F5D" w:rsidRPr="003715B5" w:rsidRDefault="00FB7F5D" w:rsidP="00FB7F5D">
      <w:pPr>
        <w:pStyle w:val="ListParagraph"/>
        <w:rPr>
          <w:lang w:val="fr-FR"/>
        </w:rPr>
      </w:pPr>
    </w:p>
    <w:p w:rsidR="0001533C" w:rsidRPr="003715B5" w:rsidRDefault="00B139B2" w:rsidP="00FB7F5D">
      <w:pPr>
        <w:pStyle w:val="BodyText"/>
        <w:numPr>
          <w:ilvl w:val="0"/>
          <w:numId w:val="7"/>
        </w:numPr>
        <w:ind w:left="426" w:hanging="426"/>
        <w:rPr>
          <w:rFonts w:ascii="Calibri" w:hAnsi="Calibri"/>
          <w:sz w:val="22"/>
          <w:szCs w:val="22"/>
          <w:lang w:val="fr-FR"/>
        </w:rPr>
      </w:pPr>
      <w:r w:rsidRPr="003715B5">
        <w:rPr>
          <w:rFonts w:ascii="Calibri" w:hAnsi="Calibri"/>
          <w:sz w:val="22"/>
          <w:szCs w:val="22"/>
          <w:lang w:val="fr-FR"/>
        </w:rPr>
        <w:t>Trop souvent encore cependant</w:t>
      </w:r>
      <w:r w:rsidR="00B91E1B" w:rsidRPr="003715B5">
        <w:rPr>
          <w:rFonts w:ascii="Calibri" w:hAnsi="Calibri"/>
          <w:sz w:val="22"/>
          <w:szCs w:val="22"/>
          <w:lang w:val="fr-FR"/>
        </w:rPr>
        <w:t xml:space="preserve">, les profits </w:t>
      </w:r>
      <w:r w:rsidRPr="003715B5">
        <w:rPr>
          <w:rFonts w:ascii="Calibri" w:hAnsi="Calibri"/>
          <w:sz w:val="22"/>
          <w:szCs w:val="22"/>
          <w:lang w:val="fr-FR"/>
        </w:rPr>
        <w:t>économique</w:t>
      </w:r>
      <w:r w:rsidR="00B91E1B" w:rsidRPr="003715B5">
        <w:rPr>
          <w:rFonts w:ascii="Calibri" w:hAnsi="Calibri"/>
          <w:sz w:val="22"/>
          <w:szCs w:val="22"/>
          <w:lang w:val="fr-FR"/>
        </w:rPr>
        <w:t>s</w:t>
      </w:r>
      <w:r w:rsidRPr="003715B5">
        <w:rPr>
          <w:rFonts w:ascii="Calibri" w:hAnsi="Calibri"/>
          <w:sz w:val="22"/>
          <w:szCs w:val="22"/>
          <w:lang w:val="fr-FR"/>
        </w:rPr>
        <w:t xml:space="preserve"> à court terme </w:t>
      </w:r>
      <w:r w:rsidR="00B91E1B" w:rsidRPr="003715B5">
        <w:rPr>
          <w:rFonts w:ascii="Calibri" w:hAnsi="Calibri"/>
          <w:sz w:val="22"/>
          <w:szCs w:val="22"/>
          <w:lang w:val="fr-FR"/>
        </w:rPr>
        <w:t xml:space="preserve">et un mode de pensée étroit et sectoriel </w:t>
      </w:r>
      <w:r w:rsidRPr="003715B5">
        <w:rPr>
          <w:rFonts w:ascii="Calibri" w:hAnsi="Calibri"/>
          <w:sz w:val="22"/>
          <w:szCs w:val="22"/>
          <w:lang w:val="fr-FR"/>
        </w:rPr>
        <w:t>dicte</w:t>
      </w:r>
      <w:r w:rsidR="00B91E1B" w:rsidRPr="003715B5">
        <w:rPr>
          <w:rFonts w:ascii="Calibri" w:hAnsi="Calibri"/>
          <w:sz w:val="22"/>
          <w:szCs w:val="22"/>
          <w:lang w:val="fr-FR"/>
        </w:rPr>
        <w:t>nt</w:t>
      </w:r>
      <w:r w:rsidRPr="003715B5">
        <w:rPr>
          <w:rFonts w:ascii="Calibri" w:hAnsi="Calibri"/>
          <w:sz w:val="22"/>
          <w:szCs w:val="22"/>
          <w:lang w:val="fr-FR"/>
        </w:rPr>
        <w:t xml:space="preserve"> des décisions </w:t>
      </w:r>
      <w:r w:rsidR="00E33BB2" w:rsidRPr="003715B5">
        <w:rPr>
          <w:rFonts w:ascii="Calibri" w:hAnsi="Calibri"/>
          <w:sz w:val="22"/>
          <w:szCs w:val="22"/>
          <w:lang w:val="fr-FR"/>
        </w:rPr>
        <w:t xml:space="preserve">malheureuses </w:t>
      </w:r>
      <w:r w:rsidR="009C1B16" w:rsidRPr="003715B5">
        <w:rPr>
          <w:rFonts w:ascii="Calibri" w:hAnsi="Calibri"/>
          <w:sz w:val="22"/>
          <w:szCs w:val="22"/>
          <w:lang w:val="fr-FR"/>
        </w:rPr>
        <w:t xml:space="preserve">en matière de </w:t>
      </w:r>
      <w:r w:rsidRPr="003715B5">
        <w:rPr>
          <w:rFonts w:ascii="Calibri" w:hAnsi="Calibri"/>
          <w:sz w:val="22"/>
          <w:szCs w:val="22"/>
          <w:lang w:val="fr-FR"/>
        </w:rPr>
        <w:t>développement et d’investisse</w:t>
      </w:r>
      <w:r w:rsidR="009C1B16" w:rsidRPr="003715B5">
        <w:rPr>
          <w:rFonts w:ascii="Calibri" w:hAnsi="Calibri"/>
          <w:sz w:val="22"/>
          <w:szCs w:val="22"/>
          <w:lang w:val="fr-FR"/>
        </w:rPr>
        <w:t xml:space="preserve">ment. Les gouvernements et les </w:t>
      </w:r>
      <w:r w:rsidRPr="003715B5">
        <w:rPr>
          <w:rFonts w:ascii="Calibri" w:hAnsi="Calibri"/>
          <w:sz w:val="22"/>
          <w:szCs w:val="22"/>
          <w:lang w:val="fr-FR"/>
        </w:rPr>
        <w:t xml:space="preserve">investisseurs ne tiennent toujours pas entièrement compte des multiples services écosystémiques des zones humides, du coût de leur </w:t>
      </w:r>
      <w:r w:rsidR="00E33BB2" w:rsidRPr="003715B5">
        <w:rPr>
          <w:rFonts w:ascii="Calibri" w:hAnsi="Calibri"/>
          <w:sz w:val="22"/>
          <w:szCs w:val="22"/>
          <w:lang w:val="fr-FR"/>
        </w:rPr>
        <w:t>préservation comparé à des coûts plus élevés de res</w:t>
      </w:r>
      <w:r w:rsidR="009C1B16" w:rsidRPr="003715B5">
        <w:rPr>
          <w:rFonts w:ascii="Calibri" w:hAnsi="Calibri"/>
          <w:sz w:val="22"/>
          <w:szCs w:val="22"/>
          <w:lang w:val="fr-FR"/>
        </w:rPr>
        <w:t>tauration et de remise en état,</w:t>
      </w:r>
      <w:r w:rsidRPr="003715B5">
        <w:rPr>
          <w:rFonts w:ascii="Calibri" w:hAnsi="Calibri"/>
          <w:sz w:val="22"/>
          <w:szCs w:val="22"/>
          <w:lang w:val="fr-FR"/>
        </w:rPr>
        <w:t xml:space="preserve"> et de leu</w:t>
      </w:r>
      <w:r w:rsidR="009C1B16" w:rsidRPr="003715B5">
        <w:rPr>
          <w:rFonts w:ascii="Calibri" w:hAnsi="Calibri"/>
          <w:sz w:val="22"/>
          <w:szCs w:val="22"/>
          <w:lang w:val="fr-FR"/>
        </w:rPr>
        <w:t>rs avantages à long</w:t>
      </w:r>
      <w:r w:rsidRPr="003715B5">
        <w:rPr>
          <w:rFonts w:ascii="Calibri" w:hAnsi="Calibri"/>
          <w:sz w:val="22"/>
          <w:szCs w:val="22"/>
          <w:lang w:val="fr-FR"/>
        </w:rPr>
        <w:t xml:space="preserve"> </w:t>
      </w:r>
      <w:r w:rsidR="00E33BB2" w:rsidRPr="003715B5">
        <w:rPr>
          <w:rFonts w:ascii="Calibri" w:hAnsi="Calibri"/>
          <w:sz w:val="22"/>
          <w:szCs w:val="22"/>
          <w:lang w:val="fr-FR"/>
        </w:rPr>
        <w:t>terme pour notre bien-être. Face à ce constat,</w:t>
      </w:r>
      <w:r w:rsidRPr="003715B5">
        <w:rPr>
          <w:rFonts w:ascii="Calibri" w:hAnsi="Calibri"/>
          <w:sz w:val="22"/>
          <w:szCs w:val="22"/>
          <w:lang w:val="fr-FR"/>
        </w:rPr>
        <w:t xml:space="preserve"> </w:t>
      </w:r>
      <w:r w:rsidR="00E33BB2" w:rsidRPr="003715B5">
        <w:rPr>
          <w:rFonts w:ascii="Calibri" w:hAnsi="Calibri"/>
          <w:sz w:val="22"/>
          <w:szCs w:val="22"/>
          <w:lang w:val="fr-FR"/>
        </w:rPr>
        <w:t>seule une</w:t>
      </w:r>
      <w:r w:rsidRPr="003715B5">
        <w:rPr>
          <w:rFonts w:ascii="Calibri" w:hAnsi="Calibri"/>
          <w:sz w:val="22"/>
          <w:szCs w:val="22"/>
          <w:lang w:val="fr-FR"/>
        </w:rPr>
        <w:t xml:space="preserve"> solution</w:t>
      </w:r>
      <w:r w:rsidR="00E33BB2" w:rsidRPr="003715B5">
        <w:rPr>
          <w:rFonts w:ascii="Calibri" w:hAnsi="Calibri"/>
          <w:sz w:val="22"/>
          <w:szCs w:val="22"/>
          <w:lang w:val="fr-FR"/>
        </w:rPr>
        <w:t xml:space="preserve"> s’offre à nous </w:t>
      </w:r>
      <w:r w:rsidRPr="003715B5">
        <w:rPr>
          <w:rFonts w:ascii="Calibri" w:hAnsi="Calibri"/>
          <w:sz w:val="22"/>
          <w:szCs w:val="22"/>
          <w:lang w:val="fr-FR"/>
        </w:rPr>
        <w:t>pour surmonte</w:t>
      </w:r>
      <w:r w:rsidR="009C1B16" w:rsidRPr="003715B5">
        <w:rPr>
          <w:rFonts w:ascii="Calibri" w:hAnsi="Calibri"/>
          <w:sz w:val="22"/>
          <w:szCs w:val="22"/>
          <w:lang w:val="fr-FR"/>
        </w:rPr>
        <w:t xml:space="preserve">r nos contraintes actuelles et </w:t>
      </w:r>
      <w:r w:rsidRPr="003715B5">
        <w:rPr>
          <w:rFonts w:ascii="Calibri" w:hAnsi="Calibri"/>
          <w:sz w:val="22"/>
          <w:szCs w:val="22"/>
          <w:lang w:val="fr-FR"/>
        </w:rPr>
        <w:t xml:space="preserve">nos capacités limitées : collaborer avec d’autres secteurs de </w:t>
      </w:r>
      <w:r w:rsidR="00FB7F5D" w:rsidRPr="003715B5">
        <w:rPr>
          <w:rFonts w:ascii="Calibri" w:hAnsi="Calibri"/>
          <w:sz w:val="22"/>
          <w:szCs w:val="22"/>
          <w:lang w:val="fr-FR"/>
        </w:rPr>
        <w:t>l’</w:t>
      </w:r>
      <w:r w:rsidRPr="003715B5">
        <w:rPr>
          <w:rFonts w:ascii="Calibri" w:hAnsi="Calibri"/>
          <w:sz w:val="22"/>
          <w:szCs w:val="22"/>
          <w:lang w:val="fr-FR"/>
        </w:rPr>
        <w:t>administration</w:t>
      </w:r>
      <w:r w:rsidR="00FB7F5D" w:rsidRPr="003715B5">
        <w:rPr>
          <w:rFonts w:ascii="Calibri" w:hAnsi="Calibri"/>
          <w:sz w:val="22"/>
          <w:szCs w:val="22"/>
          <w:lang w:val="fr-FR"/>
        </w:rPr>
        <w:t xml:space="preserve"> et avec la société au sens large</w:t>
      </w:r>
      <w:r w:rsidRPr="003715B5">
        <w:rPr>
          <w:rFonts w:ascii="Calibri" w:hAnsi="Calibri"/>
          <w:sz w:val="22"/>
          <w:szCs w:val="22"/>
          <w:lang w:val="fr-FR"/>
        </w:rPr>
        <w:t xml:space="preserve">. </w:t>
      </w:r>
      <w:r w:rsidR="00FB7F5D" w:rsidRPr="003715B5">
        <w:rPr>
          <w:rFonts w:ascii="Calibri" w:hAnsi="Calibri"/>
          <w:sz w:val="22"/>
          <w:szCs w:val="22"/>
          <w:lang w:val="fr-FR"/>
        </w:rPr>
        <w:t>Le</w:t>
      </w:r>
      <w:r w:rsidRPr="003715B5">
        <w:rPr>
          <w:rFonts w:ascii="Calibri" w:hAnsi="Calibri"/>
          <w:sz w:val="22"/>
          <w:szCs w:val="22"/>
          <w:lang w:val="fr-FR"/>
        </w:rPr>
        <w:t xml:space="preserve"> secteur de la gestion de l’eau </w:t>
      </w:r>
      <w:r w:rsidR="00FB7F5D" w:rsidRPr="003715B5">
        <w:rPr>
          <w:rFonts w:ascii="Calibri" w:hAnsi="Calibri"/>
          <w:sz w:val="22"/>
          <w:szCs w:val="22"/>
          <w:lang w:val="fr-FR"/>
        </w:rPr>
        <w:t xml:space="preserve">est le premier concerné </w:t>
      </w:r>
      <w:r w:rsidRPr="003715B5">
        <w:rPr>
          <w:rFonts w:ascii="Calibri" w:hAnsi="Calibri"/>
          <w:sz w:val="22"/>
          <w:szCs w:val="22"/>
          <w:lang w:val="fr-FR"/>
        </w:rPr>
        <w:t xml:space="preserve">mais </w:t>
      </w:r>
      <w:r w:rsidR="00FB7F5D" w:rsidRPr="003715B5">
        <w:rPr>
          <w:rFonts w:ascii="Calibri" w:hAnsi="Calibri"/>
          <w:sz w:val="22"/>
          <w:szCs w:val="22"/>
          <w:lang w:val="fr-FR"/>
        </w:rPr>
        <w:t>il n’est pas le seul, notamment dans les domaines du développement rural</w:t>
      </w:r>
      <w:r w:rsidR="003F378D" w:rsidRPr="003715B5">
        <w:rPr>
          <w:rFonts w:ascii="Calibri" w:hAnsi="Calibri"/>
          <w:sz w:val="22"/>
          <w:szCs w:val="22"/>
          <w:lang w:val="fr-FR"/>
        </w:rPr>
        <w:t xml:space="preserve">, </w:t>
      </w:r>
      <w:r w:rsidR="00FB7F5D" w:rsidRPr="003715B5">
        <w:rPr>
          <w:rFonts w:ascii="Calibri" w:hAnsi="Calibri"/>
          <w:sz w:val="22"/>
          <w:szCs w:val="22"/>
          <w:lang w:val="fr-FR"/>
        </w:rPr>
        <w:t>de l’</w:t>
      </w:r>
      <w:r w:rsidR="003F378D" w:rsidRPr="003715B5">
        <w:rPr>
          <w:rFonts w:ascii="Calibri" w:hAnsi="Calibri"/>
          <w:sz w:val="22"/>
          <w:szCs w:val="22"/>
          <w:lang w:val="fr-FR"/>
        </w:rPr>
        <w:t>agriculture,</w:t>
      </w:r>
      <w:r w:rsidR="00FB7F5D" w:rsidRPr="003715B5">
        <w:rPr>
          <w:rFonts w:ascii="Calibri" w:hAnsi="Calibri"/>
          <w:sz w:val="22"/>
          <w:szCs w:val="22"/>
          <w:lang w:val="fr-FR"/>
        </w:rPr>
        <w:t xml:space="preserve"> de l’utilisation des</w:t>
      </w:r>
      <w:r w:rsidR="003F378D" w:rsidRPr="003715B5">
        <w:rPr>
          <w:rFonts w:ascii="Calibri" w:hAnsi="Calibri"/>
          <w:sz w:val="22"/>
          <w:szCs w:val="22"/>
          <w:lang w:val="fr-FR"/>
        </w:rPr>
        <w:t xml:space="preserve"> res</w:t>
      </w:r>
      <w:r w:rsidR="00FB7F5D" w:rsidRPr="003715B5">
        <w:rPr>
          <w:rFonts w:ascii="Calibri" w:hAnsi="Calibri"/>
          <w:sz w:val="22"/>
          <w:szCs w:val="22"/>
          <w:lang w:val="fr-FR"/>
        </w:rPr>
        <w:t>s</w:t>
      </w:r>
      <w:r w:rsidR="003F378D" w:rsidRPr="003715B5">
        <w:rPr>
          <w:rFonts w:ascii="Calibri" w:hAnsi="Calibri"/>
          <w:sz w:val="22"/>
          <w:szCs w:val="22"/>
          <w:lang w:val="fr-FR"/>
        </w:rPr>
        <w:t>ource</w:t>
      </w:r>
      <w:r w:rsidR="00FB7F5D" w:rsidRPr="003715B5">
        <w:rPr>
          <w:rFonts w:ascii="Calibri" w:hAnsi="Calibri"/>
          <w:sz w:val="22"/>
          <w:szCs w:val="22"/>
          <w:lang w:val="fr-FR"/>
        </w:rPr>
        <w:t>s</w:t>
      </w:r>
      <w:r w:rsidR="003F378D" w:rsidRPr="003715B5">
        <w:rPr>
          <w:rFonts w:ascii="Calibri" w:hAnsi="Calibri"/>
          <w:sz w:val="22"/>
          <w:szCs w:val="22"/>
          <w:lang w:val="fr-FR"/>
        </w:rPr>
        <w:t xml:space="preserve"> </w:t>
      </w:r>
      <w:r w:rsidR="00FB7F5D" w:rsidRPr="003715B5">
        <w:rPr>
          <w:rFonts w:ascii="Calibri" w:hAnsi="Calibri"/>
          <w:sz w:val="22"/>
          <w:szCs w:val="22"/>
          <w:lang w:val="fr-FR"/>
        </w:rPr>
        <w:t>et de l’aménagement du territoire</w:t>
      </w:r>
      <w:r w:rsidR="003F378D" w:rsidRPr="003715B5">
        <w:rPr>
          <w:rFonts w:ascii="Calibri" w:hAnsi="Calibri"/>
          <w:sz w:val="22"/>
          <w:szCs w:val="22"/>
          <w:lang w:val="fr-FR"/>
        </w:rPr>
        <w:t>.</w:t>
      </w:r>
    </w:p>
    <w:p w:rsidR="00EC263F" w:rsidRPr="003715B5" w:rsidRDefault="00EC263F" w:rsidP="00EC263F">
      <w:pPr>
        <w:pStyle w:val="ListParagraph"/>
        <w:rPr>
          <w:rFonts w:ascii="Calibri" w:hAnsi="Calibri"/>
          <w:lang w:val="fr-FR"/>
        </w:rPr>
      </w:pPr>
    </w:p>
    <w:p w:rsidR="0001533C" w:rsidRPr="003715B5" w:rsidRDefault="00FB7F5D" w:rsidP="00E41376">
      <w:pPr>
        <w:pStyle w:val="BodyText"/>
        <w:numPr>
          <w:ilvl w:val="0"/>
          <w:numId w:val="7"/>
        </w:numPr>
        <w:ind w:left="426" w:hanging="426"/>
        <w:rPr>
          <w:rFonts w:ascii="Calibri" w:hAnsi="Calibri"/>
          <w:sz w:val="22"/>
          <w:szCs w:val="22"/>
          <w:lang w:val="fr-FR"/>
        </w:rPr>
      </w:pPr>
      <w:r w:rsidRPr="003715B5">
        <w:rPr>
          <w:rFonts w:ascii="Calibri" w:hAnsi="Calibri"/>
          <w:sz w:val="22"/>
          <w:szCs w:val="22"/>
          <w:lang w:val="fr-FR"/>
        </w:rPr>
        <w:t xml:space="preserve">Quarante-quatre ans après </w:t>
      </w:r>
      <w:r w:rsidR="00EC263F" w:rsidRPr="003715B5">
        <w:rPr>
          <w:rFonts w:ascii="Calibri" w:hAnsi="Calibri"/>
          <w:sz w:val="22"/>
          <w:szCs w:val="22"/>
          <w:lang w:val="fr-FR"/>
        </w:rPr>
        <w:t>la réunion de 18 </w:t>
      </w:r>
      <w:r w:rsidRPr="003715B5">
        <w:rPr>
          <w:rFonts w:ascii="Calibri" w:hAnsi="Calibri"/>
          <w:sz w:val="22"/>
          <w:szCs w:val="22"/>
          <w:lang w:val="fr-FR"/>
        </w:rPr>
        <w:t>États pi</w:t>
      </w:r>
      <w:r w:rsidR="00B957DF" w:rsidRPr="003715B5">
        <w:rPr>
          <w:rFonts w:ascii="Calibri" w:hAnsi="Calibri"/>
          <w:sz w:val="22"/>
          <w:szCs w:val="22"/>
          <w:lang w:val="fr-FR"/>
        </w:rPr>
        <w:t>onniers dans la v</w:t>
      </w:r>
      <w:r w:rsidRPr="003715B5">
        <w:rPr>
          <w:rFonts w:ascii="Calibri" w:hAnsi="Calibri"/>
          <w:sz w:val="22"/>
          <w:szCs w:val="22"/>
          <w:lang w:val="fr-FR"/>
        </w:rPr>
        <w:t xml:space="preserve">ille de Ramsar, l’heure est venue de </w:t>
      </w:r>
      <w:r w:rsidR="00EC263F" w:rsidRPr="003715B5">
        <w:rPr>
          <w:rFonts w:ascii="Calibri" w:hAnsi="Calibri"/>
          <w:sz w:val="22"/>
          <w:szCs w:val="22"/>
          <w:lang w:val="fr-FR"/>
        </w:rPr>
        <w:t xml:space="preserve">faire en sorte que nos collègues et l’ensemble de la société prennent conscience des valeurs et des services que fournissent les différents types de zones humides, </w:t>
      </w:r>
      <w:r w:rsidRPr="003715B5">
        <w:rPr>
          <w:rFonts w:ascii="Calibri" w:hAnsi="Calibri"/>
          <w:sz w:val="22"/>
          <w:szCs w:val="22"/>
          <w:lang w:val="fr-FR"/>
        </w:rPr>
        <w:t>compre</w:t>
      </w:r>
      <w:r w:rsidR="00EC263F" w:rsidRPr="003715B5">
        <w:rPr>
          <w:rFonts w:ascii="Calibri" w:hAnsi="Calibri"/>
          <w:sz w:val="22"/>
          <w:szCs w:val="22"/>
          <w:lang w:val="fr-FR"/>
        </w:rPr>
        <w:t>nnent</w:t>
      </w:r>
      <w:r w:rsidRPr="003715B5">
        <w:rPr>
          <w:rFonts w:ascii="Calibri" w:hAnsi="Calibri"/>
          <w:sz w:val="22"/>
          <w:szCs w:val="22"/>
          <w:lang w:val="fr-FR"/>
        </w:rPr>
        <w:t xml:space="preserve"> les interactions culturelles et socio-économiques à l’œuvre dans</w:t>
      </w:r>
      <w:r w:rsidR="00EC263F" w:rsidRPr="003715B5">
        <w:rPr>
          <w:rFonts w:ascii="Calibri" w:hAnsi="Calibri"/>
          <w:sz w:val="22"/>
          <w:szCs w:val="22"/>
          <w:lang w:val="fr-FR"/>
        </w:rPr>
        <w:t xml:space="preserve"> les bassins versants et trouvent</w:t>
      </w:r>
      <w:r w:rsidRPr="003715B5">
        <w:rPr>
          <w:rFonts w:ascii="Calibri" w:hAnsi="Calibri"/>
          <w:sz w:val="22"/>
          <w:szCs w:val="22"/>
          <w:lang w:val="fr-FR"/>
        </w:rPr>
        <w:t xml:space="preserve"> des solutions durables </w:t>
      </w:r>
      <w:r w:rsidR="00EC263F" w:rsidRPr="003715B5">
        <w:rPr>
          <w:rFonts w:ascii="Calibri" w:hAnsi="Calibri"/>
          <w:sz w:val="22"/>
          <w:szCs w:val="22"/>
          <w:lang w:val="fr-FR"/>
        </w:rPr>
        <w:t>concernant l’utilisation des ressources naturelles sous toutes ses formes.</w:t>
      </w:r>
    </w:p>
    <w:p w:rsidR="00EC263F" w:rsidRPr="003715B5" w:rsidRDefault="00EC263F" w:rsidP="00E41376">
      <w:pPr>
        <w:rPr>
          <w:lang w:val="fr-FR"/>
        </w:rPr>
      </w:pPr>
    </w:p>
    <w:p w:rsidR="003E12A5" w:rsidRDefault="003E12A5">
      <w:pPr>
        <w:rPr>
          <w:rFonts w:eastAsia="Garamond"/>
          <w:b/>
          <w:bCs/>
          <w:sz w:val="24"/>
          <w:szCs w:val="24"/>
          <w:lang w:val="fr-FR"/>
        </w:rPr>
      </w:pPr>
      <w:r>
        <w:rPr>
          <w:sz w:val="24"/>
          <w:szCs w:val="24"/>
          <w:lang w:val="fr-FR"/>
        </w:rPr>
        <w:br w:type="page"/>
      </w:r>
    </w:p>
    <w:p w:rsidR="0001533C" w:rsidRPr="003715B5" w:rsidRDefault="003A57EA" w:rsidP="00E41376">
      <w:pPr>
        <w:pStyle w:val="Heading1"/>
        <w:ind w:left="0"/>
        <w:rPr>
          <w:rFonts w:asciiTheme="minorHAnsi" w:hAnsiTheme="minorHAnsi"/>
          <w:b w:val="0"/>
          <w:bCs w:val="0"/>
          <w:sz w:val="24"/>
          <w:szCs w:val="24"/>
          <w:lang w:val="fr-FR"/>
        </w:rPr>
      </w:pPr>
      <w:r w:rsidRPr="003715B5">
        <w:rPr>
          <w:rFonts w:asciiTheme="minorHAnsi" w:hAnsiTheme="minorHAnsi"/>
          <w:sz w:val="24"/>
          <w:szCs w:val="24"/>
          <w:lang w:val="fr-FR"/>
        </w:rPr>
        <w:lastRenderedPageBreak/>
        <w:t>Principales réalisations depuis 2012 et priorités pour la période</w:t>
      </w:r>
      <w:r w:rsidR="00F34B8B" w:rsidRPr="003715B5">
        <w:rPr>
          <w:rFonts w:asciiTheme="minorHAnsi" w:hAnsiTheme="minorHAnsi"/>
          <w:sz w:val="24"/>
          <w:szCs w:val="24"/>
          <w:lang w:val="fr-FR"/>
        </w:rPr>
        <w:t> </w:t>
      </w:r>
      <w:r w:rsidR="00CD18BE" w:rsidRPr="003715B5">
        <w:rPr>
          <w:rFonts w:asciiTheme="minorHAnsi" w:hAnsiTheme="minorHAnsi"/>
          <w:sz w:val="24"/>
          <w:szCs w:val="24"/>
          <w:lang w:val="fr-FR"/>
        </w:rPr>
        <w:t>2016-2018</w:t>
      </w:r>
    </w:p>
    <w:p w:rsidR="0001533C" w:rsidRPr="003715B5" w:rsidRDefault="0001533C" w:rsidP="00E41376">
      <w:pPr>
        <w:rPr>
          <w:rFonts w:eastAsia="Garamond" w:cs="Garamond"/>
          <w:b/>
          <w:bCs/>
          <w:lang w:val="fr-FR"/>
        </w:rPr>
      </w:pPr>
    </w:p>
    <w:p w:rsidR="0001533C" w:rsidRPr="003715B5" w:rsidRDefault="003A57EA" w:rsidP="00E41376">
      <w:pPr>
        <w:pStyle w:val="BodyText"/>
        <w:numPr>
          <w:ilvl w:val="0"/>
          <w:numId w:val="7"/>
        </w:numPr>
        <w:ind w:left="426" w:hanging="426"/>
        <w:rPr>
          <w:rFonts w:asciiTheme="minorHAnsi" w:hAnsiTheme="minorHAnsi"/>
          <w:sz w:val="22"/>
          <w:szCs w:val="22"/>
          <w:lang w:val="fr-FR"/>
        </w:rPr>
      </w:pPr>
      <w:r w:rsidRPr="003715B5">
        <w:rPr>
          <w:rFonts w:asciiTheme="minorHAnsi" w:hAnsiTheme="minorHAnsi"/>
          <w:sz w:val="22"/>
          <w:szCs w:val="22"/>
          <w:lang w:val="fr-FR"/>
        </w:rPr>
        <w:t xml:space="preserve">En guise d’introduction à leurs Rapports nationaux 2014, les </w:t>
      </w:r>
      <w:r w:rsidR="00F34B8B" w:rsidRPr="003715B5">
        <w:rPr>
          <w:rFonts w:asciiTheme="minorHAnsi" w:hAnsiTheme="minorHAnsi"/>
          <w:sz w:val="22"/>
          <w:szCs w:val="22"/>
          <w:lang w:val="fr-FR"/>
        </w:rPr>
        <w:t>P</w:t>
      </w:r>
      <w:r w:rsidRPr="003715B5">
        <w:rPr>
          <w:rFonts w:asciiTheme="minorHAnsi" w:hAnsiTheme="minorHAnsi"/>
          <w:sz w:val="22"/>
          <w:szCs w:val="22"/>
          <w:lang w:val="fr-FR"/>
        </w:rPr>
        <w:t>arties européen</w:t>
      </w:r>
      <w:r w:rsidR="00F34B8B" w:rsidRPr="003715B5">
        <w:rPr>
          <w:rFonts w:asciiTheme="minorHAnsi" w:hAnsiTheme="minorHAnsi"/>
          <w:sz w:val="22"/>
          <w:szCs w:val="22"/>
          <w:lang w:val="fr-FR"/>
        </w:rPr>
        <w:t>ne</w:t>
      </w:r>
      <w:r w:rsidRPr="003715B5">
        <w:rPr>
          <w:rFonts w:asciiTheme="minorHAnsi" w:hAnsiTheme="minorHAnsi"/>
          <w:sz w:val="22"/>
          <w:szCs w:val="22"/>
          <w:lang w:val="fr-FR"/>
        </w:rPr>
        <w:t xml:space="preserve">s ont fourni </w:t>
      </w:r>
      <w:r w:rsidR="008639BF" w:rsidRPr="003715B5">
        <w:rPr>
          <w:rFonts w:asciiTheme="minorHAnsi" w:hAnsiTheme="minorHAnsi"/>
          <w:sz w:val="22"/>
          <w:szCs w:val="22"/>
          <w:lang w:val="fr-FR"/>
        </w:rPr>
        <w:t>un résumé global des progrès accomplis et des difficultés rencontrées dans l’application de la Convention sur la période </w:t>
      </w:r>
      <w:r w:rsidR="00CD18BE" w:rsidRPr="003715B5">
        <w:rPr>
          <w:rFonts w:asciiTheme="minorHAnsi" w:hAnsiTheme="minorHAnsi"/>
          <w:sz w:val="22"/>
          <w:szCs w:val="22"/>
          <w:lang w:val="fr-FR"/>
        </w:rPr>
        <w:t>2012-2014</w:t>
      </w:r>
      <w:r w:rsidR="00FF73FE" w:rsidRPr="003715B5">
        <w:rPr>
          <w:rFonts w:asciiTheme="minorHAnsi" w:hAnsiTheme="minorHAnsi"/>
          <w:sz w:val="22"/>
          <w:szCs w:val="22"/>
          <w:lang w:val="fr-FR"/>
        </w:rPr>
        <w:t>.</w:t>
      </w:r>
      <w:r w:rsidR="008639BF" w:rsidRPr="003715B5">
        <w:rPr>
          <w:rFonts w:asciiTheme="minorHAnsi" w:hAnsiTheme="minorHAnsi"/>
          <w:sz w:val="22"/>
          <w:szCs w:val="22"/>
          <w:lang w:val="fr-FR"/>
        </w:rPr>
        <w:t xml:space="preserve"> Les principaux points à retenir sont résumés selon les questions spécifiques A à </w:t>
      </w:r>
      <w:r w:rsidR="0089550F" w:rsidRPr="003715B5">
        <w:rPr>
          <w:rFonts w:asciiTheme="minorHAnsi" w:hAnsiTheme="minorHAnsi"/>
          <w:sz w:val="22"/>
          <w:szCs w:val="22"/>
          <w:lang w:val="fr-FR"/>
        </w:rPr>
        <w:t>H</w:t>
      </w:r>
      <w:r w:rsidR="008639BF" w:rsidRPr="003715B5">
        <w:rPr>
          <w:rFonts w:asciiTheme="minorHAnsi" w:hAnsiTheme="minorHAnsi"/>
          <w:sz w:val="22"/>
          <w:szCs w:val="22"/>
          <w:lang w:val="fr-FR"/>
        </w:rPr>
        <w:t xml:space="preserve"> suivantes </w:t>
      </w:r>
      <w:r w:rsidR="00FF73FE" w:rsidRPr="003715B5">
        <w:rPr>
          <w:rFonts w:asciiTheme="minorHAnsi" w:hAnsiTheme="minorHAnsi"/>
          <w:sz w:val="22"/>
          <w:szCs w:val="22"/>
          <w:lang w:val="fr-FR"/>
        </w:rPr>
        <w:t>:</w:t>
      </w:r>
    </w:p>
    <w:p w:rsidR="0001533C" w:rsidRPr="003715B5" w:rsidRDefault="0001533C" w:rsidP="00E41376">
      <w:pPr>
        <w:rPr>
          <w:rFonts w:eastAsia="Garamond" w:cs="Garamond"/>
          <w:lang w:val="fr-FR"/>
        </w:rPr>
      </w:pPr>
    </w:p>
    <w:p w:rsidR="0001533C" w:rsidRPr="003715B5" w:rsidRDefault="008639BF" w:rsidP="00E41376">
      <w:pPr>
        <w:pStyle w:val="Heading2"/>
        <w:ind w:left="0"/>
        <w:rPr>
          <w:rFonts w:asciiTheme="minorHAnsi" w:hAnsiTheme="minorHAnsi" w:cs="Garamond"/>
          <w:b w:val="0"/>
          <w:bCs w:val="0"/>
          <w:sz w:val="22"/>
          <w:szCs w:val="22"/>
          <w:lang w:val="fr-FR"/>
        </w:rPr>
      </w:pPr>
      <w:r w:rsidRPr="003715B5">
        <w:rPr>
          <w:rFonts w:asciiTheme="minorHAnsi" w:hAnsiTheme="minorHAnsi"/>
          <w:sz w:val="22"/>
          <w:szCs w:val="22"/>
          <w:lang w:val="fr-FR"/>
        </w:rPr>
        <w:t xml:space="preserve">Principales réussites en ce qui concerne l’application de la </w:t>
      </w:r>
      <w:r w:rsidR="00FF73FE" w:rsidRPr="003715B5">
        <w:rPr>
          <w:rFonts w:asciiTheme="minorHAnsi" w:hAnsiTheme="minorHAnsi"/>
          <w:sz w:val="22"/>
          <w:szCs w:val="22"/>
          <w:lang w:val="fr-FR"/>
        </w:rPr>
        <w:t xml:space="preserve">Convention </w:t>
      </w:r>
      <w:r w:rsidR="00FF73FE" w:rsidRPr="003715B5">
        <w:rPr>
          <w:rFonts w:asciiTheme="minorHAnsi" w:hAnsiTheme="minorHAnsi"/>
          <w:b w:val="0"/>
          <w:sz w:val="22"/>
          <w:szCs w:val="22"/>
          <w:lang w:val="fr-FR"/>
        </w:rPr>
        <w:t>(A)</w:t>
      </w:r>
    </w:p>
    <w:p w:rsidR="0001533C" w:rsidRPr="003715B5" w:rsidRDefault="0001533C" w:rsidP="00E41376">
      <w:pPr>
        <w:rPr>
          <w:rFonts w:eastAsia="Garamond" w:cs="Garamond"/>
          <w:lang w:val="fr-FR"/>
        </w:rPr>
      </w:pPr>
    </w:p>
    <w:p w:rsidR="008A56DB" w:rsidRPr="003715B5" w:rsidRDefault="00DE1F6C" w:rsidP="008A56DB">
      <w:pPr>
        <w:pStyle w:val="BodyText"/>
        <w:numPr>
          <w:ilvl w:val="0"/>
          <w:numId w:val="7"/>
        </w:numPr>
        <w:ind w:left="426" w:hanging="426"/>
        <w:rPr>
          <w:rFonts w:asciiTheme="minorHAnsi" w:hAnsiTheme="minorHAnsi"/>
          <w:sz w:val="22"/>
          <w:szCs w:val="22"/>
          <w:lang w:val="fr-FR"/>
        </w:rPr>
      </w:pPr>
      <w:r w:rsidRPr="003715B5">
        <w:rPr>
          <w:rFonts w:asciiTheme="minorHAnsi" w:hAnsiTheme="minorHAnsi"/>
          <w:sz w:val="22"/>
          <w:szCs w:val="22"/>
          <w:lang w:val="fr-FR"/>
        </w:rPr>
        <w:t xml:space="preserve">Les </w:t>
      </w:r>
      <w:r w:rsidR="00FF73FE" w:rsidRPr="003715B5">
        <w:rPr>
          <w:rFonts w:asciiTheme="minorHAnsi" w:hAnsiTheme="minorHAnsi"/>
          <w:sz w:val="22"/>
          <w:szCs w:val="22"/>
          <w:lang w:val="fr-FR"/>
        </w:rPr>
        <w:t>Parties</w:t>
      </w:r>
      <w:r w:rsidRPr="003715B5">
        <w:rPr>
          <w:rFonts w:asciiTheme="minorHAnsi" w:hAnsiTheme="minorHAnsi"/>
          <w:sz w:val="22"/>
          <w:szCs w:val="22"/>
          <w:lang w:val="fr-FR"/>
        </w:rPr>
        <w:t xml:space="preserve"> ont le plus souvent mentionné :</w:t>
      </w:r>
    </w:p>
    <w:p w:rsidR="008A56DB" w:rsidRPr="003715B5" w:rsidRDefault="008A56DB" w:rsidP="008A56DB">
      <w:pPr>
        <w:pStyle w:val="BodyText"/>
        <w:numPr>
          <w:ilvl w:val="0"/>
          <w:numId w:val="19"/>
        </w:numPr>
        <w:ind w:left="851" w:hanging="425"/>
        <w:rPr>
          <w:rFonts w:asciiTheme="minorHAnsi" w:hAnsiTheme="minorHAnsi"/>
          <w:sz w:val="22"/>
          <w:szCs w:val="22"/>
          <w:lang w:val="fr-FR"/>
        </w:rPr>
      </w:pPr>
      <w:r w:rsidRPr="003715B5">
        <w:rPr>
          <w:rFonts w:asciiTheme="minorHAnsi" w:hAnsiTheme="minorHAnsi"/>
          <w:sz w:val="22"/>
          <w:szCs w:val="22"/>
          <w:lang w:val="fr-FR"/>
        </w:rPr>
        <w:t>les mesures prises pour élaborer des plans de gestion relatifs aux Sites Ramsar et la mise en œuvre de leurs dispositions;</w:t>
      </w:r>
    </w:p>
    <w:p w:rsidR="008A56DB" w:rsidRPr="003715B5" w:rsidRDefault="008A56DB" w:rsidP="008A56DB">
      <w:pPr>
        <w:pStyle w:val="BodyText"/>
        <w:numPr>
          <w:ilvl w:val="0"/>
          <w:numId w:val="19"/>
        </w:numPr>
        <w:ind w:left="851" w:hanging="425"/>
        <w:rPr>
          <w:rFonts w:asciiTheme="minorHAnsi" w:hAnsiTheme="minorHAnsi"/>
          <w:sz w:val="22"/>
          <w:szCs w:val="22"/>
          <w:lang w:val="fr-FR"/>
        </w:rPr>
      </w:pPr>
      <w:r w:rsidRPr="003715B5">
        <w:rPr>
          <w:rFonts w:asciiTheme="minorHAnsi" w:hAnsiTheme="minorHAnsi"/>
          <w:sz w:val="22"/>
          <w:szCs w:val="22"/>
          <w:lang w:val="fr-FR"/>
        </w:rPr>
        <w:t>la préparation et l’inscription de nouveaux Sites Ramsar (et les synergies avec le réseau de l’UE de</w:t>
      </w:r>
      <w:r w:rsidR="004006DA">
        <w:rPr>
          <w:rFonts w:asciiTheme="minorHAnsi" w:hAnsiTheme="minorHAnsi"/>
          <w:sz w:val="22"/>
          <w:szCs w:val="22"/>
          <w:lang w:val="fr-FR"/>
        </w:rPr>
        <w:t xml:space="preserve"> sites naturels protégés Natura </w:t>
      </w:r>
      <w:r w:rsidRPr="003715B5">
        <w:rPr>
          <w:rFonts w:asciiTheme="minorHAnsi" w:hAnsiTheme="minorHAnsi"/>
          <w:sz w:val="22"/>
          <w:szCs w:val="22"/>
          <w:lang w:val="fr-FR"/>
        </w:rPr>
        <w:t>2000);</w:t>
      </w:r>
    </w:p>
    <w:p w:rsidR="008A56DB" w:rsidRPr="003715B5" w:rsidRDefault="008A56DB" w:rsidP="008A56DB">
      <w:pPr>
        <w:pStyle w:val="BodyText"/>
        <w:numPr>
          <w:ilvl w:val="0"/>
          <w:numId w:val="19"/>
        </w:numPr>
        <w:ind w:left="851" w:hanging="425"/>
        <w:rPr>
          <w:rFonts w:asciiTheme="minorHAnsi" w:hAnsiTheme="minorHAnsi"/>
          <w:sz w:val="22"/>
          <w:szCs w:val="22"/>
          <w:lang w:val="fr-FR"/>
        </w:rPr>
      </w:pPr>
      <w:r w:rsidRPr="003715B5">
        <w:rPr>
          <w:rFonts w:asciiTheme="minorHAnsi" w:hAnsiTheme="minorHAnsi"/>
          <w:sz w:val="22"/>
          <w:szCs w:val="22"/>
          <w:lang w:val="fr-FR"/>
        </w:rPr>
        <w:t>les activités de communication, d’éducation et de sensibilisation (y compris la Journée mondiale des zones humides);</w:t>
      </w:r>
    </w:p>
    <w:p w:rsidR="008A56DB" w:rsidRPr="003715B5" w:rsidRDefault="008A56DB" w:rsidP="008A56DB">
      <w:pPr>
        <w:pStyle w:val="BodyText"/>
        <w:numPr>
          <w:ilvl w:val="0"/>
          <w:numId w:val="19"/>
        </w:numPr>
        <w:ind w:left="851" w:hanging="425"/>
        <w:rPr>
          <w:rFonts w:asciiTheme="minorHAnsi" w:hAnsiTheme="minorHAnsi"/>
          <w:sz w:val="22"/>
          <w:szCs w:val="22"/>
          <w:lang w:val="fr-FR"/>
        </w:rPr>
      </w:pPr>
      <w:r w:rsidRPr="003715B5">
        <w:rPr>
          <w:rFonts w:asciiTheme="minorHAnsi" w:hAnsiTheme="minorHAnsi"/>
          <w:sz w:val="22"/>
          <w:szCs w:val="22"/>
          <w:lang w:val="fr-FR"/>
        </w:rPr>
        <w:t>les projets réussis de restauration de zones humides;</w:t>
      </w:r>
    </w:p>
    <w:p w:rsidR="008A56DB" w:rsidRPr="003715B5" w:rsidRDefault="008A56DB" w:rsidP="008A56DB">
      <w:pPr>
        <w:pStyle w:val="BodyText"/>
        <w:numPr>
          <w:ilvl w:val="0"/>
          <w:numId w:val="19"/>
        </w:numPr>
        <w:ind w:left="851" w:hanging="425"/>
        <w:rPr>
          <w:rFonts w:asciiTheme="minorHAnsi" w:hAnsiTheme="minorHAnsi"/>
          <w:sz w:val="22"/>
          <w:szCs w:val="22"/>
          <w:lang w:val="fr-FR"/>
        </w:rPr>
      </w:pPr>
      <w:r w:rsidRPr="003715B5">
        <w:rPr>
          <w:rFonts w:asciiTheme="minorHAnsi" w:hAnsiTheme="minorHAnsi"/>
          <w:sz w:val="22"/>
          <w:szCs w:val="22"/>
          <w:lang w:val="fr-FR"/>
        </w:rPr>
        <w:t>l’élaboration de politiques nationales en faveur de la conservation, de la biodiversité et des zones humides (y compris les Stratégies et Plans d’action nationaux pour la biodiversité);</w:t>
      </w:r>
    </w:p>
    <w:p w:rsidR="008A56DB" w:rsidRPr="003715B5" w:rsidRDefault="008A56DB" w:rsidP="008A56DB">
      <w:pPr>
        <w:pStyle w:val="BodyText"/>
        <w:numPr>
          <w:ilvl w:val="0"/>
          <w:numId w:val="19"/>
        </w:numPr>
        <w:ind w:left="851" w:hanging="425"/>
        <w:rPr>
          <w:rFonts w:asciiTheme="minorHAnsi" w:hAnsiTheme="minorHAnsi"/>
          <w:sz w:val="22"/>
          <w:szCs w:val="22"/>
          <w:lang w:val="fr-FR"/>
        </w:rPr>
      </w:pPr>
      <w:r w:rsidRPr="003715B5">
        <w:rPr>
          <w:rFonts w:asciiTheme="minorHAnsi" w:hAnsiTheme="minorHAnsi"/>
          <w:sz w:val="22"/>
          <w:szCs w:val="22"/>
          <w:lang w:val="fr-FR"/>
        </w:rPr>
        <w:t>les activités de suivi et d’inventaire des zones humides;</w:t>
      </w:r>
    </w:p>
    <w:p w:rsidR="008A56DB" w:rsidRPr="003715B5" w:rsidRDefault="008A56DB" w:rsidP="008A56DB">
      <w:pPr>
        <w:pStyle w:val="BodyText"/>
        <w:numPr>
          <w:ilvl w:val="0"/>
          <w:numId w:val="19"/>
        </w:numPr>
        <w:ind w:left="851" w:hanging="425"/>
        <w:rPr>
          <w:rFonts w:asciiTheme="minorHAnsi" w:hAnsiTheme="minorHAnsi"/>
          <w:sz w:val="22"/>
          <w:szCs w:val="22"/>
          <w:lang w:val="fr-FR"/>
        </w:rPr>
      </w:pPr>
      <w:r w:rsidRPr="003715B5">
        <w:rPr>
          <w:rFonts w:asciiTheme="minorHAnsi" w:hAnsiTheme="minorHAnsi"/>
          <w:sz w:val="22"/>
          <w:szCs w:val="22"/>
          <w:lang w:val="fr-FR"/>
        </w:rPr>
        <w:t>les travaux liés aux politiques relatives à l’eau et à la gestion des bassins versants (y compris la Directive-cadre sur l’eau de l’UE).</w:t>
      </w:r>
    </w:p>
    <w:p w:rsidR="008A56DB" w:rsidRPr="003715B5" w:rsidRDefault="008A56DB" w:rsidP="008A56DB">
      <w:pPr>
        <w:pStyle w:val="Heading2"/>
        <w:ind w:left="0"/>
        <w:rPr>
          <w:rFonts w:asciiTheme="minorHAnsi" w:hAnsiTheme="minorHAnsi"/>
          <w:sz w:val="22"/>
          <w:szCs w:val="22"/>
          <w:lang w:val="fr-FR"/>
        </w:rPr>
      </w:pPr>
    </w:p>
    <w:p w:rsidR="008A56DB" w:rsidRPr="003715B5" w:rsidRDefault="008A56DB" w:rsidP="008A56DB">
      <w:pPr>
        <w:pStyle w:val="Heading2"/>
        <w:ind w:left="0"/>
        <w:rPr>
          <w:rFonts w:asciiTheme="minorHAnsi" w:hAnsiTheme="minorHAnsi"/>
          <w:b w:val="0"/>
          <w:sz w:val="22"/>
          <w:szCs w:val="22"/>
          <w:lang w:val="fr-FR"/>
        </w:rPr>
      </w:pPr>
      <w:r w:rsidRPr="003715B5">
        <w:rPr>
          <w:rFonts w:asciiTheme="minorHAnsi" w:hAnsiTheme="minorHAnsi"/>
          <w:sz w:val="22"/>
          <w:szCs w:val="22"/>
          <w:lang w:val="fr-FR"/>
        </w:rPr>
        <w:t xml:space="preserve">Principales difficultés rencontrées dans l’application de la Convention </w:t>
      </w:r>
      <w:r w:rsidRPr="003715B5">
        <w:rPr>
          <w:rFonts w:asciiTheme="minorHAnsi" w:hAnsiTheme="minorHAnsi"/>
          <w:b w:val="0"/>
          <w:sz w:val="22"/>
          <w:szCs w:val="22"/>
          <w:lang w:val="fr-FR"/>
        </w:rPr>
        <w:t>(B)</w:t>
      </w:r>
    </w:p>
    <w:p w:rsidR="008A56DB" w:rsidRPr="003715B5" w:rsidRDefault="008A56DB" w:rsidP="008A56DB">
      <w:pPr>
        <w:pStyle w:val="BodyText"/>
        <w:ind w:left="0" w:firstLine="0"/>
        <w:rPr>
          <w:rFonts w:asciiTheme="minorHAnsi" w:hAnsiTheme="minorHAnsi"/>
          <w:sz w:val="22"/>
          <w:szCs w:val="22"/>
          <w:lang w:val="fr-FR"/>
        </w:rPr>
      </w:pPr>
    </w:p>
    <w:p w:rsidR="0001533C" w:rsidRPr="003715B5" w:rsidRDefault="00B54E41" w:rsidP="00245356">
      <w:pPr>
        <w:pStyle w:val="BodyText"/>
        <w:numPr>
          <w:ilvl w:val="0"/>
          <w:numId w:val="7"/>
        </w:numPr>
        <w:ind w:left="426" w:hanging="426"/>
        <w:rPr>
          <w:rFonts w:asciiTheme="minorHAnsi" w:hAnsiTheme="minorHAnsi"/>
          <w:sz w:val="22"/>
          <w:szCs w:val="22"/>
          <w:lang w:val="fr-FR"/>
        </w:rPr>
      </w:pPr>
      <w:r w:rsidRPr="003715B5">
        <w:rPr>
          <w:rFonts w:asciiTheme="minorHAnsi" w:hAnsiTheme="minorHAnsi"/>
          <w:sz w:val="22"/>
          <w:szCs w:val="22"/>
          <w:lang w:val="fr-FR"/>
        </w:rPr>
        <w:t>Les capacités limitées sur le plan administratif</w:t>
      </w:r>
      <w:r w:rsidR="007A4BBC" w:rsidRPr="003715B5">
        <w:rPr>
          <w:rFonts w:asciiTheme="minorHAnsi" w:hAnsiTheme="minorHAnsi"/>
          <w:sz w:val="22"/>
          <w:szCs w:val="22"/>
          <w:lang w:val="fr-FR"/>
        </w:rPr>
        <w:t>,</w:t>
      </w:r>
      <w:r w:rsidRPr="003715B5">
        <w:rPr>
          <w:rFonts w:asciiTheme="minorHAnsi" w:hAnsiTheme="minorHAnsi"/>
          <w:sz w:val="22"/>
          <w:szCs w:val="22"/>
          <w:lang w:val="fr-FR"/>
        </w:rPr>
        <w:t xml:space="preserve"> du fait de ressources financières et humaines insuffisantes</w:t>
      </w:r>
      <w:r w:rsidR="007A4BBC" w:rsidRPr="003715B5">
        <w:rPr>
          <w:rFonts w:asciiTheme="minorHAnsi" w:hAnsiTheme="minorHAnsi"/>
          <w:sz w:val="22"/>
          <w:szCs w:val="22"/>
          <w:lang w:val="fr-FR"/>
        </w:rPr>
        <w:t>,</w:t>
      </w:r>
      <w:r w:rsidRPr="003715B5">
        <w:rPr>
          <w:rFonts w:asciiTheme="minorHAnsi" w:hAnsiTheme="minorHAnsi"/>
          <w:sz w:val="22"/>
          <w:szCs w:val="22"/>
          <w:lang w:val="fr-FR"/>
        </w:rPr>
        <w:t xml:space="preserve"> sont la principale difficulté évoquée. </w:t>
      </w:r>
      <w:r w:rsidR="009D7FCF" w:rsidRPr="003715B5">
        <w:rPr>
          <w:rFonts w:asciiTheme="minorHAnsi" w:hAnsiTheme="minorHAnsi"/>
          <w:sz w:val="22"/>
          <w:szCs w:val="22"/>
          <w:lang w:val="fr-FR"/>
        </w:rPr>
        <w:t>Faire avancer la conservation des écosystèmes de zones humides sur le terrain est difficile car le processus doit se fonder sur des consultations intersectorielles qui demandent du temps. Des intérêts agricoles, urbains et de propriétaires de terres entravent la réalisation des objectifs Ramsar. Pour obtenir davantage de résultats, la Convention doit élaborer des directives plus claires et plus strictes, des règles sur l’inventaire, le suivi et la gestion des zones humides</w:t>
      </w:r>
      <w:r w:rsidR="00B144DF" w:rsidRPr="003715B5">
        <w:rPr>
          <w:rFonts w:asciiTheme="minorHAnsi" w:hAnsiTheme="minorHAnsi"/>
          <w:sz w:val="22"/>
          <w:szCs w:val="22"/>
          <w:lang w:val="fr-FR"/>
        </w:rPr>
        <w:t>, et des indications sur la façon de se conformer aux objectifs</w:t>
      </w:r>
      <w:r w:rsidR="00685B40" w:rsidRPr="003715B5">
        <w:rPr>
          <w:rFonts w:asciiTheme="minorHAnsi" w:hAnsiTheme="minorHAnsi"/>
          <w:sz w:val="22"/>
          <w:szCs w:val="22"/>
          <w:lang w:val="fr-FR"/>
        </w:rPr>
        <w:t xml:space="preserve"> Ramsar</w:t>
      </w:r>
      <w:r w:rsidR="00561347" w:rsidRPr="003715B5">
        <w:rPr>
          <w:rFonts w:asciiTheme="minorHAnsi" w:hAnsiTheme="minorHAnsi"/>
          <w:sz w:val="22"/>
          <w:szCs w:val="22"/>
          <w:lang w:val="fr-FR"/>
        </w:rPr>
        <w:t>.</w:t>
      </w:r>
      <w:r w:rsidR="00B144DF" w:rsidRPr="003715B5">
        <w:rPr>
          <w:rFonts w:asciiTheme="minorHAnsi" w:hAnsiTheme="minorHAnsi"/>
          <w:sz w:val="22"/>
          <w:szCs w:val="22"/>
          <w:lang w:val="fr-FR"/>
        </w:rPr>
        <w:t xml:space="preserve"> Actuellement, ceux-ci ne sont pas toujours bien compris. La communication doit également être renforcée pour accroître la sensibilis</w:t>
      </w:r>
      <w:r w:rsidR="009C1B16" w:rsidRPr="003715B5">
        <w:rPr>
          <w:rFonts w:asciiTheme="minorHAnsi" w:hAnsiTheme="minorHAnsi"/>
          <w:sz w:val="22"/>
          <w:szCs w:val="22"/>
          <w:lang w:val="fr-FR"/>
        </w:rPr>
        <w:t>ation du grand public.</w:t>
      </w:r>
      <w:r w:rsidR="00B144DF" w:rsidRPr="003715B5">
        <w:rPr>
          <w:rFonts w:asciiTheme="minorHAnsi" w:hAnsiTheme="minorHAnsi"/>
          <w:sz w:val="22"/>
          <w:szCs w:val="22"/>
          <w:lang w:val="fr-FR"/>
        </w:rPr>
        <w:t xml:space="preserve"> </w:t>
      </w:r>
      <w:r w:rsidR="00B144DF" w:rsidRPr="003715B5">
        <w:rPr>
          <w:rFonts w:asciiTheme="minorHAnsi" w:eastAsia="Times New Roman" w:hAnsiTheme="minorHAnsi" w:cs="Times New Roman"/>
          <w:sz w:val="22"/>
          <w:szCs w:val="22"/>
          <w:lang w:val="fr-FR" w:eastAsia="fr-FR"/>
        </w:rPr>
        <w:t xml:space="preserve">La lenteur des processus administratifs pour mettre en </w:t>
      </w:r>
      <w:r w:rsidR="00245356" w:rsidRPr="003715B5">
        <w:rPr>
          <w:rFonts w:asciiTheme="minorHAnsi" w:eastAsia="Times New Roman" w:hAnsiTheme="minorHAnsi" w:cs="Times New Roman"/>
          <w:sz w:val="22"/>
          <w:szCs w:val="22"/>
          <w:lang w:val="fr-FR" w:eastAsia="fr-FR"/>
        </w:rPr>
        <w:t>place</w:t>
      </w:r>
      <w:r w:rsidR="00B144DF" w:rsidRPr="003715B5">
        <w:rPr>
          <w:rFonts w:asciiTheme="minorHAnsi" w:eastAsia="Times New Roman" w:hAnsiTheme="minorHAnsi" w:cs="Times New Roman"/>
          <w:sz w:val="22"/>
          <w:szCs w:val="22"/>
          <w:lang w:val="fr-FR" w:eastAsia="fr-FR"/>
        </w:rPr>
        <w:t xml:space="preserve"> des politiques efficaces et le manque de coordination entre les autorités responsables des zones humides, de l’eau et de la gestion des bassins versants</w:t>
      </w:r>
      <w:r w:rsidR="00245356" w:rsidRPr="003715B5">
        <w:rPr>
          <w:rFonts w:asciiTheme="minorHAnsi" w:eastAsia="Times New Roman" w:hAnsiTheme="minorHAnsi" w:cs="Times New Roman"/>
          <w:sz w:val="22"/>
          <w:szCs w:val="22"/>
          <w:lang w:val="fr-FR" w:eastAsia="fr-FR"/>
        </w:rPr>
        <w:t xml:space="preserve"> figurent pa</w:t>
      </w:r>
      <w:r w:rsidR="00B144DF" w:rsidRPr="003715B5">
        <w:rPr>
          <w:rFonts w:asciiTheme="minorHAnsi" w:eastAsia="Times New Roman" w:hAnsiTheme="minorHAnsi" w:cs="Times New Roman"/>
          <w:sz w:val="22"/>
          <w:szCs w:val="22"/>
          <w:lang w:val="fr-FR" w:eastAsia="fr-FR"/>
        </w:rPr>
        <w:t>rmi les autres difficultés</w:t>
      </w:r>
      <w:r w:rsidR="00245356" w:rsidRPr="003715B5">
        <w:rPr>
          <w:rFonts w:asciiTheme="minorHAnsi" w:eastAsia="Times New Roman" w:hAnsiTheme="minorHAnsi" w:cs="Times New Roman"/>
          <w:sz w:val="22"/>
          <w:szCs w:val="22"/>
          <w:lang w:val="fr-FR" w:eastAsia="fr-FR"/>
        </w:rPr>
        <w:t xml:space="preserve"> mentionnées. L</w:t>
      </w:r>
      <w:r w:rsidR="00B144DF" w:rsidRPr="003715B5">
        <w:rPr>
          <w:rFonts w:asciiTheme="minorHAnsi" w:eastAsia="Times New Roman" w:hAnsiTheme="minorHAnsi" w:cs="Times New Roman"/>
          <w:sz w:val="22"/>
          <w:szCs w:val="22"/>
          <w:lang w:val="fr-FR" w:eastAsia="fr-FR"/>
        </w:rPr>
        <w:t xml:space="preserve">e manque d’intérêt politique, d’incitations économiques (en l’absence d’évaluations des zones humides) et d’inventaires des zones humides </w:t>
      </w:r>
      <w:r w:rsidR="00F34B8B" w:rsidRPr="003715B5">
        <w:rPr>
          <w:rFonts w:asciiTheme="minorHAnsi" w:eastAsia="Times New Roman" w:hAnsiTheme="minorHAnsi" w:cs="Times New Roman"/>
          <w:sz w:val="22"/>
          <w:szCs w:val="22"/>
          <w:lang w:val="fr-FR" w:eastAsia="fr-FR"/>
        </w:rPr>
        <w:t>en nombre suffisant</w:t>
      </w:r>
      <w:r w:rsidR="00245356" w:rsidRPr="003715B5">
        <w:rPr>
          <w:rFonts w:asciiTheme="minorHAnsi" w:eastAsia="Times New Roman" w:hAnsiTheme="minorHAnsi" w:cs="Times New Roman"/>
          <w:sz w:val="22"/>
          <w:szCs w:val="22"/>
          <w:lang w:val="fr-FR" w:eastAsia="fr-FR"/>
        </w:rPr>
        <w:t xml:space="preserve"> sont également cités.</w:t>
      </w:r>
    </w:p>
    <w:p w:rsidR="0001533C" w:rsidRPr="003715B5" w:rsidRDefault="0001533C" w:rsidP="00E41376">
      <w:pPr>
        <w:rPr>
          <w:rFonts w:eastAsia="Garamond" w:cs="Garamond"/>
          <w:lang w:val="fr-FR"/>
        </w:rPr>
      </w:pPr>
    </w:p>
    <w:p w:rsidR="00245356" w:rsidRPr="003715B5" w:rsidRDefault="00FF73FE" w:rsidP="00AF46B9">
      <w:pPr>
        <w:pStyle w:val="Heading2"/>
        <w:ind w:left="0"/>
        <w:rPr>
          <w:rFonts w:asciiTheme="minorHAnsi" w:hAnsiTheme="minorHAnsi" w:cs="Garamond"/>
          <w:b w:val="0"/>
          <w:bCs w:val="0"/>
          <w:sz w:val="22"/>
          <w:szCs w:val="22"/>
          <w:lang w:val="fr-FR"/>
        </w:rPr>
      </w:pPr>
      <w:r w:rsidRPr="003715B5">
        <w:rPr>
          <w:rFonts w:asciiTheme="minorHAnsi" w:hAnsiTheme="minorHAnsi"/>
          <w:sz w:val="22"/>
          <w:szCs w:val="22"/>
          <w:lang w:val="fr-FR"/>
        </w:rPr>
        <w:t>Prior</w:t>
      </w:r>
      <w:r w:rsidR="006F4B83" w:rsidRPr="003715B5">
        <w:rPr>
          <w:rFonts w:asciiTheme="minorHAnsi" w:hAnsiTheme="minorHAnsi"/>
          <w:sz w:val="22"/>
          <w:szCs w:val="22"/>
          <w:lang w:val="fr-FR"/>
        </w:rPr>
        <w:t>ités dans le cadre de l’application future de la</w:t>
      </w:r>
      <w:r w:rsidRPr="003715B5">
        <w:rPr>
          <w:rFonts w:asciiTheme="minorHAnsi" w:hAnsiTheme="minorHAnsi"/>
          <w:sz w:val="22"/>
          <w:szCs w:val="22"/>
          <w:lang w:val="fr-FR"/>
        </w:rPr>
        <w:t xml:space="preserve"> Convention </w:t>
      </w:r>
      <w:r w:rsidR="00322BF2" w:rsidRPr="003715B5">
        <w:rPr>
          <w:rFonts w:asciiTheme="minorHAnsi" w:hAnsiTheme="minorHAnsi"/>
          <w:b w:val="0"/>
          <w:sz w:val="22"/>
          <w:szCs w:val="22"/>
          <w:lang w:val="fr-FR"/>
        </w:rPr>
        <w:t>(C</w:t>
      </w:r>
      <w:r w:rsidRPr="003715B5">
        <w:rPr>
          <w:rFonts w:asciiTheme="minorHAnsi" w:hAnsiTheme="minorHAnsi"/>
          <w:b w:val="0"/>
          <w:sz w:val="22"/>
          <w:szCs w:val="22"/>
          <w:lang w:val="fr-FR"/>
        </w:rPr>
        <w:t>)</w:t>
      </w:r>
    </w:p>
    <w:p w:rsidR="00245356" w:rsidRPr="003715B5" w:rsidRDefault="00245356" w:rsidP="00245356">
      <w:pPr>
        <w:rPr>
          <w:lang w:val="fr-FR"/>
        </w:rPr>
      </w:pPr>
    </w:p>
    <w:p w:rsidR="00E808A0" w:rsidRPr="003715B5" w:rsidRDefault="00245356" w:rsidP="00245356">
      <w:pPr>
        <w:pStyle w:val="BodyText"/>
        <w:numPr>
          <w:ilvl w:val="0"/>
          <w:numId w:val="7"/>
        </w:numPr>
        <w:ind w:left="426" w:hanging="426"/>
        <w:rPr>
          <w:rFonts w:asciiTheme="minorHAnsi" w:hAnsiTheme="minorHAnsi"/>
          <w:sz w:val="22"/>
          <w:szCs w:val="22"/>
          <w:lang w:val="fr-FR"/>
        </w:rPr>
      </w:pPr>
      <w:r w:rsidRPr="003715B5">
        <w:rPr>
          <w:rFonts w:asciiTheme="minorHAnsi" w:hAnsiTheme="minorHAnsi"/>
          <w:sz w:val="22"/>
          <w:szCs w:val="22"/>
          <w:lang w:val="fr-FR"/>
        </w:rPr>
        <w:t>Les priorités d’action présentée</w:t>
      </w:r>
      <w:r w:rsidR="00AF46B9" w:rsidRPr="003715B5">
        <w:rPr>
          <w:rFonts w:asciiTheme="minorHAnsi" w:hAnsiTheme="minorHAnsi"/>
          <w:sz w:val="22"/>
          <w:szCs w:val="22"/>
          <w:lang w:val="fr-FR"/>
        </w:rPr>
        <w:t>s</w:t>
      </w:r>
      <w:r w:rsidRPr="003715B5">
        <w:rPr>
          <w:rFonts w:asciiTheme="minorHAnsi" w:hAnsiTheme="minorHAnsi"/>
          <w:sz w:val="22"/>
          <w:szCs w:val="22"/>
          <w:lang w:val="fr-FR"/>
        </w:rPr>
        <w:t xml:space="preserve"> ci-après par les Parties</w:t>
      </w:r>
      <w:r w:rsidR="00AF46B9" w:rsidRPr="003715B5">
        <w:rPr>
          <w:rFonts w:asciiTheme="minorHAnsi" w:hAnsiTheme="minorHAnsi"/>
          <w:sz w:val="22"/>
          <w:szCs w:val="22"/>
          <w:lang w:val="fr-FR"/>
        </w:rPr>
        <w:t xml:space="preserve"> tiennent compte des succès rencontrés et </w:t>
      </w:r>
      <w:r w:rsidRPr="003715B5">
        <w:rPr>
          <w:rFonts w:asciiTheme="minorHAnsi" w:hAnsiTheme="minorHAnsi"/>
          <w:sz w:val="22"/>
          <w:szCs w:val="22"/>
          <w:lang w:val="fr-FR"/>
        </w:rPr>
        <w:t>s’inscrivent en réponse aux difficultés mentionnées plus haut</w:t>
      </w:r>
      <w:r w:rsidR="00AF46B9" w:rsidRPr="003715B5">
        <w:rPr>
          <w:rFonts w:asciiTheme="minorHAnsi" w:hAnsiTheme="minorHAnsi"/>
          <w:sz w:val="22"/>
          <w:szCs w:val="22"/>
          <w:lang w:val="fr-FR"/>
        </w:rPr>
        <w:t> :</w:t>
      </w:r>
    </w:p>
    <w:p w:rsidR="00E808A0" w:rsidRPr="003715B5" w:rsidRDefault="00AF46B9" w:rsidP="00133866">
      <w:pPr>
        <w:pStyle w:val="BodyText"/>
        <w:numPr>
          <w:ilvl w:val="0"/>
          <w:numId w:val="20"/>
        </w:numPr>
        <w:ind w:left="851" w:hanging="425"/>
        <w:rPr>
          <w:rFonts w:asciiTheme="minorHAnsi" w:hAnsiTheme="minorHAnsi"/>
          <w:sz w:val="22"/>
          <w:szCs w:val="22"/>
          <w:lang w:val="fr-FR"/>
        </w:rPr>
      </w:pPr>
      <w:r w:rsidRPr="003715B5">
        <w:rPr>
          <w:rFonts w:asciiTheme="minorHAnsi" w:hAnsiTheme="minorHAnsi"/>
          <w:sz w:val="22"/>
          <w:szCs w:val="22"/>
          <w:lang w:val="fr-FR"/>
        </w:rPr>
        <w:t>élaborer des plans de gestion et inscrire de nouveaux Sites Ramsar;</w:t>
      </w:r>
    </w:p>
    <w:p w:rsidR="00E808A0" w:rsidRPr="003715B5" w:rsidRDefault="00AF46B9" w:rsidP="00133866">
      <w:pPr>
        <w:pStyle w:val="BodyText"/>
        <w:numPr>
          <w:ilvl w:val="0"/>
          <w:numId w:val="20"/>
        </w:numPr>
        <w:ind w:left="851" w:hanging="425"/>
        <w:rPr>
          <w:rFonts w:asciiTheme="minorHAnsi" w:hAnsiTheme="minorHAnsi"/>
          <w:sz w:val="22"/>
          <w:szCs w:val="22"/>
          <w:lang w:val="fr-FR"/>
        </w:rPr>
      </w:pPr>
      <w:r w:rsidRPr="003715B5">
        <w:rPr>
          <w:rFonts w:asciiTheme="minorHAnsi" w:hAnsiTheme="minorHAnsi"/>
          <w:sz w:val="22"/>
          <w:szCs w:val="22"/>
          <w:lang w:val="fr-FR"/>
        </w:rPr>
        <w:t xml:space="preserve">renforcer la sensibilisation aux valeurs des zones humides et aux services des écosystèmes; </w:t>
      </w:r>
    </w:p>
    <w:p w:rsidR="00E808A0" w:rsidRPr="003715B5" w:rsidRDefault="00AF46B9" w:rsidP="00133866">
      <w:pPr>
        <w:pStyle w:val="BodyText"/>
        <w:numPr>
          <w:ilvl w:val="0"/>
          <w:numId w:val="20"/>
        </w:numPr>
        <w:ind w:left="851" w:hanging="425"/>
        <w:rPr>
          <w:rFonts w:asciiTheme="minorHAnsi" w:hAnsiTheme="minorHAnsi"/>
          <w:sz w:val="22"/>
          <w:szCs w:val="22"/>
          <w:lang w:val="fr-FR"/>
        </w:rPr>
      </w:pPr>
      <w:r w:rsidRPr="003715B5">
        <w:rPr>
          <w:rFonts w:asciiTheme="minorHAnsi" w:hAnsiTheme="minorHAnsi"/>
          <w:sz w:val="22"/>
          <w:szCs w:val="22"/>
          <w:lang w:val="fr-FR"/>
        </w:rPr>
        <w:t xml:space="preserve">coopérer avec les pays </w:t>
      </w:r>
      <w:r w:rsidR="003935BB" w:rsidRPr="003715B5">
        <w:rPr>
          <w:rFonts w:asciiTheme="minorHAnsi" w:hAnsiTheme="minorHAnsi"/>
          <w:sz w:val="22"/>
          <w:szCs w:val="22"/>
          <w:lang w:val="fr-FR"/>
        </w:rPr>
        <w:t>limitrophes, notamment au sein de bassins versants communs;</w:t>
      </w:r>
    </w:p>
    <w:p w:rsidR="00133866" w:rsidRPr="003715B5" w:rsidRDefault="003935BB" w:rsidP="00133866">
      <w:pPr>
        <w:pStyle w:val="BodyText"/>
        <w:numPr>
          <w:ilvl w:val="0"/>
          <w:numId w:val="20"/>
        </w:numPr>
        <w:ind w:left="851" w:hanging="425"/>
        <w:rPr>
          <w:rFonts w:asciiTheme="minorHAnsi" w:hAnsiTheme="minorHAnsi"/>
          <w:sz w:val="22"/>
          <w:szCs w:val="22"/>
          <w:lang w:val="fr-FR"/>
        </w:rPr>
      </w:pPr>
      <w:r w:rsidRPr="003715B5">
        <w:rPr>
          <w:rFonts w:asciiTheme="minorHAnsi" w:hAnsiTheme="minorHAnsi"/>
          <w:sz w:val="22"/>
          <w:szCs w:val="22"/>
          <w:lang w:val="fr-FR"/>
        </w:rPr>
        <w:t>entreprendre des activités de restauration et de planification de la gestion des zones humides au niveau des bassins versants;</w:t>
      </w:r>
    </w:p>
    <w:p w:rsidR="00133866" w:rsidRPr="003715B5" w:rsidRDefault="003935BB" w:rsidP="00133866">
      <w:pPr>
        <w:pStyle w:val="BodyText"/>
        <w:numPr>
          <w:ilvl w:val="0"/>
          <w:numId w:val="20"/>
        </w:numPr>
        <w:ind w:left="851" w:hanging="425"/>
        <w:rPr>
          <w:rFonts w:asciiTheme="minorHAnsi" w:hAnsiTheme="minorHAnsi"/>
          <w:sz w:val="22"/>
          <w:szCs w:val="22"/>
          <w:lang w:val="fr-FR"/>
        </w:rPr>
      </w:pPr>
      <w:r w:rsidRPr="003715B5">
        <w:rPr>
          <w:rFonts w:asciiTheme="minorHAnsi" w:hAnsiTheme="minorHAnsi"/>
          <w:sz w:val="22"/>
          <w:szCs w:val="22"/>
          <w:lang w:val="fr-FR"/>
        </w:rPr>
        <w:t>mettre à jour les informations obsolètes sur les Sites Ramsar;</w:t>
      </w:r>
    </w:p>
    <w:p w:rsidR="00133866" w:rsidRPr="003715B5" w:rsidRDefault="003935BB" w:rsidP="00133866">
      <w:pPr>
        <w:pStyle w:val="BodyText"/>
        <w:numPr>
          <w:ilvl w:val="0"/>
          <w:numId w:val="20"/>
        </w:numPr>
        <w:ind w:left="851" w:hanging="425"/>
        <w:rPr>
          <w:rFonts w:asciiTheme="minorHAnsi" w:hAnsiTheme="minorHAnsi"/>
          <w:sz w:val="22"/>
          <w:szCs w:val="22"/>
          <w:lang w:val="fr-FR"/>
        </w:rPr>
      </w:pPr>
      <w:r w:rsidRPr="003715B5">
        <w:rPr>
          <w:rFonts w:asciiTheme="minorHAnsi" w:hAnsiTheme="minorHAnsi"/>
          <w:sz w:val="22"/>
          <w:szCs w:val="22"/>
          <w:lang w:val="fr-FR"/>
        </w:rPr>
        <w:t xml:space="preserve">créer des Comités nationaux Ramsar </w:t>
      </w:r>
      <w:r w:rsidR="005C1D25" w:rsidRPr="003715B5">
        <w:rPr>
          <w:rFonts w:asciiTheme="minorHAnsi" w:hAnsiTheme="minorHAnsi"/>
          <w:sz w:val="22"/>
          <w:szCs w:val="22"/>
          <w:lang w:val="fr-FR"/>
        </w:rPr>
        <w:t>(</w:t>
      </w:r>
      <w:r w:rsidRPr="003715B5">
        <w:rPr>
          <w:rFonts w:asciiTheme="minorHAnsi" w:hAnsiTheme="minorHAnsi"/>
          <w:sz w:val="22"/>
          <w:szCs w:val="22"/>
          <w:lang w:val="fr-FR"/>
        </w:rPr>
        <w:t xml:space="preserve">comme </w:t>
      </w:r>
      <w:r w:rsidR="00561347" w:rsidRPr="003715B5">
        <w:rPr>
          <w:rFonts w:asciiTheme="minorHAnsi" w:hAnsiTheme="minorHAnsi"/>
          <w:sz w:val="22"/>
          <w:szCs w:val="22"/>
          <w:lang w:val="fr-FR"/>
        </w:rPr>
        <w:t>p</w:t>
      </w:r>
      <w:r w:rsidRPr="003715B5">
        <w:rPr>
          <w:rFonts w:asciiTheme="minorHAnsi" w:hAnsiTheme="minorHAnsi"/>
          <w:sz w:val="22"/>
          <w:szCs w:val="22"/>
          <w:lang w:val="fr-FR"/>
        </w:rPr>
        <w:t>révu en Croatie, en Azerbaïdjan, Is</w:t>
      </w:r>
      <w:r w:rsidR="005C1D25" w:rsidRPr="003715B5">
        <w:rPr>
          <w:rFonts w:asciiTheme="minorHAnsi" w:hAnsiTheme="minorHAnsi"/>
          <w:sz w:val="22"/>
          <w:szCs w:val="22"/>
          <w:lang w:val="fr-FR"/>
        </w:rPr>
        <w:t>land</w:t>
      </w:r>
      <w:r w:rsidRPr="003715B5">
        <w:rPr>
          <w:rFonts w:asciiTheme="minorHAnsi" w:hAnsiTheme="minorHAnsi"/>
          <w:sz w:val="22"/>
          <w:szCs w:val="22"/>
          <w:lang w:val="fr-FR"/>
        </w:rPr>
        <w:t xml:space="preserve">e et </w:t>
      </w:r>
      <w:r w:rsidRPr="003715B5">
        <w:rPr>
          <w:rFonts w:asciiTheme="minorHAnsi" w:hAnsiTheme="minorHAnsi"/>
          <w:sz w:val="22"/>
          <w:szCs w:val="22"/>
          <w:lang w:val="fr-FR"/>
        </w:rPr>
        <w:lastRenderedPageBreak/>
        <w:t>Serbie);</w:t>
      </w:r>
    </w:p>
    <w:p w:rsidR="00133866" w:rsidRPr="003715B5" w:rsidRDefault="003935BB" w:rsidP="00133866">
      <w:pPr>
        <w:pStyle w:val="BodyText"/>
        <w:numPr>
          <w:ilvl w:val="0"/>
          <w:numId w:val="20"/>
        </w:numPr>
        <w:ind w:left="851" w:hanging="425"/>
        <w:rPr>
          <w:rFonts w:asciiTheme="minorHAnsi" w:hAnsiTheme="minorHAnsi"/>
          <w:sz w:val="22"/>
          <w:szCs w:val="22"/>
          <w:lang w:val="fr-FR"/>
        </w:rPr>
      </w:pPr>
      <w:r w:rsidRPr="003715B5">
        <w:rPr>
          <w:rFonts w:asciiTheme="minorHAnsi" w:hAnsiTheme="minorHAnsi"/>
          <w:sz w:val="22"/>
          <w:szCs w:val="22"/>
          <w:lang w:val="fr-FR"/>
        </w:rPr>
        <w:t>suivre l’évolution de l’état des zones humides;</w:t>
      </w:r>
    </w:p>
    <w:p w:rsidR="00133866" w:rsidRPr="003715B5" w:rsidRDefault="003935BB" w:rsidP="00133866">
      <w:pPr>
        <w:pStyle w:val="BodyText"/>
        <w:numPr>
          <w:ilvl w:val="0"/>
          <w:numId w:val="20"/>
        </w:numPr>
        <w:ind w:left="851" w:hanging="425"/>
        <w:rPr>
          <w:rFonts w:asciiTheme="minorHAnsi" w:hAnsiTheme="minorHAnsi"/>
          <w:sz w:val="22"/>
          <w:szCs w:val="22"/>
          <w:lang w:val="fr-FR"/>
        </w:rPr>
      </w:pPr>
      <w:r w:rsidRPr="003715B5">
        <w:rPr>
          <w:rFonts w:asciiTheme="minorHAnsi" w:hAnsiTheme="minorHAnsi"/>
          <w:sz w:val="22"/>
          <w:szCs w:val="22"/>
          <w:lang w:val="fr-FR"/>
        </w:rPr>
        <w:t>créer une législation s</w:t>
      </w:r>
      <w:r w:rsidR="00C51390" w:rsidRPr="003715B5">
        <w:rPr>
          <w:rFonts w:asciiTheme="minorHAnsi" w:hAnsiTheme="minorHAnsi"/>
          <w:sz w:val="22"/>
          <w:szCs w:val="22"/>
          <w:lang w:val="fr-FR"/>
        </w:rPr>
        <w:t>pécifique et la faire appliquer</w:t>
      </w:r>
      <w:r w:rsidRPr="003715B5">
        <w:rPr>
          <w:rFonts w:asciiTheme="minorHAnsi" w:hAnsiTheme="minorHAnsi"/>
          <w:sz w:val="22"/>
          <w:szCs w:val="22"/>
          <w:lang w:val="fr-FR"/>
        </w:rPr>
        <w:t>;</w:t>
      </w:r>
      <w:r w:rsidR="005C1D25" w:rsidRPr="003715B5">
        <w:rPr>
          <w:rFonts w:asciiTheme="minorHAnsi" w:hAnsiTheme="minorHAnsi"/>
          <w:sz w:val="22"/>
          <w:szCs w:val="22"/>
          <w:lang w:val="fr-FR"/>
        </w:rPr>
        <w:t xml:space="preserve"> </w:t>
      </w:r>
    </w:p>
    <w:p w:rsidR="0001533C" w:rsidRPr="003715B5" w:rsidRDefault="005C1D25" w:rsidP="00133866">
      <w:pPr>
        <w:pStyle w:val="BodyText"/>
        <w:numPr>
          <w:ilvl w:val="0"/>
          <w:numId w:val="20"/>
        </w:numPr>
        <w:ind w:left="851" w:hanging="425"/>
        <w:rPr>
          <w:rFonts w:asciiTheme="minorHAnsi" w:hAnsiTheme="minorHAnsi"/>
          <w:sz w:val="22"/>
          <w:szCs w:val="22"/>
          <w:lang w:val="fr-FR"/>
        </w:rPr>
      </w:pPr>
      <w:r w:rsidRPr="003715B5">
        <w:rPr>
          <w:rFonts w:asciiTheme="minorHAnsi" w:hAnsiTheme="minorHAnsi"/>
          <w:sz w:val="22"/>
          <w:szCs w:val="22"/>
          <w:lang w:val="fr-FR"/>
        </w:rPr>
        <w:t>cr</w:t>
      </w:r>
      <w:r w:rsidR="003935BB" w:rsidRPr="003715B5">
        <w:rPr>
          <w:rFonts w:asciiTheme="minorHAnsi" w:hAnsiTheme="minorHAnsi"/>
          <w:sz w:val="22"/>
          <w:szCs w:val="22"/>
          <w:lang w:val="fr-FR"/>
        </w:rPr>
        <w:t xml:space="preserve">éer des </w:t>
      </w:r>
      <w:r w:rsidR="009C1B16" w:rsidRPr="003715B5">
        <w:rPr>
          <w:rFonts w:asciiTheme="minorHAnsi" w:hAnsiTheme="minorHAnsi"/>
          <w:sz w:val="22"/>
          <w:szCs w:val="22"/>
          <w:lang w:val="fr-FR"/>
        </w:rPr>
        <w:t>synergies en faveur de l’application de la Convention et d’autres politiques européennes ou internationales.</w:t>
      </w:r>
    </w:p>
    <w:p w:rsidR="0001533C" w:rsidRPr="003715B5" w:rsidRDefault="0001533C" w:rsidP="00E41376">
      <w:pPr>
        <w:rPr>
          <w:rFonts w:eastAsia="Garamond" w:cs="Garamond"/>
          <w:lang w:val="fr-FR"/>
        </w:rPr>
      </w:pPr>
    </w:p>
    <w:p w:rsidR="0001533C" w:rsidRPr="003715B5" w:rsidRDefault="006F4B83" w:rsidP="00E41376">
      <w:pPr>
        <w:pStyle w:val="Heading2"/>
        <w:ind w:left="0"/>
        <w:rPr>
          <w:rFonts w:asciiTheme="minorHAnsi" w:hAnsiTheme="minorHAnsi" w:cs="Garamond"/>
          <w:b w:val="0"/>
          <w:bCs w:val="0"/>
          <w:sz w:val="22"/>
          <w:szCs w:val="22"/>
          <w:lang w:val="fr-FR"/>
        </w:rPr>
      </w:pPr>
      <w:r w:rsidRPr="003715B5">
        <w:rPr>
          <w:rFonts w:asciiTheme="minorHAnsi" w:hAnsiTheme="minorHAnsi"/>
          <w:sz w:val="22"/>
          <w:szCs w:val="22"/>
          <w:lang w:val="fr-FR"/>
        </w:rPr>
        <w:t xml:space="preserve">Recommandations pour améliorer l’aide du Secrétariat </w:t>
      </w:r>
      <w:r w:rsidR="00FF73FE" w:rsidRPr="003715B5">
        <w:rPr>
          <w:rFonts w:asciiTheme="minorHAnsi" w:hAnsiTheme="minorHAnsi"/>
          <w:sz w:val="22"/>
          <w:szCs w:val="22"/>
          <w:lang w:val="fr-FR"/>
        </w:rPr>
        <w:t xml:space="preserve">Ramsar </w:t>
      </w:r>
      <w:r w:rsidR="00B05396" w:rsidRPr="003715B5">
        <w:rPr>
          <w:rFonts w:asciiTheme="minorHAnsi" w:hAnsiTheme="minorHAnsi"/>
          <w:b w:val="0"/>
          <w:sz w:val="22"/>
          <w:szCs w:val="22"/>
          <w:lang w:val="fr-FR"/>
        </w:rPr>
        <w:t>(D</w:t>
      </w:r>
      <w:r w:rsidR="00FF73FE" w:rsidRPr="003715B5">
        <w:rPr>
          <w:rFonts w:asciiTheme="minorHAnsi" w:hAnsiTheme="minorHAnsi"/>
          <w:b w:val="0"/>
          <w:sz w:val="22"/>
          <w:szCs w:val="22"/>
          <w:lang w:val="fr-FR"/>
        </w:rPr>
        <w:t>)</w:t>
      </w:r>
    </w:p>
    <w:p w:rsidR="0001533C" w:rsidRPr="003715B5" w:rsidRDefault="0001533C" w:rsidP="00E41376">
      <w:pPr>
        <w:rPr>
          <w:rFonts w:eastAsia="Garamond" w:cs="Garamond"/>
          <w:lang w:val="fr-FR"/>
        </w:rPr>
      </w:pPr>
    </w:p>
    <w:p w:rsidR="003F110C" w:rsidRPr="003715B5" w:rsidRDefault="003F110C" w:rsidP="0003528C">
      <w:pPr>
        <w:pStyle w:val="BodyText"/>
        <w:numPr>
          <w:ilvl w:val="0"/>
          <w:numId w:val="7"/>
        </w:numPr>
        <w:ind w:left="426" w:hanging="426"/>
        <w:rPr>
          <w:rFonts w:asciiTheme="minorHAnsi" w:hAnsiTheme="minorHAnsi"/>
          <w:sz w:val="22"/>
          <w:szCs w:val="22"/>
          <w:lang w:val="fr-FR"/>
        </w:rPr>
      </w:pPr>
      <w:r w:rsidRPr="003715B5">
        <w:rPr>
          <w:rFonts w:asciiTheme="minorHAnsi" w:hAnsiTheme="minorHAnsi"/>
          <w:sz w:val="22"/>
          <w:szCs w:val="22"/>
          <w:lang w:val="fr-FR"/>
        </w:rPr>
        <w:t xml:space="preserve">La plupart des Parties sont globalement satisfaites de l’assistance fournie par le Secrétariat. Certaines ont néanmoins indiqué qu’une aide supplémentaire serait la bienvenue </w:t>
      </w:r>
      <w:r w:rsidR="00A2657C" w:rsidRPr="003715B5">
        <w:rPr>
          <w:rFonts w:asciiTheme="minorHAnsi" w:hAnsiTheme="minorHAnsi"/>
          <w:sz w:val="22"/>
          <w:szCs w:val="22"/>
          <w:lang w:val="fr-FR"/>
        </w:rPr>
        <w:t>s’agissant des activités pratiques de mise en application de la Convention</w:t>
      </w:r>
      <w:r w:rsidR="00B05396" w:rsidRPr="003715B5">
        <w:rPr>
          <w:rFonts w:asciiTheme="minorHAnsi" w:hAnsiTheme="minorHAnsi"/>
          <w:sz w:val="22"/>
          <w:szCs w:val="22"/>
          <w:lang w:val="fr-FR"/>
        </w:rPr>
        <w:t xml:space="preserve">. </w:t>
      </w:r>
      <w:r w:rsidR="00A2657C" w:rsidRPr="003715B5">
        <w:rPr>
          <w:rFonts w:asciiTheme="minorHAnsi" w:hAnsiTheme="minorHAnsi"/>
          <w:sz w:val="22"/>
          <w:szCs w:val="22"/>
          <w:lang w:val="fr-FR"/>
        </w:rPr>
        <w:t xml:space="preserve">Celle-ci pourrait porter sur les thèmes suivants, </w:t>
      </w:r>
      <w:r w:rsidR="0003528C" w:rsidRPr="003715B5">
        <w:rPr>
          <w:rFonts w:asciiTheme="minorHAnsi" w:hAnsiTheme="minorHAnsi"/>
          <w:sz w:val="22"/>
          <w:szCs w:val="22"/>
          <w:lang w:val="fr-FR"/>
        </w:rPr>
        <w:t xml:space="preserve">non </w:t>
      </w:r>
      <w:r w:rsidR="00A2657C" w:rsidRPr="003715B5">
        <w:rPr>
          <w:rFonts w:asciiTheme="minorHAnsi" w:hAnsiTheme="minorHAnsi"/>
          <w:sz w:val="22"/>
          <w:szCs w:val="22"/>
          <w:lang w:val="fr-FR"/>
        </w:rPr>
        <w:t xml:space="preserve">classés par ordre de </w:t>
      </w:r>
      <w:r w:rsidR="0003528C" w:rsidRPr="003715B5">
        <w:rPr>
          <w:rFonts w:asciiTheme="minorHAnsi" w:hAnsiTheme="minorHAnsi"/>
          <w:sz w:val="22"/>
          <w:szCs w:val="22"/>
          <w:lang w:val="fr-FR"/>
        </w:rPr>
        <w:t>préférence :</w:t>
      </w:r>
      <w:r w:rsidR="009C4267" w:rsidRPr="003715B5">
        <w:rPr>
          <w:rFonts w:asciiTheme="minorHAnsi" w:hAnsiTheme="minorHAnsi"/>
          <w:sz w:val="22"/>
          <w:szCs w:val="22"/>
          <w:lang w:val="fr-FR"/>
        </w:rPr>
        <w:t xml:space="preserve"> </w:t>
      </w:r>
    </w:p>
    <w:p w:rsidR="00133866" w:rsidRPr="003715B5" w:rsidRDefault="00CA3459" w:rsidP="00133866">
      <w:pPr>
        <w:pStyle w:val="BodyText"/>
        <w:numPr>
          <w:ilvl w:val="0"/>
          <w:numId w:val="20"/>
        </w:numPr>
        <w:ind w:left="851" w:hanging="425"/>
        <w:rPr>
          <w:rFonts w:asciiTheme="minorHAnsi" w:hAnsiTheme="minorHAnsi"/>
          <w:sz w:val="22"/>
          <w:szCs w:val="22"/>
          <w:lang w:val="fr-FR"/>
        </w:rPr>
      </w:pPr>
      <w:r w:rsidRPr="003715B5">
        <w:rPr>
          <w:rFonts w:asciiTheme="minorHAnsi" w:hAnsiTheme="minorHAnsi"/>
          <w:sz w:val="22"/>
          <w:szCs w:val="22"/>
          <w:lang w:val="fr-FR"/>
        </w:rPr>
        <w:t>communiquer aux Parties de</w:t>
      </w:r>
      <w:r w:rsidR="00F34B8B" w:rsidRPr="003715B5">
        <w:rPr>
          <w:rFonts w:asciiTheme="minorHAnsi" w:hAnsiTheme="minorHAnsi"/>
          <w:sz w:val="22"/>
          <w:szCs w:val="22"/>
          <w:lang w:val="fr-FR"/>
        </w:rPr>
        <w:t>s</w:t>
      </w:r>
      <w:r w:rsidR="00553432" w:rsidRPr="003715B5">
        <w:rPr>
          <w:rFonts w:asciiTheme="minorHAnsi" w:hAnsiTheme="minorHAnsi"/>
          <w:sz w:val="22"/>
          <w:szCs w:val="22"/>
          <w:lang w:val="fr-FR"/>
        </w:rPr>
        <w:t xml:space="preserve"> </w:t>
      </w:r>
      <w:r w:rsidRPr="003715B5">
        <w:rPr>
          <w:rFonts w:asciiTheme="minorHAnsi" w:hAnsiTheme="minorHAnsi"/>
          <w:sz w:val="22"/>
          <w:szCs w:val="22"/>
          <w:lang w:val="fr-FR"/>
        </w:rPr>
        <w:t xml:space="preserve">informations </w:t>
      </w:r>
      <w:r w:rsidR="00F34B8B" w:rsidRPr="003715B5">
        <w:rPr>
          <w:rFonts w:asciiTheme="minorHAnsi" w:hAnsiTheme="minorHAnsi"/>
          <w:sz w:val="22"/>
          <w:szCs w:val="22"/>
          <w:lang w:val="fr-FR"/>
        </w:rPr>
        <w:t xml:space="preserve">simples et succinctes </w:t>
      </w:r>
      <w:r w:rsidR="00553432" w:rsidRPr="003715B5">
        <w:rPr>
          <w:rFonts w:asciiTheme="minorHAnsi" w:hAnsiTheme="minorHAnsi"/>
          <w:sz w:val="22"/>
          <w:szCs w:val="22"/>
          <w:lang w:val="fr-FR"/>
        </w:rPr>
        <w:t>sur les conclusions des réunions de la COP et du Comité permanent, sur les programmes de travail du GEST et sur les activités de CESP;</w:t>
      </w:r>
    </w:p>
    <w:p w:rsidR="00133866" w:rsidRPr="003715B5" w:rsidRDefault="00133866" w:rsidP="00133866">
      <w:pPr>
        <w:pStyle w:val="BodyText"/>
        <w:numPr>
          <w:ilvl w:val="0"/>
          <w:numId w:val="20"/>
        </w:numPr>
        <w:ind w:left="851" w:hanging="425"/>
        <w:rPr>
          <w:rFonts w:asciiTheme="minorHAnsi" w:hAnsiTheme="minorHAnsi"/>
          <w:sz w:val="22"/>
          <w:szCs w:val="22"/>
          <w:lang w:val="fr-FR"/>
        </w:rPr>
      </w:pPr>
      <w:r w:rsidRPr="003715B5">
        <w:rPr>
          <w:rFonts w:asciiTheme="minorHAnsi" w:hAnsiTheme="minorHAnsi"/>
          <w:sz w:val="22"/>
          <w:szCs w:val="22"/>
          <w:lang w:val="fr-FR"/>
        </w:rPr>
        <w:t>m</w:t>
      </w:r>
      <w:r w:rsidR="00553432" w:rsidRPr="003715B5">
        <w:rPr>
          <w:rFonts w:asciiTheme="minorHAnsi" w:hAnsiTheme="minorHAnsi"/>
          <w:sz w:val="22"/>
          <w:szCs w:val="22"/>
          <w:lang w:val="fr-FR"/>
        </w:rPr>
        <w:t xml:space="preserve">ettre plus rapidement à disposition les modèles de Rapports nationaux et les documents relatifs à la Journée mondiale des zones humides de façon à laisser suffisamment de temps aux Parties pour les utiliser en interne et les adapter à leurs besoins; </w:t>
      </w:r>
    </w:p>
    <w:p w:rsidR="003F110C" w:rsidRPr="003715B5" w:rsidRDefault="006E2F78" w:rsidP="006E2F78">
      <w:pPr>
        <w:pStyle w:val="BodyText"/>
        <w:numPr>
          <w:ilvl w:val="0"/>
          <w:numId w:val="20"/>
        </w:numPr>
        <w:ind w:left="851" w:hanging="425"/>
        <w:rPr>
          <w:rFonts w:cs="Garamond"/>
          <w:lang w:val="fr-FR"/>
        </w:rPr>
      </w:pPr>
      <w:r w:rsidRPr="003715B5">
        <w:rPr>
          <w:rFonts w:asciiTheme="minorHAnsi" w:hAnsiTheme="minorHAnsi"/>
          <w:sz w:val="22"/>
          <w:szCs w:val="22"/>
          <w:lang w:val="fr-FR"/>
        </w:rPr>
        <w:t xml:space="preserve">fournir des orientations et des outils pratiques pour les inventaires nationaux des zones humides ainsi que des avis sur la gestion des zones humides et les projets de restauration et </w:t>
      </w:r>
      <w:r w:rsidR="008A56DB" w:rsidRPr="003715B5">
        <w:rPr>
          <w:rFonts w:asciiTheme="minorHAnsi" w:hAnsiTheme="minorHAnsi"/>
          <w:sz w:val="22"/>
          <w:szCs w:val="22"/>
          <w:lang w:val="fr-FR"/>
        </w:rPr>
        <w:t>d’évaluation</w:t>
      </w:r>
      <w:r w:rsidRPr="003715B5">
        <w:rPr>
          <w:rFonts w:asciiTheme="minorHAnsi" w:hAnsiTheme="minorHAnsi"/>
          <w:sz w:val="22"/>
          <w:szCs w:val="22"/>
          <w:lang w:val="fr-FR"/>
        </w:rPr>
        <w:t xml:space="preserve"> économique à l’étude, et faciliter l’organisation de réunions régionales pour favoriser l’échange de savoir-faire et de bonnes pratiques. </w:t>
      </w:r>
    </w:p>
    <w:p w:rsidR="006E2F78" w:rsidRPr="003715B5" w:rsidRDefault="006E2F78" w:rsidP="006E2F78">
      <w:pPr>
        <w:pStyle w:val="BodyText"/>
        <w:rPr>
          <w:rFonts w:cs="Garamond"/>
          <w:lang w:val="fr-FR"/>
        </w:rPr>
      </w:pPr>
    </w:p>
    <w:p w:rsidR="0001533C" w:rsidRPr="003715B5" w:rsidRDefault="006F4B83" w:rsidP="00E41376">
      <w:pPr>
        <w:pStyle w:val="Heading2"/>
        <w:ind w:left="0"/>
        <w:rPr>
          <w:rFonts w:asciiTheme="minorHAnsi" w:hAnsiTheme="minorHAnsi" w:cs="Garamond"/>
          <w:b w:val="0"/>
          <w:bCs w:val="0"/>
          <w:sz w:val="22"/>
          <w:szCs w:val="22"/>
          <w:lang w:val="fr-FR"/>
        </w:rPr>
      </w:pPr>
      <w:r w:rsidRPr="003715B5">
        <w:rPr>
          <w:rFonts w:asciiTheme="minorHAnsi" w:hAnsiTheme="minorHAnsi"/>
          <w:sz w:val="22"/>
          <w:szCs w:val="22"/>
          <w:lang w:val="fr-FR"/>
        </w:rPr>
        <w:t>Recommandations pour améliorer l’aide des OIP de la Convention</w:t>
      </w:r>
      <w:r w:rsidR="00FF73FE" w:rsidRPr="003715B5">
        <w:rPr>
          <w:rFonts w:asciiTheme="minorHAnsi" w:hAnsiTheme="minorHAnsi"/>
          <w:sz w:val="22"/>
          <w:szCs w:val="22"/>
          <w:lang w:val="fr-FR"/>
        </w:rPr>
        <w:t xml:space="preserve"> </w:t>
      </w:r>
      <w:r w:rsidR="00B26456" w:rsidRPr="003715B5">
        <w:rPr>
          <w:rFonts w:asciiTheme="minorHAnsi" w:hAnsiTheme="minorHAnsi" w:cs="Garamond"/>
          <w:b w:val="0"/>
          <w:bCs w:val="0"/>
          <w:sz w:val="22"/>
          <w:szCs w:val="22"/>
          <w:lang w:val="fr-FR"/>
        </w:rPr>
        <w:t>(E</w:t>
      </w:r>
      <w:r w:rsidR="00FF73FE" w:rsidRPr="003715B5">
        <w:rPr>
          <w:rFonts w:asciiTheme="minorHAnsi" w:hAnsiTheme="minorHAnsi" w:cs="Garamond"/>
          <w:b w:val="0"/>
          <w:bCs w:val="0"/>
          <w:sz w:val="22"/>
          <w:szCs w:val="22"/>
          <w:lang w:val="fr-FR"/>
        </w:rPr>
        <w:t>)</w:t>
      </w:r>
    </w:p>
    <w:p w:rsidR="0001533C" w:rsidRPr="003715B5" w:rsidRDefault="0001533C" w:rsidP="00E41376">
      <w:pPr>
        <w:pStyle w:val="BodyText"/>
        <w:ind w:left="426" w:firstLine="0"/>
        <w:rPr>
          <w:rFonts w:asciiTheme="minorHAnsi" w:hAnsiTheme="minorHAnsi"/>
          <w:sz w:val="22"/>
          <w:szCs w:val="22"/>
          <w:lang w:val="fr-FR"/>
        </w:rPr>
      </w:pPr>
    </w:p>
    <w:p w:rsidR="0001533C" w:rsidRPr="003715B5" w:rsidRDefault="0011154B" w:rsidP="004D3B1A">
      <w:pPr>
        <w:pStyle w:val="BodyText"/>
        <w:numPr>
          <w:ilvl w:val="0"/>
          <w:numId w:val="7"/>
        </w:numPr>
        <w:ind w:left="426" w:hanging="426"/>
        <w:rPr>
          <w:rFonts w:cs="Garamond"/>
          <w:lang w:val="fr-FR"/>
        </w:rPr>
      </w:pPr>
      <w:r w:rsidRPr="003715B5">
        <w:rPr>
          <w:rFonts w:asciiTheme="minorHAnsi" w:hAnsiTheme="minorHAnsi"/>
          <w:sz w:val="22"/>
          <w:szCs w:val="22"/>
          <w:lang w:val="fr-FR"/>
        </w:rPr>
        <w:t xml:space="preserve">Plusieurs Parties indiquent qu’elles collaborent avec les branches nationales d’Organisations internationales partenaires (OIP) de Ramsar à différents projets et que cette coopération pourrait être accrue </w:t>
      </w:r>
      <w:r w:rsidR="008A56DB" w:rsidRPr="003715B5">
        <w:rPr>
          <w:rFonts w:asciiTheme="minorHAnsi" w:hAnsiTheme="minorHAnsi"/>
          <w:sz w:val="22"/>
          <w:szCs w:val="22"/>
          <w:lang w:val="fr-FR"/>
        </w:rPr>
        <w:t>et élargie à</w:t>
      </w:r>
      <w:r w:rsidRPr="003715B5">
        <w:rPr>
          <w:rFonts w:asciiTheme="minorHAnsi" w:hAnsiTheme="minorHAnsi"/>
          <w:sz w:val="22"/>
          <w:szCs w:val="22"/>
          <w:lang w:val="fr-FR"/>
        </w:rPr>
        <w:t xml:space="preserve"> d’autres pays, notamment pour travailler sur des questions telles que l’inscription de Sites Ramsar, la gestion des zones humides (transfrontières), l’inventaire des zones humides et les techniques de suivi. </w:t>
      </w:r>
      <w:r w:rsidR="004D3B1A" w:rsidRPr="003715B5">
        <w:rPr>
          <w:rFonts w:asciiTheme="minorHAnsi" w:hAnsiTheme="minorHAnsi"/>
          <w:sz w:val="22"/>
          <w:szCs w:val="22"/>
          <w:lang w:val="fr-FR"/>
        </w:rPr>
        <w:t>Les OIP jouissent souvent d’un savoir-faire et de capacités qui pourraient être mieux exploités en ce qui concerne les activités de CESP et du GEST</w:t>
      </w:r>
      <w:r w:rsidR="00561347" w:rsidRPr="003715B5">
        <w:rPr>
          <w:rFonts w:asciiTheme="minorHAnsi" w:hAnsiTheme="minorHAnsi"/>
          <w:sz w:val="22"/>
          <w:szCs w:val="22"/>
          <w:lang w:val="fr-FR"/>
        </w:rPr>
        <w:t xml:space="preserve">. </w:t>
      </w:r>
      <w:r w:rsidR="004D3B1A" w:rsidRPr="003715B5">
        <w:rPr>
          <w:rFonts w:asciiTheme="minorHAnsi" w:hAnsiTheme="minorHAnsi"/>
          <w:sz w:val="22"/>
          <w:szCs w:val="22"/>
          <w:lang w:val="fr-FR"/>
        </w:rPr>
        <w:t xml:space="preserve">Il conviendrait qu’elles participent et contribuent activement aux travaux des Comités nationaux Ramsar, aux Initiatives régionales et à la gestion de Sites Ramsar et d’autres zones humides. </w:t>
      </w:r>
    </w:p>
    <w:p w:rsidR="004D3B1A" w:rsidRPr="003715B5" w:rsidRDefault="004D3B1A" w:rsidP="004D3B1A">
      <w:pPr>
        <w:pStyle w:val="BodyText"/>
        <w:rPr>
          <w:rFonts w:cs="Garamond"/>
          <w:lang w:val="fr-FR"/>
        </w:rPr>
      </w:pPr>
    </w:p>
    <w:p w:rsidR="0001533C" w:rsidRPr="003715B5" w:rsidRDefault="006F4B83" w:rsidP="00E41376">
      <w:pPr>
        <w:pStyle w:val="Heading2"/>
        <w:ind w:left="0"/>
        <w:rPr>
          <w:rFonts w:asciiTheme="minorHAnsi" w:hAnsiTheme="minorHAnsi"/>
          <w:b w:val="0"/>
          <w:sz w:val="22"/>
          <w:szCs w:val="22"/>
          <w:lang w:val="fr-FR"/>
        </w:rPr>
      </w:pPr>
      <w:r w:rsidRPr="003715B5">
        <w:rPr>
          <w:rFonts w:asciiTheme="minorHAnsi" w:hAnsiTheme="minorHAnsi"/>
          <w:sz w:val="22"/>
          <w:szCs w:val="22"/>
          <w:lang w:val="fr-FR"/>
        </w:rPr>
        <w:t xml:space="preserve">Comment améliorer le lien entre la mise en œuvre de la Convention de Ramsar et celle d’autres AME </w:t>
      </w:r>
      <w:r w:rsidR="00B26456" w:rsidRPr="003715B5">
        <w:rPr>
          <w:rFonts w:asciiTheme="minorHAnsi" w:hAnsiTheme="minorHAnsi"/>
          <w:b w:val="0"/>
          <w:sz w:val="22"/>
          <w:szCs w:val="22"/>
          <w:lang w:val="fr-FR"/>
        </w:rPr>
        <w:t>(F</w:t>
      </w:r>
      <w:r w:rsidR="00FF73FE" w:rsidRPr="003715B5">
        <w:rPr>
          <w:rFonts w:asciiTheme="minorHAnsi" w:hAnsiTheme="minorHAnsi"/>
          <w:b w:val="0"/>
          <w:sz w:val="22"/>
          <w:szCs w:val="22"/>
          <w:lang w:val="fr-FR"/>
        </w:rPr>
        <w:t>)</w:t>
      </w:r>
    </w:p>
    <w:p w:rsidR="0001533C" w:rsidRPr="003715B5" w:rsidRDefault="0001533C" w:rsidP="00E41376">
      <w:pPr>
        <w:rPr>
          <w:rFonts w:eastAsia="Garamond" w:cs="Garamond"/>
          <w:lang w:val="fr-FR"/>
        </w:rPr>
      </w:pPr>
    </w:p>
    <w:p w:rsidR="00685C6C" w:rsidRPr="003715B5" w:rsidRDefault="00E23AB1" w:rsidP="00E41376">
      <w:pPr>
        <w:pStyle w:val="BodyText"/>
        <w:numPr>
          <w:ilvl w:val="0"/>
          <w:numId w:val="7"/>
        </w:numPr>
        <w:ind w:left="426" w:hanging="426"/>
        <w:rPr>
          <w:rFonts w:asciiTheme="minorHAnsi" w:hAnsiTheme="minorHAnsi"/>
          <w:sz w:val="22"/>
          <w:szCs w:val="22"/>
          <w:lang w:val="fr-FR"/>
        </w:rPr>
      </w:pPr>
      <w:r w:rsidRPr="003715B5">
        <w:rPr>
          <w:rFonts w:asciiTheme="minorHAnsi" w:hAnsiTheme="minorHAnsi"/>
          <w:sz w:val="22"/>
          <w:szCs w:val="22"/>
          <w:lang w:val="fr-FR"/>
        </w:rPr>
        <w:t xml:space="preserve">Les </w:t>
      </w:r>
      <w:r w:rsidR="00685C6C" w:rsidRPr="003715B5">
        <w:rPr>
          <w:rFonts w:asciiTheme="minorHAnsi" w:hAnsiTheme="minorHAnsi"/>
          <w:sz w:val="22"/>
          <w:szCs w:val="22"/>
          <w:lang w:val="fr-FR"/>
        </w:rPr>
        <w:t>Parties</w:t>
      </w:r>
      <w:r w:rsidR="005B55B4" w:rsidRPr="003715B5">
        <w:rPr>
          <w:rFonts w:asciiTheme="minorHAnsi" w:hAnsiTheme="minorHAnsi"/>
          <w:sz w:val="22"/>
          <w:szCs w:val="22"/>
          <w:lang w:val="fr-FR"/>
        </w:rPr>
        <w:t xml:space="preserve"> font plusieurs propositions concrètes. La suggestion la plus fréquemment avancée consiste à assurer une coordina</w:t>
      </w:r>
      <w:r w:rsidR="008A56DB" w:rsidRPr="003715B5">
        <w:rPr>
          <w:rFonts w:asciiTheme="minorHAnsi" w:hAnsiTheme="minorHAnsi"/>
          <w:sz w:val="22"/>
          <w:szCs w:val="22"/>
          <w:lang w:val="fr-FR"/>
        </w:rPr>
        <w:t>tion entre l’établissement des R</w:t>
      </w:r>
      <w:r w:rsidR="005B55B4" w:rsidRPr="003715B5">
        <w:rPr>
          <w:rFonts w:asciiTheme="minorHAnsi" w:hAnsiTheme="minorHAnsi"/>
          <w:sz w:val="22"/>
          <w:szCs w:val="22"/>
          <w:lang w:val="fr-FR"/>
        </w:rPr>
        <w:t xml:space="preserve">apports nationaux et l’élaboration </w:t>
      </w:r>
      <w:r w:rsidR="001931A8" w:rsidRPr="003715B5">
        <w:rPr>
          <w:rFonts w:asciiTheme="minorHAnsi" w:hAnsiTheme="minorHAnsi"/>
          <w:sz w:val="22"/>
          <w:szCs w:val="22"/>
          <w:lang w:val="fr-FR"/>
        </w:rPr>
        <w:t xml:space="preserve">par différents AME </w:t>
      </w:r>
      <w:r w:rsidR="005B55B4" w:rsidRPr="003715B5">
        <w:rPr>
          <w:rFonts w:asciiTheme="minorHAnsi" w:hAnsiTheme="minorHAnsi"/>
          <w:sz w:val="22"/>
          <w:szCs w:val="22"/>
          <w:lang w:val="fr-FR"/>
        </w:rPr>
        <w:t>de stratégies et de programmes de travail</w:t>
      </w:r>
      <w:r w:rsidR="00685C6C" w:rsidRPr="003715B5">
        <w:rPr>
          <w:rFonts w:asciiTheme="minorHAnsi" w:hAnsiTheme="minorHAnsi"/>
          <w:sz w:val="22"/>
          <w:szCs w:val="22"/>
          <w:lang w:val="fr-FR"/>
        </w:rPr>
        <w:t xml:space="preserve">, </w:t>
      </w:r>
      <w:r w:rsidR="001931A8" w:rsidRPr="003715B5">
        <w:rPr>
          <w:rFonts w:asciiTheme="minorHAnsi" w:hAnsiTheme="minorHAnsi"/>
          <w:sz w:val="22"/>
          <w:szCs w:val="22"/>
          <w:lang w:val="fr-FR"/>
        </w:rPr>
        <w:t xml:space="preserve">par le biais notamment d’une coopération accrue entre les correspondants nationaux des AME et au moyen d’informations coordonnées communiquées aux Parties par les secrétariats des différents AME. Elles proposent également de créer des comités nationaux communs pour traiter des questions relatives à tous les AME concernés, coordonner les activités </w:t>
      </w:r>
      <w:r w:rsidR="006069A7" w:rsidRPr="003715B5">
        <w:rPr>
          <w:rFonts w:asciiTheme="minorHAnsi" w:hAnsiTheme="minorHAnsi"/>
          <w:sz w:val="22"/>
          <w:szCs w:val="22"/>
          <w:lang w:val="fr-FR"/>
        </w:rPr>
        <w:t>touchant aux sites et espèces couverts par les différents AME et mettre à profit ce type d’approche commune pour améliorer les législa</w:t>
      </w:r>
      <w:r w:rsidR="000C3C87" w:rsidRPr="003715B5">
        <w:rPr>
          <w:rFonts w:asciiTheme="minorHAnsi" w:hAnsiTheme="minorHAnsi"/>
          <w:sz w:val="22"/>
          <w:szCs w:val="22"/>
          <w:lang w:val="fr-FR"/>
        </w:rPr>
        <w:t>tions et politiques nationales.</w:t>
      </w:r>
    </w:p>
    <w:p w:rsidR="000C3C87" w:rsidRPr="003715B5" w:rsidRDefault="000C3C87" w:rsidP="000C3C87">
      <w:pPr>
        <w:pStyle w:val="BodyText"/>
        <w:ind w:left="426" w:firstLine="0"/>
        <w:rPr>
          <w:rFonts w:asciiTheme="minorHAnsi" w:hAnsiTheme="minorHAnsi"/>
          <w:sz w:val="22"/>
          <w:szCs w:val="22"/>
          <w:lang w:val="fr-FR"/>
        </w:rPr>
      </w:pPr>
    </w:p>
    <w:p w:rsidR="0001533C" w:rsidRPr="003715B5" w:rsidRDefault="006F4B83" w:rsidP="006F4B83">
      <w:pPr>
        <w:pStyle w:val="Heading2"/>
        <w:ind w:left="0"/>
        <w:rPr>
          <w:rFonts w:asciiTheme="minorHAnsi" w:hAnsiTheme="minorHAnsi" w:cs="Garamond"/>
          <w:b w:val="0"/>
          <w:bCs w:val="0"/>
          <w:sz w:val="22"/>
          <w:szCs w:val="22"/>
          <w:lang w:val="fr-FR"/>
        </w:rPr>
      </w:pPr>
      <w:r w:rsidRPr="003715B5">
        <w:rPr>
          <w:rFonts w:asciiTheme="minorHAnsi" w:hAnsiTheme="minorHAnsi"/>
          <w:sz w:val="22"/>
          <w:szCs w:val="22"/>
          <w:lang w:val="fr-FR"/>
        </w:rPr>
        <w:t xml:space="preserve">Comment améliorer le lien entre les politiques nationales relatives à l’eau et d’autres stratégies nationales </w:t>
      </w:r>
      <w:r w:rsidR="00685C6C" w:rsidRPr="003715B5">
        <w:rPr>
          <w:rFonts w:asciiTheme="minorHAnsi" w:hAnsiTheme="minorHAnsi"/>
          <w:b w:val="0"/>
          <w:sz w:val="22"/>
          <w:szCs w:val="22"/>
          <w:lang w:val="fr-FR"/>
        </w:rPr>
        <w:t>(G</w:t>
      </w:r>
      <w:r w:rsidR="00FF73FE" w:rsidRPr="003715B5">
        <w:rPr>
          <w:rFonts w:asciiTheme="minorHAnsi" w:hAnsiTheme="minorHAnsi"/>
          <w:b w:val="0"/>
          <w:sz w:val="22"/>
          <w:szCs w:val="22"/>
          <w:lang w:val="fr-FR"/>
        </w:rPr>
        <w:t>)</w:t>
      </w:r>
    </w:p>
    <w:p w:rsidR="0001533C" w:rsidRPr="003715B5" w:rsidRDefault="0001533C" w:rsidP="00E41376">
      <w:pPr>
        <w:rPr>
          <w:rFonts w:eastAsia="Garamond" w:cs="Garamond"/>
          <w:lang w:val="fr-FR"/>
        </w:rPr>
      </w:pPr>
    </w:p>
    <w:p w:rsidR="0001533C" w:rsidRPr="003715B5" w:rsidRDefault="00C36BF2" w:rsidP="00E41376">
      <w:pPr>
        <w:pStyle w:val="BodyText"/>
        <w:numPr>
          <w:ilvl w:val="0"/>
          <w:numId w:val="7"/>
        </w:numPr>
        <w:ind w:left="426" w:hanging="426"/>
        <w:rPr>
          <w:rFonts w:asciiTheme="minorHAnsi" w:hAnsiTheme="minorHAnsi"/>
          <w:sz w:val="22"/>
          <w:szCs w:val="22"/>
          <w:lang w:val="fr-FR"/>
        </w:rPr>
      </w:pPr>
      <w:r w:rsidRPr="003715B5">
        <w:rPr>
          <w:rFonts w:asciiTheme="minorHAnsi" w:hAnsiTheme="minorHAnsi"/>
          <w:sz w:val="22"/>
          <w:szCs w:val="22"/>
          <w:lang w:val="fr-FR"/>
        </w:rPr>
        <w:lastRenderedPageBreak/>
        <w:t>Il est essentiel que l</w:t>
      </w:r>
      <w:r w:rsidR="006069A7" w:rsidRPr="003715B5">
        <w:rPr>
          <w:rFonts w:asciiTheme="minorHAnsi" w:hAnsiTheme="minorHAnsi"/>
          <w:sz w:val="22"/>
          <w:szCs w:val="22"/>
          <w:lang w:val="fr-FR"/>
        </w:rPr>
        <w:t xml:space="preserve">es acteurs </w:t>
      </w:r>
      <w:r w:rsidR="00FF73FE" w:rsidRPr="003715B5">
        <w:rPr>
          <w:rFonts w:asciiTheme="minorHAnsi" w:hAnsiTheme="minorHAnsi"/>
          <w:sz w:val="22"/>
          <w:szCs w:val="22"/>
          <w:lang w:val="fr-FR"/>
        </w:rPr>
        <w:t xml:space="preserve">Ramsar </w:t>
      </w:r>
      <w:r w:rsidRPr="003715B5">
        <w:rPr>
          <w:rFonts w:asciiTheme="minorHAnsi" w:hAnsiTheme="minorHAnsi"/>
          <w:sz w:val="22"/>
          <w:szCs w:val="22"/>
          <w:lang w:val="fr-FR"/>
        </w:rPr>
        <w:t>se servent des questions relatives à l’eau comme d’un lien pour établir des partenariats efficaces et contribuer à d’autres programmes et politiques</w:t>
      </w:r>
      <w:r w:rsidR="008B1018" w:rsidRPr="003715B5">
        <w:rPr>
          <w:rFonts w:asciiTheme="minorHAnsi" w:hAnsiTheme="minorHAnsi"/>
          <w:sz w:val="22"/>
          <w:szCs w:val="22"/>
          <w:lang w:val="fr-FR"/>
        </w:rPr>
        <w:t xml:space="preserve">. </w:t>
      </w:r>
      <w:r w:rsidRPr="003715B5">
        <w:rPr>
          <w:rFonts w:asciiTheme="minorHAnsi" w:hAnsiTheme="minorHAnsi"/>
          <w:sz w:val="22"/>
          <w:szCs w:val="22"/>
          <w:lang w:val="fr-FR"/>
        </w:rPr>
        <w:t xml:space="preserve">Il importe d’intégrer l’approche Ramsar fondée sur les écosystèmes dans les politiques nationales de gestion des ressources en eau et dans celles découlant de la Directive-cadre sur l’eau </w:t>
      </w:r>
      <w:r w:rsidR="000C3C87" w:rsidRPr="003715B5">
        <w:rPr>
          <w:rFonts w:asciiTheme="minorHAnsi" w:hAnsiTheme="minorHAnsi"/>
          <w:sz w:val="22"/>
          <w:szCs w:val="22"/>
          <w:lang w:val="fr-FR"/>
        </w:rPr>
        <w:t xml:space="preserve">et de la directive Inondations </w:t>
      </w:r>
      <w:r w:rsidRPr="003715B5">
        <w:rPr>
          <w:rFonts w:asciiTheme="minorHAnsi" w:hAnsiTheme="minorHAnsi"/>
          <w:sz w:val="22"/>
          <w:szCs w:val="22"/>
          <w:lang w:val="fr-FR"/>
        </w:rPr>
        <w:t>de l’Union européenne.</w:t>
      </w:r>
      <w:r w:rsidR="00C6345A" w:rsidRPr="003715B5">
        <w:rPr>
          <w:rFonts w:asciiTheme="minorHAnsi" w:hAnsiTheme="minorHAnsi"/>
          <w:sz w:val="22"/>
          <w:szCs w:val="22"/>
          <w:lang w:val="fr-FR"/>
        </w:rPr>
        <w:t xml:space="preserve"> </w:t>
      </w:r>
      <w:r w:rsidR="006C3654" w:rsidRPr="003715B5">
        <w:rPr>
          <w:rFonts w:asciiTheme="minorHAnsi" w:hAnsiTheme="minorHAnsi"/>
          <w:sz w:val="22"/>
          <w:szCs w:val="22"/>
          <w:lang w:val="fr-FR"/>
        </w:rPr>
        <w:t xml:space="preserve">Il convient de traiter des questions Ramsar dans le cadre de la planification relative aux bassins hydrographiques, des stratégies de développement et des plans d’aménagement régionaux, des Stratégies et Plans d’action nationaux pour la biodiversité et des stratégies sur les aires protégées, y compris le réseau de l’UE de sites naturels protégés Natura 2000. </w:t>
      </w:r>
      <w:r w:rsidR="006069A7" w:rsidRPr="003715B5">
        <w:rPr>
          <w:rFonts w:asciiTheme="minorHAnsi" w:hAnsiTheme="minorHAnsi"/>
          <w:sz w:val="22"/>
          <w:szCs w:val="22"/>
          <w:lang w:val="fr-FR"/>
        </w:rPr>
        <w:t xml:space="preserve">Les travaux devraient </w:t>
      </w:r>
      <w:r w:rsidR="006C3654" w:rsidRPr="003715B5">
        <w:rPr>
          <w:rFonts w:asciiTheme="minorHAnsi" w:hAnsiTheme="minorHAnsi"/>
          <w:sz w:val="22"/>
          <w:szCs w:val="22"/>
          <w:lang w:val="fr-FR"/>
        </w:rPr>
        <w:t>essentiellement porter</w:t>
      </w:r>
      <w:r w:rsidR="006069A7" w:rsidRPr="003715B5">
        <w:rPr>
          <w:rFonts w:asciiTheme="minorHAnsi" w:hAnsiTheme="minorHAnsi"/>
          <w:sz w:val="22"/>
          <w:szCs w:val="22"/>
          <w:lang w:val="fr-FR"/>
        </w:rPr>
        <w:t xml:space="preserve"> sur des questions pratiques pour faciliter la coopération intersectorielle, par exemple </w:t>
      </w:r>
      <w:r w:rsidR="005E1451" w:rsidRPr="003715B5">
        <w:rPr>
          <w:rFonts w:asciiTheme="minorHAnsi" w:hAnsiTheme="minorHAnsi"/>
          <w:sz w:val="22"/>
          <w:szCs w:val="22"/>
          <w:lang w:val="fr-FR"/>
        </w:rPr>
        <w:t>sur</w:t>
      </w:r>
      <w:r w:rsidR="006069A7" w:rsidRPr="003715B5">
        <w:rPr>
          <w:rFonts w:asciiTheme="minorHAnsi" w:hAnsiTheme="minorHAnsi"/>
          <w:sz w:val="22"/>
          <w:szCs w:val="22"/>
          <w:lang w:val="fr-FR"/>
        </w:rPr>
        <w:t xml:space="preserve"> les évaluations environnementales stratégiques, la gestion des sites, la planification de l’utilisation des sols et la valorisation des services écosystémiques</w:t>
      </w:r>
      <w:r w:rsidR="00FF73FE" w:rsidRPr="003715B5">
        <w:rPr>
          <w:rFonts w:asciiTheme="minorHAnsi" w:hAnsiTheme="minorHAnsi"/>
          <w:sz w:val="22"/>
          <w:szCs w:val="22"/>
          <w:lang w:val="fr-FR"/>
        </w:rPr>
        <w:t>.</w:t>
      </w:r>
    </w:p>
    <w:p w:rsidR="0001533C" w:rsidRPr="003715B5" w:rsidRDefault="0001533C" w:rsidP="00E41376">
      <w:pPr>
        <w:rPr>
          <w:rFonts w:eastAsia="Garamond" w:cs="Garamond"/>
          <w:lang w:val="fr-FR"/>
        </w:rPr>
      </w:pPr>
    </w:p>
    <w:p w:rsidR="0001533C" w:rsidRPr="003715B5" w:rsidRDefault="006F4B83" w:rsidP="00E41376">
      <w:pPr>
        <w:pStyle w:val="Heading2"/>
        <w:ind w:left="0"/>
        <w:rPr>
          <w:rFonts w:asciiTheme="minorHAnsi" w:hAnsiTheme="minorHAnsi" w:cs="Garamond"/>
          <w:b w:val="0"/>
          <w:bCs w:val="0"/>
          <w:sz w:val="22"/>
          <w:szCs w:val="22"/>
          <w:lang w:val="fr-FR"/>
        </w:rPr>
      </w:pPr>
      <w:r w:rsidRPr="003715B5">
        <w:rPr>
          <w:rFonts w:asciiTheme="minorHAnsi" w:hAnsiTheme="minorHAnsi"/>
          <w:sz w:val="22"/>
          <w:szCs w:val="22"/>
          <w:lang w:val="fr-FR"/>
        </w:rPr>
        <w:t>Commentaires d’ordre général sur l’application de la Convention de Ramsar</w:t>
      </w:r>
      <w:r w:rsidR="00FF73FE" w:rsidRPr="003715B5">
        <w:rPr>
          <w:rFonts w:asciiTheme="minorHAnsi" w:hAnsiTheme="minorHAnsi"/>
          <w:sz w:val="22"/>
          <w:szCs w:val="22"/>
          <w:lang w:val="fr-FR"/>
        </w:rPr>
        <w:t xml:space="preserve"> </w:t>
      </w:r>
      <w:r w:rsidR="008B1018" w:rsidRPr="003715B5">
        <w:rPr>
          <w:rFonts w:asciiTheme="minorHAnsi" w:hAnsiTheme="minorHAnsi"/>
          <w:b w:val="0"/>
          <w:sz w:val="22"/>
          <w:szCs w:val="22"/>
          <w:lang w:val="fr-FR"/>
        </w:rPr>
        <w:t>(H</w:t>
      </w:r>
      <w:r w:rsidR="00FF73FE" w:rsidRPr="003715B5">
        <w:rPr>
          <w:rFonts w:asciiTheme="minorHAnsi" w:hAnsiTheme="minorHAnsi"/>
          <w:b w:val="0"/>
          <w:sz w:val="22"/>
          <w:szCs w:val="22"/>
          <w:lang w:val="fr-FR"/>
        </w:rPr>
        <w:t>)</w:t>
      </w:r>
    </w:p>
    <w:p w:rsidR="0001533C" w:rsidRPr="003715B5" w:rsidRDefault="0001533C" w:rsidP="00E41376">
      <w:pPr>
        <w:rPr>
          <w:rFonts w:eastAsia="Garamond" w:cs="Garamond"/>
          <w:lang w:val="fr-FR"/>
        </w:rPr>
      </w:pPr>
    </w:p>
    <w:p w:rsidR="00507F0A" w:rsidRPr="003715B5" w:rsidRDefault="008A255B" w:rsidP="00E41376">
      <w:pPr>
        <w:pStyle w:val="BodyText"/>
        <w:numPr>
          <w:ilvl w:val="0"/>
          <w:numId w:val="7"/>
        </w:numPr>
        <w:ind w:left="426" w:hanging="426"/>
        <w:rPr>
          <w:rFonts w:asciiTheme="minorHAnsi" w:hAnsiTheme="minorHAnsi"/>
          <w:sz w:val="22"/>
          <w:szCs w:val="22"/>
          <w:lang w:val="fr-FR"/>
        </w:rPr>
      </w:pPr>
      <w:r w:rsidRPr="003715B5">
        <w:rPr>
          <w:rFonts w:asciiTheme="minorHAnsi" w:hAnsiTheme="minorHAnsi"/>
          <w:sz w:val="22"/>
          <w:szCs w:val="22"/>
          <w:lang w:val="fr-FR"/>
        </w:rPr>
        <w:t>Il est proposé d’organiser un plus grand nombre d’ateliers pour partager des données d’expérience et des meilleures pratiques au niveau européen et infrarégional, de façon à améliorer la mise en application des décisio</w:t>
      </w:r>
      <w:r w:rsidR="00C51390" w:rsidRPr="003715B5">
        <w:rPr>
          <w:rFonts w:asciiTheme="minorHAnsi" w:hAnsiTheme="minorHAnsi"/>
          <w:sz w:val="22"/>
          <w:szCs w:val="22"/>
          <w:lang w:val="fr-FR"/>
        </w:rPr>
        <w:t>ns de la COP au niveau national</w:t>
      </w:r>
      <w:r w:rsidRPr="003715B5">
        <w:rPr>
          <w:rFonts w:asciiTheme="minorHAnsi" w:hAnsiTheme="minorHAnsi"/>
          <w:sz w:val="22"/>
          <w:szCs w:val="22"/>
          <w:lang w:val="fr-FR"/>
        </w:rPr>
        <w:t xml:space="preserve">; d’utiliser les objectifs Ramsar dans le cadre d’approches internationales le long de voies de migration ou de couloirs de migration </w:t>
      </w:r>
      <w:r w:rsidR="000E6969" w:rsidRPr="003715B5">
        <w:rPr>
          <w:rFonts w:asciiTheme="minorHAnsi" w:hAnsiTheme="minorHAnsi"/>
          <w:sz w:val="22"/>
          <w:szCs w:val="22"/>
          <w:lang w:val="fr-FR"/>
        </w:rPr>
        <w:t>d’</w:t>
      </w:r>
      <w:r w:rsidRPr="003715B5">
        <w:rPr>
          <w:rFonts w:asciiTheme="minorHAnsi" w:hAnsiTheme="minorHAnsi"/>
          <w:sz w:val="22"/>
          <w:szCs w:val="22"/>
          <w:lang w:val="fr-FR"/>
        </w:rPr>
        <w:t xml:space="preserve">oiseaux </w:t>
      </w:r>
      <w:r w:rsidR="000E6969" w:rsidRPr="003715B5">
        <w:rPr>
          <w:rFonts w:asciiTheme="minorHAnsi" w:hAnsiTheme="minorHAnsi"/>
          <w:sz w:val="22"/>
          <w:szCs w:val="22"/>
          <w:lang w:val="fr-FR"/>
        </w:rPr>
        <w:t>et de mettre en avant la dimension transfrontalière des approches relatives aux zones humides et aux bassins versants;</w:t>
      </w:r>
      <w:r w:rsidR="00BC02BE" w:rsidRPr="003715B5">
        <w:rPr>
          <w:rFonts w:asciiTheme="minorHAnsi" w:hAnsiTheme="minorHAnsi"/>
          <w:sz w:val="22"/>
          <w:szCs w:val="22"/>
          <w:lang w:val="fr-FR"/>
        </w:rPr>
        <w:t xml:space="preserve"> </w:t>
      </w:r>
      <w:r w:rsidR="000E6969" w:rsidRPr="003715B5">
        <w:rPr>
          <w:rFonts w:asciiTheme="minorHAnsi" w:hAnsiTheme="minorHAnsi"/>
          <w:sz w:val="22"/>
          <w:szCs w:val="22"/>
          <w:lang w:val="fr-FR"/>
        </w:rPr>
        <w:t xml:space="preserve">d’exploiter les résultats de l’Évaluation de la biodiversité de l'Arctique </w:t>
      </w:r>
      <w:r w:rsidR="004A6140" w:rsidRPr="003715B5">
        <w:rPr>
          <w:rFonts w:asciiTheme="minorHAnsi" w:hAnsiTheme="minorHAnsi"/>
          <w:sz w:val="22"/>
          <w:szCs w:val="22"/>
          <w:lang w:val="fr-FR"/>
        </w:rPr>
        <w:t xml:space="preserve">pour mener des activités de suivi en Arctique et au-delà, par exemple le long de voies de migration; </w:t>
      </w:r>
      <w:r w:rsidR="008243A5" w:rsidRPr="003715B5">
        <w:rPr>
          <w:rFonts w:asciiTheme="minorHAnsi" w:hAnsiTheme="minorHAnsi"/>
          <w:sz w:val="22"/>
          <w:szCs w:val="22"/>
          <w:lang w:val="fr-FR"/>
        </w:rPr>
        <w:t>d’</w:t>
      </w:r>
      <w:r w:rsidR="004A6140" w:rsidRPr="003715B5">
        <w:rPr>
          <w:rFonts w:asciiTheme="minorHAnsi" w:hAnsiTheme="minorHAnsi"/>
          <w:sz w:val="22"/>
          <w:szCs w:val="22"/>
          <w:lang w:val="fr-FR"/>
        </w:rPr>
        <w:t xml:space="preserve">envisager de désigner des Correspondants nationaux Ramsar chargés des questions liées à l’utilisation des ressources en eau pour accroître la sensibilisation à la nécessité de </w:t>
      </w:r>
      <w:r w:rsidR="00BC02BE" w:rsidRPr="003715B5">
        <w:rPr>
          <w:rFonts w:asciiTheme="minorHAnsi" w:hAnsiTheme="minorHAnsi"/>
          <w:sz w:val="22"/>
          <w:szCs w:val="22"/>
          <w:lang w:val="fr-FR"/>
        </w:rPr>
        <w:t xml:space="preserve">trouver et de mettre en pratique des solutions socioéconomiques durables; </w:t>
      </w:r>
      <w:r w:rsidR="008243A5" w:rsidRPr="003715B5">
        <w:rPr>
          <w:rFonts w:asciiTheme="minorHAnsi" w:hAnsiTheme="minorHAnsi"/>
          <w:sz w:val="22"/>
          <w:szCs w:val="22"/>
          <w:lang w:val="fr-FR"/>
        </w:rPr>
        <w:t xml:space="preserve">de </w:t>
      </w:r>
      <w:r w:rsidR="00BC02BE" w:rsidRPr="003715B5">
        <w:rPr>
          <w:rFonts w:asciiTheme="minorHAnsi" w:hAnsiTheme="minorHAnsi"/>
          <w:sz w:val="22"/>
          <w:szCs w:val="22"/>
          <w:lang w:val="fr-FR"/>
        </w:rPr>
        <w:t>garantir aux Sites Ramsar une plus grande protection juridique au niveau national et, ce faisant, faciliter également l’obtention de fonds en faveur de leur gestion.</w:t>
      </w:r>
    </w:p>
    <w:p w:rsidR="00404278" w:rsidRPr="003715B5" w:rsidRDefault="00404278" w:rsidP="00E41376">
      <w:pPr>
        <w:pStyle w:val="Heading1"/>
        <w:ind w:left="0"/>
        <w:rPr>
          <w:rFonts w:asciiTheme="minorHAnsi" w:hAnsiTheme="minorHAnsi"/>
          <w:sz w:val="24"/>
          <w:szCs w:val="24"/>
          <w:lang w:val="fr-FR"/>
        </w:rPr>
      </w:pPr>
    </w:p>
    <w:p w:rsidR="0001533C" w:rsidRPr="003715B5" w:rsidRDefault="006F4B83" w:rsidP="00E41376">
      <w:pPr>
        <w:pStyle w:val="Heading1"/>
        <w:ind w:left="0"/>
        <w:rPr>
          <w:rFonts w:asciiTheme="minorHAnsi" w:hAnsiTheme="minorHAnsi"/>
          <w:b w:val="0"/>
          <w:bCs w:val="0"/>
          <w:sz w:val="24"/>
          <w:szCs w:val="24"/>
          <w:lang w:val="fr-FR"/>
        </w:rPr>
      </w:pPr>
      <w:r w:rsidRPr="003715B5">
        <w:rPr>
          <w:rFonts w:asciiTheme="minorHAnsi" w:hAnsiTheme="minorHAnsi"/>
          <w:sz w:val="24"/>
          <w:szCs w:val="24"/>
          <w:lang w:val="fr-FR"/>
        </w:rPr>
        <w:t>Activités d’application entreprises depuis la</w:t>
      </w:r>
      <w:r w:rsidR="00FF73FE" w:rsidRPr="003715B5">
        <w:rPr>
          <w:rFonts w:asciiTheme="minorHAnsi" w:hAnsiTheme="minorHAnsi"/>
          <w:sz w:val="24"/>
          <w:szCs w:val="24"/>
          <w:lang w:val="fr-FR"/>
        </w:rPr>
        <w:t xml:space="preserve"> </w:t>
      </w:r>
      <w:r w:rsidR="004E465B" w:rsidRPr="003715B5">
        <w:rPr>
          <w:rFonts w:asciiTheme="minorHAnsi" w:hAnsiTheme="minorHAnsi"/>
          <w:sz w:val="24"/>
          <w:szCs w:val="24"/>
          <w:lang w:val="fr-FR"/>
        </w:rPr>
        <w:t>COP11</w:t>
      </w:r>
    </w:p>
    <w:p w:rsidR="0001533C" w:rsidRPr="003715B5" w:rsidRDefault="0001533C" w:rsidP="00E41376">
      <w:pPr>
        <w:rPr>
          <w:rFonts w:eastAsia="Garamond" w:cs="Garamond"/>
          <w:b/>
          <w:bCs/>
          <w:lang w:val="fr-FR"/>
        </w:rPr>
      </w:pPr>
    </w:p>
    <w:p w:rsidR="002F51DE" w:rsidRPr="003715B5" w:rsidRDefault="002F51DE" w:rsidP="002F51DE">
      <w:pPr>
        <w:pStyle w:val="BodyText"/>
        <w:numPr>
          <w:ilvl w:val="0"/>
          <w:numId w:val="7"/>
        </w:numPr>
        <w:ind w:left="426" w:hanging="426"/>
        <w:rPr>
          <w:rFonts w:ascii="Times New Roman" w:eastAsia="Times New Roman" w:hAnsi="Times New Roman" w:cs="Times New Roman"/>
          <w:szCs w:val="22"/>
          <w:lang w:val="fr-FR" w:eastAsia="fr-FR"/>
        </w:rPr>
      </w:pPr>
      <w:r w:rsidRPr="003715B5">
        <w:rPr>
          <w:rFonts w:asciiTheme="minorHAnsi" w:hAnsiTheme="minorHAnsi"/>
          <w:sz w:val="22"/>
          <w:szCs w:val="22"/>
          <w:lang w:val="fr-FR"/>
        </w:rPr>
        <w:t>Les thèmes ci-dessous présentés répondent à la structure du Plan stratégique Ramsar 2009-2015 (adopté dans la Résolution X.1). Dans la mesure du possible, l’évolution de l’application de la Convention est analysée en comparant les stratégies et les indicateurs fournis dans les Rapports nationaux à des sessions précédentes de la COP avec des informations fournies pour la COP12</w:t>
      </w:r>
      <w:r w:rsidRPr="003715B5">
        <w:rPr>
          <w:rFonts w:ascii="Times New Roman" w:eastAsia="Times New Roman" w:hAnsi="Times New Roman" w:cs="Times New Roman"/>
          <w:szCs w:val="22"/>
          <w:lang w:val="fr-FR" w:eastAsia="fr-FR"/>
        </w:rPr>
        <w:t xml:space="preserve">. </w:t>
      </w:r>
    </w:p>
    <w:p w:rsidR="002F51DE" w:rsidRPr="003715B5" w:rsidRDefault="002F51DE" w:rsidP="002F51DE">
      <w:pPr>
        <w:pStyle w:val="BodyText"/>
        <w:rPr>
          <w:rFonts w:asciiTheme="minorHAnsi" w:hAnsiTheme="minorHAnsi"/>
          <w:sz w:val="22"/>
          <w:szCs w:val="22"/>
          <w:lang w:val="fr-FR"/>
        </w:rPr>
      </w:pPr>
    </w:p>
    <w:p w:rsidR="0001533C" w:rsidRPr="003715B5" w:rsidRDefault="003F124C" w:rsidP="007776D0">
      <w:pPr>
        <w:rPr>
          <w:rFonts w:eastAsia="Garamond" w:cs="Garamond"/>
          <w:sz w:val="24"/>
          <w:szCs w:val="24"/>
          <w:lang w:val="fr-FR"/>
        </w:rPr>
      </w:pPr>
      <w:r w:rsidRPr="003F124C">
        <w:rPr>
          <w:rFonts w:eastAsia="Garamond" w:cs="Garamond"/>
          <w:noProof/>
          <w:sz w:val="24"/>
          <w:szCs w:val="24"/>
          <w:lang w:val="fr-FR" w:eastAsia="en-GB"/>
        </w:rPr>
      </w:r>
      <w:r>
        <w:rPr>
          <w:rFonts w:eastAsia="Garamond" w:cs="Garamond"/>
          <w:noProof/>
          <w:sz w:val="24"/>
          <w:szCs w:val="24"/>
          <w:lang w:val="fr-FR" w:eastAsia="en-GB"/>
        </w:rPr>
        <w:pict>
          <v:shape id="Text Box 8159" o:spid="_x0000_s1089" type="#_x0000_t202" style="width:454.4pt;height:17pt;visibility:visible;mso-left-percent:-10001;mso-top-percent:-10001;mso-position-horizontal:absolute;mso-position-horizontal-relative:char;mso-position-vertical:absolute;mso-position-vertical-relative:line;mso-left-percent:-10001;mso-top-percent:-10001" fillcolor="#fbd4b4" stroked="f">
            <v:textbox inset="0,0,0,0">
              <w:txbxContent>
                <w:p w:rsidR="001B043A" w:rsidRPr="00BC02BE" w:rsidRDefault="001B043A" w:rsidP="006F4B83">
                  <w:pPr>
                    <w:rPr>
                      <w:szCs w:val="24"/>
                      <w:lang w:val="fr-FR"/>
                    </w:rPr>
                  </w:pPr>
                  <w:r w:rsidRPr="00BC02BE">
                    <w:rPr>
                      <w:b/>
                      <w:spacing w:val="-1"/>
                      <w:sz w:val="24"/>
                      <w:lang w:val="fr-FR"/>
                    </w:rPr>
                    <w:t>OBJECTIF 1 : Utilisation rationnelle des zones humides</w:t>
                  </w:r>
                </w:p>
              </w:txbxContent>
            </v:textbox>
            <w10:wrap type="none"/>
            <w10:anchorlock/>
          </v:shape>
        </w:pict>
      </w:r>
    </w:p>
    <w:p w:rsidR="0001533C" w:rsidRPr="003715B5" w:rsidRDefault="0001533C" w:rsidP="007776D0">
      <w:pPr>
        <w:rPr>
          <w:rFonts w:eastAsia="Garamond" w:cs="Garamond"/>
          <w:lang w:val="fr-FR"/>
        </w:rPr>
      </w:pPr>
    </w:p>
    <w:p w:rsidR="0001533C" w:rsidRPr="003715B5" w:rsidRDefault="00636477" w:rsidP="007776D0">
      <w:pPr>
        <w:rPr>
          <w:rFonts w:eastAsia="Garamond" w:cs="Garamond"/>
          <w:color w:val="FF0000"/>
          <w:lang w:val="fr-FR"/>
        </w:rPr>
      </w:pPr>
      <w:r w:rsidRPr="003715B5">
        <w:rPr>
          <w:b/>
          <w:lang w:val="fr-FR"/>
        </w:rPr>
        <w:t>Inventaires nationaux des zones humides et évaluation</w:t>
      </w:r>
      <w:r w:rsidR="00FF73FE" w:rsidRPr="003715B5">
        <w:rPr>
          <w:b/>
          <w:lang w:val="fr-FR"/>
        </w:rPr>
        <w:t xml:space="preserve"> </w:t>
      </w:r>
      <w:r w:rsidRPr="003715B5">
        <w:rPr>
          <w:i/>
          <w:lang w:val="fr-FR"/>
        </w:rPr>
        <w:t>(Stratégie </w:t>
      </w:r>
      <w:r w:rsidR="00FF73FE" w:rsidRPr="003715B5">
        <w:rPr>
          <w:i/>
          <w:lang w:val="fr-FR"/>
        </w:rPr>
        <w:t>1.1)</w:t>
      </w:r>
      <w:r w:rsidR="0025741B" w:rsidRPr="003715B5">
        <w:rPr>
          <w:i/>
          <w:lang w:val="fr-FR"/>
        </w:rPr>
        <w:t xml:space="preserve"> </w:t>
      </w:r>
    </w:p>
    <w:p w:rsidR="0001533C" w:rsidRPr="003715B5" w:rsidRDefault="0001533C" w:rsidP="007776D0">
      <w:pPr>
        <w:rPr>
          <w:rFonts w:eastAsia="Garamond" w:cs="Garamond"/>
          <w:i/>
          <w:lang w:val="fr-FR"/>
        </w:rPr>
      </w:pPr>
    </w:p>
    <w:p w:rsidR="00636477" w:rsidRPr="003715B5" w:rsidRDefault="00636477" w:rsidP="00636477">
      <w:pPr>
        <w:pStyle w:val="BodyText"/>
        <w:numPr>
          <w:ilvl w:val="0"/>
          <w:numId w:val="7"/>
        </w:numPr>
        <w:ind w:left="426" w:right="172" w:hanging="426"/>
        <w:rPr>
          <w:rFonts w:asciiTheme="minorHAnsi" w:hAnsiTheme="minorHAnsi"/>
          <w:sz w:val="22"/>
          <w:szCs w:val="22"/>
          <w:lang w:val="fr-FR"/>
        </w:rPr>
      </w:pPr>
      <w:r w:rsidRPr="003715B5">
        <w:rPr>
          <w:rFonts w:asciiTheme="minorHAnsi" w:eastAsia="Times New Roman" w:hAnsiTheme="minorHAnsi" w:cs="Times New Roman"/>
          <w:sz w:val="22"/>
          <w:szCs w:val="22"/>
          <w:lang w:val="fr-FR" w:eastAsia="fr-FR"/>
        </w:rPr>
        <w:t xml:space="preserve">Déjà en 1980, la première session de la Conférence des Parties (COP1) recommandait d’établir des inventaires des zones humides « en tant qu’aide à l’élaboration et à la mise en vigueur de politiques nationales pour les zones humides » (Recommandation 1.5). En 2002 (à la COP8), l’adoption d’un </w:t>
      </w:r>
      <w:r w:rsidRPr="003715B5">
        <w:rPr>
          <w:rFonts w:asciiTheme="minorHAnsi" w:eastAsia="Times New Roman" w:hAnsiTheme="minorHAnsi" w:cs="Times New Roman"/>
          <w:i/>
          <w:sz w:val="22"/>
          <w:szCs w:val="22"/>
          <w:lang w:val="fr-FR" w:eastAsia="fr-FR"/>
        </w:rPr>
        <w:t>Cadre Ramsar pour l’inventaire des zones humides</w:t>
      </w:r>
      <w:r w:rsidR="008243A5" w:rsidRPr="003715B5">
        <w:rPr>
          <w:rFonts w:asciiTheme="minorHAnsi" w:eastAsia="Times New Roman" w:hAnsiTheme="minorHAnsi" w:cs="Times New Roman"/>
          <w:sz w:val="22"/>
          <w:szCs w:val="22"/>
          <w:lang w:val="fr-FR" w:eastAsia="fr-FR"/>
        </w:rPr>
        <w:t xml:space="preserve"> (Résolution </w:t>
      </w:r>
      <w:r w:rsidRPr="003715B5">
        <w:rPr>
          <w:rFonts w:asciiTheme="minorHAnsi" w:eastAsia="Times New Roman" w:hAnsiTheme="minorHAnsi" w:cs="Times New Roman"/>
          <w:sz w:val="22"/>
          <w:szCs w:val="22"/>
          <w:lang w:val="fr-FR" w:eastAsia="fr-FR"/>
        </w:rPr>
        <w:t>VIII.6) marqua le début de nombreuses acti</w:t>
      </w:r>
      <w:r w:rsidR="008243A5" w:rsidRPr="003715B5">
        <w:rPr>
          <w:rFonts w:asciiTheme="minorHAnsi" w:eastAsia="Times New Roman" w:hAnsiTheme="minorHAnsi" w:cs="Times New Roman"/>
          <w:sz w:val="22"/>
          <w:szCs w:val="22"/>
          <w:lang w:val="fr-FR" w:eastAsia="fr-FR"/>
        </w:rPr>
        <w:t>vités, témoin l’augmentation de </w:t>
      </w:r>
      <w:r w:rsidRPr="003715B5">
        <w:rPr>
          <w:rFonts w:asciiTheme="minorHAnsi" w:eastAsia="Times New Roman" w:hAnsiTheme="minorHAnsi" w:cs="Times New Roman"/>
          <w:sz w:val="22"/>
          <w:szCs w:val="22"/>
          <w:lang w:val="fr-FR" w:eastAsia="fr-FR"/>
        </w:rPr>
        <w:t xml:space="preserve">11 à 20 du nombre de Parties européennes ayant établi un inventaire national des zones humides dans les années suivantes. Mais depuis la COP9, en 2005, le processus stagne, comme il ressort du tableau comparatif figurant en </w:t>
      </w:r>
      <w:r w:rsidRPr="003715B5">
        <w:rPr>
          <w:rFonts w:asciiTheme="minorHAnsi" w:eastAsia="Times New Roman" w:hAnsiTheme="minorHAnsi" w:cs="Times New Roman"/>
          <w:b/>
          <w:sz w:val="22"/>
          <w:szCs w:val="22"/>
          <w:lang w:val="fr-FR" w:eastAsia="fr-FR"/>
        </w:rPr>
        <w:t>annexe 2</w:t>
      </w:r>
      <w:r w:rsidRPr="003715B5">
        <w:rPr>
          <w:rFonts w:asciiTheme="minorHAnsi" w:eastAsia="Times New Roman" w:hAnsiTheme="minorHAnsi" w:cs="Times New Roman"/>
          <w:sz w:val="22"/>
          <w:szCs w:val="22"/>
          <w:lang w:val="fr-FR" w:eastAsia="fr-FR"/>
        </w:rPr>
        <w:t>.</w:t>
      </w:r>
    </w:p>
    <w:p w:rsidR="0001533C" w:rsidRPr="003715B5" w:rsidRDefault="0001533C" w:rsidP="00636477">
      <w:pPr>
        <w:rPr>
          <w:rFonts w:eastAsia="Garamond" w:cs="Garamond"/>
          <w:lang w:val="fr-FR"/>
        </w:rPr>
      </w:pPr>
    </w:p>
    <w:p w:rsidR="00C50B28" w:rsidRPr="003715B5" w:rsidRDefault="00C50B28" w:rsidP="00C50B28">
      <w:pPr>
        <w:pStyle w:val="BodyText"/>
        <w:widowControl/>
        <w:numPr>
          <w:ilvl w:val="0"/>
          <w:numId w:val="7"/>
        </w:numPr>
        <w:ind w:left="426" w:right="211" w:hanging="426"/>
        <w:rPr>
          <w:rFonts w:ascii="Times New Roman" w:eastAsia="Times New Roman" w:hAnsi="Times New Roman" w:cs="Times New Roman"/>
          <w:lang w:val="fr-FR" w:eastAsia="fr-FR"/>
        </w:rPr>
      </w:pPr>
      <w:r w:rsidRPr="003715B5">
        <w:rPr>
          <w:rFonts w:asciiTheme="minorHAnsi" w:hAnsiTheme="minorHAnsi"/>
          <w:sz w:val="22"/>
          <w:szCs w:val="22"/>
          <w:lang w:val="fr-FR"/>
        </w:rPr>
        <w:lastRenderedPageBreak/>
        <w:t>Sur les</w:t>
      </w:r>
      <w:r w:rsidR="00C346C1" w:rsidRPr="003715B5">
        <w:rPr>
          <w:rFonts w:asciiTheme="minorHAnsi" w:hAnsiTheme="minorHAnsi"/>
          <w:sz w:val="22"/>
          <w:szCs w:val="22"/>
          <w:lang w:val="fr-FR"/>
        </w:rPr>
        <w:t xml:space="preserve"> 34</w:t>
      </w:r>
      <w:r w:rsidR="008243A5" w:rsidRPr="003715B5">
        <w:rPr>
          <w:rFonts w:asciiTheme="minorHAnsi" w:hAnsiTheme="minorHAnsi"/>
          <w:sz w:val="22"/>
          <w:szCs w:val="22"/>
          <w:lang w:val="fr-FR"/>
        </w:rPr>
        <w:t> </w:t>
      </w:r>
      <w:r w:rsidRPr="003715B5">
        <w:rPr>
          <w:rFonts w:ascii="Calibri" w:hAnsi="Calibri"/>
          <w:sz w:val="22"/>
          <w:szCs w:val="22"/>
          <w:lang w:val="fr-FR"/>
        </w:rPr>
        <w:t>Rapports nationaux analysés, 22 Parties indiquent avoir terminé leur inventai</w:t>
      </w:r>
      <w:r w:rsidR="003715B5">
        <w:rPr>
          <w:rFonts w:ascii="Calibri" w:hAnsi="Calibri"/>
          <w:sz w:val="22"/>
          <w:szCs w:val="22"/>
          <w:lang w:val="fr-FR"/>
        </w:rPr>
        <w:t>re national des zones humides (I</w:t>
      </w:r>
      <w:r w:rsidRPr="003715B5">
        <w:rPr>
          <w:rFonts w:ascii="Calibri" w:hAnsi="Calibri"/>
          <w:sz w:val="22"/>
          <w:szCs w:val="22"/>
          <w:lang w:val="fr-FR"/>
        </w:rPr>
        <w:t>ndicateur </w:t>
      </w:r>
      <w:r w:rsidR="00FF73FE" w:rsidRPr="003715B5">
        <w:rPr>
          <w:rFonts w:ascii="Calibri" w:hAnsi="Calibri"/>
          <w:sz w:val="22"/>
          <w:szCs w:val="22"/>
          <w:lang w:val="fr-FR"/>
        </w:rPr>
        <w:t xml:space="preserve">1.1.1, </w:t>
      </w:r>
      <w:r w:rsidRPr="003715B5">
        <w:rPr>
          <w:rFonts w:ascii="Calibri" w:hAnsi="Calibri"/>
          <w:sz w:val="22"/>
          <w:szCs w:val="22"/>
          <w:lang w:val="fr-FR"/>
        </w:rPr>
        <w:t>voir</w:t>
      </w:r>
      <w:r w:rsidR="00FF73FE" w:rsidRPr="003715B5">
        <w:rPr>
          <w:rFonts w:ascii="Calibri" w:hAnsi="Calibri"/>
          <w:sz w:val="22"/>
          <w:szCs w:val="22"/>
          <w:lang w:val="fr-FR"/>
        </w:rPr>
        <w:t xml:space="preserve"> </w:t>
      </w:r>
      <w:r w:rsidR="00FF73FE" w:rsidRPr="003715B5">
        <w:rPr>
          <w:rFonts w:ascii="Calibri" w:hAnsi="Calibri"/>
          <w:b/>
          <w:sz w:val="22"/>
          <w:szCs w:val="22"/>
          <w:lang w:val="fr-FR"/>
        </w:rPr>
        <w:t>Annex</w:t>
      </w:r>
      <w:r w:rsidRPr="003715B5">
        <w:rPr>
          <w:rFonts w:ascii="Calibri" w:hAnsi="Calibri"/>
          <w:b/>
          <w:sz w:val="22"/>
          <w:szCs w:val="22"/>
          <w:lang w:val="fr-FR"/>
        </w:rPr>
        <w:t>e </w:t>
      </w:r>
      <w:r w:rsidR="00FF73FE" w:rsidRPr="003715B5">
        <w:rPr>
          <w:rFonts w:ascii="Calibri" w:hAnsi="Calibri"/>
          <w:b/>
          <w:sz w:val="22"/>
          <w:szCs w:val="22"/>
          <w:lang w:val="fr-FR"/>
        </w:rPr>
        <w:t>1</w:t>
      </w:r>
      <w:r w:rsidRPr="003715B5">
        <w:rPr>
          <w:rFonts w:ascii="Calibri" w:hAnsi="Calibri"/>
          <w:sz w:val="22"/>
          <w:szCs w:val="22"/>
          <w:lang w:val="fr-FR"/>
        </w:rPr>
        <w:t>)</w:t>
      </w:r>
      <w:r w:rsidR="00FF73FE" w:rsidRPr="003715B5">
        <w:rPr>
          <w:rFonts w:ascii="Calibri" w:hAnsi="Calibri"/>
          <w:sz w:val="22"/>
          <w:szCs w:val="22"/>
          <w:lang w:val="fr-FR"/>
        </w:rPr>
        <w:t xml:space="preserve"> </w:t>
      </w:r>
      <w:r w:rsidRPr="003715B5">
        <w:rPr>
          <w:rFonts w:ascii="Calibri" w:hAnsi="Calibri"/>
          <w:sz w:val="22"/>
          <w:szCs w:val="22"/>
          <w:lang w:val="fr-FR"/>
        </w:rPr>
        <w:t>et conserver des données et informations d’inventaire qu’elles mettent à la di</w:t>
      </w:r>
      <w:r w:rsidR="008243A5" w:rsidRPr="003715B5">
        <w:rPr>
          <w:rFonts w:ascii="Calibri" w:hAnsi="Calibri"/>
          <w:sz w:val="22"/>
          <w:szCs w:val="22"/>
          <w:lang w:val="fr-FR"/>
        </w:rPr>
        <w:t>sposition de tous les acteurs (</w:t>
      </w:r>
      <w:r w:rsidR="003715B5">
        <w:rPr>
          <w:rFonts w:ascii="Calibri" w:hAnsi="Calibri"/>
          <w:sz w:val="22"/>
          <w:szCs w:val="22"/>
          <w:lang w:val="fr-FR"/>
        </w:rPr>
        <w:t>I</w:t>
      </w:r>
      <w:r w:rsidRPr="003715B5">
        <w:rPr>
          <w:rFonts w:ascii="Calibri" w:hAnsi="Calibri"/>
          <w:sz w:val="22"/>
          <w:szCs w:val="22"/>
          <w:lang w:val="fr-FR"/>
        </w:rPr>
        <w:t>ndicateur 1</w:t>
      </w:r>
      <w:r w:rsidR="008243A5" w:rsidRPr="003715B5">
        <w:rPr>
          <w:rFonts w:ascii="Calibri" w:hAnsi="Calibri"/>
          <w:sz w:val="22"/>
          <w:szCs w:val="22"/>
          <w:lang w:val="fr-FR"/>
        </w:rPr>
        <w:t>.1.2</w:t>
      </w:r>
      <w:r w:rsidRPr="003715B5">
        <w:rPr>
          <w:rFonts w:ascii="Calibri" w:hAnsi="Calibri"/>
          <w:sz w:val="22"/>
          <w:szCs w:val="22"/>
          <w:lang w:val="fr-FR"/>
        </w:rPr>
        <w:t>)</w:t>
      </w:r>
      <w:r w:rsidR="00FF73FE" w:rsidRPr="003715B5">
        <w:rPr>
          <w:rFonts w:asciiTheme="minorHAnsi" w:hAnsiTheme="minorHAnsi"/>
          <w:sz w:val="22"/>
          <w:szCs w:val="22"/>
          <w:lang w:val="fr-FR"/>
        </w:rPr>
        <w:t>.</w:t>
      </w:r>
      <w:r w:rsidRPr="003715B5">
        <w:rPr>
          <w:rFonts w:asciiTheme="minorHAnsi" w:hAnsiTheme="minorHAnsi"/>
          <w:sz w:val="22"/>
          <w:szCs w:val="22"/>
          <w:lang w:val="fr-FR"/>
        </w:rPr>
        <w:t xml:space="preserve"> </w:t>
      </w:r>
      <w:r w:rsidR="003D6555" w:rsidRPr="003715B5">
        <w:rPr>
          <w:rFonts w:asciiTheme="minorHAnsi" w:hAnsiTheme="minorHAnsi"/>
          <w:sz w:val="22"/>
          <w:szCs w:val="22"/>
          <w:lang w:val="fr-FR"/>
        </w:rPr>
        <w:t xml:space="preserve">Si ces pourcentages sont plus élevés que la moyenne mondiale, de nombreuses Parties européennes n’ont toujours pas d’inventaire national exhaustif des zones humides. Compte tenu de l’importance des inventaires comme point de départ </w:t>
      </w:r>
      <w:r w:rsidR="008243A5" w:rsidRPr="003715B5">
        <w:rPr>
          <w:rFonts w:asciiTheme="minorHAnsi" w:hAnsiTheme="minorHAnsi"/>
          <w:sz w:val="22"/>
          <w:szCs w:val="22"/>
          <w:lang w:val="fr-FR"/>
        </w:rPr>
        <w:t>d</w:t>
      </w:r>
      <w:r w:rsidR="003D6555" w:rsidRPr="003715B5">
        <w:rPr>
          <w:rFonts w:asciiTheme="minorHAnsi" w:hAnsiTheme="minorHAnsi"/>
          <w:sz w:val="22"/>
          <w:szCs w:val="22"/>
          <w:lang w:val="fr-FR"/>
        </w:rPr>
        <w:t>es politiques nationales pour les zones humides, les Parties concernées sont vivement encouragées à préparer, compléter et mettre à jour régulièrement des inventaires nationaux des zones humides.</w:t>
      </w:r>
    </w:p>
    <w:p w:rsidR="00C50B28" w:rsidRPr="003715B5" w:rsidRDefault="00C50B28" w:rsidP="003D6555">
      <w:pPr>
        <w:rPr>
          <w:rFonts w:eastAsia="Garamond" w:cs="Garamond"/>
          <w:lang w:val="fr-FR"/>
        </w:rPr>
      </w:pPr>
    </w:p>
    <w:p w:rsidR="0001533C" w:rsidRPr="003715B5" w:rsidRDefault="003D6555" w:rsidP="003D6555">
      <w:pPr>
        <w:pStyle w:val="BodyText"/>
        <w:numPr>
          <w:ilvl w:val="0"/>
          <w:numId w:val="7"/>
        </w:numPr>
        <w:ind w:left="426" w:right="520" w:hanging="426"/>
        <w:rPr>
          <w:lang w:val="fr-FR"/>
        </w:rPr>
      </w:pPr>
      <w:r w:rsidRPr="003715B5">
        <w:rPr>
          <w:rFonts w:asciiTheme="minorHAnsi" w:hAnsiTheme="minorHAnsi"/>
          <w:sz w:val="22"/>
          <w:szCs w:val="22"/>
          <w:lang w:val="fr-FR"/>
        </w:rPr>
        <w:t>Le Secrétariat Ramsar souhaiterait recevoir des informations plus précises sur les inventaires nationaux existants, si possible accompagnées d’une copie des listes de sites inventoriés ou de renseignements sur les moyens d’accéder à ces inventaires par Internet.</w:t>
      </w:r>
    </w:p>
    <w:p w:rsidR="0001533C" w:rsidRPr="003715B5" w:rsidRDefault="0001533C" w:rsidP="001D3494">
      <w:pPr>
        <w:ind w:left="426" w:hanging="426"/>
        <w:rPr>
          <w:rFonts w:eastAsia="Garamond" w:cs="Garamond"/>
          <w:lang w:val="fr-FR"/>
        </w:rPr>
      </w:pPr>
    </w:p>
    <w:p w:rsidR="0001533C" w:rsidRPr="003715B5" w:rsidRDefault="00124CE1" w:rsidP="001D3494">
      <w:pPr>
        <w:pStyle w:val="BodyText"/>
        <w:numPr>
          <w:ilvl w:val="0"/>
          <w:numId w:val="7"/>
        </w:numPr>
        <w:tabs>
          <w:tab w:val="left" w:pos="667"/>
        </w:tabs>
        <w:ind w:left="426" w:right="180" w:hanging="426"/>
        <w:rPr>
          <w:rFonts w:asciiTheme="minorHAnsi" w:hAnsiTheme="minorHAnsi"/>
          <w:sz w:val="22"/>
          <w:szCs w:val="22"/>
          <w:lang w:val="fr-FR"/>
        </w:rPr>
      </w:pPr>
      <w:r w:rsidRPr="003715B5">
        <w:rPr>
          <w:rFonts w:asciiTheme="minorHAnsi" w:hAnsiTheme="minorHAnsi"/>
          <w:sz w:val="22"/>
          <w:szCs w:val="22"/>
          <w:lang w:val="fr-FR"/>
        </w:rPr>
        <w:t xml:space="preserve">Il importe de travailler avec des données d’inventaire des zones humides, de les utiliser et de les mettre à la disposition de tous les acteurs à titre de référence pour évaluer l’état et les tendances des caractéristiques écologiques des zones humides. </w:t>
      </w:r>
      <w:r w:rsidR="00DE6653" w:rsidRPr="003715B5">
        <w:rPr>
          <w:rFonts w:asciiTheme="minorHAnsi" w:hAnsiTheme="minorHAnsi"/>
          <w:sz w:val="22"/>
          <w:szCs w:val="22"/>
          <w:lang w:val="fr-FR"/>
        </w:rPr>
        <w:t>Cette opération réalisée</w:t>
      </w:r>
      <w:r w:rsidRPr="003715B5">
        <w:rPr>
          <w:rFonts w:asciiTheme="minorHAnsi" w:hAnsiTheme="minorHAnsi"/>
          <w:sz w:val="22"/>
          <w:szCs w:val="22"/>
          <w:lang w:val="fr-FR"/>
        </w:rPr>
        <w:t xml:space="preserve">, huit </w:t>
      </w:r>
      <w:r w:rsidR="003715B5">
        <w:rPr>
          <w:rFonts w:asciiTheme="minorHAnsi" w:hAnsiTheme="minorHAnsi"/>
          <w:sz w:val="22"/>
          <w:szCs w:val="22"/>
          <w:lang w:val="fr-FR"/>
        </w:rPr>
        <w:t>Parties européennes signalent (Indicateur </w:t>
      </w:r>
      <w:r w:rsidRPr="003715B5">
        <w:rPr>
          <w:rFonts w:asciiTheme="minorHAnsi" w:hAnsiTheme="minorHAnsi"/>
          <w:sz w:val="22"/>
          <w:szCs w:val="22"/>
          <w:lang w:val="fr-FR"/>
        </w:rPr>
        <w:t xml:space="preserve">1.1.3) que l’état global de leurs Sites Ramsar s’est amélioré en 2014 et deux </w:t>
      </w:r>
      <w:r w:rsidR="00DE6653" w:rsidRPr="003715B5">
        <w:rPr>
          <w:rFonts w:asciiTheme="minorHAnsi" w:hAnsiTheme="minorHAnsi"/>
          <w:sz w:val="22"/>
          <w:szCs w:val="22"/>
          <w:lang w:val="fr-FR"/>
        </w:rPr>
        <w:t xml:space="preserve">(le Danemark, et l’Espagne) </w:t>
      </w:r>
      <w:r w:rsidRPr="003715B5">
        <w:rPr>
          <w:rFonts w:asciiTheme="minorHAnsi" w:hAnsiTheme="minorHAnsi"/>
          <w:sz w:val="22"/>
          <w:szCs w:val="22"/>
          <w:lang w:val="fr-FR"/>
        </w:rPr>
        <w:t>que l’état de leurs autres zones h</w:t>
      </w:r>
      <w:r w:rsidR="00DE6653" w:rsidRPr="003715B5">
        <w:rPr>
          <w:rFonts w:asciiTheme="minorHAnsi" w:hAnsiTheme="minorHAnsi"/>
          <w:sz w:val="22"/>
          <w:szCs w:val="22"/>
          <w:lang w:val="fr-FR"/>
        </w:rPr>
        <w:t xml:space="preserve">umides s’est lui aussi amélioré : </w:t>
      </w:r>
      <w:r w:rsidRPr="003715B5">
        <w:rPr>
          <w:rFonts w:asciiTheme="minorHAnsi" w:hAnsiTheme="minorHAnsi"/>
          <w:sz w:val="22"/>
          <w:szCs w:val="22"/>
          <w:lang w:val="fr-FR"/>
        </w:rPr>
        <w:t xml:space="preserve">l’Albanie, le Bélarus, le Danemark, l’Espagne, l’Estonie, l’Islande, la Lituanie et la Serbie. Elles sont invitées à partager ces « recettes </w:t>
      </w:r>
      <w:r w:rsidR="00DE6653" w:rsidRPr="003715B5">
        <w:rPr>
          <w:rFonts w:asciiTheme="minorHAnsi" w:hAnsiTheme="minorHAnsi"/>
          <w:sz w:val="22"/>
          <w:szCs w:val="22"/>
          <w:lang w:val="fr-FR"/>
        </w:rPr>
        <w:t>du succès </w:t>
      </w:r>
      <w:r w:rsidRPr="003715B5">
        <w:rPr>
          <w:rFonts w:asciiTheme="minorHAnsi" w:hAnsiTheme="minorHAnsi"/>
          <w:sz w:val="22"/>
          <w:szCs w:val="22"/>
          <w:lang w:val="fr-FR"/>
        </w:rPr>
        <w:t>» avec d’autres Parties, notamment avec celles qui font état d’une détérioration de leurs Sites Ramsar et/ou de leurs zones humides en général, à savoir l’Andorre, le Bélarus, la France, la Lettonie, le Liechtenstein, la République de Moldova et la Serbie. Si l’état des zones humides en général s’est détérioré dans le Bélarus et en Serbie, ces deux Parties signalent que l’état de leurs Sites Ramsar s’est amélioré depuis la COP11. Il conviendrait de déterminer quelles mesures appliquées aux Sites Ramsar pourraient être bénéfiques à d’autres zones humides.</w:t>
      </w:r>
    </w:p>
    <w:p w:rsidR="0001533C" w:rsidRPr="003715B5" w:rsidRDefault="0001533C" w:rsidP="007776D0">
      <w:pPr>
        <w:rPr>
          <w:rFonts w:eastAsia="Garamond" w:cs="Garamond"/>
          <w:lang w:val="fr-FR"/>
        </w:rPr>
      </w:pPr>
    </w:p>
    <w:p w:rsidR="0001533C" w:rsidRPr="003715B5" w:rsidRDefault="00124CE1" w:rsidP="007776D0">
      <w:pPr>
        <w:rPr>
          <w:rFonts w:eastAsia="Garamond" w:cs="Garamond"/>
          <w:lang w:val="fr-FR"/>
        </w:rPr>
      </w:pPr>
      <w:r w:rsidRPr="003715B5">
        <w:rPr>
          <w:b/>
          <w:lang w:val="fr-FR"/>
        </w:rPr>
        <w:t>Politique, législation et</w:t>
      </w:r>
      <w:r w:rsidR="00FF73FE" w:rsidRPr="003715B5">
        <w:rPr>
          <w:b/>
          <w:lang w:val="fr-FR"/>
        </w:rPr>
        <w:t xml:space="preserve"> institutions </w:t>
      </w:r>
      <w:r w:rsidRPr="003715B5">
        <w:rPr>
          <w:i/>
          <w:lang w:val="fr-FR"/>
        </w:rPr>
        <w:t>(Stratégie </w:t>
      </w:r>
      <w:r w:rsidR="00FF73FE" w:rsidRPr="003715B5">
        <w:rPr>
          <w:i/>
          <w:lang w:val="fr-FR"/>
        </w:rPr>
        <w:t>1.3)</w:t>
      </w:r>
    </w:p>
    <w:p w:rsidR="0001533C" w:rsidRPr="003715B5" w:rsidRDefault="0001533C" w:rsidP="007776D0">
      <w:pPr>
        <w:rPr>
          <w:rFonts w:eastAsia="Garamond" w:cs="Garamond"/>
          <w:i/>
          <w:lang w:val="fr-FR"/>
        </w:rPr>
      </w:pPr>
    </w:p>
    <w:p w:rsidR="0001533C" w:rsidRPr="003715B5" w:rsidRDefault="00DD4D8D" w:rsidP="004929B7">
      <w:pPr>
        <w:pStyle w:val="BodyText"/>
        <w:numPr>
          <w:ilvl w:val="0"/>
          <w:numId w:val="7"/>
        </w:numPr>
        <w:ind w:left="426" w:right="149" w:hanging="426"/>
        <w:rPr>
          <w:rFonts w:asciiTheme="minorHAnsi" w:hAnsiTheme="minorHAnsi"/>
          <w:sz w:val="22"/>
          <w:szCs w:val="22"/>
          <w:lang w:val="fr-FR"/>
        </w:rPr>
      </w:pPr>
      <w:r w:rsidRPr="003715B5">
        <w:rPr>
          <w:rFonts w:asciiTheme="minorHAnsi" w:hAnsiTheme="minorHAnsi"/>
          <w:sz w:val="22"/>
          <w:szCs w:val="22"/>
          <w:lang w:val="fr-FR"/>
        </w:rPr>
        <w:t>Le Manuel Ramsar 2 (4</w:t>
      </w:r>
      <w:r w:rsidRPr="003715B5">
        <w:rPr>
          <w:rFonts w:asciiTheme="minorHAnsi" w:hAnsiTheme="minorHAnsi"/>
          <w:sz w:val="22"/>
          <w:szCs w:val="22"/>
          <w:vertAlign w:val="superscript"/>
          <w:lang w:val="fr-FR"/>
        </w:rPr>
        <w:t>e</w:t>
      </w:r>
      <w:r w:rsidRPr="003715B5">
        <w:rPr>
          <w:rFonts w:asciiTheme="minorHAnsi" w:hAnsiTheme="minorHAnsi"/>
          <w:sz w:val="22"/>
          <w:szCs w:val="22"/>
          <w:lang w:val="fr-FR"/>
        </w:rPr>
        <w:t xml:space="preserve"> édition, 2010) fournit des lignes directrices pour l’étude des législations et des institutions visant à promouvoir la conservation et l’utilisation rationnelle des zones humid</w:t>
      </w:r>
      <w:r w:rsidR="00DE6653" w:rsidRPr="003715B5">
        <w:rPr>
          <w:rFonts w:asciiTheme="minorHAnsi" w:hAnsiTheme="minorHAnsi"/>
          <w:sz w:val="22"/>
          <w:szCs w:val="22"/>
          <w:lang w:val="fr-FR"/>
        </w:rPr>
        <w:t>es (adoptées dans la Résolution </w:t>
      </w:r>
      <w:r w:rsidRPr="003715B5">
        <w:rPr>
          <w:rFonts w:asciiTheme="minorHAnsi" w:hAnsiTheme="minorHAnsi"/>
          <w:sz w:val="22"/>
          <w:szCs w:val="22"/>
          <w:lang w:val="fr-FR"/>
        </w:rPr>
        <w:t xml:space="preserve">VII.7) </w:t>
      </w:r>
      <w:r w:rsidR="004929B7" w:rsidRPr="003715B5">
        <w:rPr>
          <w:rFonts w:asciiTheme="minorHAnsi" w:hAnsiTheme="minorHAnsi"/>
          <w:sz w:val="22"/>
          <w:szCs w:val="22"/>
          <w:lang w:val="fr-FR"/>
        </w:rPr>
        <w:t>pour</w:t>
      </w:r>
      <w:r w:rsidRPr="003715B5">
        <w:rPr>
          <w:rFonts w:asciiTheme="minorHAnsi" w:hAnsiTheme="minorHAnsi"/>
          <w:sz w:val="22"/>
          <w:szCs w:val="22"/>
          <w:lang w:val="fr-FR"/>
        </w:rPr>
        <w:t xml:space="preserve"> conduire à l’adoption d’une politique nationale </w:t>
      </w:r>
      <w:r w:rsidR="004929B7" w:rsidRPr="003715B5">
        <w:rPr>
          <w:rFonts w:asciiTheme="minorHAnsi" w:hAnsiTheme="minorHAnsi"/>
          <w:sz w:val="22"/>
          <w:szCs w:val="22"/>
          <w:lang w:val="fr-FR"/>
        </w:rPr>
        <w:t>relative aux</w:t>
      </w:r>
      <w:r w:rsidRPr="003715B5">
        <w:rPr>
          <w:rFonts w:asciiTheme="minorHAnsi" w:hAnsiTheme="minorHAnsi"/>
          <w:sz w:val="22"/>
          <w:szCs w:val="22"/>
          <w:lang w:val="fr-FR"/>
        </w:rPr>
        <w:t xml:space="preserve"> zones humides ou d’un instrument juridiqu</w:t>
      </w:r>
      <w:r w:rsidR="00DE6653" w:rsidRPr="003715B5">
        <w:rPr>
          <w:rFonts w:asciiTheme="minorHAnsi" w:hAnsiTheme="minorHAnsi"/>
          <w:sz w:val="22"/>
          <w:szCs w:val="22"/>
          <w:lang w:val="fr-FR"/>
        </w:rPr>
        <w:t>e équivalent. Pour la COP12, 24 </w:t>
      </w:r>
      <w:r w:rsidRPr="003715B5">
        <w:rPr>
          <w:rFonts w:asciiTheme="minorHAnsi" w:hAnsiTheme="minorHAnsi"/>
          <w:sz w:val="22"/>
          <w:szCs w:val="22"/>
          <w:lang w:val="fr-FR"/>
        </w:rPr>
        <w:t xml:space="preserve">Parties européennes signalent </w:t>
      </w:r>
      <w:r w:rsidR="004929B7" w:rsidRPr="003715B5">
        <w:rPr>
          <w:rFonts w:asciiTheme="minorHAnsi" w:hAnsiTheme="minorHAnsi"/>
          <w:sz w:val="22"/>
          <w:szCs w:val="22"/>
          <w:lang w:val="fr-FR"/>
        </w:rPr>
        <w:t>s’être dotées d’</w:t>
      </w:r>
      <w:r w:rsidRPr="003715B5">
        <w:rPr>
          <w:rFonts w:asciiTheme="minorHAnsi" w:hAnsiTheme="minorHAnsi"/>
          <w:sz w:val="22"/>
          <w:szCs w:val="22"/>
          <w:lang w:val="fr-FR"/>
        </w:rPr>
        <w:t>une politique nationale</w:t>
      </w:r>
      <w:r w:rsidR="003715B5">
        <w:rPr>
          <w:rFonts w:asciiTheme="minorHAnsi" w:hAnsiTheme="minorHAnsi"/>
          <w:sz w:val="22"/>
          <w:szCs w:val="22"/>
          <w:lang w:val="fr-FR"/>
        </w:rPr>
        <w:t xml:space="preserve"> de ce type (Indicateur </w:t>
      </w:r>
      <w:r w:rsidRPr="003715B5">
        <w:rPr>
          <w:rFonts w:asciiTheme="minorHAnsi" w:hAnsiTheme="minorHAnsi"/>
          <w:sz w:val="22"/>
          <w:szCs w:val="22"/>
          <w:lang w:val="fr-FR"/>
        </w:rPr>
        <w:t xml:space="preserve">1.3.1, voir </w:t>
      </w:r>
      <w:r w:rsidRPr="003715B5">
        <w:rPr>
          <w:rFonts w:asciiTheme="minorHAnsi" w:hAnsiTheme="minorHAnsi"/>
          <w:b/>
          <w:sz w:val="22"/>
          <w:szCs w:val="22"/>
          <w:lang w:val="fr-FR"/>
        </w:rPr>
        <w:t>annexe 1</w:t>
      </w:r>
      <w:r w:rsidRPr="003715B5">
        <w:rPr>
          <w:rFonts w:asciiTheme="minorHAnsi" w:hAnsiTheme="minorHAnsi"/>
          <w:sz w:val="22"/>
          <w:szCs w:val="22"/>
          <w:lang w:val="fr-FR"/>
        </w:rPr>
        <w:t xml:space="preserve">). Ce pourcentage est plus élevé que la moyenne mondiale. La Belgique, la Bulgarie et la Roumanie indiquent avoir réalisé des progrès significatifs depuis la COP11. La Suisse reconnaît n’avoir aucun instrument </w:t>
      </w:r>
      <w:r w:rsidR="004929B7" w:rsidRPr="003715B5">
        <w:rPr>
          <w:rFonts w:asciiTheme="minorHAnsi" w:hAnsiTheme="minorHAnsi"/>
          <w:sz w:val="22"/>
          <w:szCs w:val="22"/>
          <w:lang w:val="fr-FR"/>
        </w:rPr>
        <w:t>global en place, contrairement à ce quelle indiquait précédemment. À noter cependant que l</w:t>
      </w:r>
      <w:r w:rsidRPr="003715B5">
        <w:rPr>
          <w:rFonts w:asciiTheme="minorHAnsi" w:hAnsiTheme="minorHAnsi"/>
          <w:sz w:val="22"/>
          <w:szCs w:val="22"/>
          <w:lang w:val="fr-FR"/>
        </w:rPr>
        <w:t>e nombre de Parties ayant</w:t>
      </w:r>
      <w:r w:rsidR="004929B7" w:rsidRPr="003715B5">
        <w:rPr>
          <w:rFonts w:asciiTheme="minorHAnsi" w:hAnsiTheme="minorHAnsi"/>
          <w:sz w:val="22"/>
          <w:szCs w:val="22"/>
          <w:lang w:val="fr-FR"/>
        </w:rPr>
        <w:t xml:space="preserve"> </w:t>
      </w:r>
      <w:r w:rsidRPr="003715B5">
        <w:rPr>
          <w:rFonts w:asciiTheme="minorHAnsi" w:hAnsiTheme="minorHAnsi"/>
          <w:sz w:val="22"/>
          <w:szCs w:val="22"/>
          <w:lang w:val="fr-FR"/>
        </w:rPr>
        <w:t>une</w:t>
      </w:r>
      <w:r w:rsidR="004929B7" w:rsidRPr="003715B5">
        <w:rPr>
          <w:rFonts w:asciiTheme="minorHAnsi" w:hAnsiTheme="minorHAnsi"/>
          <w:sz w:val="22"/>
          <w:szCs w:val="22"/>
          <w:lang w:val="fr-FR"/>
        </w:rPr>
        <w:t xml:space="preserve"> </w:t>
      </w:r>
      <w:r w:rsidR="00DE6653" w:rsidRPr="003715B5">
        <w:rPr>
          <w:rFonts w:asciiTheme="minorHAnsi" w:hAnsiTheme="minorHAnsi"/>
          <w:sz w:val="22"/>
          <w:szCs w:val="22"/>
          <w:lang w:val="fr-FR"/>
        </w:rPr>
        <w:t>p</w:t>
      </w:r>
      <w:r w:rsidRPr="003715B5">
        <w:rPr>
          <w:rFonts w:asciiTheme="minorHAnsi" w:hAnsiTheme="minorHAnsi"/>
          <w:sz w:val="22"/>
          <w:szCs w:val="22"/>
          <w:lang w:val="fr-FR"/>
        </w:rPr>
        <w:t>olitique nationale pour les</w:t>
      </w:r>
      <w:r w:rsidR="004929B7" w:rsidRPr="003715B5">
        <w:rPr>
          <w:rFonts w:asciiTheme="minorHAnsi" w:hAnsiTheme="minorHAnsi"/>
          <w:sz w:val="22"/>
          <w:szCs w:val="22"/>
          <w:lang w:val="fr-FR"/>
        </w:rPr>
        <w:t xml:space="preserve"> </w:t>
      </w:r>
      <w:r w:rsidRPr="003715B5">
        <w:rPr>
          <w:rFonts w:asciiTheme="minorHAnsi" w:hAnsiTheme="minorHAnsi"/>
          <w:sz w:val="22"/>
          <w:szCs w:val="22"/>
          <w:lang w:val="fr-FR"/>
        </w:rPr>
        <w:t>zones humides</w:t>
      </w:r>
      <w:r w:rsidR="004929B7" w:rsidRPr="003715B5">
        <w:rPr>
          <w:rFonts w:asciiTheme="minorHAnsi" w:hAnsiTheme="minorHAnsi"/>
          <w:sz w:val="22"/>
          <w:szCs w:val="22"/>
          <w:lang w:val="fr-FR"/>
        </w:rPr>
        <w:t xml:space="preserve"> </w:t>
      </w:r>
      <w:r w:rsidRPr="003715B5">
        <w:rPr>
          <w:rFonts w:asciiTheme="minorHAnsi" w:hAnsiTheme="minorHAnsi"/>
          <w:sz w:val="22"/>
          <w:szCs w:val="22"/>
          <w:lang w:val="fr-FR"/>
        </w:rPr>
        <w:t>a augmenté depuis la COP</w:t>
      </w:r>
      <w:r w:rsidR="004929B7" w:rsidRPr="003715B5">
        <w:rPr>
          <w:rFonts w:asciiTheme="minorHAnsi" w:hAnsiTheme="minorHAnsi"/>
          <w:sz w:val="22"/>
          <w:szCs w:val="22"/>
          <w:lang w:val="fr-FR"/>
        </w:rPr>
        <w:t>11</w:t>
      </w:r>
      <w:r w:rsidRPr="003715B5">
        <w:rPr>
          <w:rFonts w:asciiTheme="minorHAnsi" w:hAnsiTheme="minorHAnsi"/>
          <w:sz w:val="22"/>
          <w:szCs w:val="22"/>
          <w:lang w:val="fr-FR"/>
        </w:rPr>
        <w:t xml:space="preserve"> (</w:t>
      </w:r>
      <w:r w:rsidR="004929B7" w:rsidRPr="003715B5">
        <w:rPr>
          <w:rFonts w:asciiTheme="minorHAnsi" w:hAnsiTheme="minorHAnsi"/>
          <w:sz w:val="22"/>
          <w:szCs w:val="22"/>
          <w:lang w:val="fr-FR"/>
        </w:rPr>
        <w:t xml:space="preserve">voir </w:t>
      </w:r>
      <w:r w:rsidR="004929B7" w:rsidRPr="003715B5">
        <w:rPr>
          <w:rFonts w:asciiTheme="minorHAnsi" w:hAnsiTheme="minorHAnsi"/>
          <w:b/>
          <w:sz w:val="22"/>
          <w:szCs w:val="22"/>
          <w:lang w:val="fr-FR"/>
        </w:rPr>
        <w:t>annexe </w:t>
      </w:r>
      <w:r w:rsidRPr="003715B5">
        <w:rPr>
          <w:rFonts w:asciiTheme="minorHAnsi" w:hAnsiTheme="minorHAnsi"/>
          <w:b/>
          <w:sz w:val="22"/>
          <w:szCs w:val="22"/>
          <w:lang w:val="fr-FR"/>
        </w:rPr>
        <w:t>2</w:t>
      </w:r>
      <w:r w:rsidR="004929B7" w:rsidRPr="003715B5">
        <w:rPr>
          <w:rFonts w:asciiTheme="minorHAnsi" w:hAnsiTheme="minorHAnsi"/>
          <w:sz w:val="22"/>
          <w:szCs w:val="22"/>
          <w:lang w:val="fr-FR"/>
        </w:rPr>
        <w:t xml:space="preserve">); </w:t>
      </w:r>
      <w:r w:rsidRPr="003715B5">
        <w:rPr>
          <w:rFonts w:asciiTheme="minorHAnsi" w:hAnsiTheme="minorHAnsi"/>
          <w:sz w:val="22"/>
          <w:szCs w:val="22"/>
          <w:lang w:val="fr-FR"/>
        </w:rPr>
        <w:t>environ un tiers encore de</w:t>
      </w:r>
      <w:r w:rsidR="004929B7" w:rsidRPr="003715B5">
        <w:rPr>
          <w:rFonts w:asciiTheme="minorHAnsi" w:hAnsiTheme="minorHAnsi"/>
          <w:sz w:val="22"/>
          <w:szCs w:val="22"/>
          <w:lang w:val="fr-FR"/>
        </w:rPr>
        <w:t xml:space="preserve"> </w:t>
      </w:r>
      <w:r w:rsidRPr="003715B5">
        <w:rPr>
          <w:rFonts w:asciiTheme="minorHAnsi" w:hAnsiTheme="minorHAnsi"/>
          <w:sz w:val="22"/>
          <w:szCs w:val="22"/>
          <w:lang w:val="fr-FR"/>
        </w:rPr>
        <w:t>toutes les Parties européennes semblent</w:t>
      </w:r>
      <w:r w:rsidR="004929B7" w:rsidRPr="003715B5">
        <w:rPr>
          <w:rFonts w:asciiTheme="minorHAnsi" w:hAnsiTheme="minorHAnsi"/>
          <w:sz w:val="22"/>
          <w:szCs w:val="22"/>
          <w:lang w:val="fr-FR"/>
        </w:rPr>
        <w:t xml:space="preserve"> toutefois ne</w:t>
      </w:r>
      <w:r w:rsidRPr="003715B5">
        <w:rPr>
          <w:rFonts w:asciiTheme="minorHAnsi" w:hAnsiTheme="minorHAnsi"/>
          <w:sz w:val="22"/>
          <w:szCs w:val="22"/>
          <w:lang w:val="fr-FR"/>
        </w:rPr>
        <w:t xml:space="preserve"> pas avoir de politiques de ce type en place</w:t>
      </w:r>
      <w:r w:rsidR="00FF73FE" w:rsidRPr="003715B5">
        <w:rPr>
          <w:rFonts w:asciiTheme="minorHAnsi" w:hAnsiTheme="minorHAnsi"/>
          <w:sz w:val="22"/>
          <w:szCs w:val="22"/>
          <w:lang w:val="fr-FR"/>
        </w:rPr>
        <w:t>.</w:t>
      </w:r>
    </w:p>
    <w:p w:rsidR="004929B7" w:rsidRPr="003715B5" w:rsidRDefault="004929B7" w:rsidP="004929B7">
      <w:pPr>
        <w:pStyle w:val="BodyText"/>
        <w:ind w:right="149"/>
        <w:rPr>
          <w:rFonts w:asciiTheme="minorHAnsi" w:hAnsiTheme="minorHAnsi"/>
          <w:sz w:val="22"/>
          <w:szCs w:val="22"/>
          <w:lang w:val="fr-FR"/>
        </w:rPr>
      </w:pPr>
    </w:p>
    <w:p w:rsidR="0001533C" w:rsidRPr="003715B5" w:rsidRDefault="00EB2DF0" w:rsidP="00EB2DF0">
      <w:pPr>
        <w:pStyle w:val="BodyText"/>
        <w:numPr>
          <w:ilvl w:val="0"/>
          <w:numId w:val="7"/>
        </w:numPr>
        <w:ind w:left="426" w:right="202" w:hanging="426"/>
        <w:rPr>
          <w:rFonts w:asciiTheme="minorHAnsi" w:hAnsiTheme="minorHAnsi" w:cs="Garamond"/>
          <w:sz w:val="22"/>
          <w:szCs w:val="22"/>
          <w:lang w:val="fr-FR"/>
        </w:rPr>
      </w:pPr>
      <w:r w:rsidRPr="003715B5">
        <w:rPr>
          <w:rFonts w:asciiTheme="minorHAnsi" w:hAnsiTheme="minorHAnsi"/>
          <w:sz w:val="22"/>
          <w:szCs w:val="22"/>
          <w:lang w:val="fr-FR"/>
        </w:rPr>
        <w:t>Les questions relatives aux zones humides sont de plus en plus intégrées dans d’autres stratégies et processus de planification nationaux (</w:t>
      </w:r>
      <w:r w:rsidR="003715B5">
        <w:rPr>
          <w:rFonts w:asciiTheme="minorHAnsi" w:hAnsiTheme="minorHAnsi"/>
          <w:sz w:val="22"/>
          <w:szCs w:val="22"/>
          <w:lang w:val="fr-FR"/>
        </w:rPr>
        <w:t>I</w:t>
      </w:r>
      <w:r w:rsidRPr="003715B5">
        <w:rPr>
          <w:rFonts w:asciiTheme="minorHAnsi" w:hAnsiTheme="minorHAnsi"/>
          <w:sz w:val="22"/>
          <w:szCs w:val="22"/>
          <w:lang w:val="fr-FR"/>
        </w:rPr>
        <w:t xml:space="preserve">ndicateur 1.3.3). Elles sont régulièrement intégrées dans les Stratégies et Plans d’action nationaux pour la biodiversité élaborés dans le cadre du Programme de travail conjoint entre </w:t>
      </w:r>
      <w:r w:rsidR="00DE6653" w:rsidRPr="003715B5">
        <w:rPr>
          <w:rFonts w:asciiTheme="minorHAnsi" w:hAnsiTheme="minorHAnsi"/>
          <w:sz w:val="22"/>
          <w:szCs w:val="22"/>
          <w:lang w:val="fr-FR"/>
        </w:rPr>
        <w:t xml:space="preserve">la Convention de </w:t>
      </w:r>
      <w:r w:rsidRPr="003715B5">
        <w:rPr>
          <w:rFonts w:asciiTheme="minorHAnsi" w:hAnsiTheme="minorHAnsi"/>
          <w:sz w:val="22"/>
          <w:szCs w:val="22"/>
          <w:lang w:val="fr-FR"/>
        </w:rPr>
        <w:t xml:space="preserve">Ramsar et la Convention sur la diversité biologique (CDB), comme indiqué par la </w:t>
      </w:r>
      <w:r w:rsidRPr="003715B5">
        <w:rPr>
          <w:rFonts w:asciiTheme="minorHAnsi" w:hAnsiTheme="minorHAnsi"/>
          <w:b/>
          <w:sz w:val="22"/>
          <w:szCs w:val="22"/>
          <w:lang w:val="fr-FR"/>
        </w:rPr>
        <w:t>figure 1</w:t>
      </w:r>
      <w:r w:rsidRPr="003715B5">
        <w:rPr>
          <w:rFonts w:asciiTheme="minorHAnsi" w:hAnsiTheme="minorHAnsi"/>
          <w:sz w:val="22"/>
          <w:szCs w:val="22"/>
          <w:lang w:val="fr-FR"/>
        </w:rPr>
        <w:t xml:space="preserve">. Néanmoins, ce n’est pas encore </w:t>
      </w:r>
      <w:r w:rsidR="00C51390" w:rsidRPr="003715B5">
        <w:rPr>
          <w:rFonts w:asciiTheme="minorHAnsi" w:hAnsiTheme="minorHAnsi"/>
          <w:sz w:val="22"/>
          <w:szCs w:val="22"/>
          <w:lang w:val="fr-FR"/>
        </w:rPr>
        <w:t>le cas pour toutes les Parties.</w:t>
      </w:r>
      <w:r w:rsidRPr="003715B5">
        <w:rPr>
          <w:rFonts w:asciiTheme="minorHAnsi" w:hAnsiTheme="minorHAnsi"/>
          <w:sz w:val="22"/>
          <w:szCs w:val="22"/>
          <w:lang w:val="fr-FR"/>
        </w:rPr>
        <w:t xml:space="preserve"> Dans de nombreux pays, elles sont intégrées dans les stratégies nationales pour le développement durable et la gestion des ressources en eau, ainsi que dans les plans d’économie d’eau.</w:t>
      </w:r>
    </w:p>
    <w:p w:rsidR="00EB2DF0" w:rsidRPr="003715B5" w:rsidRDefault="00EB2DF0" w:rsidP="00EB2DF0">
      <w:pPr>
        <w:pStyle w:val="BodyText"/>
        <w:ind w:left="0" w:right="202" w:firstLine="0"/>
        <w:rPr>
          <w:rFonts w:asciiTheme="minorHAnsi" w:hAnsiTheme="minorHAnsi" w:cs="Garamond"/>
          <w:sz w:val="22"/>
          <w:szCs w:val="22"/>
          <w:lang w:val="fr-FR"/>
        </w:rPr>
      </w:pPr>
    </w:p>
    <w:p w:rsidR="0001533C" w:rsidRPr="003715B5" w:rsidRDefault="00EB2DF0" w:rsidP="00272588">
      <w:pPr>
        <w:pStyle w:val="BodyText"/>
        <w:numPr>
          <w:ilvl w:val="0"/>
          <w:numId w:val="7"/>
        </w:numPr>
        <w:ind w:left="426" w:right="149" w:hanging="426"/>
        <w:rPr>
          <w:rFonts w:asciiTheme="minorHAnsi" w:hAnsiTheme="minorHAnsi"/>
          <w:sz w:val="22"/>
          <w:szCs w:val="22"/>
          <w:lang w:val="fr-FR"/>
        </w:rPr>
      </w:pPr>
      <w:r w:rsidRPr="003715B5">
        <w:rPr>
          <w:rFonts w:asciiTheme="minorHAnsi" w:eastAsia="Times New Roman" w:hAnsiTheme="minorHAnsi" w:cs="Times New Roman"/>
          <w:sz w:val="22"/>
          <w:szCs w:val="22"/>
          <w:lang w:val="fr-FR" w:eastAsia="fr-FR"/>
        </w:rPr>
        <w:t>Une plus grande intégration des questions relatives aux zones humides dans les politiques pour l’agriculture, les forêts, les zones côtières et marines est encore nécessaire. Peu de Parties européennes se concentrent sur des « stratégies d’éradication de la pauvreté » au niveau national. Toutefois, lorsque ce terme est compris dans le sens de « stratégies de développement socio-économique », en particulier dans les régions moins favorisées (par exemple les régions</w:t>
      </w:r>
      <w:r w:rsidR="00272588" w:rsidRPr="003715B5">
        <w:rPr>
          <w:rFonts w:asciiTheme="minorHAnsi" w:eastAsia="Times New Roman" w:hAnsiTheme="minorHAnsi" w:cs="Times New Roman"/>
          <w:sz w:val="22"/>
          <w:szCs w:val="22"/>
          <w:lang w:val="fr-FR" w:eastAsia="fr-FR"/>
        </w:rPr>
        <w:t xml:space="preserve"> pouvant prétendre à une aide financière de l’UE)</w:t>
      </w:r>
      <w:r w:rsidRPr="003715B5">
        <w:rPr>
          <w:rFonts w:asciiTheme="minorHAnsi" w:eastAsia="Times New Roman" w:hAnsiTheme="minorHAnsi" w:cs="Times New Roman"/>
          <w:sz w:val="22"/>
          <w:szCs w:val="22"/>
          <w:lang w:val="fr-FR" w:eastAsia="fr-FR"/>
        </w:rPr>
        <w:t xml:space="preserve">, on peut conclure que de nombreuses Parties européennes pourraient encore mieux intégrer </w:t>
      </w:r>
      <w:r w:rsidR="00272588" w:rsidRPr="003715B5">
        <w:rPr>
          <w:rFonts w:asciiTheme="minorHAnsi" w:eastAsia="Times New Roman" w:hAnsiTheme="minorHAnsi" w:cs="Times New Roman"/>
          <w:sz w:val="22"/>
          <w:szCs w:val="22"/>
          <w:lang w:val="fr-FR" w:eastAsia="fr-FR"/>
        </w:rPr>
        <w:t>l</w:t>
      </w:r>
      <w:r w:rsidRPr="003715B5">
        <w:rPr>
          <w:rFonts w:asciiTheme="minorHAnsi" w:eastAsia="Times New Roman" w:hAnsiTheme="minorHAnsi" w:cs="Times New Roman"/>
          <w:sz w:val="22"/>
          <w:szCs w:val="22"/>
          <w:lang w:val="fr-FR" w:eastAsia="fr-FR"/>
        </w:rPr>
        <w:t>es questions relatives aux zones humides dans ce type de stratégie</w:t>
      </w:r>
      <w:r w:rsidR="00FF73FE" w:rsidRPr="003715B5">
        <w:rPr>
          <w:rFonts w:asciiTheme="minorHAnsi" w:hAnsiTheme="minorHAnsi"/>
          <w:sz w:val="22"/>
          <w:szCs w:val="22"/>
          <w:lang w:val="fr-FR"/>
        </w:rPr>
        <w:t>.</w:t>
      </w:r>
    </w:p>
    <w:p w:rsidR="0001533C" w:rsidRPr="003715B5" w:rsidRDefault="0001533C" w:rsidP="007776D0">
      <w:pPr>
        <w:rPr>
          <w:rFonts w:eastAsia="Garamond" w:cs="Garamond"/>
          <w:lang w:val="fr-FR"/>
        </w:rPr>
      </w:pPr>
    </w:p>
    <w:p w:rsidR="0001533C" w:rsidRPr="003715B5" w:rsidRDefault="003F124C" w:rsidP="007776D0">
      <w:pPr>
        <w:rPr>
          <w:rFonts w:eastAsia="Garamond" w:cs="Garamond"/>
          <w:sz w:val="24"/>
          <w:szCs w:val="24"/>
          <w:lang w:val="fr-FR"/>
        </w:rPr>
      </w:pPr>
      <w:r w:rsidRPr="003F124C">
        <w:rPr>
          <w:b/>
          <w:noProof/>
        </w:rPr>
        <w:pict>
          <v:shape id="_x0000_s1078" type="#_x0000_t202" style="position:absolute;margin-left:307.7pt;margin-top:176.95pt;width:63.15pt;height:13.55pt;z-index:251677696;v-text-anchor:middle" stroked="f">
            <v:textbox inset=".5mm,.5mm,.5mm,.5mm">
              <w:txbxContent>
                <w:p w:rsidR="001B043A" w:rsidRPr="003E12A5" w:rsidRDefault="001B043A" w:rsidP="003E12A5">
                  <w:pPr>
                    <w:rPr>
                      <w:sz w:val="18"/>
                      <w:szCs w:val="18"/>
                    </w:rPr>
                  </w:pPr>
                  <w:r>
                    <w:rPr>
                      <w:sz w:val="18"/>
                      <w:szCs w:val="18"/>
                    </w:rPr>
                    <w:t>Oui</w:t>
                  </w:r>
                </w:p>
              </w:txbxContent>
            </v:textbox>
          </v:shape>
        </w:pict>
      </w:r>
      <w:r w:rsidRPr="003F124C">
        <w:rPr>
          <w:b/>
          <w:noProof/>
        </w:rPr>
        <w:pict>
          <v:shape id="_x0000_s1077" type="#_x0000_t202" style="position:absolute;margin-left:307.7pt;margin-top:158.5pt;width:63.15pt;height:13.55pt;z-index:251676672;v-text-anchor:middle" stroked="f">
            <v:textbox inset=".5mm,.5mm,.5mm,.5mm">
              <w:txbxContent>
                <w:p w:rsidR="001B043A" w:rsidRPr="003E12A5" w:rsidRDefault="001B043A" w:rsidP="003E12A5">
                  <w:pPr>
                    <w:rPr>
                      <w:sz w:val="18"/>
                      <w:szCs w:val="18"/>
                    </w:rPr>
                  </w:pPr>
                  <w:r>
                    <w:rPr>
                      <w:sz w:val="18"/>
                      <w:szCs w:val="18"/>
                    </w:rPr>
                    <w:t>En partie</w:t>
                  </w:r>
                </w:p>
              </w:txbxContent>
            </v:textbox>
          </v:shape>
        </w:pict>
      </w:r>
      <w:r w:rsidRPr="003F124C">
        <w:rPr>
          <w:b/>
          <w:noProof/>
        </w:rPr>
        <w:pict>
          <v:shape id="_x0000_s1076" type="#_x0000_t202" style="position:absolute;margin-left:307.7pt;margin-top:140.8pt;width:63.15pt;height:13.55pt;z-index:251675648;v-text-anchor:middle" stroked="f">
            <v:textbox inset=".5mm,.5mm,.5mm,.5mm">
              <w:txbxContent>
                <w:p w:rsidR="001B043A" w:rsidRPr="003E12A5" w:rsidRDefault="001B043A" w:rsidP="003E12A5">
                  <w:pPr>
                    <w:rPr>
                      <w:sz w:val="18"/>
                      <w:szCs w:val="18"/>
                    </w:rPr>
                  </w:pPr>
                  <w:r>
                    <w:rPr>
                      <w:sz w:val="18"/>
                      <w:szCs w:val="18"/>
                    </w:rPr>
                    <w:t>Prévu</w:t>
                  </w:r>
                </w:p>
              </w:txbxContent>
            </v:textbox>
          </v:shape>
        </w:pict>
      </w:r>
      <w:r w:rsidRPr="003F124C">
        <w:rPr>
          <w:b/>
          <w:noProof/>
        </w:rPr>
        <w:pict>
          <v:shape id="_x0000_s1075" type="#_x0000_t202" style="position:absolute;margin-left:307.7pt;margin-top:122.5pt;width:69.95pt;height:13.55pt;z-index:251674624;v-text-anchor:middle" stroked="f">
            <v:textbox inset=".5mm,.5mm,.5mm,.5mm">
              <w:txbxContent>
                <w:p w:rsidR="001B043A" w:rsidRPr="003E12A5" w:rsidRDefault="001B043A" w:rsidP="003E12A5">
                  <w:pPr>
                    <w:rPr>
                      <w:sz w:val="18"/>
                      <w:szCs w:val="18"/>
                    </w:rPr>
                  </w:pPr>
                  <w:r>
                    <w:rPr>
                      <w:sz w:val="18"/>
                      <w:szCs w:val="18"/>
                    </w:rPr>
                    <w:t>Non</w:t>
                  </w:r>
                </w:p>
              </w:txbxContent>
            </v:textbox>
          </v:shape>
        </w:pict>
      </w:r>
      <w:r w:rsidRPr="003F124C">
        <w:rPr>
          <w:b/>
          <w:noProof/>
        </w:rPr>
        <w:pict>
          <v:shape id="_x0000_s1074" type="#_x0000_t202" style="position:absolute;margin-left:307.7pt;margin-top:104.15pt;width:69.95pt;height:13.55pt;z-index:251673600;v-text-anchor:middle" stroked="f">
            <v:textbox inset=".5mm,.5mm,.5mm,.5mm">
              <w:txbxContent>
                <w:p w:rsidR="001B043A" w:rsidRPr="003E12A5" w:rsidRDefault="001B043A" w:rsidP="003E12A5">
                  <w:pPr>
                    <w:rPr>
                      <w:sz w:val="18"/>
                      <w:szCs w:val="18"/>
                    </w:rPr>
                  </w:pPr>
                  <w:r>
                    <w:rPr>
                      <w:sz w:val="18"/>
                      <w:szCs w:val="18"/>
                    </w:rPr>
                    <w:t>Ne s’applique pas</w:t>
                  </w:r>
                </w:p>
              </w:txbxContent>
            </v:textbox>
          </v:shape>
        </w:pict>
      </w:r>
      <w:r w:rsidRPr="003F124C">
        <w:rPr>
          <w:b/>
          <w:noProof/>
        </w:rPr>
        <w:pict>
          <v:shape id="_x0000_s1073" type="#_x0000_t202" style="position:absolute;margin-left:307.7pt;margin-top:85.85pt;width:63.15pt;height:13.55pt;z-index:251672576;v-text-anchor:middle" stroked="f">
            <v:textbox inset=".5mm,.5mm,.5mm,.5mm">
              <w:txbxContent>
                <w:p w:rsidR="001B043A" w:rsidRPr="003E12A5" w:rsidRDefault="001B043A" w:rsidP="003E12A5">
                  <w:pPr>
                    <w:rPr>
                      <w:sz w:val="18"/>
                      <w:szCs w:val="18"/>
                    </w:rPr>
                  </w:pPr>
                  <w:r>
                    <w:rPr>
                      <w:sz w:val="18"/>
                      <w:szCs w:val="18"/>
                    </w:rPr>
                    <w:t xml:space="preserve">Pas de réponse </w:t>
                  </w:r>
                </w:p>
              </w:txbxContent>
            </v:textbox>
          </v:shape>
        </w:pict>
      </w:r>
      <w:r w:rsidR="007776D0" w:rsidRPr="003715B5">
        <w:rPr>
          <w:noProof/>
          <w:sz w:val="24"/>
          <w:szCs w:val="24"/>
        </w:rPr>
        <w:drawing>
          <wp:inline distT="0" distB="0" distL="0" distR="0">
            <wp:extent cx="4787900" cy="2870200"/>
            <wp:effectExtent l="19050" t="0" r="12700"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39C4" w:rsidRPr="003715B5" w:rsidRDefault="005F39C4" w:rsidP="007776D0">
      <w:pPr>
        <w:rPr>
          <w:rFonts w:eastAsia="Garamond" w:cs="Garamond"/>
          <w:lang w:val="fr-FR"/>
        </w:rPr>
      </w:pPr>
    </w:p>
    <w:p w:rsidR="0001533C" w:rsidRPr="003715B5" w:rsidRDefault="00FF73FE" w:rsidP="00E41376">
      <w:pPr>
        <w:rPr>
          <w:rFonts w:eastAsia="Garamond" w:cs="Garamond"/>
          <w:lang w:val="fr-FR"/>
        </w:rPr>
      </w:pPr>
      <w:r w:rsidRPr="003715B5">
        <w:rPr>
          <w:b/>
          <w:lang w:val="fr-FR"/>
        </w:rPr>
        <w:t>Figure 1</w:t>
      </w:r>
      <w:r w:rsidR="006E3BF0" w:rsidRPr="003715B5">
        <w:rPr>
          <w:b/>
          <w:lang w:val="fr-FR"/>
        </w:rPr>
        <w:t> : Nomb</w:t>
      </w:r>
      <w:r w:rsidRPr="003715B5">
        <w:rPr>
          <w:b/>
          <w:lang w:val="fr-FR"/>
        </w:rPr>
        <w:t>r</w:t>
      </w:r>
      <w:r w:rsidR="006E3BF0" w:rsidRPr="003715B5">
        <w:rPr>
          <w:b/>
          <w:lang w:val="fr-FR"/>
        </w:rPr>
        <w:t>e de</w:t>
      </w:r>
      <w:r w:rsidRPr="003715B5">
        <w:rPr>
          <w:b/>
          <w:lang w:val="fr-FR"/>
        </w:rPr>
        <w:t xml:space="preserve"> Parties </w:t>
      </w:r>
      <w:r w:rsidR="006E3BF0" w:rsidRPr="003715B5">
        <w:rPr>
          <w:b/>
          <w:lang w:val="fr-FR"/>
        </w:rPr>
        <w:t>ayant intégré des questions relatives aux zones humides dans d’autres stratégies </w:t>
      </w:r>
      <w:r w:rsidRPr="003715B5">
        <w:rPr>
          <w:b/>
          <w:lang w:val="fr-FR"/>
        </w:rPr>
        <w:t>:</w:t>
      </w:r>
    </w:p>
    <w:p w:rsidR="006E3BF0" w:rsidRPr="003715B5" w:rsidRDefault="006E3BF0" w:rsidP="006E3BF0">
      <w:pPr>
        <w:rPr>
          <w:rFonts w:eastAsia="Garamond" w:cs="Garamond"/>
          <w:lang w:val="fr-FR"/>
        </w:rPr>
      </w:pPr>
      <w:r w:rsidRPr="003715B5">
        <w:rPr>
          <w:rFonts w:eastAsia="Garamond" w:cs="Garamond"/>
          <w:lang w:val="fr-FR"/>
        </w:rPr>
        <w:t>a – stratégies d’éradication de la pauvreté</w:t>
      </w:r>
    </w:p>
    <w:p w:rsidR="006E3BF0" w:rsidRPr="003715B5" w:rsidRDefault="006E3BF0" w:rsidP="006E3BF0">
      <w:pPr>
        <w:rPr>
          <w:rFonts w:eastAsia="Garamond" w:cs="Garamond"/>
          <w:lang w:val="fr-FR"/>
        </w:rPr>
      </w:pPr>
      <w:r w:rsidRPr="003715B5">
        <w:rPr>
          <w:rFonts w:eastAsia="Garamond" w:cs="Garamond"/>
          <w:lang w:val="fr-FR"/>
        </w:rPr>
        <w:t>b – plans d’économie d’eau et de gestion des ressources en eau</w:t>
      </w:r>
    </w:p>
    <w:p w:rsidR="006E3BF0" w:rsidRPr="003715B5" w:rsidRDefault="006E3BF0" w:rsidP="006E3BF0">
      <w:pPr>
        <w:rPr>
          <w:rFonts w:eastAsia="Garamond" w:cs="Garamond"/>
          <w:lang w:val="fr-FR"/>
        </w:rPr>
      </w:pPr>
      <w:r w:rsidRPr="003715B5">
        <w:rPr>
          <w:rFonts w:eastAsia="Garamond" w:cs="Garamond"/>
          <w:lang w:val="fr-FR"/>
        </w:rPr>
        <w:t>c – plans de gestion des ressources côtières et marines</w:t>
      </w:r>
    </w:p>
    <w:p w:rsidR="006E3BF0" w:rsidRPr="003715B5" w:rsidRDefault="006E3BF0" w:rsidP="006E3BF0">
      <w:pPr>
        <w:rPr>
          <w:rFonts w:eastAsia="Garamond" w:cs="Garamond"/>
          <w:lang w:val="fr-FR"/>
        </w:rPr>
      </w:pPr>
      <w:r w:rsidRPr="003715B5">
        <w:rPr>
          <w:rFonts w:eastAsia="Garamond" w:cs="Garamond"/>
          <w:lang w:val="fr-FR"/>
        </w:rPr>
        <w:t>d – programmes forestiers nationaux</w:t>
      </w:r>
    </w:p>
    <w:p w:rsidR="006E3BF0" w:rsidRPr="003715B5" w:rsidRDefault="006E3BF0" w:rsidP="006E3BF0">
      <w:pPr>
        <w:rPr>
          <w:rFonts w:eastAsia="Garamond" w:cs="Garamond"/>
          <w:lang w:val="fr-FR"/>
        </w:rPr>
      </w:pPr>
      <w:r w:rsidRPr="003715B5">
        <w:rPr>
          <w:rFonts w:eastAsia="Garamond" w:cs="Garamond"/>
          <w:lang w:val="fr-FR"/>
        </w:rPr>
        <w:t>e – stratégies nationales pour le développement durable</w:t>
      </w:r>
    </w:p>
    <w:p w:rsidR="006E3BF0" w:rsidRPr="003715B5" w:rsidRDefault="006E3BF0" w:rsidP="006E3BF0">
      <w:pPr>
        <w:rPr>
          <w:rFonts w:eastAsia="Garamond" w:cs="Garamond"/>
          <w:lang w:val="fr-FR"/>
        </w:rPr>
      </w:pPr>
      <w:r w:rsidRPr="003715B5">
        <w:rPr>
          <w:rFonts w:eastAsia="Garamond" w:cs="Garamond"/>
          <w:lang w:val="fr-FR"/>
        </w:rPr>
        <w:t>f – politiques ou mesures nationales relatives à l’agriculture</w:t>
      </w:r>
    </w:p>
    <w:p w:rsidR="0001533C" w:rsidRPr="003715B5" w:rsidRDefault="006E3BF0" w:rsidP="006E3BF0">
      <w:pPr>
        <w:rPr>
          <w:rFonts w:eastAsia="Garamond" w:cs="Garamond"/>
          <w:lang w:val="fr-FR"/>
        </w:rPr>
      </w:pPr>
      <w:r w:rsidRPr="003715B5">
        <w:rPr>
          <w:rFonts w:eastAsia="Garamond" w:cs="Garamond"/>
          <w:lang w:val="fr-FR"/>
        </w:rPr>
        <w:t>g – Stratégies et Plans d’action nationaux pour la diversité biologique élaborés au titre de la CDB</w:t>
      </w:r>
    </w:p>
    <w:p w:rsidR="001560C0" w:rsidRPr="003715B5" w:rsidRDefault="001560C0" w:rsidP="00E41376">
      <w:pPr>
        <w:rPr>
          <w:b/>
          <w:lang w:val="fr-FR"/>
        </w:rPr>
      </w:pPr>
    </w:p>
    <w:p w:rsidR="0001533C" w:rsidRPr="003715B5" w:rsidRDefault="00DF7851" w:rsidP="00E41376">
      <w:pPr>
        <w:rPr>
          <w:rFonts w:eastAsia="Garamond" w:cs="Garamond"/>
          <w:lang w:val="fr-FR"/>
        </w:rPr>
      </w:pPr>
      <w:r w:rsidRPr="003715B5">
        <w:rPr>
          <w:b/>
          <w:lang w:val="fr-FR"/>
        </w:rPr>
        <w:t>Reconnaissance i</w:t>
      </w:r>
      <w:r w:rsidR="00BA3322" w:rsidRPr="003715B5">
        <w:rPr>
          <w:b/>
          <w:lang w:val="fr-FR"/>
        </w:rPr>
        <w:t xml:space="preserve">ntersectorielle </w:t>
      </w:r>
      <w:r w:rsidRPr="003715B5">
        <w:rPr>
          <w:b/>
          <w:lang w:val="fr-FR"/>
        </w:rPr>
        <w:t xml:space="preserve">des services des zones humides </w:t>
      </w:r>
      <w:r w:rsidRPr="003715B5">
        <w:rPr>
          <w:i/>
          <w:lang w:val="fr-FR"/>
        </w:rPr>
        <w:t>(Stratégie </w:t>
      </w:r>
      <w:r w:rsidR="00FF73FE" w:rsidRPr="003715B5">
        <w:rPr>
          <w:i/>
          <w:lang w:val="fr-FR"/>
        </w:rPr>
        <w:t>1.4)</w:t>
      </w:r>
    </w:p>
    <w:p w:rsidR="0001533C" w:rsidRPr="003715B5" w:rsidRDefault="0001533C" w:rsidP="00E41376">
      <w:pPr>
        <w:rPr>
          <w:rFonts w:eastAsia="Garamond" w:cs="Garamond"/>
          <w:i/>
          <w:lang w:val="fr-FR"/>
        </w:rPr>
      </w:pPr>
    </w:p>
    <w:p w:rsidR="00FD1460" w:rsidRPr="003715B5" w:rsidRDefault="00FD1460" w:rsidP="00E41376">
      <w:pPr>
        <w:pStyle w:val="BodyText"/>
        <w:numPr>
          <w:ilvl w:val="0"/>
          <w:numId w:val="7"/>
        </w:numPr>
        <w:ind w:left="426" w:hanging="426"/>
        <w:rPr>
          <w:rFonts w:asciiTheme="minorHAnsi" w:hAnsiTheme="minorHAnsi"/>
          <w:sz w:val="22"/>
          <w:szCs w:val="22"/>
          <w:lang w:val="fr-FR"/>
        </w:rPr>
      </w:pPr>
      <w:r w:rsidRPr="003715B5">
        <w:rPr>
          <w:rFonts w:asciiTheme="minorHAnsi" w:hAnsiTheme="minorHAnsi"/>
          <w:sz w:val="22"/>
          <w:szCs w:val="22"/>
          <w:lang w:val="fr-FR"/>
        </w:rPr>
        <w:t>Les Parties européennes sont moins nombreuses que la moyenne mondiale à faire état d’une reconnaissance intersectorielle des services des zones humides. Seuls Chypre et la Slovénie signalent avoir entamé une évaluation de certains services écosystémiques sur un Site Ra</w:t>
      </w:r>
      <w:r w:rsidR="00B63FA7" w:rsidRPr="003715B5">
        <w:rPr>
          <w:rFonts w:asciiTheme="minorHAnsi" w:hAnsiTheme="minorHAnsi"/>
          <w:sz w:val="22"/>
          <w:szCs w:val="22"/>
          <w:lang w:val="fr-FR"/>
        </w:rPr>
        <w:t xml:space="preserve">msar de chacun de ces deux pays. </w:t>
      </w:r>
      <w:r w:rsidRPr="003715B5">
        <w:rPr>
          <w:rFonts w:asciiTheme="minorHAnsi" w:hAnsiTheme="minorHAnsi"/>
          <w:sz w:val="22"/>
          <w:szCs w:val="22"/>
          <w:lang w:val="fr-FR"/>
        </w:rPr>
        <w:t>Quatorze Parties (41%) signalent progresser dans l’évaluation des services écosystémiques f</w:t>
      </w:r>
      <w:r w:rsidR="003715B5">
        <w:rPr>
          <w:rFonts w:asciiTheme="minorHAnsi" w:hAnsiTheme="minorHAnsi"/>
          <w:sz w:val="22"/>
          <w:szCs w:val="22"/>
          <w:lang w:val="fr-FR"/>
        </w:rPr>
        <w:t>ournis par leurs Sites Ramsar (Indicateur </w:t>
      </w:r>
      <w:r w:rsidRPr="003715B5">
        <w:rPr>
          <w:rFonts w:asciiTheme="minorHAnsi" w:hAnsiTheme="minorHAnsi"/>
          <w:sz w:val="22"/>
          <w:szCs w:val="22"/>
          <w:lang w:val="fr-FR"/>
        </w:rPr>
        <w:t xml:space="preserve">1.4.1, voir </w:t>
      </w:r>
      <w:r w:rsidR="003715B5">
        <w:rPr>
          <w:rFonts w:asciiTheme="minorHAnsi" w:hAnsiTheme="minorHAnsi"/>
          <w:b/>
          <w:sz w:val="22"/>
          <w:szCs w:val="22"/>
          <w:lang w:val="fr-FR"/>
        </w:rPr>
        <w:t>annexe </w:t>
      </w:r>
      <w:r w:rsidRPr="003715B5">
        <w:rPr>
          <w:rFonts w:asciiTheme="minorHAnsi" w:hAnsiTheme="minorHAnsi"/>
          <w:b/>
          <w:sz w:val="22"/>
          <w:szCs w:val="22"/>
          <w:lang w:val="fr-FR"/>
        </w:rPr>
        <w:t>1</w:t>
      </w:r>
      <w:r w:rsidRPr="003715B5">
        <w:rPr>
          <w:rFonts w:asciiTheme="minorHAnsi" w:hAnsiTheme="minorHAnsi"/>
          <w:sz w:val="22"/>
          <w:szCs w:val="22"/>
          <w:lang w:val="fr-FR"/>
        </w:rPr>
        <w:t xml:space="preserve">). Cependant, comparé aux rapports remis à la COP11, la Croatie, la France, la Hongrie, les Pays-Bas et la Suisse indiquent avoir régressé sur ce point au cours des trois dernières années. </w:t>
      </w:r>
      <w:r w:rsidR="002B0689" w:rsidRPr="003715B5">
        <w:rPr>
          <w:rFonts w:asciiTheme="minorHAnsi" w:hAnsiTheme="minorHAnsi"/>
          <w:sz w:val="22"/>
          <w:szCs w:val="22"/>
          <w:lang w:val="fr-FR"/>
        </w:rPr>
        <w:t xml:space="preserve">Faut-il y voir le signe d’une plus grande prise de conscience de la nécessité des programmes d’évaluation des services écosystémiques et du fait que les évaluations antérieures </w:t>
      </w:r>
      <w:r w:rsidR="00B63FA7" w:rsidRPr="003715B5">
        <w:rPr>
          <w:rFonts w:asciiTheme="minorHAnsi" w:hAnsiTheme="minorHAnsi"/>
          <w:sz w:val="22"/>
          <w:szCs w:val="22"/>
          <w:lang w:val="fr-FR"/>
        </w:rPr>
        <w:t>sont désormais</w:t>
      </w:r>
      <w:r w:rsidR="002B0689" w:rsidRPr="003715B5">
        <w:rPr>
          <w:rFonts w:asciiTheme="minorHAnsi" w:hAnsiTheme="minorHAnsi"/>
          <w:sz w:val="22"/>
          <w:szCs w:val="22"/>
          <w:lang w:val="fr-FR"/>
        </w:rPr>
        <w:t xml:space="preserve"> jugées </w:t>
      </w:r>
      <w:r w:rsidR="00B63FA7" w:rsidRPr="003715B5">
        <w:rPr>
          <w:rFonts w:asciiTheme="minorHAnsi" w:hAnsiTheme="minorHAnsi"/>
          <w:sz w:val="22"/>
          <w:szCs w:val="22"/>
          <w:lang w:val="fr-FR"/>
        </w:rPr>
        <w:t>in</w:t>
      </w:r>
      <w:r w:rsidR="002B0689" w:rsidRPr="003715B5">
        <w:rPr>
          <w:rFonts w:asciiTheme="minorHAnsi" w:hAnsiTheme="minorHAnsi"/>
          <w:sz w:val="22"/>
          <w:szCs w:val="22"/>
          <w:lang w:val="fr-FR"/>
        </w:rPr>
        <w:t>suffisantes?</w:t>
      </w:r>
    </w:p>
    <w:p w:rsidR="00087F50" w:rsidRPr="003715B5" w:rsidRDefault="00087F50" w:rsidP="00087F50">
      <w:pPr>
        <w:pStyle w:val="BodyText"/>
        <w:rPr>
          <w:rFonts w:asciiTheme="minorHAnsi" w:hAnsiTheme="minorHAnsi"/>
          <w:sz w:val="22"/>
          <w:szCs w:val="22"/>
          <w:lang w:val="fr-FR"/>
        </w:rPr>
      </w:pPr>
    </w:p>
    <w:p w:rsidR="002B0689" w:rsidRPr="003715B5" w:rsidRDefault="00087F50" w:rsidP="002B0689">
      <w:pPr>
        <w:pStyle w:val="BodyText"/>
        <w:numPr>
          <w:ilvl w:val="0"/>
          <w:numId w:val="7"/>
        </w:numPr>
        <w:ind w:left="426" w:hanging="426"/>
        <w:rPr>
          <w:rFonts w:asciiTheme="minorHAnsi" w:hAnsiTheme="minorHAnsi"/>
          <w:sz w:val="22"/>
          <w:szCs w:val="22"/>
          <w:lang w:val="fr-FR"/>
        </w:rPr>
      </w:pPr>
      <w:r w:rsidRPr="003715B5">
        <w:rPr>
          <w:rFonts w:asciiTheme="minorHAnsi" w:hAnsiTheme="minorHAnsi"/>
          <w:sz w:val="22"/>
          <w:szCs w:val="22"/>
          <w:lang w:val="fr-FR"/>
        </w:rPr>
        <w:t xml:space="preserve">Comme cela avait été le cas préalablement à la COP11, </w:t>
      </w:r>
      <w:r w:rsidR="00B63FA7" w:rsidRPr="003715B5">
        <w:rPr>
          <w:rFonts w:asciiTheme="minorHAnsi" w:hAnsiTheme="minorHAnsi"/>
          <w:sz w:val="22"/>
          <w:szCs w:val="22"/>
          <w:lang w:val="fr-FR"/>
        </w:rPr>
        <w:t>19 </w:t>
      </w:r>
      <w:r w:rsidRPr="003715B5">
        <w:rPr>
          <w:rFonts w:asciiTheme="minorHAnsi" w:hAnsiTheme="minorHAnsi"/>
          <w:sz w:val="22"/>
          <w:szCs w:val="22"/>
          <w:lang w:val="fr-FR"/>
        </w:rPr>
        <w:t xml:space="preserve">Parties européennes </w:t>
      </w:r>
      <w:r w:rsidR="002B0689" w:rsidRPr="003715B5">
        <w:rPr>
          <w:rFonts w:asciiTheme="minorHAnsi" w:hAnsiTheme="minorHAnsi"/>
          <w:sz w:val="22"/>
          <w:szCs w:val="22"/>
          <w:lang w:val="fr-FR"/>
        </w:rPr>
        <w:t xml:space="preserve">signalent que </w:t>
      </w:r>
      <w:r w:rsidR="002B0689" w:rsidRPr="003715B5">
        <w:rPr>
          <w:rFonts w:asciiTheme="minorHAnsi" w:hAnsiTheme="minorHAnsi"/>
          <w:sz w:val="22"/>
          <w:szCs w:val="22"/>
          <w:lang w:val="fr-FR"/>
        </w:rPr>
        <w:lastRenderedPageBreak/>
        <w:t xml:space="preserve">les valeurs socio-économiques et culturelles des zones humides </w:t>
      </w:r>
      <w:r w:rsidRPr="003715B5">
        <w:rPr>
          <w:rFonts w:asciiTheme="minorHAnsi" w:hAnsiTheme="minorHAnsi"/>
          <w:sz w:val="22"/>
          <w:szCs w:val="22"/>
          <w:lang w:val="fr-FR"/>
        </w:rPr>
        <w:t>ont été</w:t>
      </w:r>
      <w:r w:rsidR="002B0689" w:rsidRPr="003715B5">
        <w:rPr>
          <w:rFonts w:asciiTheme="minorHAnsi" w:hAnsiTheme="minorHAnsi"/>
          <w:sz w:val="22"/>
          <w:szCs w:val="22"/>
          <w:lang w:val="fr-FR"/>
        </w:rPr>
        <w:t xml:space="preserve"> inscrites dans les plans de gestion de leurs Sites R</w:t>
      </w:r>
      <w:r w:rsidR="003715B5">
        <w:rPr>
          <w:rFonts w:asciiTheme="minorHAnsi" w:hAnsiTheme="minorHAnsi"/>
          <w:sz w:val="22"/>
          <w:szCs w:val="22"/>
          <w:lang w:val="fr-FR"/>
        </w:rPr>
        <w:t>amsar et autres zones humides (I</w:t>
      </w:r>
      <w:r w:rsidR="002B0689" w:rsidRPr="003715B5">
        <w:rPr>
          <w:rFonts w:asciiTheme="minorHAnsi" w:hAnsiTheme="minorHAnsi"/>
          <w:sz w:val="22"/>
          <w:szCs w:val="22"/>
          <w:lang w:val="fr-FR"/>
        </w:rPr>
        <w:t>ndicateur 1.4.3</w:t>
      </w:r>
      <w:r w:rsidRPr="003715B5">
        <w:rPr>
          <w:rFonts w:asciiTheme="minorHAnsi" w:hAnsiTheme="minorHAnsi"/>
          <w:sz w:val="22"/>
          <w:szCs w:val="22"/>
          <w:lang w:val="fr-FR"/>
        </w:rPr>
        <w:t>), un chiffre qui reste inférieur à la moyenne mondiale.</w:t>
      </w:r>
    </w:p>
    <w:p w:rsidR="0001533C" w:rsidRPr="003715B5" w:rsidRDefault="0001533C" w:rsidP="00E41376">
      <w:pPr>
        <w:rPr>
          <w:rFonts w:eastAsia="Garamond" w:cs="Garamond"/>
          <w:lang w:val="fr-FR"/>
        </w:rPr>
      </w:pPr>
    </w:p>
    <w:p w:rsidR="0001533C" w:rsidRPr="003715B5" w:rsidRDefault="00FF73FE" w:rsidP="00E41376">
      <w:pPr>
        <w:rPr>
          <w:rFonts w:eastAsia="Garamond" w:cs="Garamond"/>
          <w:lang w:val="fr-FR"/>
        </w:rPr>
      </w:pPr>
      <w:r w:rsidRPr="003715B5">
        <w:rPr>
          <w:b/>
          <w:lang w:val="fr-FR"/>
        </w:rPr>
        <w:t>Reco</w:t>
      </w:r>
      <w:r w:rsidR="00087F50" w:rsidRPr="003715B5">
        <w:rPr>
          <w:b/>
          <w:lang w:val="fr-FR"/>
        </w:rPr>
        <w:t xml:space="preserve">nnaissance du rôle de la </w:t>
      </w:r>
      <w:r w:rsidRPr="003715B5">
        <w:rPr>
          <w:b/>
          <w:lang w:val="fr-FR"/>
        </w:rPr>
        <w:t xml:space="preserve">Convention </w:t>
      </w:r>
      <w:r w:rsidR="00087F50" w:rsidRPr="003715B5">
        <w:rPr>
          <w:i/>
          <w:lang w:val="fr-FR"/>
        </w:rPr>
        <w:t>(Stratégie </w:t>
      </w:r>
      <w:r w:rsidRPr="003715B5">
        <w:rPr>
          <w:i/>
          <w:lang w:val="fr-FR"/>
        </w:rPr>
        <w:t>1.5)</w:t>
      </w:r>
    </w:p>
    <w:p w:rsidR="0001533C" w:rsidRPr="003715B5" w:rsidRDefault="0001533C" w:rsidP="00E41376">
      <w:pPr>
        <w:rPr>
          <w:rFonts w:eastAsia="Garamond" w:cs="Garamond"/>
          <w:i/>
          <w:lang w:val="fr-FR"/>
        </w:rPr>
      </w:pPr>
    </w:p>
    <w:p w:rsidR="00EC166C" w:rsidRPr="003715B5" w:rsidRDefault="00777AC7" w:rsidP="00E41376">
      <w:pPr>
        <w:pStyle w:val="BodyText"/>
        <w:numPr>
          <w:ilvl w:val="0"/>
          <w:numId w:val="7"/>
        </w:numPr>
        <w:ind w:left="426" w:hanging="426"/>
        <w:rPr>
          <w:rFonts w:asciiTheme="minorHAnsi" w:hAnsiTheme="minorHAnsi"/>
          <w:sz w:val="22"/>
          <w:szCs w:val="22"/>
          <w:lang w:val="fr-FR"/>
        </w:rPr>
      </w:pPr>
      <w:r w:rsidRPr="003715B5">
        <w:rPr>
          <w:rFonts w:asciiTheme="minorHAnsi" w:hAnsiTheme="minorHAnsi"/>
          <w:sz w:val="22"/>
          <w:szCs w:val="22"/>
          <w:lang w:val="fr-FR"/>
        </w:rPr>
        <w:t>La « Déclaration de Changwon » de 2008 (Résolution X.3) a été portée à la connaissance du</w:t>
      </w:r>
      <w:r w:rsidR="002E49C8" w:rsidRPr="003715B5">
        <w:rPr>
          <w:rFonts w:asciiTheme="minorHAnsi" w:hAnsiTheme="minorHAnsi"/>
          <w:sz w:val="22"/>
          <w:szCs w:val="22"/>
          <w:lang w:val="fr-FR"/>
        </w:rPr>
        <w:t xml:space="preserve"> chef de l’État, du Parlement, d</w:t>
      </w:r>
      <w:r w:rsidRPr="003715B5">
        <w:rPr>
          <w:rFonts w:asciiTheme="minorHAnsi" w:hAnsiTheme="minorHAnsi"/>
          <w:sz w:val="22"/>
          <w:szCs w:val="22"/>
          <w:lang w:val="fr-FR"/>
        </w:rPr>
        <w:t xml:space="preserve">u secteur privé et de la société civile dans une poignée de pays européens, essentiellement au cours des trois années qui ont suivi la COP10 </w:t>
      </w:r>
      <w:r w:rsidR="00590642" w:rsidRPr="003715B5">
        <w:rPr>
          <w:rFonts w:asciiTheme="minorHAnsi" w:hAnsiTheme="minorHAnsi"/>
          <w:sz w:val="22"/>
          <w:szCs w:val="22"/>
          <w:lang w:val="fr-FR"/>
        </w:rPr>
        <w:t>(2009-2012)</w:t>
      </w:r>
      <w:r w:rsidR="00EC166C" w:rsidRPr="003715B5">
        <w:rPr>
          <w:rFonts w:asciiTheme="minorHAnsi" w:hAnsiTheme="minorHAnsi"/>
          <w:sz w:val="22"/>
          <w:szCs w:val="22"/>
          <w:lang w:val="fr-FR"/>
        </w:rPr>
        <w:t>.</w:t>
      </w:r>
      <w:r w:rsidRPr="003715B5">
        <w:rPr>
          <w:rFonts w:asciiTheme="minorHAnsi" w:hAnsiTheme="minorHAnsi"/>
          <w:sz w:val="22"/>
          <w:szCs w:val="22"/>
          <w:lang w:val="fr-FR"/>
        </w:rPr>
        <w:t xml:space="preserve"> Néanmoins, depuis la COP11,</w:t>
      </w:r>
      <w:r w:rsidR="00ED601E" w:rsidRPr="003715B5">
        <w:rPr>
          <w:rFonts w:asciiTheme="minorHAnsi" w:hAnsiTheme="minorHAnsi"/>
          <w:sz w:val="22"/>
          <w:szCs w:val="22"/>
          <w:lang w:val="fr-FR"/>
        </w:rPr>
        <w:t xml:space="preserve"> elle n’a été que très peu utilisée pour souligner la pertinence de la Convention en matière de gestion des écosystèmes à tous les niveaux et promouvoir son utilité en tant que mécanisme de mise en œuvre pour répondre au</w:t>
      </w:r>
      <w:r w:rsidR="002E49C8" w:rsidRPr="003715B5">
        <w:rPr>
          <w:rFonts w:asciiTheme="minorHAnsi" w:hAnsiTheme="minorHAnsi"/>
          <w:sz w:val="22"/>
          <w:szCs w:val="22"/>
          <w:lang w:val="fr-FR"/>
        </w:rPr>
        <w:t>x</w:t>
      </w:r>
      <w:r w:rsidR="00ED601E" w:rsidRPr="003715B5">
        <w:rPr>
          <w:rFonts w:asciiTheme="minorHAnsi" w:hAnsiTheme="minorHAnsi"/>
          <w:sz w:val="22"/>
          <w:szCs w:val="22"/>
          <w:lang w:val="fr-FR"/>
        </w:rPr>
        <w:t xml:space="preserve"> objectifs d’autres conventions. Certains éléments de la Déclaration ont été intégrés dans des instruments de politique nationale. À ce stade, seule la Slovaquie entend intégrer les points de la Déclaration dans sa prochaine politique nationale et son prochain Plan d’action 2015-2021</w:t>
      </w:r>
      <w:r w:rsidR="00E958AA" w:rsidRPr="003715B5">
        <w:rPr>
          <w:rFonts w:asciiTheme="minorHAnsi" w:hAnsiTheme="minorHAnsi"/>
          <w:sz w:val="22"/>
          <w:szCs w:val="22"/>
          <w:lang w:val="fr-FR"/>
        </w:rPr>
        <w:t xml:space="preserve"> sur les zones humides</w:t>
      </w:r>
      <w:r w:rsidR="00ED601E" w:rsidRPr="003715B5">
        <w:rPr>
          <w:rFonts w:asciiTheme="minorHAnsi" w:hAnsiTheme="minorHAnsi"/>
          <w:sz w:val="22"/>
          <w:szCs w:val="22"/>
          <w:lang w:val="fr-FR"/>
        </w:rPr>
        <w:t xml:space="preserve">. Face à ce constat, il convient de trouver d’autres moyens d’étendre le rayonnement de la </w:t>
      </w:r>
      <w:r w:rsidR="00EC166C" w:rsidRPr="003715B5">
        <w:rPr>
          <w:rFonts w:asciiTheme="minorHAnsi" w:hAnsiTheme="minorHAnsi"/>
          <w:sz w:val="22"/>
          <w:szCs w:val="22"/>
          <w:lang w:val="fr-FR"/>
        </w:rPr>
        <w:t>Convention.</w:t>
      </w:r>
    </w:p>
    <w:p w:rsidR="0001533C" w:rsidRPr="003715B5" w:rsidRDefault="0001533C" w:rsidP="00E41376">
      <w:pPr>
        <w:rPr>
          <w:rFonts w:eastAsia="Garamond" w:cs="Garamond"/>
          <w:b/>
          <w:bCs/>
          <w:lang w:val="fr-FR"/>
        </w:rPr>
      </w:pPr>
    </w:p>
    <w:p w:rsidR="0001533C" w:rsidRPr="003715B5" w:rsidRDefault="00ED601E" w:rsidP="00E41376">
      <w:pPr>
        <w:rPr>
          <w:rFonts w:eastAsia="Garamond" w:cs="Garamond"/>
          <w:lang w:val="fr-FR"/>
        </w:rPr>
      </w:pPr>
      <w:r w:rsidRPr="003715B5">
        <w:rPr>
          <w:b/>
          <w:lang w:val="fr-FR"/>
        </w:rPr>
        <w:t>Gestion scientifique des zones humides</w:t>
      </w:r>
      <w:r w:rsidR="00FF73FE" w:rsidRPr="003715B5">
        <w:rPr>
          <w:b/>
          <w:lang w:val="fr-FR"/>
        </w:rPr>
        <w:t xml:space="preserve"> </w:t>
      </w:r>
      <w:r w:rsidRPr="003715B5">
        <w:rPr>
          <w:i/>
          <w:lang w:val="fr-FR"/>
        </w:rPr>
        <w:t>(Stratégie </w:t>
      </w:r>
      <w:r w:rsidR="00FF73FE" w:rsidRPr="003715B5">
        <w:rPr>
          <w:i/>
          <w:lang w:val="fr-FR"/>
        </w:rPr>
        <w:t>1.6)</w:t>
      </w:r>
    </w:p>
    <w:p w:rsidR="0001533C" w:rsidRPr="003715B5" w:rsidRDefault="0001533C" w:rsidP="00E41376">
      <w:pPr>
        <w:rPr>
          <w:rFonts w:eastAsia="Garamond" w:cs="Garamond"/>
          <w:i/>
          <w:lang w:val="fr-FR"/>
        </w:rPr>
      </w:pPr>
    </w:p>
    <w:p w:rsidR="00E958AA" w:rsidRPr="003715B5" w:rsidRDefault="00E958AA" w:rsidP="00E41376">
      <w:pPr>
        <w:pStyle w:val="BodyText"/>
        <w:numPr>
          <w:ilvl w:val="0"/>
          <w:numId w:val="7"/>
        </w:numPr>
        <w:ind w:left="426" w:hanging="426"/>
        <w:rPr>
          <w:rFonts w:asciiTheme="minorHAnsi" w:hAnsiTheme="minorHAnsi"/>
          <w:sz w:val="22"/>
          <w:szCs w:val="22"/>
          <w:lang w:val="fr-FR"/>
        </w:rPr>
      </w:pPr>
      <w:r w:rsidRPr="003715B5">
        <w:rPr>
          <w:rFonts w:asciiTheme="minorHAnsi" w:hAnsiTheme="minorHAnsi"/>
          <w:sz w:val="22"/>
          <w:szCs w:val="22"/>
          <w:lang w:val="fr-FR"/>
        </w:rPr>
        <w:t>Pour être couronné de succès, le concept d’</w:t>
      </w:r>
      <w:r w:rsidR="008B61A7" w:rsidRPr="003715B5">
        <w:rPr>
          <w:rFonts w:asciiTheme="minorHAnsi" w:hAnsiTheme="minorHAnsi"/>
          <w:sz w:val="22"/>
          <w:szCs w:val="22"/>
          <w:lang w:val="fr-FR"/>
        </w:rPr>
        <w:t> « </w:t>
      </w:r>
      <w:r w:rsidRPr="003715B5">
        <w:rPr>
          <w:rFonts w:asciiTheme="minorHAnsi" w:hAnsiTheme="minorHAnsi"/>
          <w:sz w:val="22"/>
          <w:szCs w:val="22"/>
          <w:lang w:val="fr-FR"/>
        </w:rPr>
        <w:t>utilisation rationnelle</w:t>
      </w:r>
      <w:r w:rsidR="008B61A7" w:rsidRPr="003715B5">
        <w:rPr>
          <w:rFonts w:asciiTheme="minorHAnsi" w:hAnsiTheme="minorHAnsi"/>
          <w:sz w:val="22"/>
          <w:szCs w:val="22"/>
          <w:lang w:val="fr-FR"/>
        </w:rPr>
        <w:t> »</w:t>
      </w:r>
      <w:r w:rsidRPr="003715B5">
        <w:rPr>
          <w:rFonts w:asciiTheme="minorHAnsi" w:hAnsiTheme="minorHAnsi"/>
          <w:sz w:val="22"/>
          <w:szCs w:val="22"/>
          <w:lang w:val="fr-FR"/>
        </w:rPr>
        <w:t xml:space="preserve"> de Ramsar doit profiter de l’intégration des meilleures connaissances scientifiques disponibles, y compris des techniques traditionnelles, dans les plans de gestion des zones humides et les politiques nationales. La recherche, pour éclairer les politiques sur les zones humides et les plans de gestion, est particulièrement importante dans les domaines de l’agriculture, des changements climatiques et de l’évaluation des services écosystémiques. Depuis la COP11, une poignée supplémentaire</w:t>
      </w:r>
      <w:r w:rsidR="008B61A7" w:rsidRPr="003715B5">
        <w:rPr>
          <w:rFonts w:asciiTheme="minorHAnsi" w:hAnsiTheme="minorHAnsi"/>
          <w:sz w:val="22"/>
          <w:szCs w:val="22"/>
          <w:lang w:val="fr-FR"/>
        </w:rPr>
        <w:t xml:space="preserve"> de Parties européennes indique</w:t>
      </w:r>
      <w:r w:rsidRPr="003715B5">
        <w:rPr>
          <w:rFonts w:asciiTheme="minorHAnsi" w:hAnsiTheme="minorHAnsi"/>
          <w:sz w:val="22"/>
          <w:szCs w:val="22"/>
          <w:lang w:val="fr-FR"/>
        </w:rPr>
        <w:t xml:space="preserve"> avoir entamé des recherches dans ces domaines. Le pourcentage de celles qui ont entrepris des travaux de recherche sur l’interaction entre les zones humides et l’agriculture et sur les changements climatiques correspond à la moyenne mondiale. Cependant, les Parties européennes sont en retard en ce qui concerne l’évaluation des services écosystémiques de leurs zones </w:t>
      </w:r>
      <w:r w:rsidR="001919CE" w:rsidRPr="003715B5">
        <w:rPr>
          <w:rFonts w:asciiTheme="minorHAnsi" w:hAnsiTheme="minorHAnsi"/>
          <w:sz w:val="22"/>
          <w:szCs w:val="22"/>
          <w:lang w:val="fr-FR"/>
        </w:rPr>
        <w:t xml:space="preserve">humides. Globalement, la </w:t>
      </w:r>
      <w:r w:rsidR="001919CE" w:rsidRPr="003715B5">
        <w:rPr>
          <w:rFonts w:asciiTheme="minorHAnsi" w:hAnsiTheme="minorHAnsi"/>
          <w:b/>
          <w:sz w:val="22"/>
          <w:szCs w:val="22"/>
          <w:lang w:val="fr-FR"/>
        </w:rPr>
        <w:t>figure </w:t>
      </w:r>
      <w:r w:rsidRPr="003715B5">
        <w:rPr>
          <w:rFonts w:asciiTheme="minorHAnsi" w:hAnsiTheme="minorHAnsi"/>
          <w:b/>
          <w:sz w:val="22"/>
          <w:szCs w:val="22"/>
          <w:lang w:val="fr-FR"/>
        </w:rPr>
        <w:t>3</w:t>
      </w:r>
      <w:r w:rsidRPr="003715B5">
        <w:rPr>
          <w:rFonts w:asciiTheme="minorHAnsi" w:hAnsiTheme="minorHAnsi"/>
          <w:sz w:val="22"/>
          <w:szCs w:val="22"/>
          <w:lang w:val="fr-FR"/>
        </w:rPr>
        <w:t xml:space="preserve"> ci-dessous ne fait apparaître aucun progrès substantiel depuis la COP11.</w:t>
      </w:r>
    </w:p>
    <w:p w:rsidR="00590642" w:rsidRPr="003715B5" w:rsidRDefault="00590642" w:rsidP="007776D0">
      <w:pPr>
        <w:pStyle w:val="BodyText"/>
        <w:tabs>
          <w:tab w:val="left" w:pos="668"/>
        </w:tabs>
        <w:ind w:left="0" w:right="171" w:firstLine="0"/>
        <w:rPr>
          <w:rFonts w:asciiTheme="minorHAnsi" w:hAnsiTheme="minorHAnsi"/>
          <w:sz w:val="22"/>
          <w:szCs w:val="22"/>
          <w:lang w:val="fr-FR"/>
        </w:rPr>
      </w:pPr>
    </w:p>
    <w:p w:rsidR="00590642" w:rsidRPr="003715B5" w:rsidRDefault="003F124C" w:rsidP="007776D0">
      <w:pPr>
        <w:rPr>
          <w:rFonts w:eastAsia="Garamond" w:cs="Garamond"/>
          <w:sz w:val="24"/>
          <w:szCs w:val="24"/>
          <w:lang w:val="fr-FR"/>
        </w:rPr>
      </w:pPr>
      <w:r w:rsidRPr="003F124C">
        <w:rPr>
          <w:b/>
          <w:noProof/>
        </w:rPr>
        <w:pict>
          <v:shape id="_x0000_s1079" type="#_x0000_t202" style="position:absolute;margin-left:376.4pt;margin-top:140.45pt;width:39.7pt;height:16.7pt;z-index:251678720;v-text-anchor:middle" stroked="f">
            <v:textbox inset=".5mm,.5mm,.5mm,.5mm">
              <w:txbxContent>
                <w:p w:rsidR="001B043A" w:rsidRPr="003E12A5" w:rsidRDefault="001B043A" w:rsidP="003E12A5">
                  <w:pPr>
                    <w:rPr>
                      <w:sz w:val="18"/>
                      <w:szCs w:val="18"/>
                    </w:rPr>
                  </w:pPr>
                  <w:r>
                    <w:rPr>
                      <w:sz w:val="18"/>
                      <w:szCs w:val="18"/>
                    </w:rPr>
                    <w:t>Oui</w:t>
                  </w:r>
                </w:p>
              </w:txbxContent>
            </v:textbox>
          </v:shape>
        </w:pict>
      </w:r>
      <w:r w:rsidRPr="003F124C">
        <w:rPr>
          <w:b/>
          <w:noProof/>
        </w:rPr>
        <w:pict>
          <v:shape id="_x0000_s1080" type="#_x0000_t202" style="position:absolute;margin-left:376.4pt;margin-top:123.75pt;width:35.5pt;height:16.7pt;z-index:251679744;v-text-anchor:middle" stroked="f">
            <v:textbox inset=".5mm,.5mm,.5mm,.5mm">
              <w:txbxContent>
                <w:p w:rsidR="001B043A" w:rsidRPr="003E12A5" w:rsidRDefault="001B043A" w:rsidP="003E12A5">
                  <w:pPr>
                    <w:rPr>
                      <w:sz w:val="18"/>
                      <w:szCs w:val="18"/>
                    </w:rPr>
                  </w:pPr>
                  <w:r>
                    <w:rPr>
                      <w:sz w:val="18"/>
                      <w:szCs w:val="18"/>
                    </w:rPr>
                    <w:t>Prévu</w:t>
                  </w:r>
                </w:p>
              </w:txbxContent>
            </v:textbox>
          </v:shape>
        </w:pict>
      </w:r>
      <w:r w:rsidRPr="003F124C">
        <w:rPr>
          <w:b/>
          <w:noProof/>
        </w:rPr>
        <w:pict>
          <v:shape id="_x0000_s1081" type="#_x0000_t202" style="position:absolute;margin-left:376.4pt;margin-top:104.4pt;width:39.7pt;height:16.7pt;z-index:251680768;v-text-anchor:middle" stroked="f">
            <v:textbox inset=".5mm,.5mm,.5mm,.5mm">
              <w:txbxContent>
                <w:p w:rsidR="001B043A" w:rsidRPr="003E12A5" w:rsidRDefault="001B043A" w:rsidP="003E12A5">
                  <w:pPr>
                    <w:rPr>
                      <w:sz w:val="18"/>
                      <w:szCs w:val="18"/>
                    </w:rPr>
                  </w:pPr>
                  <w:r>
                    <w:rPr>
                      <w:sz w:val="18"/>
                      <w:szCs w:val="18"/>
                    </w:rPr>
                    <w:t>Non</w:t>
                  </w:r>
                </w:p>
              </w:txbxContent>
            </v:textbox>
          </v:shape>
        </w:pict>
      </w:r>
      <w:r w:rsidR="00590642" w:rsidRPr="003715B5">
        <w:rPr>
          <w:noProof/>
        </w:rPr>
        <w:drawing>
          <wp:inline distT="0" distB="0" distL="0" distR="0">
            <wp:extent cx="5307862" cy="2880853"/>
            <wp:effectExtent l="19050" t="0" r="26138"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1533C" w:rsidRPr="003715B5" w:rsidRDefault="0076392B" w:rsidP="00E41376">
      <w:pPr>
        <w:ind w:right="-42"/>
        <w:rPr>
          <w:rFonts w:eastAsia="Garamond" w:cs="Garamond"/>
          <w:lang w:val="fr-FR"/>
        </w:rPr>
      </w:pPr>
      <w:r w:rsidRPr="003715B5">
        <w:rPr>
          <w:b/>
          <w:lang w:val="fr-FR"/>
        </w:rPr>
        <w:t>Figure </w:t>
      </w:r>
      <w:r w:rsidR="00FF73FE" w:rsidRPr="003715B5">
        <w:rPr>
          <w:b/>
          <w:lang w:val="fr-FR"/>
        </w:rPr>
        <w:t>3</w:t>
      </w:r>
      <w:r w:rsidR="00C51390" w:rsidRPr="003715B5">
        <w:rPr>
          <w:b/>
          <w:lang w:val="fr-FR"/>
        </w:rPr>
        <w:t> </w:t>
      </w:r>
      <w:r w:rsidR="00FF73FE" w:rsidRPr="003715B5">
        <w:rPr>
          <w:b/>
          <w:lang w:val="fr-FR"/>
        </w:rPr>
        <w:t>: N</w:t>
      </w:r>
      <w:r w:rsidRPr="003715B5">
        <w:rPr>
          <w:b/>
          <w:lang w:val="fr-FR"/>
        </w:rPr>
        <w:t>ombre de Parties ayant entamé des travaux de recherche dans les domaines de</w:t>
      </w:r>
      <w:r w:rsidR="00FF73FE" w:rsidRPr="003715B5">
        <w:rPr>
          <w:b/>
          <w:lang w:val="fr-FR"/>
        </w:rPr>
        <w:t xml:space="preserve"> </w:t>
      </w:r>
      <w:r w:rsidR="006F5E8C" w:rsidRPr="003715B5">
        <w:rPr>
          <w:b/>
          <w:lang w:val="fr-FR"/>
        </w:rPr>
        <w:t xml:space="preserve">a) </w:t>
      </w:r>
      <w:r w:rsidRPr="003715B5">
        <w:rPr>
          <w:b/>
          <w:lang w:val="fr-FR"/>
        </w:rPr>
        <w:t>l’</w:t>
      </w:r>
      <w:r w:rsidR="00FF73FE" w:rsidRPr="003715B5">
        <w:rPr>
          <w:b/>
          <w:lang w:val="fr-FR"/>
        </w:rPr>
        <w:t>agriculture</w:t>
      </w:r>
      <w:r w:rsidR="006F5E8C" w:rsidRPr="003715B5">
        <w:rPr>
          <w:b/>
          <w:lang w:val="fr-FR"/>
        </w:rPr>
        <w:t>,</w:t>
      </w:r>
      <w:r w:rsidR="00FF73FE" w:rsidRPr="003715B5">
        <w:rPr>
          <w:b/>
          <w:lang w:val="fr-FR"/>
        </w:rPr>
        <w:t xml:space="preserve"> </w:t>
      </w:r>
      <w:r w:rsidR="006F5E8C" w:rsidRPr="003715B5">
        <w:rPr>
          <w:b/>
          <w:lang w:val="fr-FR"/>
        </w:rPr>
        <w:t>b)</w:t>
      </w:r>
      <w:r w:rsidR="00FF73FE" w:rsidRPr="003715B5">
        <w:rPr>
          <w:b/>
          <w:lang w:val="fr-FR"/>
        </w:rPr>
        <w:t xml:space="preserve"> </w:t>
      </w:r>
      <w:r w:rsidRPr="003715B5">
        <w:rPr>
          <w:b/>
          <w:lang w:val="fr-FR"/>
        </w:rPr>
        <w:t>les changements climatiques et</w:t>
      </w:r>
      <w:r w:rsidR="00FF73FE" w:rsidRPr="003715B5">
        <w:rPr>
          <w:b/>
          <w:lang w:val="fr-FR"/>
        </w:rPr>
        <w:t xml:space="preserve"> </w:t>
      </w:r>
      <w:r w:rsidR="006F5E8C" w:rsidRPr="003715B5">
        <w:rPr>
          <w:b/>
          <w:lang w:val="fr-FR"/>
        </w:rPr>
        <w:t xml:space="preserve">c) </w:t>
      </w:r>
      <w:r w:rsidRPr="003715B5">
        <w:rPr>
          <w:b/>
          <w:lang w:val="fr-FR"/>
        </w:rPr>
        <w:t>l’évaluation des services écosystémiques</w:t>
      </w:r>
      <w:r w:rsidR="00FF73FE" w:rsidRPr="003715B5">
        <w:rPr>
          <w:b/>
          <w:lang w:val="fr-FR"/>
        </w:rPr>
        <w:t>.</w:t>
      </w:r>
    </w:p>
    <w:p w:rsidR="0001533C" w:rsidRPr="003715B5" w:rsidRDefault="0001533C" w:rsidP="00E41376">
      <w:pPr>
        <w:ind w:right="-42"/>
        <w:rPr>
          <w:rFonts w:eastAsia="Garamond" w:cs="Garamond"/>
          <w:b/>
          <w:bCs/>
          <w:lang w:val="fr-FR"/>
        </w:rPr>
      </w:pPr>
    </w:p>
    <w:p w:rsidR="0001533C" w:rsidRPr="003715B5" w:rsidRDefault="0076392B" w:rsidP="00E41376">
      <w:pPr>
        <w:ind w:right="-42"/>
        <w:rPr>
          <w:rFonts w:eastAsia="Garamond" w:cs="Garamond"/>
          <w:lang w:val="fr-FR"/>
        </w:rPr>
      </w:pPr>
      <w:r w:rsidRPr="003715B5">
        <w:rPr>
          <w:b/>
          <w:lang w:val="fr-FR"/>
        </w:rPr>
        <w:t xml:space="preserve">Gestion intégrée des ressources en eau </w:t>
      </w:r>
      <w:r w:rsidRPr="003715B5">
        <w:rPr>
          <w:i/>
          <w:lang w:val="fr-FR"/>
        </w:rPr>
        <w:t>(Stratégie </w:t>
      </w:r>
      <w:r w:rsidR="00FF73FE" w:rsidRPr="003715B5">
        <w:rPr>
          <w:i/>
          <w:lang w:val="fr-FR"/>
        </w:rPr>
        <w:t>1.7)</w:t>
      </w:r>
    </w:p>
    <w:p w:rsidR="0001533C" w:rsidRPr="003715B5" w:rsidRDefault="0001533C" w:rsidP="00E41376">
      <w:pPr>
        <w:ind w:right="-42"/>
        <w:rPr>
          <w:rFonts w:eastAsia="Garamond" w:cs="Garamond"/>
          <w:i/>
          <w:lang w:val="fr-FR"/>
        </w:rPr>
      </w:pPr>
    </w:p>
    <w:p w:rsidR="0076392B" w:rsidRPr="003715B5" w:rsidRDefault="008F6399" w:rsidP="008F6399">
      <w:pPr>
        <w:pStyle w:val="BodyText"/>
        <w:numPr>
          <w:ilvl w:val="0"/>
          <w:numId w:val="7"/>
        </w:numPr>
        <w:ind w:left="426" w:right="-42" w:hanging="426"/>
        <w:rPr>
          <w:rFonts w:asciiTheme="minorHAnsi" w:hAnsiTheme="minorHAnsi"/>
          <w:sz w:val="22"/>
          <w:szCs w:val="22"/>
          <w:lang w:val="fr-FR"/>
        </w:rPr>
      </w:pPr>
      <w:r w:rsidRPr="003715B5">
        <w:rPr>
          <w:rFonts w:asciiTheme="minorHAnsi" w:hAnsiTheme="minorHAnsi"/>
          <w:sz w:val="22"/>
          <w:szCs w:val="22"/>
          <w:lang w:val="fr-FR"/>
        </w:rPr>
        <w:t>Les liens cruciaux entre les zones humides, l’eau et la gestion des bassins hydrographiques sont mis en évidence dans le préambule de la Convention (« Considérant les fonctions écologiques fondamentales des zones humides en tant que régulateurs du régime des eaux ») et ont été approfondis depuis la COP6 (1996), à telle enseigne que la COP10 a pu adopter des orientations regr</w:t>
      </w:r>
      <w:r w:rsidR="001919CE" w:rsidRPr="003715B5">
        <w:rPr>
          <w:rFonts w:asciiTheme="minorHAnsi" w:hAnsiTheme="minorHAnsi"/>
          <w:sz w:val="22"/>
          <w:szCs w:val="22"/>
          <w:lang w:val="fr-FR"/>
        </w:rPr>
        <w:t>oupées sur le sujet (Résolution </w:t>
      </w:r>
      <w:r w:rsidRPr="003715B5">
        <w:rPr>
          <w:rFonts w:asciiTheme="minorHAnsi" w:hAnsiTheme="minorHAnsi"/>
          <w:sz w:val="22"/>
          <w:szCs w:val="22"/>
          <w:lang w:val="fr-FR"/>
        </w:rPr>
        <w:t xml:space="preserve">X.19). Ces dernières années, il est devenu de plus en plus évident que la Convention de Ramsar était très bien placée pour fournir au secteur de </w:t>
      </w:r>
      <w:r w:rsidR="001919CE" w:rsidRPr="003715B5">
        <w:rPr>
          <w:rFonts w:asciiTheme="minorHAnsi" w:hAnsiTheme="minorHAnsi"/>
          <w:sz w:val="22"/>
          <w:szCs w:val="22"/>
          <w:lang w:val="fr-FR"/>
        </w:rPr>
        <w:t xml:space="preserve">la </w:t>
      </w:r>
      <w:r w:rsidRPr="003715B5">
        <w:rPr>
          <w:rFonts w:asciiTheme="minorHAnsi" w:hAnsiTheme="minorHAnsi"/>
          <w:sz w:val="22"/>
          <w:szCs w:val="22"/>
          <w:lang w:val="fr-FR"/>
        </w:rPr>
        <w:t>gestion de</w:t>
      </w:r>
      <w:r w:rsidR="001919CE" w:rsidRPr="003715B5">
        <w:rPr>
          <w:rFonts w:asciiTheme="minorHAnsi" w:hAnsiTheme="minorHAnsi"/>
          <w:sz w:val="22"/>
          <w:szCs w:val="22"/>
          <w:lang w:val="fr-FR"/>
        </w:rPr>
        <w:t xml:space="preserve">s ressources en </w:t>
      </w:r>
      <w:r w:rsidRPr="003715B5">
        <w:rPr>
          <w:rFonts w:asciiTheme="minorHAnsi" w:hAnsiTheme="minorHAnsi"/>
          <w:sz w:val="22"/>
          <w:szCs w:val="22"/>
          <w:lang w:val="fr-FR"/>
        </w:rPr>
        <w:t>eau son savoir-faire en ce qui concerne l’approche fondée sur les écosystèmes. Cette coopération ef</w:t>
      </w:r>
      <w:r w:rsidR="001919CE" w:rsidRPr="003715B5">
        <w:rPr>
          <w:rFonts w:asciiTheme="minorHAnsi" w:hAnsiTheme="minorHAnsi"/>
          <w:sz w:val="22"/>
          <w:szCs w:val="22"/>
          <w:lang w:val="fr-FR"/>
        </w:rPr>
        <w:t>fective a commencé en Europe en </w:t>
      </w:r>
      <w:r w:rsidRPr="003715B5">
        <w:rPr>
          <w:rFonts w:asciiTheme="minorHAnsi" w:hAnsiTheme="minorHAnsi"/>
          <w:sz w:val="22"/>
          <w:szCs w:val="22"/>
          <w:lang w:val="fr-FR"/>
        </w:rPr>
        <w:t>2008</w:t>
      </w:r>
      <w:r w:rsidR="001919CE" w:rsidRPr="003715B5">
        <w:rPr>
          <w:rFonts w:asciiTheme="minorHAnsi" w:hAnsiTheme="minorHAnsi"/>
          <w:sz w:val="22"/>
          <w:szCs w:val="22"/>
          <w:lang w:val="fr-FR"/>
        </w:rPr>
        <w:t>,</w:t>
      </w:r>
      <w:r w:rsidRPr="003715B5">
        <w:rPr>
          <w:rFonts w:asciiTheme="minorHAnsi" w:hAnsiTheme="minorHAnsi"/>
          <w:sz w:val="22"/>
          <w:szCs w:val="22"/>
          <w:lang w:val="fr-FR"/>
        </w:rPr>
        <w:t xml:space="preserve"> dans le cadre d’une contribution spécialisée de Ramsar à l’élaboration de la Deuxième évaluation des cours d’eau, lacs et eaux souterraines transfrontières par la Convention sur l’eau de la CEE</w:t>
      </w:r>
      <w:r w:rsidR="001919CE" w:rsidRPr="003715B5">
        <w:rPr>
          <w:rFonts w:asciiTheme="minorHAnsi" w:hAnsiTheme="minorHAnsi"/>
          <w:sz w:val="22"/>
          <w:szCs w:val="22"/>
          <w:lang w:val="fr-FR"/>
        </w:rPr>
        <w:t>-ONU</w:t>
      </w:r>
      <w:r w:rsidRPr="003715B5">
        <w:rPr>
          <w:rFonts w:asciiTheme="minorHAnsi" w:hAnsiTheme="minorHAnsi"/>
          <w:sz w:val="22"/>
          <w:szCs w:val="22"/>
          <w:lang w:val="fr-FR"/>
        </w:rPr>
        <w:t xml:space="preserve"> (document</w:t>
      </w:r>
      <w:r w:rsidR="001919CE" w:rsidRPr="003715B5">
        <w:rPr>
          <w:rFonts w:asciiTheme="minorHAnsi" w:hAnsiTheme="minorHAnsi"/>
          <w:sz w:val="22"/>
          <w:szCs w:val="22"/>
          <w:lang w:val="fr-FR"/>
        </w:rPr>
        <w:t xml:space="preserve"> DES Nations Unies</w:t>
      </w:r>
      <w:r w:rsidRPr="003715B5">
        <w:rPr>
          <w:rFonts w:asciiTheme="minorHAnsi" w:hAnsiTheme="minorHAnsi"/>
          <w:sz w:val="22"/>
          <w:szCs w:val="22"/>
          <w:lang w:val="fr-FR"/>
        </w:rPr>
        <w:t xml:space="preserve"> CEE/MP.WAT/33).</w:t>
      </w:r>
    </w:p>
    <w:p w:rsidR="0001533C" w:rsidRPr="003715B5" w:rsidRDefault="0001533C" w:rsidP="00E41376">
      <w:pPr>
        <w:ind w:right="-42"/>
        <w:rPr>
          <w:rFonts w:eastAsia="Garamond" w:cs="Garamond"/>
          <w:lang w:val="fr-FR"/>
        </w:rPr>
      </w:pPr>
    </w:p>
    <w:p w:rsidR="008F6399" w:rsidRPr="003715B5" w:rsidRDefault="001919CE" w:rsidP="00D76047">
      <w:pPr>
        <w:pStyle w:val="BodyText"/>
        <w:numPr>
          <w:ilvl w:val="0"/>
          <w:numId w:val="7"/>
        </w:numPr>
        <w:ind w:left="426" w:right="-42" w:hanging="426"/>
        <w:rPr>
          <w:rFonts w:asciiTheme="minorHAnsi" w:hAnsiTheme="minorHAnsi"/>
          <w:sz w:val="22"/>
          <w:szCs w:val="22"/>
          <w:lang w:val="fr-FR"/>
        </w:rPr>
      </w:pPr>
      <w:r w:rsidRPr="003715B5">
        <w:rPr>
          <w:rFonts w:asciiTheme="minorHAnsi" w:hAnsiTheme="minorHAnsi"/>
          <w:sz w:val="22"/>
          <w:szCs w:val="22"/>
          <w:lang w:val="fr-FR"/>
        </w:rPr>
        <w:t>Depuis la COP9 en </w:t>
      </w:r>
      <w:r w:rsidR="00D76047" w:rsidRPr="003715B5">
        <w:rPr>
          <w:rFonts w:asciiTheme="minorHAnsi" w:hAnsiTheme="minorHAnsi"/>
          <w:sz w:val="22"/>
          <w:szCs w:val="22"/>
          <w:lang w:val="fr-FR"/>
        </w:rPr>
        <w:t xml:space="preserve">2005, les Parties européennes signalent une progression constante des connaissances, des échanges et de la coopération avec le secteur de l’eau (voir </w:t>
      </w:r>
      <w:r w:rsidR="004006DA">
        <w:rPr>
          <w:rFonts w:asciiTheme="minorHAnsi" w:hAnsiTheme="minorHAnsi"/>
          <w:b/>
          <w:sz w:val="22"/>
          <w:szCs w:val="22"/>
          <w:lang w:val="fr-FR"/>
        </w:rPr>
        <w:t>annexe </w:t>
      </w:r>
      <w:r w:rsidR="00D76047" w:rsidRPr="003715B5">
        <w:rPr>
          <w:rFonts w:asciiTheme="minorHAnsi" w:hAnsiTheme="minorHAnsi"/>
          <w:b/>
          <w:sz w:val="22"/>
          <w:szCs w:val="22"/>
          <w:lang w:val="fr-FR"/>
        </w:rPr>
        <w:t>2</w:t>
      </w:r>
      <w:r w:rsidR="00D76047" w:rsidRPr="003715B5">
        <w:rPr>
          <w:rFonts w:asciiTheme="minorHAnsi" w:hAnsiTheme="minorHAnsi"/>
          <w:sz w:val="22"/>
          <w:szCs w:val="22"/>
          <w:lang w:val="fr-FR"/>
        </w:rPr>
        <w:t>). Actuellement, deux tiers de toutes les Parties européennes indiquent que leurs systèmes de gouvernance et de gestion des ressources en eau considèrent les zones humides comme des infrastructures naturelles faisant partie intégrante de la gestion des ressources en eau au nivea</w:t>
      </w:r>
      <w:r w:rsidR="003715B5">
        <w:rPr>
          <w:rFonts w:asciiTheme="minorHAnsi" w:hAnsiTheme="minorHAnsi"/>
          <w:sz w:val="22"/>
          <w:szCs w:val="22"/>
          <w:lang w:val="fr-FR"/>
        </w:rPr>
        <w:t>u des bassins hydrographiques (I</w:t>
      </w:r>
      <w:r w:rsidR="00D76047" w:rsidRPr="003715B5">
        <w:rPr>
          <w:rFonts w:asciiTheme="minorHAnsi" w:hAnsiTheme="minorHAnsi"/>
          <w:sz w:val="22"/>
          <w:szCs w:val="22"/>
          <w:lang w:val="fr-FR"/>
        </w:rPr>
        <w:t xml:space="preserve">ndicateur 1.7.1, voir </w:t>
      </w:r>
      <w:r w:rsidR="00D76047" w:rsidRPr="003715B5">
        <w:rPr>
          <w:rFonts w:asciiTheme="minorHAnsi" w:hAnsiTheme="minorHAnsi"/>
          <w:b/>
          <w:sz w:val="22"/>
          <w:szCs w:val="22"/>
          <w:lang w:val="fr-FR"/>
        </w:rPr>
        <w:t>annexe 1</w:t>
      </w:r>
      <w:r w:rsidR="00D76047" w:rsidRPr="003715B5">
        <w:rPr>
          <w:rFonts w:asciiTheme="minorHAnsi" w:hAnsiTheme="minorHAnsi"/>
          <w:sz w:val="22"/>
          <w:szCs w:val="22"/>
          <w:lang w:val="fr-FR"/>
        </w:rPr>
        <w:t>), ce qui laisse entendre que les orientations Ramsar relatives à l’eau sont mises à profit pour éclairer le processus décisionnel relatif à la gestion et à la planification des ressources en eau (comme décrit dans l’indicateur mentionné plus haut). L’Albanie, le Danemark, l’Islande, l’Italie, la Lituanie, la Roumanie, la Serbie, la Slovénie, la Suède et la Suisse font état de progrès sensibles depuis la COP11 dans l’application d’une approche de ce type fondée sur les écosystèmes.</w:t>
      </w:r>
    </w:p>
    <w:p w:rsidR="0001533C" w:rsidRPr="003715B5" w:rsidRDefault="0001533C" w:rsidP="00D76047">
      <w:pPr>
        <w:ind w:right="-42"/>
        <w:rPr>
          <w:rFonts w:eastAsia="Garamond" w:cs="Garamond"/>
          <w:lang w:val="fr-FR"/>
        </w:rPr>
      </w:pPr>
    </w:p>
    <w:p w:rsidR="00D9526C" w:rsidRPr="003715B5" w:rsidRDefault="00F47DFD" w:rsidP="00260263">
      <w:pPr>
        <w:pStyle w:val="BodyText"/>
        <w:numPr>
          <w:ilvl w:val="0"/>
          <w:numId w:val="7"/>
        </w:numPr>
        <w:ind w:left="426" w:right="-42" w:hanging="426"/>
        <w:rPr>
          <w:rFonts w:asciiTheme="minorHAnsi" w:hAnsiTheme="minorHAnsi"/>
          <w:sz w:val="22"/>
          <w:szCs w:val="22"/>
          <w:lang w:val="fr-FR"/>
        </w:rPr>
      </w:pPr>
      <w:r w:rsidRPr="003715B5">
        <w:rPr>
          <w:rFonts w:asciiTheme="minorHAnsi" w:hAnsiTheme="minorHAnsi"/>
          <w:sz w:val="22"/>
          <w:szCs w:val="22"/>
          <w:lang w:val="fr-FR"/>
        </w:rPr>
        <w:t xml:space="preserve">Un nombre de Parties européennes supérieur à la moyenne mondiale indique intégrer les outils </w:t>
      </w:r>
      <w:r w:rsidR="00DD2F1E" w:rsidRPr="003715B5">
        <w:rPr>
          <w:rFonts w:asciiTheme="minorHAnsi" w:hAnsiTheme="minorHAnsi"/>
          <w:sz w:val="22"/>
          <w:szCs w:val="22"/>
          <w:lang w:val="fr-FR"/>
        </w:rPr>
        <w:t>et les compétences d</w:t>
      </w:r>
      <w:r w:rsidR="00D9526C" w:rsidRPr="003715B5">
        <w:rPr>
          <w:rFonts w:asciiTheme="minorHAnsi" w:hAnsiTheme="minorHAnsi"/>
          <w:sz w:val="22"/>
          <w:szCs w:val="22"/>
          <w:lang w:val="fr-FR"/>
        </w:rPr>
        <w:t xml:space="preserve">e CESP dans la gestion et la planification des bassins hydrographiques et mettre en place des politiques pour renforcer le rôle des zones humides dans l’atténuation des changements climatiques ou l’adaptation à leurs effets. Les plans européens </w:t>
      </w:r>
      <w:r w:rsidR="00260263" w:rsidRPr="003715B5">
        <w:rPr>
          <w:rFonts w:asciiTheme="minorHAnsi" w:hAnsiTheme="minorHAnsi"/>
          <w:sz w:val="22"/>
          <w:szCs w:val="22"/>
          <w:lang w:val="fr-FR"/>
        </w:rPr>
        <w:t xml:space="preserve">visant à défendre le rôle des zones humides </w:t>
      </w:r>
      <w:r w:rsidR="00DD2F1E" w:rsidRPr="003715B5">
        <w:rPr>
          <w:rFonts w:asciiTheme="minorHAnsi" w:hAnsiTheme="minorHAnsi"/>
          <w:sz w:val="22"/>
          <w:szCs w:val="22"/>
          <w:lang w:val="fr-FR"/>
        </w:rPr>
        <w:t>en tant qu</w:t>
      </w:r>
      <w:r w:rsidR="00260263" w:rsidRPr="003715B5">
        <w:rPr>
          <w:rFonts w:asciiTheme="minorHAnsi" w:hAnsiTheme="minorHAnsi"/>
          <w:sz w:val="22"/>
          <w:szCs w:val="22"/>
          <w:lang w:val="fr-FR"/>
        </w:rPr>
        <w:t xml:space="preserve">’appui à des systèmes agricoles viables correspondent à la moyenne mondiale. La majorité des Parties européennes applique la Directive-cadre sur l’eau et autres instruments connexes de l’UE. </w:t>
      </w:r>
      <w:r w:rsidR="00DD2F1E" w:rsidRPr="003715B5">
        <w:rPr>
          <w:rFonts w:asciiTheme="minorHAnsi" w:hAnsiTheme="minorHAnsi"/>
          <w:sz w:val="22"/>
          <w:szCs w:val="22"/>
          <w:lang w:val="fr-FR"/>
        </w:rPr>
        <w:t>Ils</w:t>
      </w:r>
      <w:r w:rsidR="00260263" w:rsidRPr="003715B5">
        <w:rPr>
          <w:rFonts w:asciiTheme="minorHAnsi" w:hAnsiTheme="minorHAnsi"/>
          <w:sz w:val="22"/>
          <w:szCs w:val="22"/>
          <w:lang w:val="fr-FR"/>
        </w:rPr>
        <w:t xml:space="preserve"> fournissent un cadre juridique pratique pour l’intégration de considérations relatives aux écosystèmes de zones humides dans les plans de gestion des ressources en eau. </w:t>
      </w:r>
    </w:p>
    <w:p w:rsidR="0001533C" w:rsidRPr="003715B5" w:rsidRDefault="0001533C" w:rsidP="00E41376">
      <w:pPr>
        <w:ind w:right="-42"/>
        <w:rPr>
          <w:rFonts w:eastAsia="Garamond" w:cs="Garamond"/>
          <w:lang w:val="fr-FR"/>
        </w:rPr>
      </w:pPr>
    </w:p>
    <w:p w:rsidR="0001533C" w:rsidRPr="003715B5" w:rsidRDefault="00260263" w:rsidP="00E41376">
      <w:pPr>
        <w:ind w:right="-42"/>
        <w:rPr>
          <w:rFonts w:eastAsia="Garamond" w:cs="Garamond"/>
          <w:lang w:val="fr-FR"/>
        </w:rPr>
      </w:pPr>
      <w:r w:rsidRPr="003715B5">
        <w:rPr>
          <w:b/>
          <w:lang w:val="fr-FR"/>
        </w:rPr>
        <w:t>Restau</w:t>
      </w:r>
      <w:r w:rsidR="00FF73FE" w:rsidRPr="003715B5">
        <w:rPr>
          <w:b/>
          <w:lang w:val="fr-FR"/>
        </w:rPr>
        <w:t xml:space="preserve">ration </w:t>
      </w:r>
      <w:r w:rsidRPr="003715B5">
        <w:rPr>
          <w:b/>
          <w:lang w:val="fr-FR"/>
        </w:rPr>
        <w:t xml:space="preserve">des zones humides </w:t>
      </w:r>
      <w:r w:rsidR="00FF73FE" w:rsidRPr="003715B5">
        <w:rPr>
          <w:i/>
          <w:lang w:val="fr-FR"/>
        </w:rPr>
        <w:t>(</w:t>
      </w:r>
      <w:r w:rsidR="0076392B" w:rsidRPr="003715B5">
        <w:rPr>
          <w:i/>
          <w:lang w:val="fr-FR"/>
        </w:rPr>
        <w:t>Stratégie</w:t>
      </w:r>
      <w:r w:rsidR="00FF73FE" w:rsidRPr="003715B5">
        <w:rPr>
          <w:i/>
          <w:lang w:val="fr-FR"/>
        </w:rPr>
        <w:t xml:space="preserve"> 1.8)</w:t>
      </w:r>
    </w:p>
    <w:p w:rsidR="0001533C" w:rsidRPr="003715B5" w:rsidRDefault="0001533C" w:rsidP="00E41376">
      <w:pPr>
        <w:ind w:right="-42"/>
        <w:rPr>
          <w:rFonts w:eastAsia="Garamond" w:cs="Garamond"/>
          <w:i/>
          <w:lang w:val="fr-FR"/>
        </w:rPr>
      </w:pPr>
    </w:p>
    <w:p w:rsidR="002B1CA7" w:rsidRPr="003715B5" w:rsidRDefault="009012D8" w:rsidP="009012D8">
      <w:pPr>
        <w:pStyle w:val="BodyText"/>
        <w:numPr>
          <w:ilvl w:val="0"/>
          <w:numId w:val="7"/>
        </w:numPr>
        <w:ind w:left="426" w:right="-42" w:hanging="426"/>
        <w:rPr>
          <w:rFonts w:asciiTheme="minorHAnsi" w:hAnsiTheme="minorHAnsi"/>
          <w:sz w:val="22"/>
          <w:szCs w:val="22"/>
          <w:lang w:val="fr-FR"/>
        </w:rPr>
      </w:pPr>
      <w:r w:rsidRPr="003715B5">
        <w:rPr>
          <w:rFonts w:asciiTheme="minorHAnsi" w:hAnsiTheme="minorHAnsi"/>
          <w:sz w:val="22"/>
          <w:szCs w:val="22"/>
          <w:lang w:val="fr-FR"/>
        </w:rPr>
        <w:t xml:space="preserve">Un grand nombre </w:t>
      </w:r>
      <w:r w:rsidR="00DD2F1E" w:rsidRPr="003715B5">
        <w:rPr>
          <w:rFonts w:asciiTheme="minorHAnsi" w:hAnsiTheme="minorHAnsi"/>
          <w:sz w:val="22"/>
          <w:szCs w:val="22"/>
          <w:lang w:val="fr-FR"/>
        </w:rPr>
        <w:t>de Parties européennes signale</w:t>
      </w:r>
      <w:r w:rsidRPr="003715B5">
        <w:rPr>
          <w:rFonts w:asciiTheme="minorHAnsi" w:hAnsiTheme="minorHAnsi"/>
          <w:sz w:val="22"/>
          <w:szCs w:val="22"/>
          <w:lang w:val="fr-FR"/>
        </w:rPr>
        <w:t xml:space="preserve"> avoir mis en œuvre des projets ou des programmes de restauration des zones humides. Les orientations Ramsar sur la manière de concevoir des programmes de restauration sont mal connues car elles sont enfouies dans un cha</w:t>
      </w:r>
      <w:r w:rsidR="00DD2F1E" w:rsidRPr="003715B5">
        <w:rPr>
          <w:rFonts w:asciiTheme="minorHAnsi" w:hAnsiTheme="minorHAnsi"/>
          <w:sz w:val="22"/>
          <w:szCs w:val="22"/>
          <w:lang w:val="fr-FR"/>
        </w:rPr>
        <w:t>pitre du Manuel </w:t>
      </w:r>
      <w:r w:rsidRPr="003715B5">
        <w:rPr>
          <w:rFonts w:asciiTheme="minorHAnsi" w:hAnsiTheme="minorHAnsi"/>
          <w:sz w:val="22"/>
          <w:szCs w:val="22"/>
          <w:lang w:val="fr-FR"/>
        </w:rPr>
        <w:t>19 (4</w:t>
      </w:r>
      <w:r w:rsidRPr="003715B5">
        <w:rPr>
          <w:rFonts w:asciiTheme="minorHAnsi" w:hAnsiTheme="minorHAnsi"/>
          <w:sz w:val="22"/>
          <w:szCs w:val="22"/>
          <w:vertAlign w:val="superscript"/>
          <w:lang w:val="fr-FR"/>
        </w:rPr>
        <w:t>e</w:t>
      </w:r>
      <w:r w:rsidRPr="003715B5">
        <w:rPr>
          <w:rFonts w:asciiTheme="minorHAnsi" w:hAnsiTheme="minorHAnsi"/>
          <w:sz w:val="22"/>
          <w:szCs w:val="22"/>
          <w:lang w:val="fr-FR"/>
        </w:rPr>
        <w:t xml:space="preserve"> édition, 2010) intitulé </w:t>
      </w:r>
      <w:r w:rsidRPr="003715B5">
        <w:rPr>
          <w:rFonts w:asciiTheme="minorHAnsi" w:hAnsiTheme="minorHAnsi"/>
          <w:i/>
          <w:sz w:val="22"/>
          <w:szCs w:val="22"/>
          <w:lang w:val="fr-FR"/>
        </w:rPr>
        <w:t>Réagir aux changements dans les caractéristiques écologiques des zones humides</w:t>
      </w:r>
      <w:r w:rsidRPr="003715B5">
        <w:rPr>
          <w:rFonts w:asciiTheme="minorHAnsi" w:hAnsiTheme="minorHAnsi"/>
          <w:sz w:val="22"/>
          <w:szCs w:val="22"/>
          <w:lang w:val="fr-FR"/>
        </w:rPr>
        <w:t>. Au cours des deux dernières périodes triennales (COP10-COP12), l’application de programmes de restauration des zones humides a pe</w:t>
      </w:r>
      <w:r w:rsidR="003715B5">
        <w:rPr>
          <w:rFonts w:asciiTheme="minorHAnsi" w:hAnsiTheme="minorHAnsi"/>
          <w:sz w:val="22"/>
          <w:szCs w:val="22"/>
          <w:lang w:val="fr-FR"/>
        </w:rPr>
        <w:t>u progressé en Europe (I</w:t>
      </w:r>
      <w:r w:rsidRPr="003715B5">
        <w:rPr>
          <w:rFonts w:asciiTheme="minorHAnsi" w:hAnsiTheme="minorHAnsi"/>
          <w:sz w:val="22"/>
          <w:szCs w:val="22"/>
          <w:lang w:val="fr-FR"/>
        </w:rPr>
        <w:t xml:space="preserve">ndicateur 1.8.2, voir </w:t>
      </w:r>
      <w:r w:rsidR="004006DA">
        <w:rPr>
          <w:rFonts w:asciiTheme="minorHAnsi" w:hAnsiTheme="minorHAnsi"/>
          <w:b/>
          <w:sz w:val="22"/>
          <w:szCs w:val="22"/>
          <w:lang w:val="fr-FR"/>
        </w:rPr>
        <w:t>annexe </w:t>
      </w:r>
      <w:r w:rsidRPr="003715B5">
        <w:rPr>
          <w:rFonts w:asciiTheme="minorHAnsi" w:hAnsiTheme="minorHAnsi"/>
          <w:b/>
          <w:sz w:val="22"/>
          <w:szCs w:val="22"/>
          <w:lang w:val="fr-FR"/>
        </w:rPr>
        <w:t>2</w:t>
      </w:r>
      <w:r w:rsidRPr="003715B5">
        <w:rPr>
          <w:rFonts w:asciiTheme="minorHAnsi" w:hAnsiTheme="minorHAnsi"/>
          <w:sz w:val="22"/>
          <w:szCs w:val="22"/>
          <w:lang w:val="fr-FR"/>
        </w:rPr>
        <w:t>), bien que les Parties européennes soient plus actives dans ce domaine que la moyenne mondiale. Avec la perte de plus de la moitié de</w:t>
      </w:r>
      <w:r w:rsidR="00DD2F1E" w:rsidRPr="003715B5">
        <w:rPr>
          <w:rFonts w:asciiTheme="minorHAnsi" w:hAnsiTheme="minorHAnsi"/>
          <w:sz w:val="22"/>
          <w:szCs w:val="22"/>
          <w:lang w:val="fr-FR"/>
        </w:rPr>
        <w:t>s zones humides d’Europe ces 70 </w:t>
      </w:r>
      <w:r w:rsidRPr="003715B5">
        <w:rPr>
          <w:rFonts w:asciiTheme="minorHAnsi" w:hAnsiTheme="minorHAnsi"/>
          <w:sz w:val="22"/>
          <w:szCs w:val="22"/>
          <w:lang w:val="fr-FR"/>
        </w:rPr>
        <w:t>dernières années, la remise en état des zones humides devient une option intéressante sur le plan économique. Les Parties sont encouragées à en tenir plus largement compte.</w:t>
      </w:r>
    </w:p>
    <w:p w:rsidR="0001533C" w:rsidRPr="003715B5" w:rsidRDefault="0001533C" w:rsidP="00E41376">
      <w:pPr>
        <w:ind w:right="-42"/>
        <w:rPr>
          <w:rFonts w:eastAsia="Garamond" w:cs="Garamond"/>
          <w:lang w:val="fr-FR"/>
        </w:rPr>
      </w:pPr>
    </w:p>
    <w:p w:rsidR="0001533C" w:rsidRPr="003715B5" w:rsidRDefault="009012D8" w:rsidP="00E41376">
      <w:pPr>
        <w:ind w:right="-42"/>
        <w:rPr>
          <w:rFonts w:eastAsia="Garamond" w:cs="Garamond"/>
          <w:lang w:val="fr-FR"/>
        </w:rPr>
      </w:pPr>
      <w:r w:rsidRPr="003715B5">
        <w:rPr>
          <w:b/>
          <w:lang w:val="fr-FR"/>
        </w:rPr>
        <w:lastRenderedPageBreak/>
        <w:t xml:space="preserve">Espèces exotiques envahissantes </w:t>
      </w:r>
      <w:r w:rsidR="00FF73FE" w:rsidRPr="003715B5">
        <w:rPr>
          <w:i/>
          <w:lang w:val="fr-FR"/>
        </w:rPr>
        <w:t>(</w:t>
      </w:r>
      <w:r w:rsidR="0076392B" w:rsidRPr="003715B5">
        <w:rPr>
          <w:i/>
          <w:lang w:val="fr-FR"/>
        </w:rPr>
        <w:t>Stratégie</w:t>
      </w:r>
      <w:r w:rsidR="00FF73FE" w:rsidRPr="003715B5">
        <w:rPr>
          <w:i/>
          <w:lang w:val="fr-FR"/>
        </w:rPr>
        <w:t xml:space="preserve"> 1.9)</w:t>
      </w:r>
    </w:p>
    <w:p w:rsidR="0001533C" w:rsidRPr="003715B5" w:rsidRDefault="0001533C" w:rsidP="00E41376">
      <w:pPr>
        <w:ind w:right="-42"/>
        <w:rPr>
          <w:rFonts w:eastAsia="Garamond" w:cs="Garamond"/>
          <w:i/>
          <w:lang w:val="fr-FR"/>
        </w:rPr>
      </w:pPr>
    </w:p>
    <w:p w:rsidR="0001533C" w:rsidRPr="003715B5" w:rsidRDefault="00980A35" w:rsidP="00E41376">
      <w:pPr>
        <w:pStyle w:val="BodyText"/>
        <w:numPr>
          <w:ilvl w:val="0"/>
          <w:numId w:val="7"/>
        </w:numPr>
        <w:ind w:left="426" w:right="-42" w:hanging="426"/>
        <w:rPr>
          <w:rFonts w:asciiTheme="minorHAnsi" w:hAnsiTheme="minorHAnsi"/>
          <w:sz w:val="22"/>
          <w:szCs w:val="22"/>
          <w:lang w:val="fr-FR"/>
        </w:rPr>
      </w:pPr>
      <w:r w:rsidRPr="003715B5">
        <w:rPr>
          <w:rFonts w:asciiTheme="minorHAnsi" w:hAnsiTheme="minorHAnsi"/>
          <w:sz w:val="22"/>
          <w:szCs w:val="22"/>
          <w:lang w:val="fr-FR"/>
        </w:rPr>
        <w:t xml:space="preserve">Les espèces exotiques envahissantes créent de plus en plus de problèmes dans les zones humides </w:t>
      </w:r>
      <w:r w:rsidR="003F66A9" w:rsidRPr="003715B5">
        <w:rPr>
          <w:rFonts w:asciiTheme="minorHAnsi" w:hAnsiTheme="minorHAnsi"/>
          <w:sz w:val="22"/>
          <w:szCs w:val="22"/>
          <w:lang w:val="fr-FR"/>
        </w:rPr>
        <w:t>d’Europe</w:t>
      </w:r>
      <w:r w:rsidRPr="003715B5">
        <w:rPr>
          <w:rFonts w:asciiTheme="minorHAnsi" w:hAnsiTheme="minorHAnsi"/>
          <w:sz w:val="22"/>
          <w:szCs w:val="22"/>
          <w:lang w:val="fr-FR"/>
        </w:rPr>
        <w:t>. Quatorze Parties disposent d’un inventaire national complet des es</w:t>
      </w:r>
      <w:r w:rsidR="003715B5">
        <w:rPr>
          <w:rFonts w:asciiTheme="minorHAnsi" w:hAnsiTheme="minorHAnsi"/>
          <w:sz w:val="22"/>
          <w:szCs w:val="22"/>
          <w:lang w:val="fr-FR"/>
        </w:rPr>
        <w:t>pèces exotiques envahissantes (Indicateur </w:t>
      </w:r>
      <w:r w:rsidRPr="003715B5">
        <w:rPr>
          <w:rFonts w:asciiTheme="minorHAnsi" w:hAnsiTheme="minorHAnsi"/>
          <w:sz w:val="22"/>
          <w:szCs w:val="22"/>
          <w:lang w:val="fr-FR"/>
        </w:rPr>
        <w:t xml:space="preserve">1.9.1) et </w:t>
      </w:r>
      <w:r w:rsidR="006E5FA2" w:rsidRPr="003715B5">
        <w:rPr>
          <w:rFonts w:asciiTheme="minorHAnsi" w:hAnsiTheme="minorHAnsi"/>
          <w:sz w:val="22"/>
          <w:szCs w:val="22"/>
          <w:lang w:val="fr-FR"/>
        </w:rPr>
        <w:t>13</w:t>
      </w:r>
      <w:r w:rsidRPr="003715B5">
        <w:rPr>
          <w:rFonts w:asciiTheme="minorHAnsi" w:hAnsiTheme="minorHAnsi"/>
          <w:sz w:val="22"/>
          <w:szCs w:val="22"/>
          <w:lang w:val="fr-FR"/>
        </w:rPr>
        <w:t xml:space="preserve"> ont établi des politiques nationale</w:t>
      </w:r>
      <w:r w:rsidR="003715B5">
        <w:rPr>
          <w:rFonts w:asciiTheme="minorHAnsi" w:hAnsiTheme="minorHAnsi"/>
          <w:sz w:val="22"/>
          <w:szCs w:val="22"/>
          <w:lang w:val="fr-FR"/>
        </w:rPr>
        <w:t>s de lutte contre ces espèces (Indicateur </w:t>
      </w:r>
      <w:r w:rsidRPr="003715B5">
        <w:rPr>
          <w:rFonts w:asciiTheme="minorHAnsi" w:hAnsiTheme="minorHAnsi"/>
          <w:sz w:val="22"/>
          <w:szCs w:val="22"/>
          <w:lang w:val="fr-FR"/>
        </w:rPr>
        <w:t>1.9.2), ce qui reflète un pourcentage d’engagement plus élevé que la moyenne mondiale. Pour autant, la situation n’a guère progressé depuis la COP11. Les Parties sont encouragées à mettre au point des inventaires nationaux des espèces exotiques envahissantes, à élaborer des orientations et à promouvoir des procédures et mesures pour prévenir, contrôler ou éradiquer ces espèces dans les écosystèmes de zones humides.</w:t>
      </w:r>
    </w:p>
    <w:p w:rsidR="0001533C" w:rsidRPr="003715B5" w:rsidRDefault="0001533C" w:rsidP="00E41376">
      <w:pPr>
        <w:ind w:right="-42"/>
        <w:rPr>
          <w:rFonts w:eastAsia="Garamond" w:cs="Garamond"/>
          <w:lang w:val="fr-FR"/>
        </w:rPr>
      </w:pPr>
    </w:p>
    <w:p w:rsidR="0001533C" w:rsidRPr="003715B5" w:rsidRDefault="00980A35" w:rsidP="00E41376">
      <w:pPr>
        <w:ind w:right="-42"/>
        <w:rPr>
          <w:rFonts w:eastAsia="Garamond" w:cs="Garamond"/>
          <w:lang w:val="fr-FR"/>
        </w:rPr>
      </w:pPr>
      <w:r w:rsidRPr="003715B5">
        <w:rPr>
          <w:b/>
          <w:lang w:val="fr-FR"/>
        </w:rPr>
        <w:t>Secteur privé</w:t>
      </w:r>
      <w:r w:rsidR="00FF73FE" w:rsidRPr="003715B5">
        <w:rPr>
          <w:b/>
          <w:lang w:val="fr-FR"/>
        </w:rPr>
        <w:t xml:space="preserve"> </w:t>
      </w:r>
      <w:r w:rsidR="00FF73FE" w:rsidRPr="003715B5">
        <w:rPr>
          <w:i/>
          <w:lang w:val="fr-FR"/>
        </w:rPr>
        <w:t>(</w:t>
      </w:r>
      <w:r w:rsidR="0076392B" w:rsidRPr="003715B5">
        <w:rPr>
          <w:i/>
          <w:lang w:val="fr-FR"/>
        </w:rPr>
        <w:t>Stratégie</w:t>
      </w:r>
      <w:r w:rsidR="00FF73FE" w:rsidRPr="003715B5">
        <w:rPr>
          <w:i/>
          <w:lang w:val="fr-FR"/>
        </w:rPr>
        <w:t xml:space="preserve"> 1.10)</w:t>
      </w:r>
    </w:p>
    <w:p w:rsidR="0001533C" w:rsidRPr="003715B5" w:rsidRDefault="0001533C" w:rsidP="00E41376">
      <w:pPr>
        <w:ind w:right="-42"/>
        <w:rPr>
          <w:rFonts w:eastAsia="Garamond" w:cs="Garamond"/>
          <w:i/>
          <w:lang w:val="fr-FR"/>
        </w:rPr>
      </w:pPr>
    </w:p>
    <w:p w:rsidR="0001533C" w:rsidRPr="003715B5" w:rsidRDefault="00EB2D01" w:rsidP="00EB2D01">
      <w:pPr>
        <w:pStyle w:val="BodyText"/>
        <w:numPr>
          <w:ilvl w:val="0"/>
          <w:numId w:val="7"/>
        </w:numPr>
        <w:ind w:left="426" w:right="-42" w:hanging="426"/>
        <w:rPr>
          <w:rFonts w:asciiTheme="minorHAnsi" w:hAnsiTheme="minorHAnsi"/>
          <w:sz w:val="22"/>
          <w:szCs w:val="22"/>
          <w:lang w:val="fr-FR"/>
        </w:rPr>
      </w:pPr>
      <w:r w:rsidRPr="003715B5">
        <w:rPr>
          <w:rFonts w:asciiTheme="minorHAnsi" w:hAnsiTheme="minorHAnsi"/>
          <w:sz w:val="22"/>
          <w:szCs w:val="22"/>
          <w:lang w:val="fr-FR"/>
        </w:rPr>
        <w:t xml:space="preserve">À la COP10, les Parties ont adopté des principes sur les partenariats entre la Convention de Ramsar </w:t>
      </w:r>
      <w:r w:rsidR="006E5FA2" w:rsidRPr="003715B5">
        <w:rPr>
          <w:rFonts w:asciiTheme="minorHAnsi" w:hAnsiTheme="minorHAnsi"/>
          <w:sz w:val="22"/>
          <w:szCs w:val="22"/>
          <w:lang w:val="fr-FR"/>
        </w:rPr>
        <w:t>et le secteur privé (Résolution </w:t>
      </w:r>
      <w:r w:rsidRPr="003715B5">
        <w:rPr>
          <w:rFonts w:asciiTheme="minorHAnsi" w:hAnsiTheme="minorHAnsi"/>
          <w:sz w:val="22"/>
          <w:szCs w:val="22"/>
          <w:lang w:val="fr-FR"/>
        </w:rPr>
        <w:t>X.12), reconnaissant le rôle que les entreprises peuvent jouer dans l’amélioration de la gestion des ressources en eau et des zones humides et la réduction du risque de gestion non durable de l’environnement. Les Parties ont été priées d’encourager le secteur privé à appliquer les orientations Ramsar sur l’utilisation rationnelle. Onze Parties europ</w:t>
      </w:r>
      <w:r w:rsidR="003715B5">
        <w:rPr>
          <w:rFonts w:asciiTheme="minorHAnsi" w:hAnsiTheme="minorHAnsi"/>
          <w:sz w:val="22"/>
          <w:szCs w:val="22"/>
          <w:lang w:val="fr-FR"/>
        </w:rPr>
        <w:t>éennes indiquent l’avoir fait (Indicateur </w:t>
      </w:r>
      <w:r w:rsidRPr="003715B5">
        <w:rPr>
          <w:rFonts w:asciiTheme="minorHAnsi" w:hAnsiTheme="minorHAnsi"/>
          <w:sz w:val="22"/>
          <w:szCs w:val="22"/>
          <w:lang w:val="fr-FR"/>
        </w:rPr>
        <w:t>1.10.1). Dans 24 Parties, le secteur privé a entrepris des activités spécifiques pour la gestion durable de Sites Ramsar o</w:t>
      </w:r>
      <w:r w:rsidR="003715B5">
        <w:rPr>
          <w:rFonts w:asciiTheme="minorHAnsi" w:hAnsiTheme="minorHAnsi"/>
          <w:sz w:val="22"/>
          <w:szCs w:val="22"/>
          <w:lang w:val="fr-FR"/>
        </w:rPr>
        <w:t>u de zones humides en général (I</w:t>
      </w:r>
      <w:r w:rsidRPr="003715B5">
        <w:rPr>
          <w:rFonts w:asciiTheme="minorHAnsi" w:hAnsiTheme="minorHAnsi"/>
          <w:sz w:val="22"/>
          <w:szCs w:val="22"/>
          <w:lang w:val="fr-FR"/>
        </w:rPr>
        <w:t>ndicateur 1.10.2), ce qui est encourageant. Le pourcentage des Parties européennes actives dans ces domaines reste légèrement supérieur à la moyenne mondiale mais n’a pas progressé depuis la COP11.</w:t>
      </w:r>
    </w:p>
    <w:p w:rsidR="00ED7897" w:rsidRPr="003715B5" w:rsidRDefault="00ED7897" w:rsidP="00E41376">
      <w:pPr>
        <w:pStyle w:val="BodyText"/>
        <w:tabs>
          <w:tab w:val="left" w:pos="708"/>
        </w:tabs>
        <w:ind w:left="0" w:right="-42" w:firstLine="0"/>
        <w:rPr>
          <w:rFonts w:asciiTheme="minorHAnsi" w:hAnsiTheme="minorHAnsi"/>
          <w:sz w:val="22"/>
          <w:szCs w:val="22"/>
          <w:lang w:val="fr-FR"/>
        </w:rPr>
      </w:pPr>
    </w:p>
    <w:p w:rsidR="00ED7897" w:rsidRPr="003715B5" w:rsidRDefault="00487B27" w:rsidP="00E41376">
      <w:pPr>
        <w:pStyle w:val="BodyText"/>
        <w:tabs>
          <w:tab w:val="left" w:pos="708"/>
        </w:tabs>
        <w:ind w:left="0" w:right="-42" w:firstLine="0"/>
        <w:rPr>
          <w:rFonts w:asciiTheme="minorHAnsi" w:hAnsiTheme="minorHAnsi"/>
          <w:i/>
          <w:sz w:val="22"/>
          <w:szCs w:val="22"/>
          <w:lang w:val="fr-FR"/>
        </w:rPr>
      </w:pPr>
      <w:r w:rsidRPr="003715B5">
        <w:rPr>
          <w:rFonts w:asciiTheme="minorHAnsi" w:hAnsiTheme="minorHAnsi"/>
          <w:b/>
          <w:sz w:val="22"/>
          <w:szCs w:val="22"/>
          <w:lang w:val="fr-FR"/>
        </w:rPr>
        <w:t>Mesures d’incitation</w:t>
      </w:r>
      <w:r w:rsidR="00ED7897" w:rsidRPr="003715B5">
        <w:rPr>
          <w:rFonts w:asciiTheme="minorHAnsi" w:hAnsiTheme="minorHAnsi"/>
          <w:sz w:val="22"/>
          <w:szCs w:val="22"/>
          <w:lang w:val="fr-FR"/>
        </w:rPr>
        <w:t xml:space="preserve"> </w:t>
      </w:r>
      <w:r w:rsidR="00ED7897" w:rsidRPr="003715B5">
        <w:rPr>
          <w:rFonts w:asciiTheme="minorHAnsi" w:hAnsiTheme="minorHAnsi"/>
          <w:i/>
          <w:sz w:val="22"/>
          <w:szCs w:val="22"/>
          <w:lang w:val="fr-FR"/>
        </w:rPr>
        <w:t>(</w:t>
      </w:r>
      <w:r w:rsidR="0076392B" w:rsidRPr="003715B5">
        <w:rPr>
          <w:rFonts w:asciiTheme="minorHAnsi" w:hAnsiTheme="minorHAnsi"/>
          <w:i/>
          <w:sz w:val="22"/>
          <w:szCs w:val="22"/>
          <w:lang w:val="fr-FR"/>
        </w:rPr>
        <w:t>Stratégie</w:t>
      </w:r>
      <w:r w:rsidR="00ED7897" w:rsidRPr="003715B5">
        <w:rPr>
          <w:rFonts w:asciiTheme="minorHAnsi" w:hAnsiTheme="minorHAnsi"/>
          <w:i/>
          <w:sz w:val="22"/>
          <w:szCs w:val="22"/>
          <w:lang w:val="fr-FR"/>
        </w:rPr>
        <w:t xml:space="preserve"> 1.11)</w:t>
      </w:r>
    </w:p>
    <w:p w:rsidR="00ED7897" w:rsidRPr="003715B5" w:rsidRDefault="00ED7897" w:rsidP="00E41376">
      <w:pPr>
        <w:pStyle w:val="BodyText"/>
        <w:tabs>
          <w:tab w:val="left" w:pos="708"/>
        </w:tabs>
        <w:ind w:left="0" w:right="-42" w:firstLine="0"/>
        <w:rPr>
          <w:rFonts w:asciiTheme="minorHAnsi" w:hAnsiTheme="minorHAnsi"/>
          <w:sz w:val="22"/>
          <w:szCs w:val="22"/>
          <w:lang w:val="fr-FR"/>
        </w:rPr>
      </w:pPr>
    </w:p>
    <w:p w:rsidR="00ED7897" w:rsidRPr="003715B5" w:rsidRDefault="00487B27" w:rsidP="00E41376">
      <w:pPr>
        <w:pStyle w:val="BodyText"/>
        <w:numPr>
          <w:ilvl w:val="0"/>
          <w:numId w:val="7"/>
        </w:numPr>
        <w:ind w:left="426" w:right="-42" w:hanging="426"/>
        <w:rPr>
          <w:rFonts w:asciiTheme="minorHAnsi" w:hAnsiTheme="minorHAnsi"/>
          <w:sz w:val="22"/>
          <w:szCs w:val="22"/>
          <w:lang w:val="fr-FR"/>
        </w:rPr>
      </w:pPr>
      <w:r w:rsidRPr="003715B5">
        <w:rPr>
          <w:rFonts w:asciiTheme="minorHAnsi" w:hAnsiTheme="minorHAnsi"/>
          <w:sz w:val="22"/>
          <w:szCs w:val="22"/>
          <w:lang w:val="fr-FR"/>
        </w:rPr>
        <w:t>Deux tiers des Parties européennes (23) signalent avoir pris des mesures d’incitation en faveur de la conservation et de l’utilisation rationnelle des zones humides, pour la plupart au moyen de dispositions concernant</w:t>
      </w:r>
      <w:r w:rsidR="00AB0AE3" w:rsidRPr="003715B5">
        <w:rPr>
          <w:rFonts w:asciiTheme="minorHAnsi" w:hAnsiTheme="minorHAnsi"/>
          <w:sz w:val="22"/>
          <w:szCs w:val="22"/>
          <w:lang w:val="fr-FR"/>
        </w:rPr>
        <w:t xml:space="preserve"> l’environnement agricole, les forêts et la pêche, les plans de développement rural, la coopération territoriale, la restauration des zones humides, ainsi que des mesures relatives au r</w:t>
      </w:r>
      <w:r w:rsidR="006E5FA2" w:rsidRPr="003715B5">
        <w:rPr>
          <w:rFonts w:asciiTheme="minorHAnsi" w:hAnsiTheme="minorHAnsi"/>
          <w:sz w:val="22"/>
          <w:szCs w:val="22"/>
          <w:lang w:val="fr-FR"/>
        </w:rPr>
        <w:t>éseau de sites naturels protégé</w:t>
      </w:r>
      <w:r w:rsidR="00AB0AE3" w:rsidRPr="003715B5">
        <w:rPr>
          <w:rFonts w:asciiTheme="minorHAnsi" w:hAnsiTheme="minorHAnsi"/>
          <w:sz w:val="22"/>
          <w:szCs w:val="22"/>
          <w:lang w:val="fr-FR"/>
        </w:rPr>
        <w:t xml:space="preserve">s </w:t>
      </w:r>
      <w:r w:rsidR="00D07F3E" w:rsidRPr="003715B5">
        <w:rPr>
          <w:rFonts w:asciiTheme="minorHAnsi" w:hAnsiTheme="minorHAnsi"/>
          <w:sz w:val="22"/>
          <w:szCs w:val="22"/>
          <w:lang w:val="fr-FR"/>
        </w:rPr>
        <w:t xml:space="preserve">de l’Union européenne </w:t>
      </w:r>
      <w:r w:rsidR="00AF095C">
        <w:rPr>
          <w:rFonts w:asciiTheme="minorHAnsi" w:hAnsiTheme="minorHAnsi"/>
          <w:sz w:val="22"/>
          <w:szCs w:val="22"/>
          <w:lang w:val="fr-FR"/>
        </w:rPr>
        <w:t>Natura </w:t>
      </w:r>
      <w:r w:rsidR="00AB0AE3" w:rsidRPr="003715B5">
        <w:rPr>
          <w:rFonts w:asciiTheme="minorHAnsi" w:hAnsiTheme="minorHAnsi"/>
          <w:sz w:val="22"/>
          <w:szCs w:val="22"/>
          <w:lang w:val="fr-FR"/>
        </w:rPr>
        <w:t xml:space="preserve">2000. </w:t>
      </w:r>
      <w:r w:rsidR="00D07F3E" w:rsidRPr="003715B5">
        <w:rPr>
          <w:rFonts w:asciiTheme="minorHAnsi" w:hAnsiTheme="minorHAnsi"/>
          <w:sz w:val="22"/>
          <w:szCs w:val="22"/>
          <w:lang w:val="fr-FR"/>
        </w:rPr>
        <w:t xml:space="preserve">Environ un tiers des Parties européennes </w:t>
      </w:r>
      <w:r w:rsidR="006E5FA2" w:rsidRPr="003715B5">
        <w:rPr>
          <w:rFonts w:asciiTheme="minorHAnsi" w:hAnsiTheme="minorHAnsi"/>
          <w:sz w:val="22"/>
          <w:szCs w:val="22"/>
          <w:lang w:val="fr-FR"/>
        </w:rPr>
        <w:t xml:space="preserve">(13) </w:t>
      </w:r>
      <w:r w:rsidR="00D07F3E" w:rsidRPr="003715B5">
        <w:rPr>
          <w:rFonts w:asciiTheme="minorHAnsi" w:hAnsiTheme="minorHAnsi"/>
          <w:sz w:val="22"/>
          <w:szCs w:val="22"/>
          <w:lang w:val="fr-FR"/>
        </w:rPr>
        <w:t>font état d’actions entreprises pour supprimer des mesures incitatives aux effets pervers, principalement dans le domaine des pratiques agricoles destructric</w:t>
      </w:r>
      <w:r w:rsidR="00556561" w:rsidRPr="003715B5">
        <w:rPr>
          <w:rFonts w:asciiTheme="minorHAnsi" w:hAnsiTheme="minorHAnsi"/>
          <w:sz w:val="22"/>
          <w:szCs w:val="22"/>
          <w:lang w:val="fr-FR"/>
        </w:rPr>
        <w:t xml:space="preserve">es et </w:t>
      </w:r>
      <w:r w:rsidR="006E5FA2" w:rsidRPr="003715B5">
        <w:rPr>
          <w:rFonts w:asciiTheme="minorHAnsi" w:hAnsiTheme="minorHAnsi"/>
          <w:sz w:val="22"/>
          <w:szCs w:val="22"/>
          <w:lang w:val="fr-FR"/>
        </w:rPr>
        <w:t>en ce qui concerne</w:t>
      </w:r>
      <w:r w:rsidR="00D07F3E" w:rsidRPr="003715B5">
        <w:rPr>
          <w:rFonts w:asciiTheme="minorHAnsi" w:hAnsiTheme="minorHAnsi"/>
          <w:sz w:val="22"/>
          <w:szCs w:val="22"/>
          <w:lang w:val="fr-FR"/>
        </w:rPr>
        <w:t xml:space="preserve"> l’assèchement de terres agricoles, </w:t>
      </w:r>
      <w:r w:rsidR="00556561" w:rsidRPr="003715B5">
        <w:rPr>
          <w:rFonts w:asciiTheme="minorHAnsi" w:hAnsiTheme="minorHAnsi"/>
          <w:sz w:val="22"/>
          <w:szCs w:val="22"/>
          <w:lang w:val="fr-FR"/>
        </w:rPr>
        <w:t>les plans de dév</w:t>
      </w:r>
      <w:r w:rsidR="00D07F3E" w:rsidRPr="003715B5">
        <w:rPr>
          <w:rFonts w:asciiTheme="minorHAnsi" w:hAnsiTheme="minorHAnsi"/>
          <w:sz w:val="22"/>
          <w:szCs w:val="22"/>
          <w:lang w:val="fr-FR"/>
        </w:rPr>
        <w:t xml:space="preserve">eloppement rural, </w:t>
      </w:r>
      <w:r w:rsidR="00556561" w:rsidRPr="003715B5">
        <w:rPr>
          <w:rFonts w:asciiTheme="minorHAnsi" w:hAnsiTheme="minorHAnsi"/>
          <w:sz w:val="22"/>
          <w:szCs w:val="22"/>
          <w:lang w:val="fr-FR"/>
        </w:rPr>
        <w:t xml:space="preserve">les mesures d’atténuation des inondations, la production </w:t>
      </w:r>
      <w:r w:rsidR="00B64532" w:rsidRPr="003715B5">
        <w:rPr>
          <w:rFonts w:asciiTheme="minorHAnsi" w:hAnsiTheme="minorHAnsi"/>
          <w:sz w:val="22"/>
          <w:szCs w:val="22"/>
          <w:lang w:val="fr-FR"/>
        </w:rPr>
        <w:t>hydro</w:t>
      </w:r>
      <w:r w:rsidR="00556561" w:rsidRPr="003715B5">
        <w:rPr>
          <w:rFonts w:asciiTheme="minorHAnsi" w:hAnsiTheme="minorHAnsi"/>
          <w:sz w:val="22"/>
          <w:szCs w:val="22"/>
          <w:lang w:val="fr-FR"/>
        </w:rPr>
        <w:t xml:space="preserve">électrique, </w:t>
      </w:r>
      <w:r w:rsidR="00C9286C" w:rsidRPr="003715B5">
        <w:rPr>
          <w:rFonts w:asciiTheme="minorHAnsi" w:hAnsiTheme="minorHAnsi"/>
          <w:sz w:val="22"/>
          <w:szCs w:val="22"/>
          <w:lang w:val="fr-FR"/>
        </w:rPr>
        <w:t>la lutte contre les oiseaux piscivores, les perturbations provoquées par les visiteurs de zones humides et les procédures législatives relatives aux EIE</w:t>
      </w:r>
      <w:r w:rsidR="00B64532" w:rsidRPr="003715B5">
        <w:rPr>
          <w:rFonts w:asciiTheme="minorHAnsi" w:hAnsiTheme="minorHAnsi"/>
          <w:sz w:val="22"/>
          <w:szCs w:val="22"/>
          <w:lang w:val="fr-FR"/>
        </w:rPr>
        <w:t>.</w:t>
      </w:r>
    </w:p>
    <w:p w:rsidR="0001533C" w:rsidRPr="003715B5" w:rsidRDefault="0001533C" w:rsidP="007776D0">
      <w:pPr>
        <w:rPr>
          <w:rFonts w:eastAsia="Garamond" w:cs="Garamond"/>
          <w:lang w:val="fr-FR"/>
        </w:rPr>
      </w:pPr>
    </w:p>
    <w:p w:rsidR="0001533C" w:rsidRPr="003715B5" w:rsidRDefault="003F124C" w:rsidP="007776D0">
      <w:pPr>
        <w:rPr>
          <w:rFonts w:eastAsia="Garamond" w:cs="Garamond"/>
          <w:sz w:val="24"/>
          <w:szCs w:val="24"/>
          <w:lang w:val="fr-FR"/>
        </w:rPr>
      </w:pPr>
      <w:r w:rsidRPr="003F124C">
        <w:rPr>
          <w:rFonts w:eastAsia="Garamond" w:cs="Garamond"/>
          <w:noProof/>
          <w:sz w:val="24"/>
          <w:szCs w:val="24"/>
          <w:lang w:val="fr-FR" w:eastAsia="en-GB"/>
        </w:rPr>
      </w:r>
      <w:r>
        <w:rPr>
          <w:rFonts w:eastAsia="Garamond" w:cs="Garamond"/>
          <w:noProof/>
          <w:sz w:val="24"/>
          <w:szCs w:val="24"/>
          <w:lang w:val="fr-FR" w:eastAsia="en-GB"/>
        </w:rPr>
        <w:pict>
          <v:shape id="Text Box 8158" o:spid="_x0000_s1088" type="#_x0000_t202" style="width:454.4pt;height:17pt;visibility:visible;mso-left-percent:-10001;mso-top-percent:-10001;mso-position-horizontal:absolute;mso-position-horizontal-relative:char;mso-position-vertical:absolute;mso-position-vertical-relative:line;mso-left-percent:-10001;mso-top-percent:-10001" fillcolor="#fbd4b4" stroked="f">
            <v:textbox inset="0,0,0,0">
              <w:txbxContent>
                <w:p w:rsidR="001B043A" w:rsidRPr="00E86AAC" w:rsidRDefault="001B043A" w:rsidP="00E86AAC">
                  <w:pPr>
                    <w:rPr>
                      <w:b/>
                      <w:sz w:val="24"/>
                      <w:lang w:val="fr-FR"/>
                    </w:rPr>
                  </w:pPr>
                  <w:r>
                    <w:rPr>
                      <w:b/>
                      <w:sz w:val="24"/>
                      <w:lang w:val="fr-FR"/>
                    </w:rPr>
                    <w:t xml:space="preserve">OBJECTIF 2 : Les zones humides </w:t>
                  </w:r>
                  <w:r w:rsidRPr="00E86AAC">
                    <w:rPr>
                      <w:b/>
                      <w:sz w:val="24"/>
                      <w:lang w:val="fr-FR"/>
                    </w:rPr>
                    <w:t xml:space="preserve">d’importance internationale </w:t>
                  </w:r>
                </w:p>
                <w:p w:rsidR="001B043A" w:rsidRPr="00E86AAC" w:rsidRDefault="001B043A" w:rsidP="00E86AAC">
                  <w:pPr>
                    <w:rPr>
                      <w:szCs w:val="24"/>
                    </w:rPr>
                  </w:pPr>
                </w:p>
              </w:txbxContent>
            </v:textbox>
            <w10:wrap type="none"/>
            <w10:anchorlock/>
          </v:shape>
        </w:pict>
      </w:r>
    </w:p>
    <w:p w:rsidR="0001533C" w:rsidRPr="003715B5" w:rsidRDefault="0001533C" w:rsidP="007776D0">
      <w:pPr>
        <w:rPr>
          <w:rFonts w:eastAsia="Garamond" w:cs="Garamond"/>
          <w:lang w:val="fr-FR"/>
        </w:rPr>
      </w:pPr>
    </w:p>
    <w:p w:rsidR="0001533C" w:rsidRPr="003715B5" w:rsidRDefault="00C9286C" w:rsidP="00E41376">
      <w:pPr>
        <w:ind w:right="-42"/>
        <w:rPr>
          <w:rFonts w:eastAsia="Garamond" w:cs="Garamond"/>
          <w:lang w:val="fr-FR"/>
        </w:rPr>
      </w:pPr>
      <w:r w:rsidRPr="003715B5">
        <w:rPr>
          <w:b/>
          <w:lang w:val="fr-FR"/>
        </w:rPr>
        <w:t>Inscription de Sites R</w:t>
      </w:r>
      <w:r w:rsidR="00FF73FE" w:rsidRPr="003715B5">
        <w:rPr>
          <w:b/>
          <w:lang w:val="fr-FR"/>
        </w:rPr>
        <w:t xml:space="preserve">amsar </w:t>
      </w:r>
      <w:r w:rsidR="00FF73FE" w:rsidRPr="003715B5">
        <w:rPr>
          <w:i/>
          <w:lang w:val="fr-FR"/>
        </w:rPr>
        <w:t>(</w:t>
      </w:r>
      <w:r w:rsidR="0076392B" w:rsidRPr="003715B5">
        <w:rPr>
          <w:i/>
          <w:lang w:val="fr-FR"/>
        </w:rPr>
        <w:t>Stratégie</w:t>
      </w:r>
      <w:r w:rsidR="00FF73FE" w:rsidRPr="003715B5">
        <w:rPr>
          <w:i/>
          <w:lang w:val="fr-FR"/>
        </w:rPr>
        <w:t xml:space="preserve"> 2.1)</w:t>
      </w:r>
    </w:p>
    <w:p w:rsidR="0001533C" w:rsidRPr="003715B5" w:rsidRDefault="0001533C" w:rsidP="00E41376">
      <w:pPr>
        <w:ind w:right="-42"/>
        <w:rPr>
          <w:rFonts w:eastAsia="Garamond" w:cs="Garamond"/>
          <w:lang w:val="fr-FR"/>
        </w:rPr>
      </w:pPr>
    </w:p>
    <w:p w:rsidR="00C9286C" w:rsidRPr="003715B5" w:rsidRDefault="00C3743D" w:rsidP="00C9286C">
      <w:pPr>
        <w:pStyle w:val="ListParagraph"/>
        <w:numPr>
          <w:ilvl w:val="0"/>
          <w:numId w:val="7"/>
        </w:numPr>
        <w:ind w:left="426" w:right="-42" w:hanging="426"/>
        <w:rPr>
          <w:lang w:val="fr-FR"/>
        </w:rPr>
      </w:pPr>
      <w:r w:rsidRPr="003715B5">
        <w:rPr>
          <w:lang w:val="fr-FR"/>
        </w:rPr>
        <w:t xml:space="preserve">À la COP7, en 1999, les Parties contractantes ont adopté un </w:t>
      </w:r>
      <w:r w:rsidRPr="003715B5">
        <w:rPr>
          <w:i/>
          <w:lang w:val="fr-FR"/>
        </w:rPr>
        <w:t>Cadre</w:t>
      </w:r>
      <w:r w:rsidRPr="003715B5">
        <w:rPr>
          <w:lang w:val="fr-FR"/>
        </w:rPr>
        <w:t xml:space="preserve"> </w:t>
      </w:r>
      <w:r w:rsidRPr="003715B5">
        <w:rPr>
          <w:i/>
          <w:lang w:val="fr-FR"/>
        </w:rPr>
        <w:t>stratégique et lignes directrices pour orienter l’évolution de la Liste des zones humides d’importance internationale</w:t>
      </w:r>
      <w:r w:rsidRPr="003715B5">
        <w:rPr>
          <w:lang w:val="fr-FR"/>
        </w:rPr>
        <w:t xml:space="preserve"> (Résolution VII.11). Le Manuel 17 fournit des orientations précises sur les moyens de le mettre en œuvre. Toutefois, seules 10 Parties européennes signalent avoir une stratégie nationale et avoir établi des priorités en matière d’inscr</w:t>
      </w:r>
      <w:r w:rsidR="003715B5">
        <w:rPr>
          <w:lang w:val="fr-FR"/>
        </w:rPr>
        <w:t>iption future de Sites Ramsar (I</w:t>
      </w:r>
      <w:r w:rsidRPr="003715B5">
        <w:rPr>
          <w:lang w:val="fr-FR"/>
        </w:rPr>
        <w:t xml:space="preserve">ndicateur 2.1.1). L’Albanie, l’Espagne, le Groenland (Danemark), l’Islande, l’Italie, la Roumanie et la Suède signalent une régression sur cette question depuis la COP11 (voir </w:t>
      </w:r>
      <w:r w:rsidRPr="003715B5">
        <w:rPr>
          <w:b/>
          <w:lang w:val="fr-FR"/>
        </w:rPr>
        <w:t>annexe 1</w:t>
      </w:r>
      <w:r w:rsidRPr="003715B5">
        <w:rPr>
          <w:lang w:val="fr-FR"/>
        </w:rPr>
        <w:t xml:space="preserve">). On peut en déduire que, dans de nombreux pays, le Cadre stratégique n’est pas utilisé de manière satisfaisante ou qu’il n’existe pas de plans d’inscription de futurs Sites Ramsar. Ces 13 dernières années (depuis </w:t>
      </w:r>
      <w:r w:rsidRPr="003715B5">
        <w:rPr>
          <w:lang w:val="fr-FR"/>
        </w:rPr>
        <w:lastRenderedPageBreak/>
        <w:t xml:space="preserve">la COP8), le nombre de Parties européennes utilisant le Cadre stratégique stagne. Il </w:t>
      </w:r>
      <w:r w:rsidR="000123E6" w:rsidRPr="003715B5">
        <w:rPr>
          <w:lang w:val="fr-FR"/>
        </w:rPr>
        <w:t>a diminué</w:t>
      </w:r>
      <w:r w:rsidRPr="003715B5">
        <w:rPr>
          <w:lang w:val="fr-FR"/>
        </w:rPr>
        <w:t xml:space="preserve"> depuis la COP11 et reste inférieur à la moyenne mondiale (voir </w:t>
      </w:r>
      <w:r w:rsidRPr="003715B5">
        <w:rPr>
          <w:b/>
          <w:lang w:val="fr-FR"/>
        </w:rPr>
        <w:t>annexe 2</w:t>
      </w:r>
      <w:r w:rsidRPr="003715B5">
        <w:rPr>
          <w:lang w:val="fr-FR"/>
        </w:rPr>
        <w:t>).</w:t>
      </w:r>
    </w:p>
    <w:p w:rsidR="0001533C" w:rsidRPr="003715B5" w:rsidRDefault="0001533C" w:rsidP="00E41376">
      <w:pPr>
        <w:ind w:left="426" w:right="-42" w:hanging="426"/>
        <w:rPr>
          <w:rFonts w:eastAsia="Garamond" w:cs="Garamond"/>
          <w:lang w:val="fr-FR"/>
        </w:rPr>
      </w:pPr>
    </w:p>
    <w:p w:rsidR="007246CE" w:rsidRPr="003715B5" w:rsidRDefault="000123E6" w:rsidP="007246CE">
      <w:pPr>
        <w:pStyle w:val="BodyText"/>
        <w:numPr>
          <w:ilvl w:val="0"/>
          <w:numId w:val="7"/>
        </w:numPr>
        <w:ind w:left="426" w:right="-42" w:hanging="426"/>
        <w:rPr>
          <w:rFonts w:asciiTheme="minorHAnsi" w:hAnsiTheme="minorHAnsi"/>
          <w:sz w:val="22"/>
          <w:szCs w:val="22"/>
          <w:lang w:val="fr-FR"/>
        </w:rPr>
      </w:pPr>
      <w:r w:rsidRPr="003715B5">
        <w:rPr>
          <w:rFonts w:asciiTheme="minorHAnsi" w:hAnsiTheme="minorHAnsi"/>
          <w:sz w:val="22"/>
          <w:szCs w:val="22"/>
          <w:lang w:val="fr-FR"/>
        </w:rPr>
        <w:t>Les 47 </w:t>
      </w:r>
      <w:r w:rsidR="007246CE" w:rsidRPr="003715B5">
        <w:rPr>
          <w:rFonts w:asciiTheme="minorHAnsi" w:hAnsiTheme="minorHAnsi"/>
          <w:sz w:val="22"/>
          <w:szCs w:val="22"/>
          <w:lang w:val="fr-FR"/>
        </w:rPr>
        <w:t>Parties européennes ont, ensemble, inscrit 1059 Sites Ramsar sur la Liste mondi</w:t>
      </w:r>
      <w:r w:rsidRPr="003715B5">
        <w:rPr>
          <w:rFonts w:asciiTheme="minorHAnsi" w:hAnsiTheme="minorHAnsi"/>
          <w:sz w:val="22"/>
          <w:szCs w:val="22"/>
          <w:lang w:val="fr-FR"/>
        </w:rPr>
        <w:t>ale, soit 48% du total des 2186 </w:t>
      </w:r>
      <w:r w:rsidR="007246CE" w:rsidRPr="003715B5">
        <w:rPr>
          <w:rFonts w:asciiTheme="minorHAnsi" w:hAnsiTheme="minorHAnsi"/>
          <w:sz w:val="22"/>
          <w:szCs w:val="22"/>
          <w:lang w:val="fr-FR"/>
        </w:rPr>
        <w:t xml:space="preserve">sites inscrits au 15 janvier 2015. Les sites européens, néanmoins, sont plutôt petits et couvrent conjointement à peine 13% de la superficie mondiale de tous les Sites Ramsar. Depuis la COP11, 16 Parties européennes ont inscrit 63 nouveaux Sites Ramsar (couvrant 833 095 hectares); elles sont énumérées dans </w:t>
      </w:r>
      <w:r w:rsidR="007246CE" w:rsidRPr="003715B5">
        <w:rPr>
          <w:rFonts w:asciiTheme="minorHAnsi" w:hAnsiTheme="minorHAnsi"/>
          <w:b/>
          <w:sz w:val="22"/>
          <w:szCs w:val="22"/>
          <w:lang w:val="fr-FR"/>
        </w:rPr>
        <w:t>l’annexe 3</w:t>
      </w:r>
      <w:r w:rsidR="007246CE" w:rsidRPr="003715B5">
        <w:rPr>
          <w:rFonts w:asciiTheme="minorHAnsi" w:hAnsiTheme="minorHAnsi"/>
          <w:sz w:val="22"/>
          <w:szCs w:val="22"/>
          <w:lang w:val="fr-FR"/>
        </w:rPr>
        <w:t xml:space="preserve">. En outre, le Bélarus et l’Ukraine ont très récemment soumis au Secrétariat les documents nécessaires (c.-à-d. lettre d’inscription, Fiche descriptive FDR et </w:t>
      </w:r>
      <w:r w:rsidRPr="003715B5">
        <w:rPr>
          <w:rFonts w:asciiTheme="minorHAnsi" w:hAnsiTheme="minorHAnsi"/>
          <w:sz w:val="22"/>
          <w:szCs w:val="22"/>
          <w:lang w:val="fr-FR"/>
        </w:rPr>
        <w:t xml:space="preserve">carte) pour l’inscription de 15 </w:t>
      </w:r>
      <w:r w:rsidR="003715B5">
        <w:rPr>
          <w:rFonts w:asciiTheme="minorHAnsi" w:hAnsiTheme="minorHAnsi"/>
          <w:sz w:val="22"/>
          <w:szCs w:val="22"/>
          <w:lang w:val="fr-FR"/>
        </w:rPr>
        <w:t>Sites Ramsar supplémentaires (I</w:t>
      </w:r>
      <w:r w:rsidR="007246CE" w:rsidRPr="003715B5">
        <w:rPr>
          <w:rFonts w:asciiTheme="minorHAnsi" w:hAnsiTheme="minorHAnsi"/>
          <w:sz w:val="22"/>
          <w:szCs w:val="22"/>
          <w:lang w:val="fr-FR"/>
        </w:rPr>
        <w:t>nd</w:t>
      </w:r>
      <w:r w:rsidRPr="003715B5">
        <w:rPr>
          <w:rFonts w:asciiTheme="minorHAnsi" w:hAnsiTheme="minorHAnsi"/>
          <w:sz w:val="22"/>
          <w:szCs w:val="22"/>
          <w:lang w:val="fr-FR"/>
        </w:rPr>
        <w:t>icateur </w:t>
      </w:r>
      <w:r w:rsidR="007246CE" w:rsidRPr="003715B5">
        <w:rPr>
          <w:rFonts w:asciiTheme="minorHAnsi" w:hAnsiTheme="minorHAnsi"/>
          <w:sz w:val="22"/>
          <w:szCs w:val="22"/>
          <w:lang w:val="fr-FR"/>
        </w:rPr>
        <w:t>2.1.3). Ces inscriptions sont en cours d’examen et seront ajoutées à la Liste dès que les questions en suspens seront éclaircie</w:t>
      </w:r>
      <w:r w:rsidRPr="003715B5">
        <w:rPr>
          <w:rFonts w:asciiTheme="minorHAnsi" w:hAnsiTheme="minorHAnsi"/>
          <w:sz w:val="22"/>
          <w:szCs w:val="22"/>
          <w:lang w:val="fr-FR"/>
        </w:rPr>
        <w:t>s. Ce chiffre est supérieur aux </w:t>
      </w:r>
      <w:r w:rsidR="007246CE" w:rsidRPr="003715B5">
        <w:rPr>
          <w:rFonts w:asciiTheme="minorHAnsi" w:hAnsiTheme="minorHAnsi"/>
          <w:sz w:val="22"/>
          <w:szCs w:val="22"/>
          <w:lang w:val="fr-FR"/>
        </w:rPr>
        <w:t xml:space="preserve">45 nouveaux Sites Ramsar inscrits par les Parties européennes entre la COP10 et la COP11 </w:t>
      </w:r>
      <w:r w:rsidRPr="003715B5">
        <w:rPr>
          <w:rFonts w:asciiTheme="minorHAnsi" w:hAnsiTheme="minorHAnsi"/>
          <w:sz w:val="22"/>
          <w:szCs w:val="22"/>
          <w:lang w:val="fr-FR"/>
        </w:rPr>
        <w:t xml:space="preserve">mais les 63 </w:t>
      </w:r>
      <w:r w:rsidR="007246CE" w:rsidRPr="003715B5">
        <w:rPr>
          <w:rFonts w:asciiTheme="minorHAnsi" w:hAnsiTheme="minorHAnsi"/>
          <w:sz w:val="22"/>
          <w:szCs w:val="22"/>
          <w:lang w:val="fr-FR"/>
        </w:rPr>
        <w:t>nouveaux sites ne rep</w:t>
      </w:r>
      <w:r w:rsidRPr="003715B5">
        <w:rPr>
          <w:rFonts w:asciiTheme="minorHAnsi" w:hAnsiTheme="minorHAnsi"/>
          <w:sz w:val="22"/>
          <w:szCs w:val="22"/>
          <w:lang w:val="fr-FR"/>
        </w:rPr>
        <w:t>résentent que la moitié des 1,6 </w:t>
      </w:r>
      <w:r w:rsidR="007246CE" w:rsidRPr="003715B5">
        <w:rPr>
          <w:rFonts w:asciiTheme="minorHAnsi" w:hAnsiTheme="minorHAnsi"/>
          <w:sz w:val="22"/>
          <w:szCs w:val="22"/>
          <w:lang w:val="fr-FR"/>
        </w:rPr>
        <w:t xml:space="preserve">million </w:t>
      </w:r>
      <w:r w:rsidRPr="003715B5">
        <w:rPr>
          <w:rFonts w:asciiTheme="minorHAnsi" w:hAnsiTheme="minorHAnsi"/>
          <w:sz w:val="22"/>
          <w:szCs w:val="22"/>
          <w:lang w:val="fr-FR"/>
        </w:rPr>
        <w:t xml:space="preserve">d’hectares </w:t>
      </w:r>
      <w:r w:rsidR="007246CE" w:rsidRPr="003715B5">
        <w:rPr>
          <w:rFonts w:asciiTheme="minorHAnsi" w:hAnsiTheme="minorHAnsi"/>
          <w:sz w:val="22"/>
          <w:szCs w:val="22"/>
          <w:lang w:val="fr-FR"/>
        </w:rPr>
        <w:t xml:space="preserve">ajoutés entre la COP10 </w:t>
      </w:r>
      <w:r w:rsidR="00C51390" w:rsidRPr="003715B5">
        <w:rPr>
          <w:rFonts w:asciiTheme="minorHAnsi" w:hAnsiTheme="minorHAnsi"/>
          <w:sz w:val="22"/>
          <w:szCs w:val="22"/>
          <w:lang w:val="fr-FR"/>
        </w:rPr>
        <w:t>et</w:t>
      </w:r>
      <w:r w:rsidRPr="003715B5">
        <w:rPr>
          <w:rFonts w:asciiTheme="minorHAnsi" w:hAnsiTheme="minorHAnsi"/>
          <w:sz w:val="22"/>
          <w:szCs w:val="22"/>
          <w:lang w:val="fr-FR"/>
        </w:rPr>
        <w:t xml:space="preserve"> COP11.</w:t>
      </w:r>
    </w:p>
    <w:p w:rsidR="0001533C" w:rsidRPr="003715B5" w:rsidRDefault="0001533C" w:rsidP="00E41376">
      <w:pPr>
        <w:ind w:left="426" w:right="-42" w:hanging="426"/>
        <w:rPr>
          <w:rFonts w:eastAsia="Garamond" w:cs="Garamond"/>
          <w:lang w:val="fr-FR"/>
        </w:rPr>
      </w:pPr>
    </w:p>
    <w:p w:rsidR="0001533C" w:rsidRPr="003715B5" w:rsidRDefault="00B05CA7" w:rsidP="00B05CA7">
      <w:pPr>
        <w:pStyle w:val="BodyText"/>
        <w:numPr>
          <w:ilvl w:val="0"/>
          <w:numId w:val="7"/>
        </w:numPr>
        <w:ind w:left="426" w:right="-42" w:hanging="426"/>
        <w:rPr>
          <w:rFonts w:asciiTheme="minorHAnsi" w:hAnsiTheme="minorHAnsi"/>
          <w:sz w:val="22"/>
          <w:szCs w:val="22"/>
          <w:lang w:val="fr-FR"/>
        </w:rPr>
      </w:pPr>
      <w:r w:rsidRPr="003715B5">
        <w:rPr>
          <w:rFonts w:asciiTheme="minorHAnsi" w:hAnsiTheme="minorHAnsi"/>
          <w:sz w:val="22"/>
          <w:szCs w:val="22"/>
          <w:lang w:val="fr-FR"/>
        </w:rPr>
        <w:t>Au niveau mondial, l’ensemble des Parties est encore en dessous de l’objectif fixé (</w:t>
      </w:r>
      <w:r w:rsidR="000123E6" w:rsidRPr="003715B5">
        <w:rPr>
          <w:rFonts w:asciiTheme="minorHAnsi" w:hAnsiTheme="minorHAnsi"/>
          <w:sz w:val="22"/>
          <w:szCs w:val="22"/>
          <w:lang w:val="fr-FR"/>
        </w:rPr>
        <w:t>par les Parties elles-mêmes) de </w:t>
      </w:r>
      <w:r w:rsidRPr="003715B5">
        <w:rPr>
          <w:rFonts w:asciiTheme="minorHAnsi" w:hAnsiTheme="minorHAnsi"/>
          <w:sz w:val="22"/>
          <w:szCs w:val="22"/>
          <w:lang w:val="fr-FR"/>
        </w:rPr>
        <w:t xml:space="preserve">2500 sites inscrits, </w:t>
      </w:r>
      <w:r w:rsidR="000123E6" w:rsidRPr="003715B5">
        <w:rPr>
          <w:rFonts w:asciiTheme="minorHAnsi" w:hAnsiTheme="minorHAnsi"/>
          <w:sz w:val="22"/>
          <w:szCs w:val="22"/>
          <w:lang w:val="fr-FR"/>
        </w:rPr>
        <w:t>pour une superficie de</w:t>
      </w:r>
      <w:r w:rsidRPr="003715B5">
        <w:rPr>
          <w:rFonts w:asciiTheme="minorHAnsi" w:hAnsiTheme="minorHAnsi"/>
          <w:sz w:val="22"/>
          <w:szCs w:val="22"/>
          <w:lang w:val="fr-FR"/>
        </w:rPr>
        <w:t xml:space="preserve"> 25</w:t>
      </w:r>
      <w:r w:rsidR="000123E6" w:rsidRPr="003715B5">
        <w:rPr>
          <w:rFonts w:asciiTheme="minorHAnsi" w:hAnsiTheme="minorHAnsi"/>
          <w:sz w:val="22"/>
          <w:szCs w:val="22"/>
          <w:lang w:val="fr-FR"/>
        </w:rPr>
        <w:t>0 </w:t>
      </w:r>
      <w:r w:rsidRPr="003715B5">
        <w:rPr>
          <w:rFonts w:asciiTheme="minorHAnsi" w:hAnsiTheme="minorHAnsi"/>
          <w:sz w:val="22"/>
          <w:szCs w:val="22"/>
          <w:lang w:val="fr-FR"/>
        </w:rPr>
        <w:t>millions d’hectares, avant 2015. Des inscriptions supplémentaires, fondées sur des stratégies nationales d’inscription, sont donc vivement encouragées. Dans leurs Rapports nationaux à la COP12, 16 P</w:t>
      </w:r>
      <w:r w:rsidR="000123E6" w:rsidRPr="003715B5">
        <w:rPr>
          <w:rFonts w:asciiTheme="minorHAnsi" w:hAnsiTheme="minorHAnsi"/>
          <w:sz w:val="22"/>
          <w:szCs w:val="22"/>
          <w:lang w:val="fr-FR"/>
        </w:rPr>
        <w:t>arties européennes annoncent 76 </w:t>
      </w:r>
      <w:r w:rsidRPr="003715B5">
        <w:rPr>
          <w:rFonts w:asciiTheme="minorHAnsi" w:hAnsiTheme="minorHAnsi"/>
          <w:sz w:val="22"/>
          <w:szCs w:val="22"/>
          <w:lang w:val="fr-FR"/>
        </w:rPr>
        <w:t xml:space="preserve">inscriptions de nouveaux Sites Ramsar prévues pour la période </w:t>
      </w:r>
      <w:r w:rsidR="003715B5">
        <w:rPr>
          <w:rFonts w:asciiTheme="minorHAnsi" w:hAnsiTheme="minorHAnsi"/>
          <w:sz w:val="22"/>
          <w:szCs w:val="22"/>
          <w:lang w:val="fr-FR"/>
        </w:rPr>
        <w:t>triennale 2016-2018 (I</w:t>
      </w:r>
      <w:r w:rsidR="000123E6" w:rsidRPr="003715B5">
        <w:rPr>
          <w:rFonts w:asciiTheme="minorHAnsi" w:hAnsiTheme="minorHAnsi"/>
          <w:sz w:val="22"/>
          <w:szCs w:val="22"/>
          <w:lang w:val="fr-FR"/>
        </w:rPr>
        <w:t>ndicateur </w:t>
      </w:r>
      <w:r w:rsidRPr="003715B5">
        <w:rPr>
          <w:rFonts w:asciiTheme="minorHAnsi" w:hAnsiTheme="minorHAnsi"/>
          <w:sz w:val="22"/>
          <w:szCs w:val="22"/>
          <w:lang w:val="fr-FR"/>
        </w:rPr>
        <w:t xml:space="preserve">2.1.4, voir </w:t>
      </w:r>
      <w:r w:rsidR="003715B5">
        <w:rPr>
          <w:rFonts w:asciiTheme="minorHAnsi" w:hAnsiTheme="minorHAnsi"/>
          <w:b/>
          <w:sz w:val="22"/>
          <w:szCs w:val="22"/>
          <w:lang w:val="fr-FR"/>
        </w:rPr>
        <w:t>annexe </w:t>
      </w:r>
      <w:r w:rsidRPr="003715B5">
        <w:rPr>
          <w:rFonts w:asciiTheme="minorHAnsi" w:hAnsiTheme="minorHAnsi"/>
          <w:b/>
          <w:sz w:val="22"/>
          <w:szCs w:val="22"/>
          <w:lang w:val="fr-FR"/>
        </w:rPr>
        <w:t>3</w:t>
      </w:r>
      <w:r w:rsidRPr="003715B5">
        <w:rPr>
          <w:rFonts w:asciiTheme="minorHAnsi" w:hAnsiTheme="minorHAnsi"/>
          <w:sz w:val="22"/>
          <w:szCs w:val="22"/>
          <w:lang w:val="fr-FR"/>
        </w:rPr>
        <w:t>). Le Secrétariat se réjouit de faciliter ces nouvelles inscriptions et fera rapport à ce sujet à la COP13.</w:t>
      </w:r>
    </w:p>
    <w:p w:rsidR="00B05CA7" w:rsidRPr="003715B5" w:rsidRDefault="00B05CA7" w:rsidP="00B05CA7">
      <w:pPr>
        <w:pStyle w:val="BodyText"/>
        <w:ind w:left="0" w:right="-42" w:firstLine="0"/>
        <w:rPr>
          <w:rFonts w:asciiTheme="minorHAnsi" w:hAnsiTheme="minorHAnsi"/>
          <w:sz w:val="22"/>
          <w:szCs w:val="22"/>
          <w:lang w:val="fr-FR"/>
        </w:rPr>
      </w:pPr>
    </w:p>
    <w:p w:rsidR="0048326B" w:rsidRPr="003715B5" w:rsidRDefault="00B05CA7" w:rsidP="00B05CA7">
      <w:pPr>
        <w:pStyle w:val="Heading2"/>
        <w:ind w:left="0" w:right="-42"/>
        <w:rPr>
          <w:rFonts w:asciiTheme="minorHAnsi" w:hAnsiTheme="minorHAnsi" w:cs="Garamond"/>
          <w:sz w:val="22"/>
          <w:szCs w:val="22"/>
          <w:lang w:val="fr-FR"/>
        </w:rPr>
      </w:pPr>
      <w:r w:rsidRPr="003715B5">
        <w:rPr>
          <w:rFonts w:asciiTheme="minorHAnsi" w:hAnsiTheme="minorHAnsi" w:cs="Garamond"/>
          <w:sz w:val="22"/>
          <w:szCs w:val="22"/>
          <w:lang w:val="fr-FR"/>
        </w:rPr>
        <w:t xml:space="preserve">Mise à jour de l’information sur les Sites Ramsar </w:t>
      </w:r>
    </w:p>
    <w:p w:rsidR="00B05CA7" w:rsidRPr="003715B5" w:rsidRDefault="00B05CA7" w:rsidP="00B05CA7">
      <w:pPr>
        <w:pStyle w:val="Heading2"/>
        <w:ind w:left="0" w:right="-42"/>
        <w:rPr>
          <w:rFonts w:asciiTheme="minorHAnsi" w:hAnsiTheme="minorHAnsi" w:cs="Garamond"/>
          <w:sz w:val="22"/>
          <w:szCs w:val="22"/>
          <w:lang w:val="fr-FR"/>
        </w:rPr>
      </w:pPr>
    </w:p>
    <w:p w:rsidR="00B05CA7" w:rsidRPr="003715B5" w:rsidRDefault="00602E41" w:rsidP="00CC6F22">
      <w:pPr>
        <w:pStyle w:val="BodyText"/>
        <w:numPr>
          <w:ilvl w:val="0"/>
          <w:numId w:val="7"/>
        </w:numPr>
        <w:ind w:left="426" w:right="-42" w:hanging="426"/>
        <w:rPr>
          <w:rFonts w:asciiTheme="minorHAnsi" w:hAnsiTheme="minorHAnsi"/>
          <w:sz w:val="22"/>
          <w:szCs w:val="22"/>
          <w:lang w:val="fr-FR"/>
        </w:rPr>
      </w:pPr>
      <w:r w:rsidRPr="003715B5">
        <w:rPr>
          <w:rFonts w:asciiTheme="minorHAnsi" w:hAnsiTheme="minorHAnsi"/>
          <w:sz w:val="22"/>
          <w:szCs w:val="22"/>
          <w:lang w:val="fr-FR"/>
        </w:rPr>
        <w:t>L’Andorre, l’Arménie et Chypre ont soumis toutes les mises à jour requises pour leurs sep</w:t>
      </w:r>
      <w:r w:rsidR="003715B5">
        <w:rPr>
          <w:rFonts w:asciiTheme="minorHAnsi" w:hAnsiTheme="minorHAnsi"/>
          <w:sz w:val="22"/>
          <w:szCs w:val="22"/>
          <w:lang w:val="fr-FR"/>
        </w:rPr>
        <w:t>t Sites Ramsar au Secrétariat (Indicateur </w:t>
      </w:r>
      <w:r w:rsidRPr="003715B5">
        <w:rPr>
          <w:rFonts w:asciiTheme="minorHAnsi" w:hAnsiTheme="minorHAnsi"/>
          <w:sz w:val="22"/>
          <w:szCs w:val="22"/>
          <w:lang w:val="fr-FR"/>
        </w:rPr>
        <w:t>2.1.2). Félicitations. Le Secrétariat a formulé des observations sur les</w:t>
      </w:r>
      <w:r w:rsidR="000123E6" w:rsidRPr="003715B5">
        <w:rPr>
          <w:rFonts w:asciiTheme="minorHAnsi" w:hAnsiTheme="minorHAnsi"/>
          <w:sz w:val="22"/>
          <w:szCs w:val="22"/>
          <w:lang w:val="fr-FR"/>
        </w:rPr>
        <w:t xml:space="preserve"> mises à jour non finalisées de </w:t>
      </w:r>
      <w:r w:rsidRPr="003715B5">
        <w:rPr>
          <w:rFonts w:asciiTheme="minorHAnsi" w:hAnsiTheme="minorHAnsi"/>
          <w:sz w:val="22"/>
          <w:szCs w:val="22"/>
          <w:lang w:val="fr-FR"/>
        </w:rPr>
        <w:t xml:space="preserve">235 Sites Ramsar (22% de tous les Sites Ramsar d’Europe) soumises par l’Allemagne, </w:t>
      </w:r>
      <w:r w:rsidR="000123E6" w:rsidRPr="003715B5">
        <w:rPr>
          <w:rFonts w:asciiTheme="minorHAnsi" w:hAnsiTheme="minorHAnsi"/>
          <w:sz w:val="22"/>
          <w:szCs w:val="22"/>
          <w:lang w:val="fr-FR"/>
        </w:rPr>
        <w:t>l’</w:t>
      </w:r>
      <w:r w:rsidRPr="003715B5">
        <w:rPr>
          <w:rFonts w:asciiTheme="minorHAnsi" w:hAnsiTheme="minorHAnsi"/>
          <w:sz w:val="22"/>
          <w:szCs w:val="22"/>
          <w:lang w:val="fr-FR"/>
        </w:rPr>
        <w:t xml:space="preserve">Autriche, la Belgique, la Bosnie-Herzégovine, le Danemark, </w:t>
      </w:r>
      <w:r w:rsidR="000123E6" w:rsidRPr="003715B5">
        <w:rPr>
          <w:rFonts w:asciiTheme="minorHAnsi" w:hAnsiTheme="minorHAnsi"/>
          <w:sz w:val="22"/>
          <w:szCs w:val="22"/>
          <w:lang w:val="fr-FR"/>
        </w:rPr>
        <w:t xml:space="preserve">la </w:t>
      </w:r>
      <w:r w:rsidRPr="003715B5">
        <w:rPr>
          <w:rFonts w:asciiTheme="minorHAnsi" w:hAnsiTheme="minorHAnsi"/>
          <w:sz w:val="22"/>
          <w:szCs w:val="22"/>
          <w:lang w:val="fr-FR"/>
        </w:rPr>
        <w:t xml:space="preserve">Fédération de Russie, </w:t>
      </w:r>
      <w:r w:rsidR="000123E6" w:rsidRPr="003715B5">
        <w:rPr>
          <w:rFonts w:asciiTheme="minorHAnsi" w:hAnsiTheme="minorHAnsi"/>
          <w:sz w:val="22"/>
          <w:szCs w:val="22"/>
          <w:lang w:val="fr-FR"/>
        </w:rPr>
        <w:t xml:space="preserve">la </w:t>
      </w:r>
      <w:r w:rsidRPr="003715B5">
        <w:rPr>
          <w:rFonts w:asciiTheme="minorHAnsi" w:hAnsiTheme="minorHAnsi"/>
          <w:sz w:val="22"/>
          <w:szCs w:val="22"/>
          <w:lang w:val="fr-FR"/>
        </w:rPr>
        <w:t xml:space="preserve">France, la Géorgie, la Hongrie, l’Italie, la Lituanie, </w:t>
      </w:r>
      <w:r w:rsidR="000123E6" w:rsidRPr="003715B5">
        <w:rPr>
          <w:rFonts w:asciiTheme="minorHAnsi" w:hAnsiTheme="minorHAnsi"/>
          <w:sz w:val="22"/>
          <w:szCs w:val="22"/>
          <w:lang w:val="fr-FR"/>
        </w:rPr>
        <w:t xml:space="preserve">la </w:t>
      </w:r>
      <w:r w:rsidRPr="003715B5">
        <w:rPr>
          <w:rFonts w:asciiTheme="minorHAnsi" w:hAnsiTheme="minorHAnsi"/>
          <w:sz w:val="22"/>
          <w:szCs w:val="22"/>
          <w:lang w:val="fr-FR"/>
        </w:rPr>
        <w:t xml:space="preserve">Norvège, </w:t>
      </w:r>
      <w:r w:rsidR="000123E6" w:rsidRPr="003715B5">
        <w:rPr>
          <w:rFonts w:asciiTheme="minorHAnsi" w:hAnsiTheme="minorHAnsi"/>
          <w:sz w:val="22"/>
          <w:szCs w:val="22"/>
          <w:lang w:val="fr-FR"/>
        </w:rPr>
        <w:t xml:space="preserve">les </w:t>
      </w:r>
      <w:r w:rsidRPr="003715B5">
        <w:rPr>
          <w:rFonts w:asciiTheme="minorHAnsi" w:hAnsiTheme="minorHAnsi"/>
          <w:sz w:val="22"/>
          <w:szCs w:val="22"/>
          <w:lang w:val="fr-FR"/>
        </w:rPr>
        <w:t xml:space="preserve">Pays-Bas, le Portugal, la Suède et l’Ukraine. On peut en déduire que </w:t>
      </w:r>
      <w:r w:rsidR="005E74EF" w:rsidRPr="003715B5">
        <w:rPr>
          <w:rFonts w:asciiTheme="minorHAnsi" w:hAnsiTheme="minorHAnsi"/>
          <w:sz w:val="22"/>
          <w:szCs w:val="22"/>
          <w:lang w:val="fr-FR"/>
        </w:rPr>
        <w:t xml:space="preserve">de nombreuses Parties prennent au sérieux </w:t>
      </w:r>
      <w:r w:rsidRPr="003715B5">
        <w:rPr>
          <w:rFonts w:asciiTheme="minorHAnsi" w:hAnsiTheme="minorHAnsi"/>
          <w:sz w:val="22"/>
          <w:szCs w:val="22"/>
          <w:lang w:val="fr-FR"/>
        </w:rPr>
        <w:t xml:space="preserve">la nécessité de mettre à jour l’information </w:t>
      </w:r>
      <w:r w:rsidR="005E74EF" w:rsidRPr="003715B5">
        <w:rPr>
          <w:rFonts w:asciiTheme="minorHAnsi" w:hAnsiTheme="minorHAnsi"/>
          <w:sz w:val="22"/>
          <w:szCs w:val="22"/>
          <w:lang w:val="fr-FR"/>
        </w:rPr>
        <w:t xml:space="preserve">sur les </w:t>
      </w:r>
      <w:r w:rsidRPr="003715B5">
        <w:rPr>
          <w:rFonts w:asciiTheme="minorHAnsi" w:hAnsiTheme="minorHAnsi"/>
          <w:sz w:val="22"/>
          <w:szCs w:val="22"/>
          <w:lang w:val="fr-FR"/>
        </w:rPr>
        <w:t>Sites Ramsar</w:t>
      </w:r>
      <w:r w:rsidR="005E74EF" w:rsidRPr="003715B5">
        <w:rPr>
          <w:rFonts w:asciiTheme="minorHAnsi" w:hAnsiTheme="minorHAnsi"/>
          <w:sz w:val="22"/>
          <w:szCs w:val="22"/>
          <w:lang w:val="fr-FR"/>
        </w:rPr>
        <w:t>. Le Secrétariat espère que ces mises à jour pourront être rapidement achevées et téléchargées sur le Service d’information sur les Sites Ramsar (SISR). Toutefois, le Secrétariat n</w:t>
      </w:r>
      <w:r w:rsidR="000123E6" w:rsidRPr="003715B5">
        <w:rPr>
          <w:rFonts w:asciiTheme="minorHAnsi" w:hAnsiTheme="minorHAnsi"/>
          <w:sz w:val="22"/>
          <w:szCs w:val="22"/>
          <w:lang w:val="fr-FR"/>
        </w:rPr>
        <w:t>’</w:t>
      </w:r>
      <w:r w:rsidR="005E74EF" w:rsidRPr="003715B5">
        <w:rPr>
          <w:rFonts w:asciiTheme="minorHAnsi" w:hAnsiTheme="minorHAnsi"/>
          <w:sz w:val="22"/>
          <w:szCs w:val="22"/>
          <w:lang w:val="fr-FR"/>
        </w:rPr>
        <w:t>a pas eu connaissance d’activités en cours concernant la mise à jour d’inf</w:t>
      </w:r>
      <w:r w:rsidR="000123E6" w:rsidRPr="003715B5">
        <w:rPr>
          <w:rFonts w:asciiTheme="minorHAnsi" w:hAnsiTheme="minorHAnsi"/>
          <w:sz w:val="22"/>
          <w:szCs w:val="22"/>
          <w:lang w:val="fr-FR"/>
        </w:rPr>
        <w:t>ormations obsolètes relatives à </w:t>
      </w:r>
      <w:r w:rsidR="005E74EF" w:rsidRPr="003715B5">
        <w:rPr>
          <w:rFonts w:asciiTheme="minorHAnsi" w:hAnsiTheme="minorHAnsi"/>
          <w:sz w:val="22"/>
          <w:szCs w:val="22"/>
          <w:lang w:val="fr-FR"/>
        </w:rPr>
        <w:t>524 autres Sites Ramsar d’Europe (50%)</w:t>
      </w:r>
      <w:r w:rsidR="00607467" w:rsidRPr="003715B5">
        <w:rPr>
          <w:rFonts w:asciiTheme="minorHAnsi" w:hAnsiTheme="minorHAnsi"/>
          <w:sz w:val="22"/>
          <w:szCs w:val="22"/>
          <w:lang w:val="fr-FR"/>
        </w:rPr>
        <w:t>.</w:t>
      </w:r>
      <w:r w:rsidR="00FF1467" w:rsidRPr="003715B5">
        <w:rPr>
          <w:rFonts w:asciiTheme="minorHAnsi" w:hAnsiTheme="minorHAnsi"/>
          <w:sz w:val="22"/>
          <w:szCs w:val="22"/>
          <w:lang w:val="fr-FR"/>
        </w:rPr>
        <w:t xml:space="preserve"> </w:t>
      </w:r>
      <w:r w:rsidR="005E74EF" w:rsidRPr="003715B5">
        <w:rPr>
          <w:rFonts w:asciiTheme="minorHAnsi" w:hAnsiTheme="minorHAnsi"/>
          <w:sz w:val="22"/>
          <w:szCs w:val="22"/>
          <w:lang w:val="fr-FR"/>
        </w:rPr>
        <w:t>Le nombre de Sites Ramsar aux informations obsolètes connaît une</w:t>
      </w:r>
      <w:r w:rsidR="000123E6" w:rsidRPr="003715B5">
        <w:rPr>
          <w:rFonts w:asciiTheme="minorHAnsi" w:hAnsiTheme="minorHAnsi"/>
          <w:sz w:val="22"/>
          <w:szCs w:val="22"/>
          <w:lang w:val="fr-FR"/>
        </w:rPr>
        <w:t xml:space="preserve"> augmentation considérable (199 </w:t>
      </w:r>
      <w:r w:rsidR="005E74EF" w:rsidRPr="003715B5">
        <w:rPr>
          <w:rFonts w:asciiTheme="minorHAnsi" w:hAnsiTheme="minorHAnsi"/>
          <w:sz w:val="22"/>
          <w:szCs w:val="22"/>
          <w:lang w:val="fr-FR"/>
        </w:rPr>
        <w:t xml:space="preserve">sites supplémentaires) </w:t>
      </w:r>
      <w:r w:rsidR="006A735D" w:rsidRPr="003715B5">
        <w:rPr>
          <w:rFonts w:asciiTheme="minorHAnsi" w:hAnsiTheme="minorHAnsi"/>
          <w:sz w:val="22"/>
          <w:szCs w:val="22"/>
          <w:lang w:val="fr-FR"/>
        </w:rPr>
        <w:t xml:space="preserve">par rapport à la dernière période étudiée (voir </w:t>
      </w:r>
      <w:r w:rsidR="006A735D" w:rsidRPr="003715B5">
        <w:rPr>
          <w:rFonts w:asciiTheme="minorHAnsi" w:hAnsiTheme="minorHAnsi"/>
          <w:b/>
          <w:sz w:val="22"/>
          <w:szCs w:val="22"/>
          <w:lang w:val="fr-FR"/>
        </w:rPr>
        <w:t>annexe 4</w:t>
      </w:r>
      <w:r w:rsidR="00CC6F22" w:rsidRPr="003715B5">
        <w:rPr>
          <w:rFonts w:asciiTheme="minorHAnsi" w:hAnsiTheme="minorHAnsi"/>
          <w:b/>
          <w:sz w:val="22"/>
          <w:szCs w:val="22"/>
          <w:lang w:val="fr-FR"/>
        </w:rPr>
        <w:t>)</w:t>
      </w:r>
      <w:r w:rsidR="003077CF" w:rsidRPr="003715B5">
        <w:rPr>
          <w:rFonts w:asciiTheme="minorHAnsi" w:hAnsiTheme="minorHAnsi"/>
          <w:sz w:val="22"/>
          <w:szCs w:val="22"/>
          <w:lang w:val="fr-FR"/>
        </w:rPr>
        <w:t xml:space="preserve"> et les </w:t>
      </w:r>
      <w:r w:rsidR="00CC6F22" w:rsidRPr="003715B5">
        <w:rPr>
          <w:rFonts w:asciiTheme="minorHAnsi" w:hAnsiTheme="minorHAnsi"/>
          <w:sz w:val="22"/>
          <w:szCs w:val="22"/>
          <w:lang w:val="fr-FR"/>
        </w:rPr>
        <w:t>activités de mise à jour</w:t>
      </w:r>
      <w:r w:rsidR="003077CF" w:rsidRPr="003715B5">
        <w:rPr>
          <w:rFonts w:asciiTheme="minorHAnsi" w:hAnsiTheme="minorHAnsi"/>
          <w:sz w:val="22"/>
          <w:szCs w:val="22"/>
          <w:lang w:val="fr-FR"/>
        </w:rPr>
        <w:t xml:space="preserve"> se font de plus en plus rares</w:t>
      </w:r>
      <w:r w:rsidR="006A735D" w:rsidRPr="003715B5">
        <w:rPr>
          <w:rFonts w:asciiTheme="minorHAnsi" w:hAnsiTheme="minorHAnsi"/>
          <w:sz w:val="22"/>
          <w:szCs w:val="22"/>
          <w:lang w:val="fr-FR"/>
        </w:rPr>
        <w:t>.</w:t>
      </w:r>
    </w:p>
    <w:p w:rsidR="0001533C" w:rsidRPr="003715B5" w:rsidRDefault="0001533C" w:rsidP="007776D0">
      <w:pPr>
        <w:rPr>
          <w:rFonts w:eastAsia="Garamond" w:cs="Garamond"/>
          <w:lang w:val="fr-FR"/>
        </w:rPr>
      </w:pPr>
    </w:p>
    <w:p w:rsidR="0001533C" w:rsidRPr="003715B5" w:rsidRDefault="00CC6F22" w:rsidP="007776D0">
      <w:pPr>
        <w:rPr>
          <w:rFonts w:eastAsia="Garamond" w:cs="Garamond"/>
          <w:lang w:val="fr-FR"/>
        </w:rPr>
      </w:pPr>
      <w:r w:rsidRPr="003715B5">
        <w:rPr>
          <w:b/>
          <w:lang w:val="fr-FR"/>
        </w:rPr>
        <w:t xml:space="preserve">Caractéristiques écologiques des Sites </w:t>
      </w:r>
      <w:r w:rsidR="00FF73FE" w:rsidRPr="003715B5">
        <w:rPr>
          <w:b/>
          <w:lang w:val="fr-FR"/>
        </w:rPr>
        <w:t xml:space="preserve">Ramsar </w:t>
      </w:r>
      <w:r w:rsidRPr="003715B5">
        <w:rPr>
          <w:i/>
          <w:lang w:val="fr-FR"/>
        </w:rPr>
        <w:t>(Strat</w:t>
      </w:r>
      <w:r w:rsidR="003557CA" w:rsidRPr="003715B5">
        <w:rPr>
          <w:i/>
          <w:lang w:val="fr-FR"/>
        </w:rPr>
        <w:t>é</w:t>
      </w:r>
      <w:r w:rsidR="00FF73FE" w:rsidRPr="003715B5">
        <w:rPr>
          <w:i/>
          <w:lang w:val="fr-FR"/>
        </w:rPr>
        <w:t xml:space="preserve">gies </w:t>
      </w:r>
      <w:r w:rsidR="000513CF" w:rsidRPr="003715B5">
        <w:rPr>
          <w:i/>
          <w:lang w:val="fr-FR"/>
        </w:rPr>
        <w:t>2.</w:t>
      </w:r>
      <w:r w:rsidR="00D84FFF" w:rsidRPr="003715B5">
        <w:rPr>
          <w:i/>
          <w:lang w:val="fr-FR"/>
        </w:rPr>
        <w:t>3 – 2.5</w:t>
      </w:r>
      <w:r w:rsidR="00FF73FE" w:rsidRPr="003715B5">
        <w:rPr>
          <w:i/>
          <w:lang w:val="fr-FR"/>
        </w:rPr>
        <w:t>)</w:t>
      </w:r>
    </w:p>
    <w:p w:rsidR="0001533C" w:rsidRPr="003715B5" w:rsidRDefault="0001533C" w:rsidP="007776D0">
      <w:pPr>
        <w:rPr>
          <w:rFonts w:eastAsia="Garamond" w:cs="Garamond"/>
          <w:i/>
          <w:lang w:val="fr-FR"/>
        </w:rPr>
      </w:pPr>
    </w:p>
    <w:p w:rsidR="005E200B" w:rsidRPr="003715B5" w:rsidRDefault="00CC6F22" w:rsidP="00E41376">
      <w:pPr>
        <w:pStyle w:val="BodyText"/>
        <w:numPr>
          <w:ilvl w:val="0"/>
          <w:numId w:val="7"/>
        </w:numPr>
        <w:ind w:left="426" w:right="-42" w:hanging="426"/>
        <w:rPr>
          <w:rFonts w:asciiTheme="minorHAnsi" w:hAnsiTheme="minorHAnsi"/>
          <w:sz w:val="22"/>
          <w:szCs w:val="22"/>
          <w:lang w:val="fr-FR"/>
        </w:rPr>
      </w:pPr>
      <w:r w:rsidRPr="003715B5">
        <w:rPr>
          <w:rFonts w:asciiTheme="minorHAnsi" w:hAnsiTheme="minorHAnsi"/>
          <w:sz w:val="22"/>
          <w:szCs w:val="22"/>
          <w:lang w:val="fr-FR"/>
        </w:rPr>
        <w:t>La base de données publique du Service d’information sur les Sites Ramsar</w:t>
      </w:r>
      <w:r w:rsidR="009D75A7" w:rsidRPr="003715B5">
        <w:rPr>
          <w:rFonts w:asciiTheme="minorHAnsi" w:hAnsiTheme="minorHAnsi"/>
          <w:sz w:val="22"/>
          <w:szCs w:val="22"/>
          <w:lang w:val="fr-FR"/>
        </w:rPr>
        <w:t xml:space="preserve"> (</w:t>
      </w:r>
      <w:hyperlink r:id="rId15" w:history="1">
        <w:r w:rsidR="006E5729" w:rsidRPr="003715B5">
          <w:rPr>
            <w:rStyle w:val="Hyperlink"/>
            <w:rFonts w:asciiTheme="minorHAnsi" w:hAnsiTheme="minorHAnsi"/>
            <w:sz w:val="22"/>
            <w:szCs w:val="22"/>
            <w:lang w:val="fr-FR"/>
          </w:rPr>
          <w:t>http://rsis.ramsar.org</w:t>
        </w:r>
      </w:hyperlink>
      <w:r w:rsidR="009D75A7" w:rsidRPr="003715B5">
        <w:rPr>
          <w:rFonts w:asciiTheme="minorHAnsi" w:hAnsiTheme="minorHAnsi"/>
          <w:sz w:val="22"/>
          <w:szCs w:val="22"/>
          <w:lang w:val="fr-FR"/>
        </w:rPr>
        <w:t xml:space="preserve">) </w:t>
      </w:r>
      <w:r w:rsidRPr="003715B5">
        <w:rPr>
          <w:rFonts w:asciiTheme="minorHAnsi" w:hAnsiTheme="minorHAnsi"/>
          <w:sz w:val="22"/>
          <w:szCs w:val="22"/>
          <w:lang w:val="fr-FR"/>
        </w:rPr>
        <w:t xml:space="preserve">propose des outils d’analyse capables de répondre à de nombreuses </w:t>
      </w:r>
      <w:r w:rsidR="003557CA" w:rsidRPr="003715B5">
        <w:rPr>
          <w:rFonts w:asciiTheme="minorHAnsi" w:hAnsiTheme="minorHAnsi"/>
          <w:sz w:val="22"/>
          <w:szCs w:val="22"/>
          <w:lang w:val="fr-FR"/>
        </w:rPr>
        <w:t xml:space="preserve">questions et requêtes individuelles. Toutefois, l’exactitude et la fiabilité des résultats obtenus se limitent à celles des données </w:t>
      </w:r>
      <w:r w:rsidR="005E200B" w:rsidRPr="003715B5">
        <w:rPr>
          <w:rFonts w:asciiTheme="minorHAnsi" w:hAnsiTheme="minorHAnsi"/>
          <w:sz w:val="22"/>
          <w:szCs w:val="22"/>
          <w:lang w:val="fr-FR"/>
        </w:rPr>
        <w:t>d’origine</w:t>
      </w:r>
      <w:r w:rsidR="003077CF" w:rsidRPr="003715B5">
        <w:rPr>
          <w:rFonts w:asciiTheme="minorHAnsi" w:hAnsiTheme="minorHAnsi"/>
          <w:sz w:val="22"/>
          <w:szCs w:val="22"/>
          <w:lang w:val="fr-FR"/>
        </w:rPr>
        <w:t xml:space="preserve"> communiquées par les P</w:t>
      </w:r>
      <w:r w:rsidR="003557CA" w:rsidRPr="003715B5">
        <w:rPr>
          <w:rFonts w:asciiTheme="minorHAnsi" w:hAnsiTheme="minorHAnsi"/>
          <w:sz w:val="22"/>
          <w:szCs w:val="22"/>
          <w:lang w:val="fr-FR"/>
        </w:rPr>
        <w:t>arties. Pour faciliter les activités de mise à jour de</w:t>
      </w:r>
      <w:r w:rsidR="005E200B" w:rsidRPr="003715B5">
        <w:rPr>
          <w:rFonts w:asciiTheme="minorHAnsi" w:hAnsiTheme="minorHAnsi"/>
          <w:sz w:val="22"/>
          <w:szCs w:val="22"/>
          <w:lang w:val="fr-FR"/>
        </w:rPr>
        <w:t xml:space="preserve"> l’</w:t>
      </w:r>
      <w:r w:rsidR="003557CA" w:rsidRPr="003715B5">
        <w:rPr>
          <w:rFonts w:asciiTheme="minorHAnsi" w:hAnsiTheme="minorHAnsi"/>
          <w:sz w:val="22"/>
          <w:szCs w:val="22"/>
          <w:lang w:val="fr-FR"/>
        </w:rPr>
        <w:t xml:space="preserve">information sur les Sites Ramsar, les Parties européennes ont </w:t>
      </w:r>
      <w:r w:rsidR="005E200B" w:rsidRPr="003715B5">
        <w:rPr>
          <w:rFonts w:asciiTheme="minorHAnsi" w:hAnsiTheme="minorHAnsi"/>
          <w:sz w:val="22"/>
          <w:szCs w:val="22"/>
          <w:lang w:val="fr-FR"/>
        </w:rPr>
        <w:t>précisé</w:t>
      </w:r>
      <w:r w:rsidR="003557CA" w:rsidRPr="003715B5">
        <w:rPr>
          <w:rFonts w:asciiTheme="minorHAnsi" w:hAnsiTheme="minorHAnsi"/>
          <w:sz w:val="22"/>
          <w:szCs w:val="22"/>
          <w:lang w:val="fr-FR"/>
        </w:rPr>
        <w:t xml:space="preserve"> à maintes reprises</w:t>
      </w:r>
      <w:r w:rsidR="005E200B" w:rsidRPr="003715B5">
        <w:rPr>
          <w:rFonts w:asciiTheme="minorHAnsi" w:hAnsiTheme="minorHAnsi"/>
          <w:sz w:val="22"/>
          <w:szCs w:val="22"/>
          <w:lang w:val="fr-FR"/>
        </w:rPr>
        <w:t xml:space="preserve">, lors de réunions européennes, que la mise à jour des données et des cartes relatives aux Sites Ramsar doit être faite chaque fois qu’un changement particulier se produit. Les Parties ont convenu de ne pas attendre l’expiration du délai de six ans pour mettre à jour l’information sur les Sites Ramsar, estimant que cela pouvait être fait en procédant à une simple </w:t>
      </w:r>
      <w:r w:rsidR="005E200B" w:rsidRPr="003715B5">
        <w:rPr>
          <w:rFonts w:asciiTheme="minorHAnsi" w:hAnsiTheme="minorHAnsi"/>
          <w:sz w:val="22"/>
          <w:szCs w:val="22"/>
          <w:lang w:val="fr-FR"/>
        </w:rPr>
        <w:lastRenderedPageBreak/>
        <w:t>mise à jour de la base de données chaque fois qu’un changement se produirait</w:t>
      </w:r>
      <w:r w:rsidR="003077CF" w:rsidRPr="003715B5">
        <w:rPr>
          <w:rFonts w:asciiTheme="minorHAnsi" w:hAnsiTheme="minorHAnsi"/>
          <w:sz w:val="22"/>
          <w:szCs w:val="22"/>
          <w:lang w:val="fr-FR"/>
        </w:rPr>
        <w:t xml:space="preserve"> au niveau local</w:t>
      </w:r>
      <w:r w:rsidR="005E200B" w:rsidRPr="003715B5">
        <w:rPr>
          <w:rFonts w:asciiTheme="minorHAnsi" w:hAnsiTheme="minorHAnsi"/>
          <w:sz w:val="22"/>
          <w:szCs w:val="22"/>
          <w:lang w:val="fr-FR"/>
        </w:rPr>
        <w:t>.</w:t>
      </w:r>
    </w:p>
    <w:p w:rsidR="009D75A7" w:rsidRPr="003715B5" w:rsidRDefault="009D75A7" w:rsidP="005E200B">
      <w:pPr>
        <w:ind w:right="-42"/>
        <w:rPr>
          <w:rFonts w:eastAsia="Garamond" w:cs="Garamond"/>
          <w:i/>
          <w:lang w:val="fr-FR"/>
        </w:rPr>
      </w:pPr>
    </w:p>
    <w:p w:rsidR="005E200B" w:rsidRPr="003715B5" w:rsidRDefault="00C87ED2" w:rsidP="00C87ED2">
      <w:pPr>
        <w:pStyle w:val="BodyText"/>
        <w:numPr>
          <w:ilvl w:val="0"/>
          <w:numId w:val="7"/>
        </w:numPr>
        <w:ind w:left="426" w:right="-42" w:hanging="426"/>
        <w:rPr>
          <w:rFonts w:asciiTheme="minorHAnsi" w:hAnsiTheme="minorHAnsi"/>
          <w:sz w:val="22"/>
          <w:szCs w:val="22"/>
          <w:lang w:val="fr-FR"/>
        </w:rPr>
      </w:pPr>
      <w:r w:rsidRPr="003715B5">
        <w:rPr>
          <w:rFonts w:asciiTheme="minorHAnsi" w:hAnsiTheme="minorHAnsi"/>
          <w:sz w:val="22"/>
          <w:szCs w:val="22"/>
          <w:lang w:val="fr-FR"/>
        </w:rPr>
        <w:t xml:space="preserve">Les Parties s’engagent à formuler et appliquer leurs plans d’aménagement de manière à promouvoir la conservation des Sites Ramsar, à maintenir leurs caractéristiques écologiques, à empêcher leur détérioration du fait de développements technologiques, de la pollution ou d’autres interventions humaines, et à tenir compte de leurs responsabilités internationales, en particulier pour les sites, bassins hydrographiques et espèces dépendant des zones humides partagés. On pourrait dire que l’élaboration et la mise en œuvre de plans de gestion (ou stratégies) pour </w:t>
      </w:r>
      <w:r w:rsidRPr="003715B5">
        <w:rPr>
          <w:rFonts w:asciiTheme="minorHAnsi" w:hAnsiTheme="minorHAnsi"/>
          <w:i/>
          <w:sz w:val="22"/>
          <w:szCs w:val="22"/>
          <w:lang w:val="fr-FR"/>
        </w:rPr>
        <w:t>tous</w:t>
      </w:r>
      <w:r w:rsidRPr="003715B5">
        <w:rPr>
          <w:rFonts w:asciiTheme="minorHAnsi" w:hAnsiTheme="minorHAnsi"/>
          <w:sz w:val="22"/>
          <w:szCs w:val="22"/>
          <w:lang w:val="fr-FR"/>
        </w:rPr>
        <w:t xml:space="preserve"> les Sites Ramsar constituent l’indicateur le plus tangible permettant de déterminer à quel point les Parties sont bien armées pour pouvoir relever ces défis</w:t>
      </w:r>
      <w:r w:rsidR="00FF73FE" w:rsidRPr="003715B5">
        <w:rPr>
          <w:rFonts w:asciiTheme="minorHAnsi" w:hAnsiTheme="minorHAnsi"/>
          <w:sz w:val="22"/>
          <w:szCs w:val="22"/>
          <w:lang w:val="fr-FR"/>
        </w:rPr>
        <w:t>.</w:t>
      </w:r>
    </w:p>
    <w:p w:rsidR="0001533C" w:rsidRPr="003715B5" w:rsidRDefault="0001533C" w:rsidP="00E41376">
      <w:pPr>
        <w:ind w:left="426" w:right="-42" w:hanging="426"/>
        <w:rPr>
          <w:rFonts w:eastAsia="Garamond" w:cs="Garamond"/>
          <w:lang w:val="fr-FR"/>
        </w:rPr>
      </w:pPr>
    </w:p>
    <w:p w:rsidR="0001533C" w:rsidRPr="003715B5" w:rsidRDefault="00C87ED2" w:rsidP="00E41376">
      <w:pPr>
        <w:pStyle w:val="BodyText"/>
        <w:numPr>
          <w:ilvl w:val="0"/>
          <w:numId w:val="7"/>
        </w:numPr>
        <w:ind w:left="426" w:right="-42" w:hanging="426"/>
        <w:rPr>
          <w:rFonts w:asciiTheme="minorHAnsi" w:hAnsiTheme="minorHAnsi"/>
          <w:sz w:val="22"/>
          <w:szCs w:val="22"/>
          <w:lang w:val="fr-FR"/>
        </w:rPr>
      </w:pPr>
      <w:r w:rsidRPr="003715B5">
        <w:rPr>
          <w:rFonts w:asciiTheme="minorHAnsi" w:hAnsiTheme="minorHAnsi"/>
          <w:sz w:val="22"/>
          <w:szCs w:val="22"/>
          <w:lang w:val="fr-FR"/>
        </w:rPr>
        <w:t xml:space="preserve">Tout en reconnaissant que l’inscription de Sites Ramsar peut servir de stimulant pour l’élaboration ultérieure de plans de gestion efficaces des sites, en particulier en Europe, la philosophie actuelle voudrait plutôt que tous les Sites Ramsar aient un plan de gestion efficace en vigueur avant d’être inscrits, ainsi que les ressources nécessaires pour appliquer ce plan de gestion. Toutefois, seul un tiers des Parties européennes indiquent que c’est le cas pour les </w:t>
      </w:r>
      <w:r w:rsidRPr="003715B5">
        <w:rPr>
          <w:rFonts w:asciiTheme="minorHAnsi" w:hAnsiTheme="minorHAnsi"/>
          <w:i/>
          <w:sz w:val="22"/>
          <w:szCs w:val="22"/>
          <w:lang w:val="fr-FR"/>
        </w:rPr>
        <w:t>nouveaux</w:t>
      </w:r>
      <w:r w:rsidRPr="003715B5">
        <w:rPr>
          <w:rFonts w:asciiTheme="minorHAnsi" w:hAnsiTheme="minorHAnsi"/>
          <w:sz w:val="22"/>
          <w:szCs w:val="22"/>
          <w:lang w:val="fr-FR"/>
        </w:rPr>
        <w:t xml:space="preserve"> Si</w:t>
      </w:r>
      <w:r w:rsidR="003715B5">
        <w:rPr>
          <w:rFonts w:asciiTheme="minorHAnsi" w:hAnsiTheme="minorHAnsi"/>
          <w:sz w:val="22"/>
          <w:szCs w:val="22"/>
          <w:lang w:val="fr-FR"/>
        </w:rPr>
        <w:t>tes Ramsar inscrits (I</w:t>
      </w:r>
      <w:r w:rsidR="003077CF" w:rsidRPr="003715B5">
        <w:rPr>
          <w:rFonts w:asciiTheme="minorHAnsi" w:hAnsiTheme="minorHAnsi"/>
          <w:sz w:val="22"/>
          <w:szCs w:val="22"/>
          <w:lang w:val="fr-FR"/>
        </w:rPr>
        <w:t>ndicateur </w:t>
      </w:r>
      <w:r w:rsidRPr="003715B5">
        <w:rPr>
          <w:rFonts w:asciiTheme="minorHAnsi" w:hAnsiTheme="minorHAnsi"/>
          <w:sz w:val="22"/>
          <w:szCs w:val="22"/>
          <w:lang w:val="fr-FR"/>
        </w:rPr>
        <w:t>2.3.1).</w:t>
      </w:r>
    </w:p>
    <w:p w:rsidR="0001533C" w:rsidRPr="003715B5" w:rsidRDefault="0001533C" w:rsidP="00E41376">
      <w:pPr>
        <w:ind w:left="426" w:right="-42" w:hanging="426"/>
        <w:rPr>
          <w:rFonts w:eastAsia="Garamond" w:cs="Garamond"/>
          <w:lang w:val="fr-FR"/>
        </w:rPr>
      </w:pPr>
    </w:p>
    <w:p w:rsidR="00207521" w:rsidRPr="003715B5" w:rsidRDefault="00207521" w:rsidP="00207521">
      <w:pPr>
        <w:pStyle w:val="BodyText"/>
        <w:numPr>
          <w:ilvl w:val="0"/>
          <w:numId w:val="7"/>
        </w:numPr>
        <w:ind w:left="426" w:right="-42" w:hanging="426"/>
        <w:rPr>
          <w:rFonts w:asciiTheme="minorHAnsi" w:hAnsiTheme="minorHAnsi"/>
          <w:sz w:val="22"/>
          <w:szCs w:val="22"/>
          <w:lang w:val="fr-FR"/>
        </w:rPr>
      </w:pPr>
      <w:r w:rsidRPr="003715B5">
        <w:rPr>
          <w:rFonts w:asciiTheme="minorHAnsi" w:hAnsiTheme="minorHAnsi"/>
          <w:sz w:val="22"/>
          <w:szCs w:val="22"/>
          <w:lang w:val="fr-FR"/>
        </w:rPr>
        <w:t>Environ deux tiers (511) de</w:t>
      </w:r>
      <w:r w:rsidR="003077CF" w:rsidRPr="003715B5">
        <w:rPr>
          <w:rFonts w:asciiTheme="minorHAnsi" w:hAnsiTheme="minorHAnsi"/>
          <w:sz w:val="22"/>
          <w:szCs w:val="22"/>
          <w:lang w:val="fr-FR"/>
        </w:rPr>
        <w:t>s Sites Ramsar inscrits par les </w:t>
      </w:r>
      <w:r w:rsidRPr="003715B5">
        <w:rPr>
          <w:rFonts w:asciiTheme="minorHAnsi" w:hAnsiTheme="minorHAnsi"/>
          <w:sz w:val="22"/>
          <w:szCs w:val="22"/>
          <w:lang w:val="fr-FR"/>
        </w:rPr>
        <w:t>34 Parties européennes qui ont envoyé un rapport à la COP12 disposent d</w:t>
      </w:r>
      <w:r w:rsidR="003715B5">
        <w:rPr>
          <w:rFonts w:asciiTheme="minorHAnsi" w:hAnsiTheme="minorHAnsi"/>
          <w:sz w:val="22"/>
          <w:szCs w:val="22"/>
          <w:lang w:val="fr-FR"/>
        </w:rPr>
        <w:t>’un plan de gestion (I</w:t>
      </w:r>
      <w:r w:rsidR="003077CF" w:rsidRPr="003715B5">
        <w:rPr>
          <w:rFonts w:asciiTheme="minorHAnsi" w:hAnsiTheme="minorHAnsi"/>
          <w:sz w:val="22"/>
          <w:szCs w:val="22"/>
          <w:lang w:val="fr-FR"/>
        </w:rPr>
        <w:t>ndicateur </w:t>
      </w:r>
      <w:r w:rsidRPr="003715B5">
        <w:rPr>
          <w:rFonts w:asciiTheme="minorHAnsi" w:hAnsiTheme="minorHAnsi"/>
          <w:sz w:val="22"/>
          <w:szCs w:val="22"/>
          <w:lang w:val="fr-FR"/>
        </w:rPr>
        <w:t>2.4.1), soit un chiffre en légère progression depuis la COP11. Le plan est a</w:t>
      </w:r>
      <w:r w:rsidR="003715B5">
        <w:rPr>
          <w:rFonts w:asciiTheme="minorHAnsi" w:hAnsiTheme="minorHAnsi"/>
          <w:sz w:val="22"/>
          <w:szCs w:val="22"/>
          <w:lang w:val="fr-FR"/>
        </w:rPr>
        <w:t>ppliqué dans 86% de ces sites (I</w:t>
      </w:r>
      <w:r w:rsidRPr="003715B5">
        <w:rPr>
          <w:rFonts w:asciiTheme="minorHAnsi" w:hAnsiTheme="minorHAnsi"/>
          <w:sz w:val="22"/>
          <w:szCs w:val="22"/>
          <w:lang w:val="fr-FR"/>
        </w:rPr>
        <w:t xml:space="preserve">ndicateur 2.4.2), un pourcentage inférieur à celui enregistré il y a trois ans (93%). Cependant, les Parties indiquent qu’un plan de gestion est </w:t>
      </w:r>
      <w:r w:rsidR="003077CF" w:rsidRPr="003715B5">
        <w:rPr>
          <w:rFonts w:asciiTheme="minorHAnsi" w:hAnsiTheme="minorHAnsi"/>
          <w:sz w:val="22"/>
          <w:szCs w:val="22"/>
          <w:lang w:val="fr-FR"/>
        </w:rPr>
        <w:t>en cours d’élaboration pour 139 </w:t>
      </w:r>
      <w:r w:rsidR="003715B5">
        <w:rPr>
          <w:rFonts w:asciiTheme="minorHAnsi" w:hAnsiTheme="minorHAnsi"/>
          <w:sz w:val="22"/>
          <w:szCs w:val="22"/>
          <w:lang w:val="fr-FR"/>
        </w:rPr>
        <w:t>autres sites (I</w:t>
      </w:r>
      <w:r w:rsidRPr="003715B5">
        <w:rPr>
          <w:rFonts w:asciiTheme="minorHAnsi" w:hAnsiTheme="minorHAnsi"/>
          <w:sz w:val="22"/>
          <w:szCs w:val="22"/>
          <w:lang w:val="fr-FR"/>
        </w:rPr>
        <w:t>ndicateur </w:t>
      </w:r>
      <w:r w:rsidR="003077CF" w:rsidRPr="003715B5">
        <w:rPr>
          <w:rFonts w:asciiTheme="minorHAnsi" w:hAnsiTheme="minorHAnsi"/>
          <w:sz w:val="22"/>
          <w:szCs w:val="22"/>
          <w:lang w:val="fr-FR"/>
        </w:rPr>
        <w:t>2.4.3). Elles signalent que 251 </w:t>
      </w:r>
      <w:r w:rsidRPr="003715B5">
        <w:rPr>
          <w:rFonts w:asciiTheme="minorHAnsi" w:hAnsiTheme="minorHAnsi"/>
          <w:sz w:val="22"/>
          <w:szCs w:val="22"/>
          <w:lang w:val="fr-FR"/>
        </w:rPr>
        <w:t>Sites Ramsar ont un com</w:t>
      </w:r>
      <w:r w:rsidR="003715B5">
        <w:rPr>
          <w:rFonts w:asciiTheme="minorHAnsi" w:hAnsiTheme="minorHAnsi"/>
          <w:sz w:val="22"/>
          <w:szCs w:val="22"/>
          <w:lang w:val="fr-FR"/>
        </w:rPr>
        <w:t>ité de gestion intersectoriel (I</w:t>
      </w:r>
      <w:r w:rsidRPr="003715B5">
        <w:rPr>
          <w:rFonts w:asciiTheme="minorHAnsi" w:hAnsiTheme="minorHAnsi"/>
          <w:sz w:val="22"/>
          <w:szCs w:val="22"/>
          <w:lang w:val="fr-FR"/>
        </w:rPr>
        <w:t>ndicateur 2.4.4), soit une forte augmentation depuis la COP1</w:t>
      </w:r>
      <w:r w:rsidR="003077CF" w:rsidRPr="003715B5">
        <w:rPr>
          <w:rFonts w:asciiTheme="minorHAnsi" w:hAnsiTheme="minorHAnsi"/>
          <w:sz w:val="22"/>
          <w:szCs w:val="22"/>
          <w:lang w:val="fr-FR"/>
        </w:rPr>
        <w:t>1 (149 </w:t>
      </w:r>
      <w:r w:rsidRPr="003715B5">
        <w:rPr>
          <w:rFonts w:asciiTheme="minorHAnsi" w:hAnsiTheme="minorHAnsi"/>
          <w:sz w:val="22"/>
          <w:szCs w:val="22"/>
          <w:lang w:val="fr-FR"/>
        </w:rPr>
        <w:t>sites). Un descriptif des cara</w:t>
      </w:r>
      <w:r w:rsidR="003077CF" w:rsidRPr="003715B5">
        <w:rPr>
          <w:rFonts w:asciiTheme="minorHAnsi" w:hAnsiTheme="minorHAnsi"/>
          <w:sz w:val="22"/>
          <w:szCs w:val="22"/>
          <w:lang w:val="fr-FR"/>
        </w:rPr>
        <w:t>ctéristiques écologiques de 491 </w:t>
      </w:r>
      <w:r w:rsidR="003715B5">
        <w:rPr>
          <w:rFonts w:asciiTheme="minorHAnsi" w:hAnsiTheme="minorHAnsi"/>
          <w:sz w:val="22"/>
          <w:szCs w:val="22"/>
          <w:lang w:val="fr-FR"/>
        </w:rPr>
        <w:t>sites a été préparé (Indicateur </w:t>
      </w:r>
      <w:r w:rsidRPr="003715B5">
        <w:rPr>
          <w:rFonts w:asciiTheme="minorHAnsi" w:hAnsiTheme="minorHAnsi"/>
          <w:sz w:val="22"/>
          <w:szCs w:val="22"/>
          <w:lang w:val="fr-FR"/>
        </w:rPr>
        <w:t>2.4.5). Seules cinq Parties indiquent qu’une évaluation de l’efficacité de la gestion des Sites Ra</w:t>
      </w:r>
      <w:r w:rsidR="003715B5">
        <w:rPr>
          <w:rFonts w:asciiTheme="minorHAnsi" w:hAnsiTheme="minorHAnsi"/>
          <w:sz w:val="22"/>
          <w:szCs w:val="22"/>
          <w:lang w:val="fr-FR"/>
        </w:rPr>
        <w:t>msar a été réalisée (I</w:t>
      </w:r>
      <w:r w:rsidR="003077CF" w:rsidRPr="003715B5">
        <w:rPr>
          <w:rFonts w:asciiTheme="minorHAnsi" w:hAnsiTheme="minorHAnsi"/>
          <w:sz w:val="22"/>
          <w:szCs w:val="22"/>
          <w:lang w:val="fr-FR"/>
        </w:rPr>
        <w:t>ndicateur </w:t>
      </w:r>
      <w:r w:rsidRPr="003715B5">
        <w:rPr>
          <w:rFonts w:asciiTheme="minorHAnsi" w:hAnsiTheme="minorHAnsi"/>
          <w:sz w:val="22"/>
          <w:szCs w:val="22"/>
          <w:lang w:val="fr-FR"/>
        </w:rPr>
        <w:t>2.5.1), contre neuf en 2011. Un projet de résolution soumis à la COP12 vise à fournir aux Parties un outil d’évaluation de l’efficacité de la gestion des Sites Ramsar à la fois largement éprouvé et simple d’utilisation.</w:t>
      </w:r>
    </w:p>
    <w:p w:rsidR="00E1038A" w:rsidRPr="00AF095C" w:rsidRDefault="00E1038A" w:rsidP="007776D0">
      <w:pPr>
        <w:pStyle w:val="BodyText"/>
        <w:tabs>
          <w:tab w:val="left" w:pos="688"/>
        </w:tabs>
        <w:ind w:left="0" w:right="137" w:firstLine="0"/>
        <w:rPr>
          <w:rFonts w:asciiTheme="minorHAnsi" w:hAnsiTheme="minorHAnsi"/>
          <w:sz w:val="22"/>
          <w:szCs w:val="22"/>
          <w:lang w:val="fr-FR"/>
        </w:rPr>
      </w:pPr>
    </w:p>
    <w:p w:rsidR="003715B5" w:rsidRPr="00AF095C" w:rsidRDefault="003715B5" w:rsidP="003715B5">
      <w:pPr>
        <w:ind w:right="353"/>
        <w:rPr>
          <w:rFonts w:cs="Garamond"/>
          <w:lang w:val="fr-FR"/>
        </w:rPr>
      </w:pPr>
      <w:r w:rsidRPr="00AF095C">
        <w:rPr>
          <w:b/>
          <w:lang w:val="fr-FR"/>
        </w:rPr>
        <w:t xml:space="preserve">État des Sites Ramsar </w:t>
      </w:r>
      <w:r w:rsidRPr="00AF095C">
        <w:rPr>
          <w:i/>
          <w:lang w:val="fr-FR"/>
        </w:rPr>
        <w:t>(Stratégie 2.6)</w:t>
      </w:r>
    </w:p>
    <w:p w:rsidR="003715B5" w:rsidRPr="00AF095C" w:rsidRDefault="003715B5" w:rsidP="003715B5">
      <w:pPr>
        <w:rPr>
          <w:rFonts w:cs="Garamond"/>
          <w:i/>
          <w:lang w:val="fr-FR"/>
        </w:rPr>
      </w:pPr>
    </w:p>
    <w:p w:rsidR="003715B5" w:rsidRPr="00AF095C" w:rsidRDefault="003715B5" w:rsidP="003715B5">
      <w:pPr>
        <w:pStyle w:val="BodyText"/>
        <w:tabs>
          <w:tab w:val="left" w:pos="360"/>
          <w:tab w:val="left" w:pos="688"/>
        </w:tabs>
        <w:ind w:left="360" w:right="582" w:hanging="360"/>
        <w:rPr>
          <w:rFonts w:asciiTheme="minorHAnsi" w:hAnsiTheme="minorHAnsi"/>
          <w:sz w:val="22"/>
          <w:szCs w:val="22"/>
          <w:lang w:val="fr-FR"/>
        </w:rPr>
      </w:pPr>
      <w:r w:rsidRPr="00AF095C">
        <w:rPr>
          <w:rFonts w:asciiTheme="minorHAnsi" w:hAnsiTheme="minorHAnsi"/>
          <w:sz w:val="22"/>
          <w:szCs w:val="22"/>
          <w:lang w:val="fr-FR"/>
        </w:rPr>
        <w:t>47.</w:t>
      </w:r>
      <w:r w:rsidRPr="00AF095C">
        <w:rPr>
          <w:rFonts w:asciiTheme="minorHAnsi" w:hAnsiTheme="minorHAnsi"/>
          <w:sz w:val="22"/>
          <w:szCs w:val="22"/>
          <w:lang w:val="fr-FR"/>
        </w:rPr>
        <w:tab/>
        <w:t xml:space="preserve">Beaucoup de Sites Ramsar européens sont sous pression, en particulier dans les régions densément peuplées où l’utilisation des sols fait l’objet de demandes conflictuelles mais aussi dans les régions moins peuplées où il reste beaucoup de ressources naturelles et dans les régions situées de manière stratégique le long de routes de transport planifiées. À la clôture de la COP11 (juillet 2012), le Secrétariat a été informé de changements écologiques négatifs ayant eu lieu ou pouvant avoir lieu, par suite d’activités de développement prévues, et concernant 102 (10%) Sites Ramsar européens dont la liste figure </w:t>
      </w:r>
      <w:r w:rsidR="00AF095C" w:rsidRPr="00AF095C">
        <w:rPr>
          <w:rFonts w:asciiTheme="minorHAnsi" w:hAnsiTheme="minorHAnsi"/>
          <w:sz w:val="22"/>
          <w:szCs w:val="22"/>
          <w:lang w:val="fr-FR"/>
        </w:rPr>
        <w:t>ci-après</w:t>
      </w:r>
      <w:r w:rsidRPr="00AF095C">
        <w:rPr>
          <w:rFonts w:asciiTheme="minorHAnsi" w:hAnsiTheme="minorHAnsi"/>
          <w:sz w:val="22"/>
          <w:szCs w:val="22"/>
          <w:lang w:val="fr-FR"/>
        </w:rPr>
        <w:t xml:space="preserve">. </w:t>
      </w:r>
    </w:p>
    <w:p w:rsidR="003715B5" w:rsidRPr="00AF095C" w:rsidRDefault="003715B5" w:rsidP="003715B5">
      <w:pPr>
        <w:rPr>
          <w:rFonts w:cs="Garamond"/>
          <w:lang w:val="fr-FR"/>
        </w:rPr>
      </w:pPr>
    </w:p>
    <w:p w:rsidR="003715B5" w:rsidRPr="00AF095C" w:rsidRDefault="003715B5" w:rsidP="003715B5">
      <w:pPr>
        <w:pStyle w:val="BodyText"/>
        <w:tabs>
          <w:tab w:val="left" w:pos="360"/>
          <w:tab w:val="left" w:pos="688"/>
        </w:tabs>
        <w:ind w:left="360" w:right="239" w:hanging="360"/>
        <w:rPr>
          <w:rFonts w:asciiTheme="minorHAnsi" w:hAnsiTheme="minorHAnsi"/>
          <w:sz w:val="22"/>
          <w:szCs w:val="22"/>
          <w:lang w:val="fr-FR"/>
        </w:rPr>
      </w:pPr>
      <w:r w:rsidRPr="00AF095C">
        <w:rPr>
          <w:rFonts w:asciiTheme="minorHAnsi" w:hAnsiTheme="minorHAnsi"/>
          <w:sz w:val="22"/>
          <w:szCs w:val="22"/>
          <w:lang w:val="fr-FR"/>
        </w:rPr>
        <w:t>48.</w:t>
      </w:r>
      <w:r w:rsidRPr="00AF095C">
        <w:rPr>
          <w:rFonts w:asciiTheme="minorHAnsi" w:hAnsiTheme="minorHAnsi"/>
          <w:sz w:val="22"/>
          <w:szCs w:val="22"/>
          <w:lang w:val="fr-FR"/>
        </w:rPr>
        <w:tab/>
        <w:t>L’</w:t>
      </w:r>
      <w:r w:rsidRPr="00AF095C">
        <w:rPr>
          <w:rFonts w:asciiTheme="minorHAnsi" w:hAnsiTheme="minorHAnsi"/>
          <w:b/>
          <w:sz w:val="22"/>
          <w:szCs w:val="22"/>
          <w:lang w:val="fr-FR"/>
        </w:rPr>
        <w:t>article 3.2</w:t>
      </w:r>
      <w:r w:rsidRPr="00AF095C">
        <w:rPr>
          <w:rFonts w:asciiTheme="minorHAnsi" w:hAnsiTheme="minorHAnsi"/>
          <w:sz w:val="22"/>
          <w:szCs w:val="22"/>
          <w:lang w:val="fr-FR"/>
        </w:rPr>
        <w:t xml:space="preserve"> engage les Autorités administratives Ramsar (AA) à prendre des dispositions pour être informées le plus vite possible de ces changements et à communiquer cette information sans délai au Secrétariat Ramsar. Vingt-six Parties européennes signalent avoir pris des dispositions de ce type (Indicateur 2.6.1), ce qui est un progrès remarquable depuis la COP11 où seulement neuf Parties avaient donné cette information. Cependant, neuf Parties seulement déclarent que tous les cas de ce type ont été communiqués au Secrétariat (Indicateur 2.6.2); et sept Parties indiquent qu’elles ont pris des mesures en faveur de Sites Ramsar inscrits au Registre de Montreux (Indicateur 2.6.3). Dans les deux cas, le nombre de Parties actives est semblable à celui de 2011.</w:t>
      </w:r>
    </w:p>
    <w:p w:rsidR="003715B5" w:rsidRPr="00AF095C" w:rsidRDefault="003715B5" w:rsidP="003715B5">
      <w:pPr>
        <w:pStyle w:val="BodyText"/>
        <w:tabs>
          <w:tab w:val="left" w:pos="360"/>
          <w:tab w:val="left" w:pos="688"/>
        </w:tabs>
        <w:ind w:left="360" w:right="239" w:hanging="360"/>
        <w:rPr>
          <w:rFonts w:asciiTheme="minorHAnsi" w:hAnsiTheme="minorHAnsi"/>
          <w:sz w:val="22"/>
          <w:szCs w:val="22"/>
          <w:lang w:val="fr-FR"/>
        </w:rPr>
      </w:pPr>
    </w:p>
    <w:p w:rsidR="003715B5" w:rsidRPr="00AF095C" w:rsidRDefault="003715B5" w:rsidP="003715B5">
      <w:pPr>
        <w:pStyle w:val="BodyText"/>
        <w:tabs>
          <w:tab w:val="left" w:pos="360"/>
          <w:tab w:val="left" w:pos="688"/>
        </w:tabs>
        <w:ind w:left="360" w:right="239" w:hanging="360"/>
        <w:rPr>
          <w:rFonts w:asciiTheme="minorHAnsi" w:hAnsiTheme="minorHAnsi"/>
          <w:sz w:val="22"/>
          <w:szCs w:val="22"/>
          <w:lang w:val="fr-FR"/>
        </w:rPr>
      </w:pPr>
      <w:r w:rsidRPr="00AF095C">
        <w:rPr>
          <w:rFonts w:asciiTheme="minorHAnsi" w:hAnsiTheme="minorHAnsi"/>
          <w:sz w:val="22"/>
          <w:szCs w:val="22"/>
          <w:lang w:val="fr-FR"/>
        </w:rPr>
        <w:t>49.</w:t>
      </w:r>
      <w:r w:rsidRPr="00AF095C">
        <w:rPr>
          <w:rFonts w:asciiTheme="minorHAnsi" w:hAnsiTheme="minorHAnsi"/>
          <w:sz w:val="22"/>
          <w:szCs w:val="22"/>
          <w:lang w:val="fr-FR"/>
        </w:rPr>
        <w:tab/>
        <w:t>La Liste des Sites Ramsar ayant subi des changements négatifs dans leurs caractéristiques écologiques est divisée en « dossiers ouverts » lorsque les AA ont confirmé l’existence de ces changements (63 cas) et en « dossiers potentiels » lorsque les AA n’ont pas encore confirmé (ou réfuté) que de tels changements sont en train de se produire ou pourraient se produire (39 cas). Dans certains de ces derniers cas, le Secrétariat a demandé confirmation il y a plusieurs années et n’a toujours pas reçu de réponse.</w:t>
      </w:r>
    </w:p>
    <w:p w:rsidR="003715B5" w:rsidRPr="00AF095C" w:rsidRDefault="003715B5" w:rsidP="003715B5">
      <w:pPr>
        <w:pStyle w:val="BodyText"/>
        <w:tabs>
          <w:tab w:val="left" w:pos="360"/>
          <w:tab w:val="left" w:pos="688"/>
        </w:tabs>
        <w:ind w:left="360" w:right="239" w:hanging="360"/>
        <w:rPr>
          <w:rFonts w:asciiTheme="minorHAnsi" w:hAnsiTheme="minorHAnsi"/>
          <w:sz w:val="22"/>
          <w:szCs w:val="22"/>
          <w:lang w:val="fr-FR"/>
        </w:rPr>
      </w:pPr>
    </w:p>
    <w:p w:rsidR="003715B5" w:rsidRPr="00AF095C" w:rsidRDefault="003715B5" w:rsidP="003715B5">
      <w:pPr>
        <w:tabs>
          <w:tab w:val="left" w:pos="360"/>
        </w:tabs>
        <w:ind w:left="360" w:hanging="360"/>
        <w:rPr>
          <w:lang w:val="fr-FR"/>
        </w:rPr>
      </w:pPr>
      <w:r w:rsidRPr="00AF095C">
        <w:rPr>
          <w:lang w:val="fr-FR"/>
        </w:rPr>
        <w:t>50.</w:t>
      </w:r>
      <w:r w:rsidRPr="00AF095C">
        <w:rPr>
          <w:lang w:val="fr-FR"/>
        </w:rPr>
        <w:tab/>
      </w:r>
      <w:r w:rsidRPr="00AF095C">
        <w:rPr>
          <w:rFonts w:cs="Garamond"/>
          <w:lang w:val="fr-FR"/>
        </w:rPr>
        <w:t>Pour moins d’un tiers (28) des dossiers ouverts énumérés dans le tableau qui suit, les AA ont été les premières à informer le Secrétariat des changements présumés. Dans les autres cas (y compris tous les dossiers potentiels), les rapports ont été envoyés au Secrétariat par des particuliers et acteurs concernés vivant à proximité des Sites Ramsar en question ou les connaissant, ou par les Organisations internationales partenaires de Ramsar ou encore par des ONG nationales. Les AA de toutes les Parties sont vivement encouragées à prendre des dispositions pour être rapidement informées de changements touchant les Sites Ramsar et à communiquer cette information sans délai au Secrétariat.</w:t>
      </w:r>
    </w:p>
    <w:p w:rsidR="003715B5" w:rsidRPr="00AF095C" w:rsidRDefault="003715B5" w:rsidP="003715B5">
      <w:pPr>
        <w:rPr>
          <w:rFonts w:cs="Garamond"/>
          <w:lang w:val="fr-FR"/>
        </w:rPr>
      </w:pPr>
    </w:p>
    <w:p w:rsidR="003715B5" w:rsidRPr="00AF095C" w:rsidRDefault="003715B5" w:rsidP="003715B5">
      <w:pPr>
        <w:ind w:right="423"/>
        <w:rPr>
          <w:rFonts w:cs="Garamond"/>
          <w:lang w:val="fr-FR"/>
        </w:rPr>
      </w:pPr>
      <w:r w:rsidRPr="00AF095C">
        <w:rPr>
          <w:rFonts w:cs="Garamond"/>
          <w:b/>
          <w:lang w:val="fr-FR"/>
        </w:rPr>
        <w:t xml:space="preserve">Dossiers </w:t>
      </w:r>
      <w:r w:rsidRPr="00AF095C">
        <w:rPr>
          <w:rFonts w:cs="Garamond"/>
          <w:b/>
          <w:bCs/>
          <w:lang w:val="fr-FR"/>
        </w:rPr>
        <w:t>article</w:t>
      </w:r>
      <w:r w:rsidRPr="00AF095C">
        <w:rPr>
          <w:rFonts w:cs="Garamond"/>
          <w:b/>
          <w:bCs/>
          <w:w w:val="99"/>
          <w:lang w:val="fr-FR"/>
        </w:rPr>
        <w:t xml:space="preserve"> </w:t>
      </w:r>
      <w:r w:rsidRPr="00AF095C">
        <w:rPr>
          <w:rFonts w:cs="Garamond"/>
          <w:b/>
          <w:bCs/>
          <w:lang w:val="fr-FR"/>
        </w:rPr>
        <w:t>3.2</w:t>
      </w:r>
      <w:r w:rsidRPr="00AF095C">
        <w:rPr>
          <w:rFonts w:cs="Garamond"/>
          <w:i/>
          <w:lang w:val="fr-FR"/>
        </w:rPr>
        <w:t xml:space="preserve"> </w:t>
      </w:r>
      <w:r w:rsidRPr="00AF095C">
        <w:rPr>
          <w:rFonts w:cs="Garamond"/>
          <w:b/>
          <w:lang w:val="fr-FR"/>
        </w:rPr>
        <w:t>ouverts</w:t>
      </w:r>
      <w:r w:rsidRPr="00AF095C">
        <w:rPr>
          <w:rFonts w:cs="Garamond"/>
          <w:lang w:val="fr-FR"/>
        </w:rPr>
        <w:t xml:space="preserve"> (</w:t>
      </w:r>
      <w:r w:rsidRPr="00AF095C">
        <w:rPr>
          <w:rFonts w:cs="Garamond"/>
          <w:i/>
          <w:lang w:val="fr-FR"/>
        </w:rPr>
        <w:t>au 15 janvier 2015</w:t>
      </w:r>
      <w:r w:rsidRPr="00AF095C">
        <w:rPr>
          <w:rFonts w:cs="Garamond"/>
          <w:lang w:val="fr-FR"/>
        </w:rPr>
        <w:t>)</w:t>
      </w:r>
    </w:p>
    <w:p w:rsidR="003715B5" w:rsidRPr="00AF095C" w:rsidRDefault="003715B5" w:rsidP="00C17BF5">
      <w:pPr>
        <w:ind w:right="-22"/>
        <w:rPr>
          <w:rFonts w:cs="Garamond"/>
          <w:b/>
          <w:bCs/>
          <w:lang w:val="fr-FR"/>
        </w:rPr>
      </w:pPr>
      <w:r w:rsidRPr="00AF095C">
        <w:rPr>
          <w:rFonts w:cs="Garamond"/>
          <w:b/>
          <w:bCs/>
          <w:lang w:val="fr-FR"/>
        </w:rPr>
        <w:t xml:space="preserve">Sites Ramsar pour lesquels il a été confirmé que les caractéristiques écologiques subissent ou pourraient subir des changements </w:t>
      </w:r>
    </w:p>
    <w:p w:rsidR="003715B5" w:rsidRPr="00AF095C" w:rsidRDefault="003715B5" w:rsidP="003715B5">
      <w:pPr>
        <w:rPr>
          <w:rFonts w:cs="Garamond"/>
          <w:i/>
          <w:lang w:val="fr-FR"/>
        </w:rPr>
      </w:pPr>
    </w:p>
    <w:tbl>
      <w:tblPr>
        <w:tblW w:w="9355" w:type="dxa"/>
        <w:tblInd w:w="11" w:type="dxa"/>
        <w:tblLayout w:type="fixed"/>
        <w:tblCellMar>
          <w:top w:w="17" w:type="dxa"/>
          <w:left w:w="11" w:type="dxa"/>
          <w:bottom w:w="17" w:type="dxa"/>
          <w:right w:w="11" w:type="dxa"/>
        </w:tblCellMar>
        <w:tblLook w:val="01E0"/>
      </w:tblPr>
      <w:tblGrid>
        <w:gridCol w:w="2446"/>
        <w:gridCol w:w="4400"/>
        <w:gridCol w:w="1081"/>
        <w:gridCol w:w="1428"/>
      </w:tblGrid>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715B5" w:rsidRPr="009A3DCA" w:rsidRDefault="003715B5" w:rsidP="003715B5">
            <w:pPr>
              <w:pStyle w:val="TableParagraph"/>
              <w:jc w:val="center"/>
              <w:rPr>
                <w:rFonts w:cs="Garamond"/>
                <w:sz w:val="20"/>
                <w:szCs w:val="20"/>
                <w:lang w:val="fr-FR"/>
              </w:rPr>
            </w:pPr>
            <w:r w:rsidRPr="009A3DCA">
              <w:rPr>
                <w:b/>
                <w:sz w:val="20"/>
                <w:szCs w:val="20"/>
                <w:lang w:val="fr-FR"/>
              </w:rPr>
              <w:t>Partie</w:t>
            </w:r>
          </w:p>
          <w:p w:rsidR="003715B5" w:rsidRPr="009A3DCA" w:rsidRDefault="003715B5" w:rsidP="003715B5">
            <w:pPr>
              <w:pStyle w:val="TableParagraph"/>
              <w:jc w:val="center"/>
              <w:rPr>
                <w:rFonts w:cs="Garamond"/>
                <w:sz w:val="18"/>
                <w:szCs w:val="18"/>
                <w:lang w:val="fr-FR"/>
              </w:rPr>
            </w:pPr>
            <w:r w:rsidRPr="009A3DCA">
              <w:rPr>
                <w:sz w:val="18"/>
                <w:szCs w:val="18"/>
                <w:lang w:val="fr-FR"/>
              </w:rPr>
              <w:t xml:space="preserve">(en gras, lorsque l’information provient de l’AA) </w:t>
            </w:r>
          </w:p>
        </w:tc>
        <w:tc>
          <w:tcPr>
            <w:tcW w:w="440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715B5" w:rsidRPr="009A3DCA" w:rsidRDefault="003715B5" w:rsidP="003715B5">
            <w:pPr>
              <w:pStyle w:val="TableParagraph"/>
              <w:jc w:val="center"/>
              <w:rPr>
                <w:rFonts w:cs="Garamond"/>
                <w:sz w:val="20"/>
                <w:szCs w:val="20"/>
                <w:lang w:val="fr-FR"/>
              </w:rPr>
            </w:pPr>
            <w:r w:rsidRPr="009A3DCA">
              <w:rPr>
                <w:b/>
                <w:sz w:val="20"/>
                <w:szCs w:val="20"/>
                <w:lang w:val="fr-FR"/>
              </w:rPr>
              <w:t>Site Ramsar</w:t>
            </w:r>
          </w:p>
        </w:tc>
        <w:tc>
          <w:tcPr>
            <w:tcW w:w="10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715B5" w:rsidRPr="009A3DCA" w:rsidRDefault="003715B5" w:rsidP="003715B5">
            <w:pPr>
              <w:pStyle w:val="TableParagraph"/>
              <w:jc w:val="center"/>
              <w:rPr>
                <w:rFonts w:cs="Garamond"/>
                <w:sz w:val="20"/>
                <w:szCs w:val="20"/>
                <w:lang w:val="fr-FR"/>
              </w:rPr>
            </w:pPr>
            <w:r w:rsidRPr="009A3DCA">
              <w:rPr>
                <w:b/>
                <w:sz w:val="20"/>
                <w:szCs w:val="20"/>
                <w:lang w:val="fr-FR"/>
              </w:rPr>
              <w:t xml:space="preserve">Registre de Montreux </w:t>
            </w:r>
          </w:p>
        </w:tc>
        <w:tc>
          <w:tcPr>
            <w:tcW w:w="142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715B5" w:rsidRPr="009A3DCA" w:rsidRDefault="003715B5" w:rsidP="003715B5">
            <w:pPr>
              <w:pStyle w:val="TableParagraph"/>
              <w:jc w:val="center"/>
              <w:rPr>
                <w:rFonts w:cs="Garamond"/>
                <w:sz w:val="20"/>
                <w:szCs w:val="20"/>
                <w:lang w:val="fr-FR"/>
              </w:rPr>
            </w:pPr>
            <w:r w:rsidRPr="009A3DCA">
              <w:rPr>
                <w:b/>
                <w:sz w:val="20"/>
                <w:szCs w:val="20"/>
                <w:lang w:val="fr-FR"/>
              </w:rPr>
              <w:t xml:space="preserve">Mission consultative Ramsar </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Albanie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1290 Butrint</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Albanie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1598 Lake Shkodra and River Buna</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Allemagne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0561 Mühlenberger Loch</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2001</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Allemagne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0082 Wattenmeer, Ostfriesisches Wattenmeer &amp; Dollart</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1990</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1990</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Arménie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0620 Lake Sevan</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Autriche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0272 Donau-March-Thaya-Auen</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1990</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ind w:right="1"/>
              <w:jc w:val="center"/>
              <w:rPr>
                <w:rFonts w:cs="Garamond"/>
                <w:sz w:val="20"/>
                <w:szCs w:val="20"/>
                <w:lang w:val="fr-FR"/>
              </w:rPr>
            </w:pPr>
            <w:r w:rsidRPr="009A3DCA">
              <w:rPr>
                <w:sz w:val="20"/>
                <w:szCs w:val="20"/>
                <w:lang w:val="fr-FR"/>
              </w:rPr>
              <w:t>1991</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Autriche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0273 Untere Lobau</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Belgique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0329 De Ijzerbroeken te Diksmuide en Lo-Reninge</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1999</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Belgique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0327 Schorren van de Beneden Schelde</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1990</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ind w:right="1"/>
              <w:jc w:val="center"/>
              <w:rPr>
                <w:rFonts w:cs="Garamond"/>
                <w:sz w:val="20"/>
                <w:szCs w:val="20"/>
                <w:lang w:val="fr-FR"/>
              </w:rPr>
            </w:pPr>
            <w:r w:rsidRPr="009A3DCA">
              <w:rPr>
                <w:sz w:val="20"/>
                <w:szCs w:val="20"/>
                <w:lang w:val="fr-FR"/>
              </w:rPr>
              <w:t>1988</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Bosnie-Herzégovine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1105 Hutovo blato</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Bulgarie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0239 Durankulak Lake</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1993</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Bulgarie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0064 Srebarna</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1993</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1992, 2001</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Croatie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0585 Delta Neretve</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Croatie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0583 Kopacki Rit</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1993</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ind w:right="1"/>
              <w:jc w:val="center"/>
              <w:rPr>
                <w:rFonts w:cs="Garamond"/>
                <w:sz w:val="20"/>
                <w:szCs w:val="20"/>
                <w:lang w:val="fr-FR"/>
              </w:rPr>
            </w:pPr>
            <w:r w:rsidRPr="009A3DCA">
              <w:rPr>
                <w:sz w:val="20"/>
                <w:szCs w:val="20"/>
                <w:lang w:val="fr-FR"/>
              </w:rPr>
              <w:t>2005</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Danemark</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0141 Ringkøbing Fjord</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1990</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ind w:right="1"/>
              <w:jc w:val="center"/>
              <w:rPr>
                <w:rFonts w:cs="Garamond"/>
                <w:sz w:val="20"/>
                <w:szCs w:val="20"/>
                <w:lang w:val="fr-FR"/>
              </w:rPr>
            </w:pPr>
            <w:r w:rsidRPr="009A3DCA">
              <w:rPr>
                <w:sz w:val="20"/>
                <w:szCs w:val="20"/>
                <w:lang w:val="fr-FR"/>
              </w:rPr>
              <w:t>1996</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Danemark (Groenland)</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0389 Heden (Jameson Land)</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ind w:right="1"/>
              <w:jc w:val="center"/>
              <w:rPr>
                <w:rFonts w:cs="Garamond"/>
                <w:sz w:val="20"/>
                <w:szCs w:val="20"/>
                <w:lang w:val="fr-FR"/>
              </w:rPr>
            </w:pPr>
            <w:r w:rsidRPr="009A3DCA">
              <w:rPr>
                <w:sz w:val="20"/>
                <w:szCs w:val="20"/>
                <w:lang w:val="fr-FR"/>
              </w:rPr>
              <w:t>2009</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Espagne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0454 Albufera de Valencia</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ind w:right="1"/>
              <w:jc w:val="center"/>
              <w:rPr>
                <w:rFonts w:cs="Garamond"/>
                <w:sz w:val="20"/>
                <w:szCs w:val="20"/>
                <w:lang w:val="fr-FR"/>
              </w:rPr>
            </w:pPr>
            <w:r w:rsidRPr="009A3DCA">
              <w:rPr>
                <w:sz w:val="20"/>
                <w:szCs w:val="20"/>
                <w:lang w:val="fr-FR"/>
              </w:rPr>
              <w:t>2006</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Espagne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0234 Doñana</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1990</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2002, 2011, 2015</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Espagne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0599 Laguna y Arenal de Valdoviño</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b/>
                <w:sz w:val="20"/>
                <w:szCs w:val="20"/>
                <w:lang w:val="fr-FR"/>
              </w:rPr>
            </w:pPr>
            <w:r w:rsidRPr="009A3DCA">
              <w:rPr>
                <w:b/>
                <w:sz w:val="20"/>
                <w:szCs w:val="20"/>
                <w:lang w:val="fr-FR"/>
              </w:rPr>
              <w:t>Espagne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0235 Las Tablas de Daimiel</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1990</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1988</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Espagne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0706 Mar Menor</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Espagne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rFonts w:cs="Garamond"/>
                <w:sz w:val="20"/>
                <w:szCs w:val="20"/>
                <w:lang w:val="fr-FR"/>
              </w:rPr>
              <w:t>449 S’Albufera de Mallorca</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ind w:right="1"/>
              <w:jc w:val="center"/>
              <w:rPr>
                <w:rFonts w:cs="Garamond"/>
                <w:sz w:val="20"/>
                <w:szCs w:val="20"/>
                <w:lang w:val="fr-FR"/>
              </w:rPr>
            </w:pPr>
            <w:r w:rsidRPr="009A3DCA">
              <w:rPr>
                <w:sz w:val="20"/>
                <w:szCs w:val="20"/>
                <w:lang w:val="fr-FR"/>
              </w:rPr>
              <w:t>2010</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Ex-République yougoslave de Macédoine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1735 Dojran Lake (Dojransko Ezero)</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lastRenderedPageBreak/>
              <w:t>Ex-République yougoslave de Macédoine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0726 Prespa Lake</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Géorgie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0893 Wetlands of Central Kolkheti</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2005</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Grèce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0061 Amvrakikos gulf</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1990</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1988, 1989</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Grèce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0059 Axios, Loudias, Aliakmon delta</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1990</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1988, 1989</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Grèce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0063 Kotychi lagoons</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1990</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1988, 1989</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Grèce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0060 Lake Mikri Prespa</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1988, 1989</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Grèce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ind w:right="854"/>
              <w:rPr>
                <w:rFonts w:cs="Garamond"/>
                <w:sz w:val="20"/>
                <w:szCs w:val="20"/>
                <w:lang w:val="fr-FR"/>
              </w:rPr>
            </w:pPr>
            <w:r w:rsidRPr="009A3DCA">
              <w:rPr>
                <w:sz w:val="20"/>
                <w:szCs w:val="20"/>
                <w:lang w:val="fr-FR"/>
              </w:rPr>
              <w:t>0055 Lake Vistonis, Porto Lagos, Lake Ismaris &amp; adjoining lagoons</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1990</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1988, 1989</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Grèce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0057 Lakes Volvi &amp; Koronia</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1990</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1988, 1989</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Grèce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0062 Messolonghi lagoons</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1990</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1988, 1989</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Grèce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0056 Nestos delta &amp; adjoining lagoons</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1990</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1988, 1989</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Islande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0167 Myvatn-Laxá region (part)</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sz w:val="20"/>
                <w:szCs w:val="20"/>
                <w:lang w:val="fr-FR"/>
              </w:rPr>
            </w:pPr>
            <w:r w:rsidRPr="009A3DCA">
              <w:rPr>
                <w:sz w:val="20"/>
                <w:szCs w:val="20"/>
                <w:lang w:val="fr-FR"/>
              </w:rPr>
              <w:t>Italie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sz w:val="20"/>
                <w:szCs w:val="20"/>
                <w:lang w:val="fr-FR"/>
              </w:rPr>
            </w:pPr>
            <w:r w:rsidRPr="009A3DCA">
              <w:rPr>
                <w:sz w:val="20"/>
                <w:szCs w:val="20"/>
                <w:lang w:val="fr-FR"/>
              </w:rPr>
              <w:t>0190 Laguna di Marano: Foci dello Stella</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ind w:right="1"/>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sz w:val="20"/>
                <w:szCs w:val="20"/>
                <w:lang w:val="fr-FR"/>
              </w:rPr>
            </w:pPr>
            <w:r w:rsidRPr="009A3DCA">
              <w:rPr>
                <w:sz w:val="20"/>
                <w:szCs w:val="20"/>
                <w:lang w:val="fr-FR"/>
              </w:rPr>
              <w:t>Italie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sz w:val="20"/>
                <w:szCs w:val="20"/>
                <w:lang w:val="fr-FR"/>
              </w:rPr>
            </w:pPr>
            <w:r w:rsidRPr="009A3DCA">
              <w:rPr>
                <w:sz w:val="20"/>
                <w:szCs w:val="20"/>
                <w:lang w:val="fr-FR"/>
              </w:rPr>
              <w:t>0133 Stagno di Molentargius</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ind w:right="1"/>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Monténégro</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0784 Skadarsko Jezero</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ind w:right="1"/>
              <w:jc w:val="center"/>
              <w:rPr>
                <w:rFonts w:cs="Garamond"/>
                <w:sz w:val="20"/>
                <w:szCs w:val="20"/>
                <w:lang w:val="fr-FR"/>
              </w:rPr>
            </w:pPr>
            <w:r w:rsidRPr="009A3DCA">
              <w:rPr>
                <w:sz w:val="20"/>
                <w:szCs w:val="20"/>
                <w:lang w:val="fr-FR"/>
              </w:rPr>
              <w:t>2005</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Norvège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0013 Åkersvika</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ind w:right="1"/>
              <w:jc w:val="center"/>
              <w:rPr>
                <w:rFonts w:cs="Garamond"/>
                <w:sz w:val="20"/>
                <w:szCs w:val="20"/>
                <w:lang w:val="fr-FR"/>
              </w:rPr>
            </w:pPr>
            <w:r w:rsidRPr="009A3DCA">
              <w:rPr>
                <w:sz w:val="20"/>
                <w:szCs w:val="20"/>
                <w:lang w:val="fr-FR"/>
              </w:rPr>
              <w:t>2010</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sz w:val="20"/>
                <w:szCs w:val="20"/>
                <w:lang w:val="fr-FR"/>
              </w:rPr>
            </w:pPr>
            <w:r w:rsidRPr="009A3DCA">
              <w:rPr>
                <w:sz w:val="20"/>
                <w:szCs w:val="20"/>
                <w:lang w:val="fr-FR"/>
              </w:rPr>
              <w:t>Norvège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ind w:right="491"/>
              <w:rPr>
                <w:sz w:val="20"/>
                <w:szCs w:val="20"/>
                <w:lang w:val="fr-FR"/>
              </w:rPr>
            </w:pPr>
            <w:r w:rsidRPr="009A3DCA">
              <w:rPr>
                <w:sz w:val="20"/>
                <w:szCs w:val="20"/>
                <w:lang w:val="fr-FR"/>
              </w:rPr>
              <w:t>1949 Evenes Wetland System</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Norvège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ind w:right="491"/>
              <w:rPr>
                <w:rFonts w:cs="Garamond"/>
                <w:sz w:val="20"/>
                <w:szCs w:val="20"/>
                <w:lang w:val="fr-FR"/>
              </w:rPr>
            </w:pPr>
            <w:r w:rsidRPr="009A3DCA">
              <w:rPr>
                <w:sz w:val="20"/>
                <w:szCs w:val="20"/>
                <w:lang w:val="fr-FR"/>
              </w:rPr>
              <w:t>0809 Froan Nature Reserve &amp; Landscape Protection Area</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b/>
                <w:sz w:val="20"/>
                <w:szCs w:val="20"/>
                <w:lang w:val="fr-FR"/>
              </w:rPr>
            </w:pPr>
            <w:r w:rsidRPr="009A3DCA">
              <w:rPr>
                <w:b/>
                <w:sz w:val="20"/>
                <w:szCs w:val="20"/>
                <w:lang w:val="fr-FR"/>
              </w:rPr>
              <w:t>Norvège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0805 Giske Wetland System</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Norvège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0308 Ilene &amp; Pesterødkilen</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Norvège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0307 Nordre Øyeren</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sz w:val="20"/>
                <w:szCs w:val="20"/>
                <w:lang w:val="fr-FR"/>
              </w:rPr>
            </w:pPr>
            <w:r w:rsidRPr="009A3DCA">
              <w:rPr>
                <w:sz w:val="20"/>
                <w:szCs w:val="20"/>
                <w:lang w:val="fr-FR"/>
              </w:rPr>
              <w:t>Norvège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sz w:val="20"/>
                <w:szCs w:val="20"/>
                <w:lang w:val="fr-FR"/>
              </w:rPr>
            </w:pPr>
            <w:r w:rsidRPr="009A3DCA">
              <w:rPr>
                <w:sz w:val="20"/>
                <w:szCs w:val="20"/>
                <w:lang w:val="fr-FR"/>
              </w:rPr>
              <w:t>0802 Nordre Tyrifjord</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b/>
                <w:sz w:val="20"/>
                <w:szCs w:val="20"/>
                <w:lang w:val="fr-FR"/>
              </w:rPr>
            </w:pPr>
            <w:r w:rsidRPr="009A3DCA">
              <w:rPr>
                <w:b/>
                <w:sz w:val="20"/>
                <w:szCs w:val="20"/>
                <w:lang w:val="fr-FR"/>
              </w:rPr>
              <w:t>Norvège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sz w:val="20"/>
                <w:szCs w:val="20"/>
                <w:lang w:val="fr-FR"/>
              </w:rPr>
            </w:pPr>
            <w:r w:rsidRPr="009A3DCA">
              <w:rPr>
                <w:sz w:val="20"/>
                <w:szCs w:val="20"/>
                <w:lang w:val="fr-FR"/>
              </w:rPr>
              <w:t>0310 Ørlandet</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Pays-Bas</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0581 Bargerveen</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République tchèque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0638 Litovelské Pomoravi</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1997</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République tchèque</w:t>
            </w:r>
            <w:r w:rsidRPr="009A3DCA">
              <w:rPr>
                <w:rFonts w:cs="Garamond"/>
                <w:sz w:val="20"/>
                <w:szCs w:val="20"/>
                <w:lang w:val="fr-FR"/>
              </w:rPr>
              <w:t xml:space="preserve"> </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ind w:right="472"/>
              <w:rPr>
                <w:rFonts w:cs="Garamond"/>
                <w:sz w:val="20"/>
                <w:szCs w:val="20"/>
                <w:lang w:val="fr-FR"/>
              </w:rPr>
            </w:pPr>
            <w:r w:rsidRPr="009A3DCA">
              <w:rPr>
                <w:sz w:val="20"/>
                <w:szCs w:val="20"/>
                <w:lang w:val="fr-FR"/>
              </w:rPr>
              <w:t>6035 Floodplains of Lower Dyje River</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2005</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République tchèque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0639 Poodrí</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2005</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République tchèque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0494 Sumavská raseliniste (Sumava peatlands)</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République tchèque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0495 Trebonská rybníky (Trebon Fishponds)</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1994</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Roumanie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0521 Danube Delta</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Roumanie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1074 Small Island of Braila</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Roumanie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2065 Olt-Danube Confluence</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Royaume-Uni</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1077 Diego Garcia</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Royaume-Uni</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0077 Ouse Washes</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2000</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ind w:right="1"/>
              <w:jc w:val="center"/>
              <w:rPr>
                <w:rFonts w:cs="Garamond"/>
                <w:sz w:val="20"/>
                <w:szCs w:val="20"/>
                <w:lang w:val="fr-FR"/>
              </w:rPr>
            </w:pPr>
            <w:r w:rsidRPr="009A3DCA">
              <w:rPr>
                <w:sz w:val="20"/>
                <w:szCs w:val="20"/>
                <w:lang w:val="fr-FR"/>
              </w:rPr>
              <w:t>2001</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Royaume-Uni</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1043 South East coast of Jersey, Channel Islands</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Royaume-Uni</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0298 The Dee Estuary</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1990</w:t>
            </w: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jc w:val="center"/>
              <w:rPr>
                <w:rFonts w:cs="Garamond"/>
                <w:sz w:val="20"/>
                <w:szCs w:val="20"/>
                <w:lang w:val="fr-FR"/>
              </w:rPr>
            </w:pPr>
            <w:r w:rsidRPr="009A3DCA">
              <w:rPr>
                <w:sz w:val="20"/>
                <w:szCs w:val="20"/>
                <w:lang w:val="fr-FR"/>
              </w:rPr>
              <w:t>1993, 1994</w:t>
            </w: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Serbie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1392 Slano Kopovo</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Slovénie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0991 Škocjanske jame (Skocjan Caves)</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b/>
                <w:sz w:val="20"/>
                <w:szCs w:val="20"/>
                <w:lang w:val="fr-FR"/>
              </w:rPr>
              <w:t>Slovénie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0586 Secoveljske soline (Secovlje salt pans)</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Ukraine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0765 Northern Part of the Dniester Liman</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r w:rsidR="003715B5" w:rsidRPr="003715B5" w:rsidTr="00C17BF5">
        <w:tc>
          <w:tcPr>
            <w:tcW w:w="2446"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Ukraine</w:t>
            </w:r>
          </w:p>
        </w:tc>
        <w:tc>
          <w:tcPr>
            <w:tcW w:w="4400"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pStyle w:val="TableParagraph"/>
              <w:rPr>
                <w:rFonts w:cs="Garamond"/>
                <w:sz w:val="20"/>
                <w:szCs w:val="20"/>
                <w:lang w:val="fr-FR"/>
              </w:rPr>
            </w:pPr>
            <w:r w:rsidRPr="009A3DCA">
              <w:rPr>
                <w:sz w:val="20"/>
                <w:szCs w:val="20"/>
                <w:lang w:val="fr-FR"/>
              </w:rPr>
              <w:t>0766 Tyligulskyi Liman</w:t>
            </w:r>
          </w:p>
        </w:tc>
        <w:tc>
          <w:tcPr>
            <w:tcW w:w="1081"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c>
          <w:tcPr>
            <w:tcW w:w="1428" w:type="dxa"/>
            <w:tcBorders>
              <w:top w:val="single" w:sz="4" w:space="0" w:color="000000"/>
              <w:left w:val="single" w:sz="4" w:space="0" w:color="000000"/>
              <w:bottom w:val="single" w:sz="4" w:space="0" w:color="000000"/>
              <w:right w:val="single" w:sz="4" w:space="0" w:color="000000"/>
            </w:tcBorders>
          </w:tcPr>
          <w:p w:rsidR="003715B5" w:rsidRPr="009A3DCA" w:rsidRDefault="003715B5" w:rsidP="003715B5">
            <w:pPr>
              <w:jc w:val="center"/>
              <w:rPr>
                <w:sz w:val="20"/>
                <w:szCs w:val="20"/>
                <w:lang w:val="fr-FR"/>
              </w:rPr>
            </w:pPr>
          </w:p>
        </w:tc>
      </w:tr>
    </w:tbl>
    <w:p w:rsidR="003715B5" w:rsidRPr="003715B5" w:rsidRDefault="003715B5" w:rsidP="003715B5">
      <w:pPr>
        <w:rPr>
          <w:rFonts w:ascii="Garamond" w:hAnsi="Garamond" w:cs="Garamond"/>
          <w:i/>
          <w:sz w:val="24"/>
          <w:szCs w:val="24"/>
          <w:lang w:val="fr-FR"/>
        </w:rPr>
      </w:pPr>
    </w:p>
    <w:p w:rsidR="00C17BF5" w:rsidRDefault="00C17BF5">
      <w:pPr>
        <w:rPr>
          <w:rFonts w:cs="Garamond"/>
          <w:b/>
          <w:spacing w:val="-1"/>
          <w:lang w:val="fr-FR"/>
        </w:rPr>
      </w:pPr>
      <w:r>
        <w:rPr>
          <w:rFonts w:cs="Garamond"/>
          <w:b/>
          <w:spacing w:val="-1"/>
          <w:lang w:val="fr-FR"/>
        </w:rPr>
        <w:br w:type="page"/>
      </w:r>
    </w:p>
    <w:p w:rsidR="003715B5" w:rsidRPr="00AF095C" w:rsidRDefault="003715B5" w:rsidP="003715B5">
      <w:pPr>
        <w:rPr>
          <w:rFonts w:cs="Garamond"/>
          <w:i/>
          <w:lang w:val="fr-FR"/>
        </w:rPr>
      </w:pPr>
      <w:r w:rsidRPr="00AF095C">
        <w:rPr>
          <w:rFonts w:cs="Garamond"/>
          <w:b/>
          <w:spacing w:val="-1"/>
          <w:lang w:val="fr-FR"/>
        </w:rPr>
        <w:lastRenderedPageBreak/>
        <w:t xml:space="preserve">Dossiers </w:t>
      </w:r>
      <w:r w:rsidRPr="00AF095C">
        <w:rPr>
          <w:rFonts w:cs="Garamond"/>
          <w:b/>
          <w:spacing w:val="-4"/>
          <w:lang w:val="fr-FR"/>
        </w:rPr>
        <w:t xml:space="preserve">article 3.2 </w:t>
      </w:r>
      <w:r w:rsidRPr="00AF095C">
        <w:rPr>
          <w:rFonts w:cs="Garamond"/>
          <w:b/>
          <w:lang w:val="fr-FR"/>
        </w:rPr>
        <w:t>potentiels</w:t>
      </w:r>
      <w:r w:rsidRPr="00AF095C">
        <w:rPr>
          <w:rFonts w:cs="Garamond"/>
          <w:i/>
          <w:spacing w:val="-3"/>
          <w:lang w:val="fr-FR"/>
        </w:rPr>
        <w:t xml:space="preserve"> (</w:t>
      </w:r>
      <w:r w:rsidRPr="00AF095C">
        <w:rPr>
          <w:rFonts w:cs="Garamond"/>
          <w:i/>
          <w:spacing w:val="-1"/>
          <w:lang w:val="fr-FR"/>
        </w:rPr>
        <w:t>au 15 janvier</w:t>
      </w:r>
      <w:r w:rsidRPr="00AF095C">
        <w:rPr>
          <w:rFonts w:cs="Garamond"/>
          <w:i/>
          <w:lang w:val="fr-FR"/>
        </w:rPr>
        <w:t xml:space="preserve"> 2015)</w:t>
      </w:r>
    </w:p>
    <w:p w:rsidR="003715B5" w:rsidRPr="00AF095C" w:rsidRDefault="003715B5" w:rsidP="00C17BF5">
      <w:pPr>
        <w:ind w:right="-22"/>
        <w:rPr>
          <w:rFonts w:cs="Garamond"/>
          <w:b/>
          <w:bCs/>
          <w:lang w:val="fr-FR"/>
        </w:rPr>
      </w:pPr>
      <w:r w:rsidRPr="00AF095C">
        <w:rPr>
          <w:rFonts w:cs="Garamond"/>
          <w:b/>
          <w:bCs/>
          <w:lang w:val="fr-FR"/>
        </w:rPr>
        <w:t>Sites Ramsar</w:t>
      </w:r>
      <w:r w:rsidRPr="00AF095C">
        <w:rPr>
          <w:rFonts w:cs="Garamond"/>
          <w:b/>
          <w:bCs/>
          <w:spacing w:val="-7"/>
          <w:lang w:val="fr-FR"/>
        </w:rPr>
        <w:t xml:space="preserve"> pour lesquels il a été signalé que les caractéristiques écologiques subissent ou pourraient subir des changements </w:t>
      </w:r>
    </w:p>
    <w:p w:rsidR="003715B5" w:rsidRPr="00AF095C" w:rsidRDefault="003715B5" w:rsidP="003715B5">
      <w:pPr>
        <w:ind w:left="2490" w:right="423" w:hanging="2166"/>
        <w:jc w:val="center"/>
        <w:rPr>
          <w:rFonts w:cs="Garamond"/>
          <w:lang w:val="fr-FR"/>
        </w:rPr>
      </w:pPr>
    </w:p>
    <w:tbl>
      <w:tblPr>
        <w:tblW w:w="9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A0"/>
      </w:tblPr>
      <w:tblGrid>
        <w:gridCol w:w="2438"/>
        <w:gridCol w:w="4366"/>
        <w:gridCol w:w="1134"/>
        <w:gridCol w:w="1515"/>
      </w:tblGrid>
      <w:tr w:rsidR="003715B5" w:rsidRPr="003715B5" w:rsidTr="00C17BF5">
        <w:trPr>
          <w:trHeight w:val="545"/>
        </w:trPr>
        <w:tc>
          <w:tcPr>
            <w:tcW w:w="2438" w:type="dxa"/>
            <w:shd w:val="clear" w:color="auto" w:fill="D9D9D9"/>
            <w:noWrap/>
            <w:vAlign w:val="center"/>
          </w:tcPr>
          <w:p w:rsidR="003715B5" w:rsidRPr="00C17BF5" w:rsidRDefault="003715B5" w:rsidP="00C17BF5">
            <w:pPr>
              <w:pStyle w:val="TableParagraph"/>
              <w:jc w:val="center"/>
              <w:rPr>
                <w:rFonts w:cs="Garamond"/>
                <w:sz w:val="20"/>
                <w:szCs w:val="20"/>
                <w:lang w:val="fr-FR"/>
              </w:rPr>
            </w:pPr>
            <w:r w:rsidRPr="009A3DCA">
              <w:rPr>
                <w:b/>
                <w:sz w:val="20"/>
                <w:szCs w:val="20"/>
                <w:lang w:val="fr-FR"/>
              </w:rPr>
              <w:t>Partie</w:t>
            </w:r>
            <w:r w:rsidR="00C17BF5">
              <w:rPr>
                <w:b/>
                <w:sz w:val="20"/>
                <w:szCs w:val="20"/>
                <w:lang w:val="fr-FR"/>
              </w:rPr>
              <w:t xml:space="preserve"> </w:t>
            </w:r>
            <w:r w:rsidRPr="009A3DCA">
              <w:rPr>
                <w:sz w:val="20"/>
                <w:szCs w:val="20"/>
                <w:lang w:val="fr-FR"/>
              </w:rPr>
              <w:t>(en gras, lorsque l’information provient de l’AA)</w:t>
            </w:r>
          </w:p>
        </w:tc>
        <w:tc>
          <w:tcPr>
            <w:tcW w:w="4366" w:type="dxa"/>
            <w:shd w:val="clear" w:color="auto" w:fill="D9D9D9"/>
            <w:vAlign w:val="center"/>
          </w:tcPr>
          <w:p w:rsidR="003715B5" w:rsidRPr="009A3DCA" w:rsidRDefault="003715B5" w:rsidP="003715B5">
            <w:pPr>
              <w:widowControl/>
              <w:jc w:val="center"/>
              <w:rPr>
                <w:b/>
                <w:bCs/>
                <w:color w:val="000000"/>
                <w:sz w:val="20"/>
                <w:szCs w:val="20"/>
                <w:lang w:val="fr-FR" w:eastAsia="en-GB"/>
              </w:rPr>
            </w:pPr>
            <w:r w:rsidRPr="009A3DCA">
              <w:rPr>
                <w:b/>
                <w:bCs/>
                <w:color w:val="000000"/>
                <w:sz w:val="20"/>
                <w:szCs w:val="20"/>
                <w:lang w:val="fr-FR" w:eastAsia="en-GB"/>
              </w:rPr>
              <w:t xml:space="preserve">Site Ramsar </w:t>
            </w:r>
          </w:p>
        </w:tc>
        <w:tc>
          <w:tcPr>
            <w:tcW w:w="1134" w:type="dxa"/>
            <w:shd w:val="clear" w:color="auto" w:fill="D9D9D9"/>
            <w:vAlign w:val="center"/>
          </w:tcPr>
          <w:p w:rsidR="003715B5" w:rsidRPr="009A3DCA" w:rsidRDefault="003715B5" w:rsidP="003715B5">
            <w:pPr>
              <w:widowControl/>
              <w:jc w:val="center"/>
              <w:rPr>
                <w:b/>
                <w:bCs/>
                <w:color w:val="000000"/>
                <w:sz w:val="20"/>
                <w:szCs w:val="20"/>
                <w:lang w:val="fr-FR" w:eastAsia="en-GB"/>
              </w:rPr>
            </w:pPr>
            <w:r w:rsidRPr="009A3DCA">
              <w:rPr>
                <w:b/>
                <w:sz w:val="20"/>
                <w:szCs w:val="20"/>
                <w:lang w:val="fr-FR"/>
              </w:rPr>
              <w:t>Registre de Montreux</w:t>
            </w:r>
          </w:p>
        </w:tc>
        <w:tc>
          <w:tcPr>
            <w:tcW w:w="1515" w:type="dxa"/>
            <w:shd w:val="clear" w:color="auto" w:fill="D9D9D9"/>
            <w:vAlign w:val="center"/>
          </w:tcPr>
          <w:p w:rsidR="003715B5" w:rsidRPr="009A3DCA" w:rsidRDefault="003715B5" w:rsidP="003715B5">
            <w:pPr>
              <w:widowControl/>
              <w:jc w:val="center"/>
              <w:rPr>
                <w:b/>
                <w:bCs/>
                <w:color w:val="000000"/>
                <w:sz w:val="20"/>
                <w:szCs w:val="20"/>
                <w:lang w:val="fr-FR" w:eastAsia="en-GB"/>
              </w:rPr>
            </w:pPr>
            <w:r w:rsidRPr="009A3DCA">
              <w:rPr>
                <w:b/>
                <w:sz w:val="20"/>
                <w:szCs w:val="20"/>
                <w:lang w:val="fr-FR"/>
              </w:rPr>
              <w:t>Mission consultative Ramsar</w:t>
            </w: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Danemark</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0143 Nissum Fjord</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Danemark</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0146 Ulvedybet &amp; Nibe Bredning</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Danemark</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0356 Vadehavet (Wadden Sea)</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Espagne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0592 Aiguamolls de l'Empordà</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Espagne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0452 Complejo Intermareal Umia-O Grove</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Espagne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0705 Ria del Eo</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Espagne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0593 Delta del Ebro</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 xml:space="preserve">Fédération de Russie </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0110 Kandalaksha Bay</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Fédération de Russie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 xml:space="preserve">0675 Kuban delta: Akhtaro-Grivenskaya limans </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Fédération de Russie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 xml:space="preserve">0674 Kuban Delta: Group of limans between rivers Kuban &amp; Protoka. </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Fédération de Russie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695 Moroshechnaya River</w:t>
            </w:r>
            <w:r w:rsidRPr="009A3DCA">
              <w:rPr>
                <w:rFonts w:cs="Arial"/>
                <w:color w:val="808080"/>
                <w:sz w:val="20"/>
                <w:szCs w:val="20"/>
                <w:lang w:val="fr-FR" w:eastAsia="en-GB"/>
              </w:rPr>
              <w:t xml:space="preserve"> </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Fédération de Russie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0682 Selenga Delta</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Fédération de Russie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0683 Torey Lakes</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Fédération de Russie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0699 Pskovsko-Chudskaya Lowland</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Fédération de Russie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0111 Volga Delta</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France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1810 Rhin supérieur</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3"/>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Grèce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0058 Artificial Lake Kerkini</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vAlign w:val="center"/>
          </w:tcPr>
          <w:p w:rsidR="003715B5" w:rsidRPr="009A3DCA" w:rsidRDefault="003715B5" w:rsidP="003715B5">
            <w:pPr>
              <w:widowControl/>
              <w:jc w:val="center"/>
              <w:rPr>
                <w:color w:val="000000"/>
                <w:sz w:val="20"/>
                <w:szCs w:val="20"/>
                <w:lang w:val="fr-FR" w:eastAsia="en-GB"/>
              </w:rPr>
            </w:pPr>
            <w:r w:rsidRPr="009A3DCA">
              <w:rPr>
                <w:color w:val="000000"/>
                <w:sz w:val="20"/>
                <w:szCs w:val="20"/>
                <w:lang w:val="fr-FR" w:eastAsia="en-GB"/>
              </w:rPr>
              <w:t>1988, 1989</w:t>
            </w:r>
          </w:p>
        </w:tc>
      </w:tr>
      <w:tr w:rsidR="003715B5" w:rsidRPr="003715B5" w:rsidTr="00C17BF5">
        <w:trPr>
          <w:trHeight w:val="283"/>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Grèce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0054 Evros Delta</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vAlign w:val="center"/>
          </w:tcPr>
          <w:p w:rsidR="003715B5" w:rsidRPr="009A3DCA" w:rsidRDefault="003715B5" w:rsidP="003715B5">
            <w:pPr>
              <w:widowControl/>
              <w:jc w:val="center"/>
              <w:rPr>
                <w:color w:val="000000"/>
                <w:sz w:val="20"/>
                <w:szCs w:val="20"/>
                <w:lang w:val="fr-FR" w:eastAsia="en-GB"/>
              </w:rPr>
            </w:pPr>
            <w:r w:rsidRPr="009A3DCA">
              <w:rPr>
                <w:color w:val="000000"/>
                <w:sz w:val="20"/>
                <w:szCs w:val="20"/>
                <w:lang w:val="fr-FR" w:eastAsia="en-GB"/>
              </w:rPr>
              <w:t>1988, 1989</w:t>
            </w: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Hongrie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0188 Pusztaszer</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Islande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0460 Thjörsárver</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Islande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0846 Lough Corrib</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Islande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0847 Lough Derravaragh</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Islande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 xml:space="preserve">0416 Morgan Bog </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Islande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0417 Raheenmore Bog</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Islande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0415 Clara Bog</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Italie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0423 Laguna di Venezia</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Italie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0117 Pian di Spagna e Lago Mezzola</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Pays-Bas</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 xml:space="preserve">0289 Waddenzee  </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Pays-Bas</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0194 Naardermeer</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Portugal</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0212 Ria Formosa</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République de Moldova</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1029 Lower Prut Lakes</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Royaume-Uni</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0926 Avon Valley</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41"/>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Royaume-Uni</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 xml:space="preserve">0074 Lough Neagh Lough Beg </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Royaume-Uni</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0973 Pevensey Levels</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Serbie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0819 Stari Begej/Carska Bara Special Nature Reserve</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Slovénie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1600 Lake Cerknica and its environs</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Turquie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0945 Gediz Delta</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Ukraine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0764 Dniester-Turunchuk Crossrivers Area</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Ukraine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0767 Dnipro River Delta</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r w:rsidR="003715B5" w:rsidRPr="003715B5" w:rsidTr="00C17BF5">
        <w:trPr>
          <w:trHeight w:val="286"/>
        </w:trPr>
        <w:tc>
          <w:tcPr>
            <w:tcW w:w="2438"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Ukraine</w:t>
            </w:r>
          </w:p>
        </w:tc>
        <w:tc>
          <w:tcPr>
            <w:tcW w:w="4366" w:type="dxa"/>
            <w:vAlign w:val="center"/>
          </w:tcPr>
          <w:p w:rsidR="003715B5" w:rsidRPr="009A3DCA" w:rsidRDefault="003715B5" w:rsidP="003715B5">
            <w:pPr>
              <w:widowControl/>
              <w:rPr>
                <w:color w:val="000000"/>
                <w:sz w:val="20"/>
                <w:szCs w:val="20"/>
                <w:lang w:val="fr-FR" w:eastAsia="en-GB"/>
              </w:rPr>
            </w:pPr>
            <w:r w:rsidRPr="009A3DCA">
              <w:rPr>
                <w:color w:val="000000"/>
                <w:sz w:val="20"/>
                <w:szCs w:val="20"/>
                <w:lang w:val="fr-FR" w:eastAsia="en-GB"/>
              </w:rPr>
              <w:t>Dniester-Turunchuk Crossrivers Area</w:t>
            </w:r>
          </w:p>
        </w:tc>
        <w:tc>
          <w:tcPr>
            <w:tcW w:w="1134" w:type="dxa"/>
            <w:noWrap/>
            <w:vAlign w:val="bottom"/>
          </w:tcPr>
          <w:p w:rsidR="003715B5" w:rsidRPr="009A3DCA" w:rsidRDefault="003715B5" w:rsidP="003715B5">
            <w:pPr>
              <w:widowControl/>
              <w:rPr>
                <w:color w:val="000000"/>
                <w:sz w:val="20"/>
                <w:szCs w:val="20"/>
                <w:lang w:val="fr-FR" w:eastAsia="en-GB"/>
              </w:rPr>
            </w:pPr>
          </w:p>
        </w:tc>
        <w:tc>
          <w:tcPr>
            <w:tcW w:w="1515" w:type="dxa"/>
            <w:noWrap/>
            <w:vAlign w:val="bottom"/>
          </w:tcPr>
          <w:p w:rsidR="003715B5" w:rsidRPr="009A3DCA" w:rsidRDefault="003715B5" w:rsidP="003715B5">
            <w:pPr>
              <w:widowControl/>
              <w:rPr>
                <w:color w:val="000000"/>
                <w:sz w:val="20"/>
                <w:szCs w:val="20"/>
                <w:lang w:val="fr-FR" w:eastAsia="en-GB"/>
              </w:rPr>
            </w:pPr>
          </w:p>
        </w:tc>
      </w:tr>
    </w:tbl>
    <w:p w:rsidR="003715B5" w:rsidRPr="00AF095C" w:rsidRDefault="003715B5" w:rsidP="003715B5">
      <w:pPr>
        <w:rPr>
          <w:rFonts w:cs="Garamond"/>
          <w:i/>
          <w:lang w:val="fr-FR"/>
        </w:rPr>
      </w:pPr>
    </w:p>
    <w:p w:rsidR="003715B5" w:rsidRPr="00AF095C" w:rsidRDefault="003715B5" w:rsidP="003715B5">
      <w:pPr>
        <w:tabs>
          <w:tab w:val="left" w:pos="360"/>
        </w:tabs>
        <w:ind w:left="360" w:hanging="360"/>
        <w:rPr>
          <w:rFonts w:cs="Garamond"/>
          <w:lang w:val="fr-FR"/>
        </w:rPr>
      </w:pPr>
      <w:r w:rsidRPr="00AF095C">
        <w:rPr>
          <w:rFonts w:cs="Garamond"/>
          <w:lang w:val="fr-FR"/>
        </w:rPr>
        <w:t>51.</w:t>
      </w:r>
      <w:r w:rsidRPr="00AF095C">
        <w:rPr>
          <w:rFonts w:cs="Garamond"/>
          <w:lang w:val="fr-FR"/>
        </w:rPr>
        <w:tab/>
        <w:t>Depuis la COP11, 24 nouveaux dossiers article 3.2 ont été ouverts (8 ouverts et 16 potentiels) et les efforts des AA, entre autres, ont permis de fermer 13 dossiers de sites pour lesquels il n’y a plus de menace de changement dans les caractéristiques écologiques.</w:t>
      </w:r>
    </w:p>
    <w:p w:rsidR="003715B5" w:rsidRPr="00AF095C" w:rsidRDefault="003715B5" w:rsidP="003715B5">
      <w:pPr>
        <w:tabs>
          <w:tab w:val="left" w:pos="360"/>
        </w:tabs>
        <w:ind w:left="360" w:hanging="360"/>
        <w:rPr>
          <w:rFonts w:cs="Garamond"/>
          <w:lang w:val="fr-FR"/>
        </w:rPr>
      </w:pPr>
    </w:p>
    <w:p w:rsidR="003715B5" w:rsidRPr="00AF095C" w:rsidRDefault="003715B5" w:rsidP="003715B5">
      <w:pPr>
        <w:tabs>
          <w:tab w:val="left" w:pos="360"/>
        </w:tabs>
        <w:ind w:left="360" w:hanging="360"/>
        <w:rPr>
          <w:lang w:val="fr-FR"/>
        </w:rPr>
      </w:pPr>
      <w:r w:rsidRPr="00AF095C">
        <w:rPr>
          <w:rFonts w:cs="Garamond"/>
          <w:lang w:val="fr-FR"/>
        </w:rPr>
        <w:t>52.</w:t>
      </w:r>
      <w:r w:rsidRPr="00AF095C">
        <w:rPr>
          <w:rFonts w:cs="Garamond"/>
          <w:lang w:val="fr-FR"/>
        </w:rPr>
        <w:tab/>
      </w:r>
      <w:r w:rsidRPr="00AF095C">
        <w:rPr>
          <w:lang w:val="fr-FR"/>
        </w:rPr>
        <w:t>Depuis la COP11, aucun Site Ramsar européen n’a été supprimé du Registre de Montreux, malgré des demandes répétées. Le Secrétariat n’a reçu ni nouvelle information sur l’état des sites restants ni considérations sur une suppression possible de ces sites du Registre de Montreux.</w:t>
      </w:r>
    </w:p>
    <w:p w:rsidR="003715B5" w:rsidRPr="00AF095C" w:rsidRDefault="003715B5" w:rsidP="003715B5">
      <w:pPr>
        <w:tabs>
          <w:tab w:val="left" w:pos="360"/>
        </w:tabs>
        <w:ind w:left="360" w:hanging="360"/>
        <w:rPr>
          <w:lang w:val="fr-FR"/>
        </w:rPr>
      </w:pPr>
    </w:p>
    <w:p w:rsidR="003715B5" w:rsidRPr="00AF095C" w:rsidRDefault="003715B5" w:rsidP="003715B5">
      <w:pPr>
        <w:tabs>
          <w:tab w:val="left" w:pos="360"/>
        </w:tabs>
        <w:ind w:left="360" w:hanging="360"/>
        <w:rPr>
          <w:lang w:val="fr-FR"/>
        </w:rPr>
      </w:pPr>
      <w:r w:rsidRPr="00AF095C">
        <w:rPr>
          <w:lang w:val="fr-FR"/>
        </w:rPr>
        <w:t>53.</w:t>
      </w:r>
      <w:r w:rsidRPr="00AF095C">
        <w:rPr>
          <w:lang w:val="fr-FR"/>
        </w:rPr>
        <w:tab/>
        <w:t>Lorsque les Parties ont établi le Registre de Montreux en tant qu’instrument de gestion, à la COP4, en 1990, elles ont estimé que l’inscription volontaire d’un site au Registre serait un outil utile (comme expliqué dans le Manuel de la Convention de Ramsar) pour :</w:t>
      </w:r>
    </w:p>
    <w:p w:rsidR="003715B5" w:rsidRPr="00AF095C" w:rsidRDefault="003715B5" w:rsidP="003715B5">
      <w:pPr>
        <w:pStyle w:val="BodyText"/>
        <w:numPr>
          <w:ilvl w:val="0"/>
          <w:numId w:val="2"/>
        </w:numPr>
        <w:tabs>
          <w:tab w:val="left" w:pos="728"/>
        </w:tabs>
        <w:rPr>
          <w:rFonts w:asciiTheme="minorHAnsi" w:hAnsiTheme="minorHAnsi"/>
          <w:sz w:val="22"/>
          <w:szCs w:val="22"/>
          <w:lang w:val="fr-FR"/>
        </w:rPr>
      </w:pPr>
      <w:r w:rsidRPr="00AF095C">
        <w:rPr>
          <w:rFonts w:asciiTheme="minorHAnsi" w:hAnsiTheme="minorHAnsi"/>
          <w:sz w:val="22"/>
          <w:szCs w:val="22"/>
          <w:lang w:val="fr-FR"/>
        </w:rPr>
        <w:t xml:space="preserve">démontrer l’engagement national à remédier aux changements négatifs; </w:t>
      </w:r>
    </w:p>
    <w:p w:rsidR="003715B5" w:rsidRPr="00AF095C" w:rsidRDefault="003715B5" w:rsidP="003715B5">
      <w:pPr>
        <w:pStyle w:val="BodyText"/>
        <w:numPr>
          <w:ilvl w:val="0"/>
          <w:numId w:val="2"/>
        </w:numPr>
        <w:tabs>
          <w:tab w:val="left" w:pos="728"/>
        </w:tabs>
        <w:rPr>
          <w:rFonts w:asciiTheme="minorHAnsi" w:hAnsiTheme="minorHAnsi"/>
          <w:sz w:val="22"/>
          <w:szCs w:val="22"/>
          <w:lang w:val="fr-FR"/>
        </w:rPr>
      </w:pPr>
      <w:r w:rsidRPr="00AF095C">
        <w:rPr>
          <w:rFonts w:asciiTheme="minorHAnsi" w:hAnsiTheme="minorHAnsi"/>
          <w:sz w:val="22"/>
          <w:szCs w:val="22"/>
          <w:lang w:val="fr-FR"/>
        </w:rPr>
        <w:t xml:space="preserve">souligner des cas particulièrement intéressants à des fins de démonstration au niveau international; </w:t>
      </w:r>
    </w:p>
    <w:p w:rsidR="003715B5" w:rsidRPr="00AF095C" w:rsidRDefault="003715B5" w:rsidP="003715B5">
      <w:pPr>
        <w:pStyle w:val="BodyText"/>
        <w:numPr>
          <w:ilvl w:val="0"/>
          <w:numId w:val="2"/>
        </w:numPr>
        <w:tabs>
          <w:tab w:val="left" w:pos="728"/>
        </w:tabs>
        <w:rPr>
          <w:rFonts w:asciiTheme="minorHAnsi" w:hAnsiTheme="minorHAnsi"/>
          <w:sz w:val="22"/>
          <w:szCs w:val="22"/>
          <w:lang w:val="fr-FR"/>
        </w:rPr>
      </w:pPr>
      <w:r w:rsidRPr="00AF095C">
        <w:rPr>
          <w:rFonts w:asciiTheme="minorHAnsi" w:hAnsiTheme="minorHAnsi"/>
          <w:sz w:val="22"/>
          <w:szCs w:val="22"/>
          <w:lang w:val="fr-FR"/>
        </w:rPr>
        <w:t xml:space="preserve">bénéficier d’une attention positive en matière de conservation internationale; et </w:t>
      </w:r>
    </w:p>
    <w:p w:rsidR="003715B5" w:rsidRPr="00AF095C" w:rsidRDefault="003715B5" w:rsidP="003715B5">
      <w:pPr>
        <w:pStyle w:val="BodyText"/>
        <w:numPr>
          <w:ilvl w:val="0"/>
          <w:numId w:val="2"/>
        </w:numPr>
        <w:tabs>
          <w:tab w:val="left" w:pos="728"/>
        </w:tabs>
        <w:rPr>
          <w:rFonts w:asciiTheme="minorHAnsi" w:hAnsiTheme="minorHAnsi"/>
          <w:sz w:val="22"/>
          <w:szCs w:val="22"/>
          <w:lang w:val="fr-FR"/>
        </w:rPr>
      </w:pPr>
      <w:r w:rsidRPr="00AF095C">
        <w:rPr>
          <w:rFonts w:asciiTheme="minorHAnsi" w:hAnsiTheme="minorHAnsi"/>
          <w:sz w:val="22"/>
          <w:szCs w:val="22"/>
          <w:lang w:val="fr-FR"/>
        </w:rPr>
        <w:t>fournir des orientations sur les meilleurs moyens d’attribuer des ressources pour résoudre les problèmes pesant sur les caractéristiques écologiques des sites concernés.</w:t>
      </w:r>
    </w:p>
    <w:p w:rsidR="003715B5" w:rsidRPr="00AF095C" w:rsidRDefault="003715B5" w:rsidP="003715B5">
      <w:pPr>
        <w:pStyle w:val="BodyText"/>
        <w:tabs>
          <w:tab w:val="left" w:pos="728"/>
        </w:tabs>
        <w:ind w:hanging="687"/>
        <w:rPr>
          <w:rFonts w:asciiTheme="minorHAnsi" w:hAnsiTheme="minorHAnsi"/>
          <w:sz w:val="22"/>
          <w:szCs w:val="22"/>
          <w:lang w:val="fr-FR"/>
        </w:rPr>
      </w:pPr>
    </w:p>
    <w:p w:rsidR="003715B5" w:rsidRPr="00AF095C" w:rsidRDefault="003715B5" w:rsidP="003715B5">
      <w:pPr>
        <w:pStyle w:val="BodyText"/>
        <w:tabs>
          <w:tab w:val="left" w:pos="360"/>
        </w:tabs>
        <w:ind w:left="360" w:hanging="360"/>
        <w:rPr>
          <w:rFonts w:asciiTheme="minorHAnsi" w:hAnsiTheme="minorHAnsi"/>
          <w:sz w:val="22"/>
          <w:szCs w:val="22"/>
          <w:lang w:val="fr-FR"/>
        </w:rPr>
      </w:pPr>
      <w:r w:rsidRPr="00AF095C">
        <w:rPr>
          <w:rFonts w:asciiTheme="minorHAnsi" w:hAnsiTheme="minorHAnsi"/>
          <w:sz w:val="22"/>
          <w:szCs w:val="22"/>
          <w:lang w:val="fr-FR"/>
        </w:rPr>
        <w:t>54.</w:t>
      </w:r>
      <w:r w:rsidRPr="00AF095C">
        <w:rPr>
          <w:rFonts w:asciiTheme="minorHAnsi" w:hAnsiTheme="minorHAnsi"/>
          <w:sz w:val="22"/>
          <w:szCs w:val="22"/>
          <w:lang w:val="fr-FR"/>
        </w:rPr>
        <w:tab/>
        <w:t xml:space="preserve">Sur les 24 Sites Ramsar européens inscrits au Registre de Montreux, beaucoup sont parmi ceux qui y figurent depuis le plus longtemps, parfois depuis 1990, année de la création du Registre (voir les tableaux </w:t>
      </w:r>
      <w:r w:rsidR="00AF095C" w:rsidRPr="00AF095C">
        <w:rPr>
          <w:rFonts w:asciiTheme="minorHAnsi" w:hAnsiTheme="minorHAnsi"/>
          <w:sz w:val="22"/>
          <w:szCs w:val="22"/>
          <w:lang w:val="fr-FR"/>
        </w:rPr>
        <w:t>ci-dessus</w:t>
      </w:r>
      <w:r w:rsidRPr="00AF095C">
        <w:rPr>
          <w:rFonts w:asciiTheme="minorHAnsi" w:hAnsiTheme="minorHAnsi"/>
          <w:sz w:val="22"/>
          <w:szCs w:val="22"/>
          <w:lang w:val="fr-FR"/>
        </w:rPr>
        <w:t xml:space="preserve"> et </w:t>
      </w:r>
      <w:r w:rsidR="00AF095C" w:rsidRPr="00AF095C">
        <w:rPr>
          <w:rFonts w:asciiTheme="minorHAnsi" w:hAnsiTheme="minorHAnsi"/>
          <w:sz w:val="22"/>
          <w:szCs w:val="22"/>
          <w:lang w:val="fr-FR"/>
        </w:rPr>
        <w:t>ci-dessous</w:t>
      </w:r>
      <w:r w:rsidRPr="00AF095C">
        <w:rPr>
          <w:rFonts w:asciiTheme="minorHAnsi" w:hAnsiTheme="minorHAnsi"/>
          <w:sz w:val="22"/>
          <w:szCs w:val="22"/>
          <w:lang w:val="fr-FR"/>
        </w:rPr>
        <w:t xml:space="preserve">). On peut en conclure soit que la résolution des problèmes exige des procédures plus complexes – lesquelles devraient être préparées sans autre délai – soit que les problèmes ayant justifié l’inscription des sites au Registre ont sans doute été résolus ou atténués depuis, auquel cas ces sites devraient maintenant être supprimés du Registre, conformément à la procédure décrite dans l’annexe à la Résolution VI.1. Les Parties européennes sont priées de faire un usage plus systématique et plus cohérent du Registre de Montreux en inscrivant des sites qui méritent d’y être inscrits, en s’attaquant aux problèmes des sites inscrits, en trouvant des solutions et en demandant la suppression de ces sites du Registre. </w:t>
      </w:r>
    </w:p>
    <w:p w:rsidR="003715B5" w:rsidRPr="00AF095C" w:rsidRDefault="003715B5" w:rsidP="003715B5">
      <w:pPr>
        <w:rPr>
          <w:rFonts w:cs="Garamond"/>
          <w:lang w:val="fr-FR"/>
        </w:rPr>
      </w:pPr>
    </w:p>
    <w:p w:rsidR="003715B5" w:rsidRPr="00AF095C" w:rsidRDefault="003715B5" w:rsidP="003715B5">
      <w:pPr>
        <w:rPr>
          <w:rFonts w:cs="Garamond"/>
          <w:lang w:val="fr-FR"/>
        </w:rPr>
      </w:pPr>
      <w:r w:rsidRPr="00AF095C">
        <w:rPr>
          <w:b/>
          <w:lang w:val="fr-FR"/>
        </w:rPr>
        <w:t xml:space="preserve">État des Sites Ramsar européens inscrits au Registre de Montreux </w:t>
      </w:r>
      <w:r w:rsidRPr="00AF095C">
        <w:rPr>
          <w:lang w:val="fr-FR"/>
        </w:rPr>
        <w:t>(</w:t>
      </w:r>
      <w:r w:rsidRPr="00AF095C">
        <w:rPr>
          <w:i/>
          <w:lang w:val="fr-FR"/>
        </w:rPr>
        <w:t>au 15 janvier 2015</w:t>
      </w:r>
      <w:r w:rsidRPr="00AF095C">
        <w:rPr>
          <w:lang w:val="fr-FR"/>
        </w:rPr>
        <w:t>)</w:t>
      </w:r>
    </w:p>
    <w:p w:rsidR="003715B5" w:rsidRPr="00AF095C" w:rsidRDefault="003715B5" w:rsidP="003715B5">
      <w:pPr>
        <w:rPr>
          <w:rFonts w:cs="Garamond"/>
          <w:lang w:val="fr-FR"/>
        </w:rPr>
      </w:pPr>
    </w:p>
    <w:tbl>
      <w:tblPr>
        <w:tblW w:w="0" w:type="auto"/>
        <w:tblInd w:w="106" w:type="dxa"/>
        <w:tblLayout w:type="fixed"/>
        <w:tblCellMar>
          <w:top w:w="11" w:type="dxa"/>
          <w:left w:w="11" w:type="dxa"/>
          <w:bottom w:w="11" w:type="dxa"/>
          <w:right w:w="11" w:type="dxa"/>
        </w:tblCellMar>
        <w:tblLook w:val="01E0"/>
      </w:tblPr>
      <w:tblGrid>
        <w:gridCol w:w="1526"/>
        <w:gridCol w:w="2268"/>
        <w:gridCol w:w="2410"/>
        <w:gridCol w:w="3038"/>
      </w:tblGrid>
      <w:tr w:rsidR="003715B5" w:rsidRPr="003715B5" w:rsidTr="00C17BF5">
        <w:tc>
          <w:tcPr>
            <w:tcW w:w="152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715B5" w:rsidRPr="00C17BF5" w:rsidRDefault="003715B5" w:rsidP="003715B5">
            <w:pPr>
              <w:pStyle w:val="TableParagraph"/>
              <w:jc w:val="center"/>
              <w:rPr>
                <w:rFonts w:cs="Garamond"/>
                <w:sz w:val="20"/>
                <w:szCs w:val="20"/>
                <w:lang w:val="fr-FR"/>
              </w:rPr>
            </w:pPr>
            <w:r w:rsidRPr="00C17BF5">
              <w:rPr>
                <w:b/>
                <w:sz w:val="20"/>
                <w:szCs w:val="20"/>
                <w:lang w:val="fr-FR"/>
              </w:rPr>
              <w:t>Parties contractantes</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715B5" w:rsidRPr="00C17BF5" w:rsidRDefault="003715B5" w:rsidP="003715B5">
            <w:pPr>
              <w:pStyle w:val="TableParagraph"/>
              <w:ind w:right="202"/>
              <w:jc w:val="center"/>
              <w:rPr>
                <w:rFonts w:cs="Garamond"/>
                <w:sz w:val="20"/>
                <w:szCs w:val="20"/>
                <w:lang w:val="fr-FR"/>
              </w:rPr>
            </w:pPr>
            <w:r w:rsidRPr="00C17BF5">
              <w:rPr>
                <w:b/>
                <w:sz w:val="20"/>
                <w:szCs w:val="20"/>
                <w:lang w:val="fr-FR"/>
              </w:rPr>
              <w:t xml:space="preserve">Sites Ramsar en voie de suppression du Registre </w:t>
            </w:r>
          </w:p>
        </w:tc>
        <w:tc>
          <w:tcPr>
            <w:tcW w:w="24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715B5" w:rsidRPr="00C17BF5" w:rsidRDefault="003715B5" w:rsidP="003715B5">
            <w:pPr>
              <w:pStyle w:val="TableParagraph"/>
              <w:jc w:val="center"/>
              <w:rPr>
                <w:rFonts w:cs="Garamond"/>
                <w:sz w:val="20"/>
                <w:szCs w:val="20"/>
                <w:lang w:val="fr-FR"/>
              </w:rPr>
            </w:pPr>
            <w:r w:rsidRPr="00C17BF5">
              <w:rPr>
                <w:b/>
                <w:sz w:val="20"/>
                <w:szCs w:val="20"/>
                <w:lang w:val="fr-FR"/>
              </w:rPr>
              <w:t>Sites Ramsar où les changements dans les caractéristiques écologiques sont traités de manière active</w:t>
            </w:r>
          </w:p>
        </w:tc>
        <w:tc>
          <w:tcPr>
            <w:tcW w:w="303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715B5" w:rsidRPr="00C17BF5" w:rsidRDefault="003715B5" w:rsidP="003715B5">
            <w:pPr>
              <w:pStyle w:val="TableParagraph"/>
              <w:jc w:val="center"/>
              <w:rPr>
                <w:rFonts w:cs="Garamond"/>
                <w:sz w:val="20"/>
                <w:szCs w:val="20"/>
                <w:lang w:val="fr-FR"/>
              </w:rPr>
            </w:pPr>
            <w:r w:rsidRPr="00C17BF5">
              <w:rPr>
                <w:b/>
                <w:sz w:val="20"/>
                <w:szCs w:val="20"/>
                <w:lang w:val="fr-FR"/>
              </w:rPr>
              <w:t xml:space="preserve">Sites Ramsar </w:t>
            </w:r>
          </w:p>
          <w:p w:rsidR="003715B5" w:rsidRPr="00C17BF5" w:rsidRDefault="003715B5" w:rsidP="003715B5">
            <w:pPr>
              <w:pStyle w:val="TableParagraph"/>
              <w:ind w:right="120"/>
              <w:jc w:val="center"/>
              <w:rPr>
                <w:rFonts w:cs="Garamond"/>
                <w:sz w:val="20"/>
                <w:szCs w:val="20"/>
                <w:lang w:val="fr-FR"/>
              </w:rPr>
            </w:pPr>
            <w:r w:rsidRPr="00C17BF5">
              <w:rPr>
                <w:b/>
                <w:sz w:val="20"/>
                <w:szCs w:val="20"/>
                <w:lang w:val="fr-FR"/>
              </w:rPr>
              <w:t>nécessitant un éclaircissement : doivent-ils être supprimés ou les causes des changements dans leurs caractéristiques écologiques doivent-elles être traitées?</w:t>
            </w:r>
          </w:p>
        </w:tc>
      </w:tr>
      <w:tr w:rsidR="003715B5" w:rsidRPr="003715B5" w:rsidTr="00C17BF5">
        <w:tc>
          <w:tcPr>
            <w:tcW w:w="1526"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rPr>
                <w:rFonts w:cs="Garamond"/>
                <w:sz w:val="20"/>
                <w:szCs w:val="20"/>
                <w:lang w:val="fr-FR"/>
              </w:rPr>
            </w:pPr>
            <w:r w:rsidRPr="00C17BF5">
              <w:rPr>
                <w:sz w:val="20"/>
                <w:szCs w:val="20"/>
                <w:lang w:val="fr-FR"/>
              </w:rPr>
              <w:t>Allemagne</w:t>
            </w:r>
          </w:p>
        </w:tc>
        <w:tc>
          <w:tcPr>
            <w:tcW w:w="226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ind w:right="401"/>
              <w:rPr>
                <w:rFonts w:cs="Garamond"/>
                <w:sz w:val="20"/>
                <w:szCs w:val="20"/>
                <w:lang w:val="fr-FR"/>
              </w:rPr>
            </w:pPr>
            <w:r w:rsidRPr="00C17BF5">
              <w:rPr>
                <w:sz w:val="20"/>
                <w:szCs w:val="20"/>
                <w:lang w:val="fr-FR"/>
              </w:rPr>
              <w:t>Wattenmeer, Ostfriesisches Wattenmeer &amp; Dollart</w:t>
            </w:r>
          </w:p>
        </w:tc>
        <w:tc>
          <w:tcPr>
            <w:tcW w:w="2410"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c>
          <w:tcPr>
            <w:tcW w:w="303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r>
      <w:tr w:rsidR="003715B5" w:rsidRPr="003715B5" w:rsidTr="00C17BF5">
        <w:tc>
          <w:tcPr>
            <w:tcW w:w="1526"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rPr>
                <w:rFonts w:cs="Garamond"/>
                <w:sz w:val="20"/>
                <w:szCs w:val="20"/>
                <w:lang w:val="fr-FR"/>
              </w:rPr>
            </w:pPr>
            <w:r w:rsidRPr="00C17BF5">
              <w:rPr>
                <w:sz w:val="20"/>
                <w:szCs w:val="20"/>
                <w:lang w:val="fr-FR"/>
              </w:rPr>
              <w:t>Autriche</w:t>
            </w:r>
          </w:p>
        </w:tc>
        <w:tc>
          <w:tcPr>
            <w:tcW w:w="226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c>
          <w:tcPr>
            <w:tcW w:w="2410"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rPr>
                <w:rFonts w:cs="Garamond"/>
                <w:sz w:val="20"/>
                <w:szCs w:val="20"/>
                <w:lang w:val="fr-FR"/>
              </w:rPr>
            </w:pPr>
            <w:r w:rsidRPr="00C17BF5">
              <w:rPr>
                <w:sz w:val="20"/>
                <w:szCs w:val="20"/>
                <w:lang w:val="fr-FR"/>
              </w:rPr>
              <w:t>Donau-March-Thaya-Auen</w:t>
            </w:r>
          </w:p>
        </w:tc>
        <w:tc>
          <w:tcPr>
            <w:tcW w:w="303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r>
      <w:tr w:rsidR="003715B5" w:rsidRPr="003715B5" w:rsidTr="00C17BF5">
        <w:tc>
          <w:tcPr>
            <w:tcW w:w="1526"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rPr>
                <w:rFonts w:cs="Garamond"/>
                <w:sz w:val="20"/>
                <w:szCs w:val="20"/>
                <w:lang w:val="fr-FR"/>
              </w:rPr>
            </w:pPr>
            <w:r w:rsidRPr="00C17BF5">
              <w:rPr>
                <w:sz w:val="20"/>
                <w:szCs w:val="20"/>
                <w:lang w:val="fr-FR"/>
              </w:rPr>
              <w:t>Belgique</w:t>
            </w:r>
          </w:p>
        </w:tc>
        <w:tc>
          <w:tcPr>
            <w:tcW w:w="226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c>
          <w:tcPr>
            <w:tcW w:w="2410"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c>
          <w:tcPr>
            <w:tcW w:w="303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ind w:right="321"/>
              <w:rPr>
                <w:rFonts w:cs="Garamond"/>
                <w:sz w:val="20"/>
                <w:szCs w:val="20"/>
                <w:lang w:val="fr-FR"/>
              </w:rPr>
            </w:pPr>
            <w:r w:rsidRPr="00C17BF5">
              <w:rPr>
                <w:sz w:val="20"/>
                <w:szCs w:val="20"/>
                <w:lang w:val="fr-FR"/>
              </w:rPr>
              <w:t>De Ijzerbroeken te Diksmuide en Lo-Renige, Schorren van de Beneden Schelde</w:t>
            </w:r>
          </w:p>
        </w:tc>
      </w:tr>
      <w:tr w:rsidR="003715B5" w:rsidRPr="003715B5" w:rsidTr="00C17BF5">
        <w:tc>
          <w:tcPr>
            <w:tcW w:w="1526"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rPr>
                <w:rFonts w:cs="Garamond"/>
                <w:sz w:val="20"/>
                <w:szCs w:val="20"/>
                <w:lang w:val="fr-FR"/>
              </w:rPr>
            </w:pPr>
            <w:r w:rsidRPr="00C17BF5">
              <w:rPr>
                <w:sz w:val="20"/>
                <w:szCs w:val="20"/>
                <w:lang w:val="fr-FR"/>
              </w:rPr>
              <w:t>Bulgarie</w:t>
            </w:r>
          </w:p>
        </w:tc>
        <w:tc>
          <w:tcPr>
            <w:tcW w:w="226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rPr>
                <w:rFonts w:cs="Garamond"/>
                <w:sz w:val="20"/>
                <w:szCs w:val="20"/>
                <w:lang w:val="fr-FR"/>
              </w:rPr>
            </w:pPr>
            <w:r w:rsidRPr="00C17BF5">
              <w:rPr>
                <w:sz w:val="20"/>
                <w:szCs w:val="20"/>
                <w:lang w:val="fr-FR"/>
              </w:rPr>
              <w:t>Srebarna</w:t>
            </w:r>
          </w:p>
        </w:tc>
        <w:tc>
          <w:tcPr>
            <w:tcW w:w="2410"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c>
          <w:tcPr>
            <w:tcW w:w="303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rPr>
                <w:rFonts w:cs="Garamond"/>
                <w:sz w:val="20"/>
                <w:szCs w:val="20"/>
                <w:lang w:val="fr-FR"/>
              </w:rPr>
            </w:pPr>
            <w:r w:rsidRPr="00C17BF5">
              <w:rPr>
                <w:sz w:val="20"/>
                <w:szCs w:val="20"/>
                <w:lang w:val="fr-FR"/>
              </w:rPr>
              <w:t>Durankulak Lake</w:t>
            </w:r>
          </w:p>
        </w:tc>
      </w:tr>
      <w:tr w:rsidR="003715B5" w:rsidRPr="003715B5" w:rsidTr="00C17BF5">
        <w:tc>
          <w:tcPr>
            <w:tcW w:w="1526"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rPr>
                <w:rFonts w:cs="Garamond"/>
                <w:sz w:val="20"/>
                <w:szCs w:val="20"/>
                <w:lang w:val="fr-FR"/>
              </w:rPr>
            </w:pPr>
            <w:r w:rsidRPr="00C17BF5">
              <w:rPr>
                <w:sz w:val="20"/>
                <w:szCs w:val="20"/>
                <w:lang w:val="fr-FR"/>
              </w:rPr>
              <w:t>Croatie</w:t>
            </w:r>
          </w:p>
        </w:tc>
        <w:tc>
          <w:tcPr>
            <w:tcW w:w="226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c>
          <w:tcPr>
            <w:tcW w:w="2410"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c>
          <w:tcPr>
            <w:tcW w:w="303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rPr>
                <w:rFonts w:cs="Garamond"/>
                <w:sz w:val="20"/>
                <w:szCs w:val="20"/>
                <w:lang w:val="fr-FR"/>
              </w:rPr>
            </w:pPr>
            <w:r w:rsidRPr="00C17BF5">
              <w:rPr>
                <w:sz w:val="20"/>
                <w:szCs w:val="20"/>
                <w:lang w:val="fr-FR"/>
              </w:rPr>
              <w:t>Kopacki Rit</w:t>
            </w:r>
          </w:p>
        </w:tc>
      </w:tr>
      <w:tr w:rsidR="003715B5" w:rsidRPr="003715B5" w:rsidTr="00C17BF5">
        <w:tc>
          <w:tcPr>
            <w:tcW w:w="1526"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rPr>
                <w:rFonts w:cs="Garamond"/>
                <w:sz w:val="20"/>
                <w:szCs w:val="20"/>
                <w:lang w:val="fr-FR"/>
              </w:rPr>
            </w:pPr>
            <w:r w:rsidRPr="00C17BF5">
              <w:rPr>
                <w:sz w:val="20"/>
                <w:szCs w:val="20"/>
                <w:lang w:val="fr-FR"/>
              </w:rPr>
              <w:t>Danemark</w:t>
            </w:r>
          </w:p>
        </w:tc>
        <w:tc>
          <w:tcPr>
            <w:tcW w:w="226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c>
          <w:tcPr>
            <w:tcW w:w="2410"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rPr>
                <w:rFonts w:cs="Garamond"/>
                <w:sz w:val="20"/>
                <w:szCs w:val="20"/>
                <w:lang w:val="fr-FR"/>
              </w:rPr>
            </w:pPr>
            <w:r w:rsidRPr="00C17BF5">
              <w:rPr>
                <w:sz w:val="20"/>
                <w:szCs w:val="20"/>
                <w:lang w:val="fr-FR"/>
              </w:rPr>
              <w:t>Ringkøbing Fjord</w:t>
            </w:r>
          </w:p>
        </w:tc>
        <w:tc>
          <w:tcPr>
            <w:tcW w:w="303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r>
      <w:tr w:rsidR="003715B5" w:rsidRPr="003715B5" w:rsidTr="00C17BF5">
        <w:tc>
          <w:tcPr>
            <w:tcW w:w="1526"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rPr>
                <w:rFonts w:cs="Garamond"/>
                <w:sz w:val="20"/>
                <w:szCs w:val="20"/>
                <w:lang w:val="fr-FR"/>
              </w:rPr>
            </w:pPr>
            <w:r w:rsidRPr="00C17BF5">
              <w:rPr>
                <w:sz w:val="20"/>
                <w:szCs w:val="20"/>
                <w:lang w:val="fr-FR"/>
              </w:rPr>
              <w:t>Espagne</w:t>
            </w:r>
          </w:p>
        </w:tc>
        <w:tc>
          <w:tcPr>
            <w:tcW w:w="226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c>
          <w:tcPr>
            <w:tcW w:w="2410"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ind w:right="519"/>
              <w:rPr>
                <w:rFonts w:cs="Garamond"/>
                <w:sz w:val="20"/>
                <w:szCs w:val="20"/>
                <w:lang w:val="fr-FR"/>
              </w:rPr>
            </w:pPr>
            <w:r w:rsidRPr="00C17BF5">
              <w:rPr>
                <w:sz w:val="20"/>
                <w:szCs w:val="20"/>
                <w:lang w:val="fr-FR"/>
              </w:rPr>
              <w:t>Doñana, Las Tablas de Daimiel</w:t>
            </w:r>
          </w:p>
        </w:tc>
        <w:tc>
          <w:tcPr>
            <w:tcW w:w="303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r>
      <w:tr w:rsidR="003715B5" w:rsidRPr="003715B5" w:rsidTr="00C17BF5">
        <w:tc>
          <w:tcPr>
            <w:tcW w:w="1526"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rPr>
                <w:rFonts w:cs="Garamond"/>
                <w:sz w:val="20"/>
                <w:szCs w:val="20"/>
                <w:lang w:val="fr-FR"/>
              </w:rPr>
            </w:pPr>
            <w:r w:rsidRPr="00C17BF5">
              <w:rPr>
                <w:sz w:val="20"/>
                <w:szCs w:val="20"/>
                <w:lang w:val="fr-FR"/>
              </w:rPr>
              <w:t>Grèce</w:t>
            </w:r>
          </w:p>
        </w:tc>
        <w:tc>
          <w:tcPr>
            <w:tcW w:w="226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c>
          <w:tcPr>
            <w:tcW w:w="2410"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c>
          <w:tcPr>
            <w:tcW w:w="303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ind w:right="210"/>
              <w:rPr>
                <w:rFonts w:cs="Garamond"/>
                <w:sz w:val="20"/>
                <w:szCs w:val="20"/>
                <w:lang w:val="fr-FR"/>
              </w:rPr>
            </w:pPr>
            <w:r w:rsidRPr="00C17BF5">
              <w:rPr>
                <w:sz w:val="20"/>
                <w:szCs w:val="20"/>
                <w:lang w:val="fr-FR"/>
              </w:rPr>
              <w:t xml:space="preserve">Amvrakikos gulf, Axios Ludias </w:t>
            </w:r>
            <w:r w:rsidRPr="00C17BF5">
              <w:rPr>
                <w:sz w:val="20"/>
                <w:szCs w:val="20"/>
                <w:lang w:val="fr-FR"/>
              </w:rPr>
              <w:lastRenderedPageBreak/>
              <w:t>Aliakmon delta, Kotychi lagoons, Lake Vistonis Porto Lagos Lake Ismaris &amp; adjoining lagoons, Lakes Volvi &amp; Koronia, Messolonghi lagoons, Nestos delta &amp; adjoining lagoons</w:t>
            </w:r>
          </w:p>
        </w:tc>
      </w:tr>
      <w:tr w:rsidR="003715B5" w:rsidRPr="003715B5" w:rsidTr="00C17BF5">
        <w:tc>
          <w:tcPr>
            <w:tcW w:w="1526"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rPr>
                <w:rFonts w:cs="Garamond"/>
                <w:sz w:val="20"/>
                <w:szCs w:val="20"/>
                <w:lang w:val="fr-FR"/>
              </w:rPr>
            </w:pPr>
            <w:r w:rsidRPr="00C17BF5">
              <w:rPr>
                <w:sz w:val="20"/>
                <w:szCs w:val="20"/>
                <w:lang w:val="fr-FR"/>
              </w:rPr>
              <w:lastRenderedPageBreak/>
              <w:t>République tchèque</w:t>
            </w:r>
          </w:p>
        </w:tc>
        <w:tc>
          <w:tcPr>
            <w:tcW w:w="226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c>
          <w:tcPr>
            <w:tcW w:w="2410"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ind w:right="339"/>
              <w:rPr>
                <w:rFonts w:cs="Garamond"/>
                <w:sz w:val="20"/>
                <w:szCs w:val="20"/>
                <w:lang w:val="fr-FR"/>
              </w:rPr>
            </w:pPr>
            <w:r w:rsidRPr="00C17BF5">
              <w:rPr>
                <w:sz w:val="20"/>
                <w:szCs w:val="20"/>
                <w:lang w:val="fr-FR"/>
              </w:rPr>
              <w:t>Litovelske Pomoravi, Floodplain of lower Dyje River, Poodrí, Trebon fishponds</w:t>
            </w:r>
          </w:p>
        </w:tc>
        <w:tc>
          <w:tcPr>
            <w:tcW w:w="303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r>
      <w:tr w:rsidR="003715B5" w:rsidRPr="003715B5" w:rsidTr="00C17BF5">
        <w:tc>
          <w:tcPr>
            <w:tcW w:w="1526"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rPr>
                <w:sz w:val="20"/>
                <w:szCs w:val="20"/>
                <w:lang w:val="fr-FR"/>
              </w:rPr>
            </w:pPr>
            <w:r w:rsidRPr="00C17BF5">
              <w:rPr>
                <w:sz w:val="20"/>
                <w:szCs w:val="20"/>
                <w:lang w:val="fr-FR"/>
              </w:rPr>
              <w:t>Royaume-Uni</w:t>
            </w:r>
          </w:p>
        </w:tc>
        <w:tc>
          <w:tcPr>
            <w:tcW w:w="226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c>
          <w:tcPr>
            <w:tcW w:w="2410"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pStyle w:val="TableParagraph"/>
              <w:ind w:right="519"/>
              <w:rPr>
                <w:sz w:val="20"/>
                <w:szCs w:val="20"/>
                <w:lang w:val="fr-FR"/>
              </w:rPr>
            </w:pPr>
            <w:r w:rsidRPr="00C17BF5">
              <w:rPr>
                <w:sz w:val="20"/>
                <w:szCs w:val="20"/>
                <w:lang w:val="fr-FR"/>
              </w:rPr>
              <w:t>The Dee Estuary, Ouse Washes</w:t>
            </w:r>
          </w:p>
        </w:tc>
        <w:tc>
          <w:tcPr>
            <w:tcW w:w="3038" w:type="dxa"/>
            <w:tcBorders>
              <w:top w:val="single" w:sz="4" w:space="0" w:color="000000"/>
              <w:left w:val="single" w:sz="4" w:space="0" w:color="000000"/>
              <w:bottom w:val="single" w:sz="4" w:space="0" w:color="000000"/>
              <w:right w:val="single" w:sz="4" w:space="0" w:color="000000"/>
            </w:tcBorders>
          </w:tcPr>
          <w:p w:rsidR="003715B5" w:rsidRPr="00C17BF5" w:rsidRDefault="003715B5" w:rsidP="003715B5">
            <w:pPr>
              <w:rPr>
                <w:sz w:val="20"/>
                <w:szCs w:val="20"/>
                <w:lang w:val="fr-FR"/>
              </w:rPr>
            </w:pPr>
          </w:p>
        </w:tc>
      </w:tr>
    </w:tbl>
    <w:p w:rsidR="003715B5" w:rsidRPr="003715B5" w:rsidRDefault="003715B5" w:rsidP="003715B5">
      <w:pPr>
        <w:rPr>
          <w:rFonts w:ascii="Garamond" w:hAnsi="Garamond" w:cs="Garamond"/>
          <w:sz w:val="20"/>
          <w:szCs w:val="20"/>
          <w:lang w:val="fr-FR"/>
        </w:rPr>
      </w:pPr>
    </w:p>
    <w:p w:rsidR="003715B5" w:rsidRPr="003715B5" w:rsidRDefault="003715B5" w:rsidP="003715B5">
      <w:pPr>
        <w:rPr>
          <w:rFonts w:ascii="Garamond" w:hAnsi="Garamond" w:cs="Garamond"/>
          <w:sz w:val="24"/>
          <w:szCs w:val="24"/>
          <w:lang w:val="fr-FR"/>
        </w:rPr>
      </w:pPr>
    </w:p>
    <w:p w:rsidR="003715B5" w:rsidRPr="00AF095C" w:rsidRDefault="003F124C" w:rsidP="003715B5">
      <w:pPr>
        <w:rPr>
          <w:rFonts w:cs="Garamond"/>
          <w:lang w:val="fr-FR"/>
        </w:rPr>
      </w:pPr>
      <w:r w:rsidRPr="003F124C">
        <w:rPr>
          <w:rFonts w:cs="Garamond"/>
          <w:noProof/>
          <w:lang w:val="fr-FR"/>
        </w:rPr>
      </w:r>
      <w:r>
        <w:rPr>
          <w:rFonts w:cs="Garamond"/>
          <w:noProof/>
          <w:lang w:val="fr-FR"/>
        </w:rPr>
        <w:pict>
          <v:shape id="Text Box 8157" o:spid="_x0000_s1087" type="#_x0000_t202" style="width:454.4pt;height:13.5pt;visibility:visible;mso-left-percent:-10001;mso-top-percent:-10001;mso-position-horizontal:absolute;mso-position-horizontal-relative:char;mso-position-vertical:absolute;mso-position-vertical-relative:line;mso-left-percent:-10001;mso-top-percent:-10001" fillcolor="#fabf90" stroked="f">
            <v:textbox inset="0,0,0,0">
              <w:txbxContent>
                <w:p w:rsidR="001B043A" w:rsidRPr="00C17BF5" w:rsidRDefault="001B043A" w:rsidP="00C17BF5">
                  <w:pPr>
                    <w:rPr>
                      <w:b/>
                      <w:sz w:val="24"/>
                      <w:lang w:val="fr-FR"/>
                    </w:rPr>
                  </w:pPr>
                  <w:r w:rsidRPr="00C17BF5">
                    <w:rPr>
                      <w:b/>
                      <w:sz w:val="24"/>
                      <w:lang w:val="fr-FR"/>
                    </w:rPr>
                    <w:t>But 3 : Coopération internationale</w:t>
                  </w:r>
                </w:p>
              </w:txbxContent>
            </v:textbox>
            <w10:wrap type="none"/>
            <w10:anchorlock/>
          </v:shape>
        </w:pict>
      </w:r>
    </w:p>
    <w:p w:rsidR="003715B5" w:rsidRPr="00AF095C" w:rsidRDefault="003715B5" w:rsidP="003715B5">
      <w:pPr>
        <w:rPr>
          <w:rFonts w:cs="Garamond"/>
          <w:lang w:val="fr-FR"/>
        </w:rPr>
      </w:pPr>
    </w:p>
    <w:p w:rsidR="003715B5" w:rsidRPr="00AF095C" w:rsidRDefault="003715B5" w:rsidP="003715B5">
      <w:pPr>
        <w:rPr>
          <w:rFonts w:cs="Garamond"/>
          <w:lang w:val="fr-FR"/>
        </w:rPr>
      </w:pPr>
      <w:r w:rsidRPr="00AF095C">
        <w:rPr>
          <w:b/>
          <w:lang w:val="fr-FR"/>
        </w:rPr>
        <w:t xml:space="preserve">Synergies et partenariats avec les AME et les OIG </w:t>
      </w:r>
      <w:r w:rsidRPr="00AF095C">
        <w:rPr>
          <w:i/>
          <w:lang w:val="fr-FR"/>
        </w:rPr>
        <w:t>(Stratégie 3.1)</w:t>
      </w:r>
    </w:p>
    <w:p w:rsidR="003715B5" w:rsidRPr="00AF095C" w:rsidRDefault="003715B5" w:rsidP="003715B5">
      <w:pPr>
        <w:rPr>
          <w:rFonts w:cs="Garamond"/>
          <w:i/>
          <w:lang w:val="fr-FR"/>
        </w:rPr>
      </w:pPr>
    </w:p>
    <w:p w:rsidR="003715B5" w:rsidRPr="00AF095C" w:rsidRDefault="003715B5" w:rsidP="003715B5">
      <w:pPr>
        <w:pStyle w:val="BodyText"/>
        <w:tabs>
          <w:tab w:val="left" w:pos="360"/>
          <w:tab w:val="left" w:pos="789"/>
        </w:tabs>
        <w:ind w:left="360" w:right="288" w:hanging="360"/>
        <w:rPr>
          <w:rFonts w:asciiTheme="minorHAnsi" w:hAnsiTheme="minorHAnsi"/>
          <w:sz w:val="22"/>
          <w:szCs w:val="22"/>
          <w:lang w:val="fr-FR"/>
        </w:rPr>
      </w:pPr>
      <w:r w:rsidRPr="00AF095C">
        <w:rPr>
          <w:rFonts w:asciiTheme="minorHAnsi" w:hAnsiTheme="minorHAnsi"/>
          <w:sz w:val="22"/>
          <w:szCs w:val="22"/>
          <w:lang w:val="fr-FR"/>
        </w:rPr>
        <w:t>55.</w:t>
      </w:r>
      <w:r w:rsidRPr="00AF095C">
        <w:rPr>
          <w:rFonts w:asciiTheme="minorHAnsi" w:hAnsiTheme="minorHAnsi"/>
          <w:sz w:val="22"/>
          <w:szCs w:val="22"/>
          <w:lang w:val="fr-FR"/>
        </w:rPr>
        <w:tab/>
        <w:t>À la COP7 (1999), les Parties ont reconnu l’utilité de travailler en partenariat avec des accords multilatéraux sur l’environnement mondiaux et régionaux (AME) et autres organisations intergouvernementales. Cette collaboration est plus que jamais nécessaire. La COP11 a adopté la Résolution XI.6 qui porte sur l’amélioration de la coopération aux niveaux international et national, énumérant plusieurs activités concrètes. Un des moyens de garantir un travail coordonné et coopératif au niveau national consiste à inviter les correspondants nationaux d’autres AME à participer aux travaux des Comités nationaux Ramsar. Seules, huit Parties européennes déclarent que ce travail est en cours (Indicateur 3.1.1), un pourcentage inférieur à celui des Parties faisant de même dans d’autres régions. La collaboration entre les Autorités administratives Ramsar et les correspondants d’autres organismes mondiaux et régionaux (tels que le PNUE, le PNUD, l’UNESCO, la CEE</w:t>
      </w:r>
      <w:r w:rsidRPr="00AF095C">
        <w:rPr>
          <w:rFonts w:asciiTheme="minorHAnsi" w:hAnsiTheme="minorHAnsi"/>
          <w:sz w:val="22"/>
          <w:szCs w:val="22"/>
          <w:lang w:val="fr-FR"/>
        </w:rPr>
        <w:noBreakHyphen/>
        <w:t xml:space="preserve">ONU, l’OMS, la FAO, l’OIBT) ne fait que commencer et seules dix Parties font état d’une telle collaboration, même si ces organismes se chargent d’un nombre impressionnant de projets relatifs aux zones humides dans beaucoup de pays d’Europe de l’Est, notamment dans le cadre du programme du Fonds pour l’environnement mondial (FEM). </w:t>
      </w:r>
    </w:p>
    <w:p w:rsidR="003715B5" w:rsidRPr="00AF095C" w:rsidRDefault="003715B5" w:rsidP="003715B5">
      <w:pPr>
        <w:pStyle w:val="BodyText"/>
        <w:tabs>
          <w:tab w:val="left" w:pos="789"/>
        </w:tabs>
        <w:ind w:left="0" w:right="288" w:firstLine="0"/>
        <w:rPr>
          <w:rFonts w:asciiTheme="minorHAnsi" w:hAnsiTheme="minorHAnsi"/>
          <w:sz w:val="22"/>
          <w:szCs w:val="22"/>
          <w:lang w:val="fr-FR"/>
        </w:rPr>
      </w:pPr>
    </w:p>
    <w:p w:rsidR="003715B5" w:rsidRPr="00AF095C" w:rsidRDefault="003715B5" w:rsidP="003715B5">
      <w:pPr>
        <w:rPr>
          <w:rFonts w:cs="Garamond"/>
          <w:lang w:val="fr-FR"/>
        </w:rPr>
      </w:pPr>
      <w:r w:rsidRPr="00AF095C">
        <w:rPr>
          <w:b/>
          <w:lang w:val="fr-FR"/>
        </w:rPr>
        <w:t xml:space="preserve">Initiatives régionales </w:t>
      </w:r>
      <w:r w:rsidRPr="00AF095C">
        <w:rPr>
          <w:i/>
          <w:lang w:val="fr-FR"/>
        </w:rPr>
        <w:t>(Stratégie 3.2)</w:t>
      </w:r>
    </w:p>
    <w:p w:rsidR="003715B5" w:rsidRPr="00AF095C" w:rsidRDefault="003715B5" w:rsidP="003715B5">
      <w:pPr>
        <w:rPr>
          <w:rFonts w:cs="Garamond"/>
          <w:i/>
          <w:lang w:val="fr-FR"/>
        </w:rPr>
      </w:pPr>
    </w:p>
    <w:p w:rsidR="003715B5" w:rsidRPr="00AF095C" w:rsidRDefault="003715B5" w:rsidP="003715B5">
      <w:pPr>
        <w:pStyle w:val="BodyText"/>
        <w:tabs>
          <w:tab w:val="left" w:pos="360"/>
          <w:tab w:val="left" w:pos="788"/>
        </w:tabs>
        <w:ind w:left="360" w:right="263" w:hanging="360"/>
        <w:rPr>
          <w:rFonts w:asciiTheme="minorHAnsi" w:hAnsiTheme="minorHAnsi"/>
          <w:sz w:val="22"/>
          <w:szCs w:val="22"/>
          <w:lang w:val="fr-FR"/>
        </w:rPr>
      </w:pPr>
      <w:r w:rsidRPr="00AF095C">
        <w:rPr>
          <w:rFonts w:asciiTheme="minorHAnsi" w:hAnsiTheme="minorHAnsi"/>
          <w:sz w:val="22"/>
          <w:szCs w:val="22"/>
          <w:lang w:val="fr-FR"/>
        </w:rPr>
        <w:t>56.</w:t>
      </w:r>
      <w:r w:rsidRPr="00AF095C">
        <w:rPr>
          <w:rFonts w:asciiTheme="minorHAnsi" w:hAnsiTheme="minorHAnsi"/>
          <w:sz w:val="22"/>
          <w:szCs w:val="22"/>
          <w:lang w:val="fr-FR"/>
        </w:rPr>
        <w:tab/>
        <w:t>L’Initiative pour les zones humides méditerranéennes (</w:t>
      </w:r>
      <w:hyperlink r:id="rId16" w:history="1">
        <w:r w:rsidRPr="00AF095C">
          <w:rPr>
            <w:rStyle w:val="Hyperlink"/>
            <w:rFonts w:asciiTheme="minorHAnsi" w:hAnsiTheme="minorHAnsi"/>
            <w:sz w:val="22"/>
            <w:szCs w:val="22"/>
            <w:lang w:val="fr-FR"/>
          </w:rPr>
          <w:t>www.medwet.org</w:t>
        </w:r>
      </w:hyperlink>
      <w:r w:rsidRPr="00AF095C">
        <w:rPr>
          <w:rFonts w:asciiTheme="minorHAnsi" w:hAnsiTheme="minorHAnsi"/>
          <w:sz w:val="22"/>
          <w:szCs w:val="22"/>
          <w:lang w:val="fr-FR"/>
        </w:rPr>
        <w:t>) a été lancée de manière indépendante en 1991 puis elle est devenue officiellement partie de la Convention de Ramsar en 1999 (Résolution VII.22). Le succès de MedWet a été à l’origine de la création d’autres Initiatives régionales Ramsar. En Europe, l’Initiative pour les zones humides nordiques-baltiques (</w:t>
      </w:r>
      <w:hyperlink r:id="rId17" w:history="1">
        <w:r w:rsidRPr="00AF095C">
          <w:rPr>
            <w:rStyle w:val="Hyperlink"/>
            <w:rFonts w:asciiTheme="minorHAnsi" w:hAnsiTheme="minorHAnsi"/>
            <w:sz w:val="22"/>
            <w:szCs w:val="22"/>
            <w:lang w:val="fr-FR"/>
          </w:rPr>
          <w:t>www.norbalwet.org</w:t>
        </w:r>
      </w:hyperlink>
      <w:r w:rsidRPr="00AF095C">
        <w:rPr>
          <w:rFonts w:asciiTheme="minorHAnsi" w:hAnsiTheme="minorHAnsi"/>
          <w:sz w:val="22"/>
          <w:szCs w:val="22"/>
          <w:lang w:val="fr-FR"/>
        </w:rPr>
        <w:t>) rassemble neuf Parties Ramsar (plus le Groenland) depuis 2005. Les sept Parties à la Convention des Carpates ont décidé, en 2004, de créer une Initiative pour les zones humides des Carpates (</w:t>
      </w:r>
      <w:hyperlink r:id="rId18" w:history="1">
        <w:r w:rsidRPr="00AF095C">
          <w:rPr>
            <w:rStyle w:val="Hyperlink"/>
            <w:rFonts w:asciiTheme="minorHAnsi" w:hAnsiTheme="minorHAnsi"/>
            <w:sz w:val="22"/>
            <w:szCs w:val="22"/>
            <w:lang w:val="fr-FR"/>
          </w:rPr>
          <w:t>www.cwi.sk</w:t>
        </w:r>
      </w:hyperlink>
      <w:r w:rsidRPr="00AF095C">
        <w:rPr>
          <w:rFonts w:asciiTheme="minorHAnsi" w:hAnsiTheme="minorHAnsi"/>
          <w:sz w:val="22"/>
          <w:szCs w:val="22"/>
          <w:lang w:val="fr-FR"/>
        </w:rPr>
        <w:t>) qui sert de lien utile pour la coopération relative aux zones humides entre la Convention des Carpates et la Convention de Ramsar. En 2006, Wetlands International a remis sur rail une proposition d’Initiative pour les zones humides de la mer Noire (BlackSeaWet) qui se concentre sur les zones côtières de sept pays bordant la mer Noire et la mer d’Azov (</w:t>
      </w:r>
      <w:hyperlink r:id="rId19" w:history="1">
        <w:r w:rsidRPr="00AF095C">
          <w:rPr>
            <w:rStyle w:val="Hyperlink"/>
            <w:rFonts w:asciiTheme="minorHAnsi" w:hAnsiTheme="minorHAnsi"/>
            <w:sz w:val="22"/>
            <w:szCs w:val="22"/>
            <w:lang w:val="fr-FR"/>
          </w:rPr>
          <w:t>www.blackseawet.org</w:t>
        </w:r>
      </w:hyperlink>
      <w:r w:rsidRPr="00AF095C">
        <w:rPr>
          <w:rFonts w:asciiTheme="minorHAnsi" w:hAnsiTheme="minorHAnsi"/>
          <w:sz w:val="22"/>
          <w:szCs w:val="22"/>
          <w:lang w:val="fr-FR"/>
        </w:rPr>
        <w:t xml:space="preserve">). Certains des pays concernés participent activement aux travaux de l’Initiative. Deux d’entre eux, la Bulgarie et la Turquie, sont également membres de l’Initiative MedWet. Compte tenu de cette expérience de coopération régionale acquise depuis 15 ans, le potentiel d’échange, de transfert de </w:t>
      </w:r>
      <w:r w:rsidR="00AF095C" w:rsidRPr="00AF095C">
        <w:rPr>
          <w:rFonts w:asciiTheme="minorHAnsi" w:hAnsiTheme="minorHAnsi"/>
          <w:sz w:val="22"/>
          <w:szCs w:val="22"/>
          <w:lang w:val="fr-FR"/>
        </w:rPr>
        <w:t>savoir-faire</w:t>
      </w:r>
      <w:r w:rsidRPr="00AF095C">
        <w:rPr>
          <w:rFonts w:asciiTheme="minorHAnsi" w:hAnsiTheme="minorHAnsi"/>
          <w:sz w:val="22"/>
          <w:szCs w:val="22"/>
          <w:lang w:val="fr-FR"/>
        </w:rPr>
        <w:t>, de coopération et de synergies entre les différentes Initiatives régionales européennes est énorme et devrait croître encore (Indicateur 3.2.1).</w:t>
      </w:r>
    </w:p>
    <w:p w:rsidR="003715B5" w:rsidRPr="00AF095C" w:rsidRDefault="003715B5" w:rsidP="003715B5">
      <w:pPr>
        <w:pStyle w:val="BodyText"/>
        <w:tabs>
          <w:tab w:val="left" w:pos="360"/>
          <w:tab w:val="left" w:pos="788"/>
        </w:tabs>
        <w:ind w:left="360" w:right="263" w:hanging="360"/>
        <w:rPr>
          <w:rFonts w:asciiTheme="minorHAnsi" w:hAnsiTheme="minorHAnsi"/>
          <w:sz w:val="22"/>
          <w:szCs w:val="22"/>
          <w:lang w:val="fr-FR"/>
        </w:rPr>
      </w:pPr>
    </w:p>
    <w:p w:rsidR="003715B5" w:rsidRPr="00AF095C" w:rsidRDefault="003715B5" w:rsidP="003715B5">
      <w:pPr>
        <w:pStyle w:val="BodyText"/>
        <w:tabs>
          <w:tab w:val="left" w:pos="360"/>
          <w:tab w:val="left" w:pos="788"/>
        </w:tabs>
        <w:ind w:left="360" w:right="372" w:hanging="360"/>
        <w:rPr>
          <w:rFonts w:asciiTheme="minorHAnsi" w:hAnsiTheme="minorHAnsi"/>
          <w:sz w:val="22"/>
          <w:szCs w:val="22"/>
          <w:lang w:val="fr-FR"/>
        </w:rPr>
      </w:pPr>
      <w:r w:rsidRPr="00AF095C">
        <w:rPr>
          <w:rFonts w:asciiTheme="minorHAnsi" w:hAnsiTheme="minorHAnsi"/>
          <w:sz w:val="22"/>
          <w:szCs w:val="22"/>
          <w:lang w:val="fr-FR"/>
        </w:rPr>
        <w:t>57.</w:t>
      </w:r>
      <w:r w:rsidRPr="00AF095C">
        <w:rPr>
          <w:rFonts w:asciiTheme="minorHAnsi" w:hAnsiTheme="minorHAnsi"/>
          <w:sz w:val="22"/>
          <w:szCs w:val="22"/>
          <w:lang w:val="fr-FR"/>
        </w:rPr>
        <w:tab/>
        <w:t>Ces réseaux régionaux tournés vers la coopération, le renforcement des capacités et la formation doivent resserrer leurs liens de collaboration avec les Correspondants nationaux Ramsar pour les questions scientifiques et techniques (GEST) et pour la communication, l’éducation, la sensibilisation et la participation (CESP). Les Initiatives régionales devraient harmoniser leurs activités avec celles du nouveau Plan stratégique Ramsar et soutenir la mise en œuvre de la Convention sur le terrain. Contrairement à d’autres régions, l’Europe ne possède pas encore de centre Ramsar de recherche et de formation aux zones humides. Toutefois, un centre de recherche indépendant et bien établi pour la conservation des zones humides méditerranéennes (</w:t>
      </w:r>
      <w:hyperlink r:id="rId20" w:history="1">
        <w:r w:rsidRPr="00AF095C">
          <w:rPr>
            <w:rStyle w:val="Hyperlink"/>
            <w:rFonts w:asciiTheme="minorHAnsi" w:hAnsiTheme="minorHAnsi"/>
            <w:sz w:val="22"/>
            <w:szCs w:val="22"/>
            <w:lang w:val="fr-FR"/>
          </w:rPr>
          <w:t>www.tourduvalat.org</w:t>
        </w:r>
      </w:hyperlink>
      <w:r w:rsidRPr="00AF095C">
        <w:rPr>
          <w:rFonts w:asciiTheme="minorHAnsi" w:hAnsiTheme="minorHAnsi"/>
          <w:sz w:val="22"/>
          <w:szCs w:val="22"/>
          <w:lang w:val="fr-FR"/>
        </w:rPr>
        <w:t>) collabore étroitement avec l’Initiative MedWet et le GEST de Ramsar, dans le cadre de son « Observatoire des zones humides méditerranéennes » (Indicateur 3.2.2).</w:t>
      </w:r>
    </w:p>
    <w:p w:rsidR="003715B5" w:rsidRPr="00AF095C" w:rsidRDefault="003715B5" w:rsidP="003715B5">
      <w:pPr>
        <w:rPr>
          <w:rFonts w:cs="Garamond"/>
          <w:lang w:val="fr-FR"/>
        </w:rPr>
      </w:pPr>
    </w:p>
    <w:p w:rsidR="003715B5" w:rsidRPr="00AF095C" w:rsidRDefault="003715B5" w:rsidP="003715B5">
      <w:pPr>
        <w:rPr>
          <w:rFonts w:cs="Garamond"/>
          <w:lang w:val="fr-FR"/>
        </w:rPr>
      </w:pPr>
      <w:r w:rsidRPr="00AF095C">
        <w:rPr>
          <w:b/>
          <w:lang w:val="fr-FR"/>
        </w:rPr>
        <w:t xml:space="preserve">Assistance internationale </w:t>
      </w:r>
      <w:r w:rsidRPr="00AF095C">
        <w:rPr>
          <w:i/>
          <w:lang w:val="fr-FR"/>
        </w:rPr>
        <w:t>(Stratégie 3.3)</w:t>
      </w:r>
    </w:p>
    <w:p w:rsidR="003715B5" w:rsidRPr="00AF095C" w:rsidRDefault="003715B5" w:rsidP="003715B5">
      <w:pPr>
        <w:rPr>
          <w:rFonts w:cs="Garamond"/>
          <w:i/>
          <w:lang w:val="fr-FR"/>
        </w:rPr>
      </w:pPr>
    </w:p>
    <w:p w:rsidR="003715B5" w:rsidRPr="00AF095C" w:rsidRDefault="003715B5" w:rsidP="003715B5">
      <w:pPr>
        <w:pStyle w:val="BodyText"/>
        <w:tabs>
          <w:tab w:val="left" w:pos="360"/>
          <w:tab w:val="left" w:pos="708"/>
        </w:tabs>
        <w:ind w:left="360" w:right="172" w:hanging="360"/>
        <w:rPr>
          <w:rFonts w:asciiTheme="minorHAnsi" w:hAnsiTheme="minorHAnsi"/>
          <w:sz w:val="22"/>
          <w:szCs w:val="22"/>
          <w:lang w:val="fr-FR"/>
        </w:rPr>
      </w:pPr>
      <w:r w:rsidRPr="00AF095C">
        <w:rPr>
          <w:rFonts w:asciiTheme="minorHAnsi" w:hAnsiTheme="minorHAnsi"/>
          <w:sz w:val="22"/>
          <w:szCs w:val="22"/>
          <w:lang w:val="fr-FR"/>
        </w:rPr>
        <w:t>58.</w:t>
      </w:r>
      <w:r w:rsidRPr="00AF095C">
        <w:rPr>
          <w:rFonts w:asciiTheme="minorHAnsi" w:hAnsiTheme="minorHAnsi"/>
          <w:sz w:val="22"/>
          <w:szCs w:val="22"/>
          <w:lang w:val="fr-FR"/>
        </w:rPr>
        <w:tab/>
        <w:t xml:space="preserve">Les Parties sont priées de promouvoir l’assistance internationale pour la conservation et l’utilisation rationnelle des zones humides et de veiller à ce que des garanties et des évaluations environnementales fassent intégralement partie de tous les projets de développement qui touchent les zones humides, y compris les investissements nationaux et étrangers. Les Correspondants Ramsar de pays européens qui ont un organisme d’aide au développement (« pays donateurs ») ne semblent pas tous avoir connaissance des projets que cet organisme soutient (voir annexe 2), ni savoir s’il dispose de ressources financières pour soutenir la conservation et la gestion des zones humides dans d’autres pays (Indicateur </w:t>
      </w:r>
      <w:r w:rsidRPr="00AF095C">
        <w:rPr>
          <w:rFonts w:asciiTheme="minorHAnsi" w:hAnsiTheme="minorHAnsi" w:cs="Garamond"/>
          <w:sz w:val="22"/>
          <w:szCs w:val="22"/>
          <w:lang w:val="fr-FR"/>
        </w:rPr>
        <w:t>3.3.1</w:t>
      </w:r>
      <w:r w:rsidRPr="00AF095C">
        <w:rPr>
          <w:rFonts w:asciiTheme="minorHAnsi" w:hAnsiTheme="minorHAnsi"/>
          <w:sz w:val="22"/>
          <w:szCs w:val="22"/>
          <w:lang w:val="fr-FR"/>
        </w:rPr>
        <w:t xml:space="preserve">) ou si des garanties et évaluations environnementales sont inscrites dans les projets de développement qu’il finance (Indicateur 3.3.2). Cependant, le Danemark (DANIDA), la France (AFD, FFEM), l’Allemagne (BMZ, GIZ, KfW), la Norvège (NORAD), la Slovaquie, la Slovénie, l’Espagne (PDCE, LifeWeb) et la Suisse (SDC) signalent un financement spécifiquement lié aux zones humides. D’un autre côté, l’Albanie, le Bélarus, la Géorgie et l’Ukraine déclarent recevoir un appui international pour la conservation et la gestion des zones humides nationales. D’autres pays éligibles tels que l’Azerbaïdjan, la </w:t>
      </w:r>
      <w:r w:rsidR="00AF095C" w:rsidRPr="00AF095C">
        <w:rPr>
          <w:rFonts w:asciiTheme="minorHAnsi" w:hAnsiTheme="minorHAnsi"/>
          <w:sz w:val="22"/>
          <w:szCs w:val="22"/>
          <w:lang w:val="fr-FR"/>
        </w:rPr>
        <w:t>Bosnie-Herzégovine</w:t>
      </w:r>
      <w:r w:rsidRPr="00AF095C">
        <w:rPr>
          <w:rFonts w:asciiTheme="minorHAnsi" w:hAnsiTheme="minorHAnsi"/>
          <w:sz w:val="22"/>
          <w:szCs w:val="22"/>
          <w:lang w:val="fr-FR"/>
        </w:rPr>
        <w:t>, la République de Moldova et la Serbie n’en font pas état (Indicateur 3.3.3). Par ailleurs, l’Union européenne soutient beaucoup de projets relatifs aux zones humides dans ses 28 États membres ainsi qu’</w:t>
      </w:r>
      <w:r w:rsidR="00AF095C" w:rsidRPr="00AF095C">
        <w:rPr>
          <w:rFonts w:asciiTheme="minorHAnsi" w:hAnsiTheme="minorHAnsi"/>
          <w:sz w:val="22"/>
          <w:szCs w:val="22"/>
          <w:lang w:val="fr-FR"/>
        </w:rPr>
        <w:t>au-delà</w:t>
      </w:r>
      <w:r w:rsidRPr="00AF095C">
        <w:rPr>
          <w:rFonts w:asciiTheme="minorHAnsi" w:hAnsiTheme="minorHAnsi"/>
          <w:sz w:val="22"/>
          <w:szCs w:val="22"/>
          <w:lang w:val="fr-FR"/>
        </w:rPr>
        <w:t xml:space="preserve"> de ses frontières.</w:t>
      </w:r>
    </w:p>
    <w:p w:rsidR="003715B5" w:rsidRPr="00AF095C" w:rsidRDefault="003715B5" w:rsidP="003715B5">
      <w:pPr>
        <w:rPr>
          <w:rFonts w:cs="Garamond"/>
          <w:lang w:val="fr-FR"/>
        </w:rPr>
      </w:pPr>
    </w:p>
    <w:p w:rsidR="003715B5" w:rsidRPr="00AF095C" w:rsidRDefault="003715B5" w:rsidP="003715B5">
      <w:pPr>
        <w:rPr>
          <w:rFonts w:cs="Garamond"/>
          <w:i/>
          <w:lang w:val="fr-FR"/>
        </w:rPr>
      </w:pPr>
      <w:r w:rsidRPr="00AF095C">
        <w:rPr>
          <w:rFonts w:cs="Garamond"/>
          <w:b/>
          <w:lang w:val="fr-FR"/>
        </w:rPr>
        <w:t xml:space="preserve">Partage de l’information et de l’expertise </w:t>
      </w:r>
      <w:r w:rsidRPr="00AF095C">
        <w:rPr>
          <w:rFonts w:cs="Garamond"/>
          <w:i/>
          <w:lang w:val="fr-FR"/>
        </w:rPr>
        <w:t>(Stratégie 3.4)</w:t>
      </w:r>
    </w:p>
    <w:p w:rsidR="003715B5" w:rsidRPr="00AF095C" w:rsidRDefault="003715B5" w:rsidP="003715B5">
      <w:pPr>
        <w:rPr>
          <w:rFonts w:cs="Garamond"/>
          <w:lang w:val="fr-FR"/>
        </w:rPr>
      </w:pPr>
    </w:p>
    <w:p w:rsidR="003715B5" w:rsidRPr="00AF095C" w:rsidRDefault="003715B5" w:rsidP="003715B5">
      <w:pPr>
        <w:tabs>
          <w:tab w:val="left" w:pos="360"/>
        </w:tabs>
        <w:ind w:left="360" w:hanging="360"/>
        <w:rPr>
          <w:rFonts w:cs="Garamond"/>
          <w:lang w:val="fr-FR"/>
        </w:rPr>
      </w:pPr>
      <w:r w:rsidRPr="00AF095C">
        <w:rPr>
          <w:rFonts w:cs="Garamond"/>
          <w:lang w:val="fr-FR"/>
        </w:rPr>
        <w:t>59.</w:t>
      </w:r>
      <w:r w:rsidRPr="00AF095C">
        <w:rPr>
          <w:rFonts w:cs="Garamond"/>
          <w:lang w:val="fr-FR"/>
        </w:rPr>
        <w:tab/>
        <w:t>Plus de la moitié des Parties européennes indiquent avoir des réseaux, y compris des dispositions de jumelage aux niveaux national et international, pour le partage des connaissances et la formation (Indicateur 3.4.1). C’est un chiffre légèrement plus élevé que la moyenne mondiale. Les trois quart des Parties européennes (légèrement plus que la moyenne mondiale) signalent que l’information sur leurs zones humides et/ou leurs Sites Ramsar et l’état de ces sites est publique (Indicateur 3.4.2) mais, moins de la moitié d’entre elles (moins que la moyenne mondiale) ont transmis cette information sur leurs zones humides et/ou leurs Sites Ramsar au Secrétariat Ramsar (Indicateur 3.4.3).</w:t>
      </w:r>
    </w:p>
    <w:p w:rsidR="003715B5" w:rsidRPr="00AF095C" w:rsidRDefault="003715B5" w:rsidP="003715B5">
      <w:pPr>
        <w:rPr>
          <w:rFonts w:cs="Garamond"/>
          <w:lang w:val="fr-FR"/>
        </w:rPr>
      </w:pPr>
    </w:p>
    <w:p w:rsidR="003715B5" w:rsidRPr="00AF095C" w:rsidRDefault="003715B5" w:rsidP="003715B5">
      <w:pPr>
        <w:rPr>
          <w:rFonts w:cs="Garamond"/>
          <w:lang w:val="fr-FR"/>
        </w:rPr>
      </w:pPr>
      <w:r w:rsidRPr="00AF095C">
        <w:rPr>
          <w:b/>
          <w:lang w:val="fr-FR"/>
        </w:rPr>
        <w:t xml:space="preserve">Les zones humides, les bassins hydrographiques et les espèces migratrices partagés </w:t>
      </w:r>
      <w:r w:rsidRPr="00AF095C">
        <w:rPr>
          <w:i/>
          <w:lang w:val="fr-FR"/>
        </w:rPr>
        <w:t>(Stratégie 3.5)</w:t>
      </w:r>
    </w:p>
    <w:p w:rsidR="003715B5" w:rsidRPr="00AF095C" w:rsidRDefault="003715B5" w:rsidP="003715B5">
      <w:pPr>
        <w:rPr>
          <w:rFonts w:cs="Garamond"/>
          <w:i/>
          <w:lang w:val="fr-FR"/>
        </w:rPr>
      </w:pPr>
    </w:p>
    <w:p w:rsidR="003715B5" w:rsidRPr="00AF095C" w:rsidRDefault="003715B5" w:rsidP="003715B5">
      <w:pPr>
        <w:pStyle w:val="BodyText"/>
        <w:tabs>
          <w:tab w:val="left" w:pos="360"/>
          <w:tab w:val="left" w:pos="708"/>
        </w:tabs>
        <w:ind w:left="360" w:right="211" w:hanging="360"/>
        <w:rPr>
          <w:rFonts w:asciiTheme="minorHAnsi" w:hAnsiTheme="minorHAnsi"/>
          <w:sz w:val="22"/>
          <w:szCs w:val="22"/>
          <w:lang w:val="fr-FR"/>
        </w:rPr>
      </w:pPr>
      <w:r w:rsidRPr="00AF095C">
        <w:rPr>
          <w:rFonts w:asciiTheme="minorHAnsi" w:hAnsiTheme="minorHAnsi"/>
          <w:sz w:val="22"/>
          <w:szCs w:val="22"/>
          <w:lang w:val="fr-FR"/>
        </w:rPr>
        <w:t>60.</w:t>
      </w:r>
      <w:r w:rsidRPr="00AF095C">
        <w:rPr>
          <w:rFonts w:asciiTheme="minorHAnsi" w:hAnsiTheme="minorHAnsi"/>
          <w:sz w:val="22"/>
          <w:szCs w:val="22"/>
          <w:lang w:val="fr-FR"/>
        </w:rPr>
        <w:tab/>
        <w:t xml:space="preserve">Les Parties européennes jouent un rôle pionnier en matière de mise en œuvre des obligations formulées dans l’article 5 de la Convention et ont établi des procédures de coopération transfrontalière pour de nombreux Sites Ramsar partagés. La plupart des Parties européennes signalent avoir identifié tous les systèmes de zones humides transfrontières de leurs pays </w:t>
      </w:r>
      <w:r w:rsidRPr="00AF095C">
        <w:rPr>
          <w:rFonts w:asciiTheme="minorHAnsi" w:hAnsiTheme="minorHAnsi"/>
          <w:sz w:val="22"/>
          <w:szCs w:val="22"/>
          <w:lang w:val="fr-FR"/>
        </w:rPr>
        <w:lastRenderedPageBreak/>
        <w:t>(</w:t>
      </w:r>
      <w:r w:rsidRPr="00AF095C">
        <w:rPr>
          <w:rFonts w:asciiTheme="minorHAnsi" w:hAnsiTheme="minorHAnsi" w:cs="Garamond"/>
          <w:sz w:val="22"/>
          <w:szCs w:val="22"/>
          <w:lang w:val="fr-FR"/>
        </w:rPr>
        <w:t xml:space="preserve">Indicateur </w:t>
      </w:r>
      <w:r w:rsidRPr="00AF095C">
        <w:rPr>
          <w:rFonts w:asciiTheme="minorHAnsi" w:hAnsiTheme="minorHAnsi"/>
          <w:sz w:val="22"/>
          <w:szCs w:val="22"/>
          <w:lang w:val="fr-FR"/>
        </w:rPr>
        <w:t>3.5.1, voir annexe 1). Les travaux Ramsar dans les bassins hydrographiques et écosystèmes de zones humides partagés font partie du processus d’évaluation de la Convention sur l’eau de la CEE</w:t>
      </w:r>
      <w:r w:rsidRPr="00AF095C">
        <w:rPr>
          <w:rFonts w:asciiTheme="minorHAnsi" w:hAnsiTheme="minorHAnsi"/>
          <w:sz w:val="22"/>
          <w:szCs w:val="22"/>
          <w:lang w:val="fr-FR"/>
        </w:rPr>
        <w:noBreakHyphen/>
        <w:t xml:space="preserve">ONU, dans le cadre de laquelle un choix de 25 écosystèmes de zones humides transfrontières (et Sites Ramsar) ont été évalués dans la publication de 2011 (voir par. 32 </w:t>
      </w:r>
      <w:r w:rsidR="00AF095C" w:rsidRPr="00AF095C">
        <w:rPr>
          <w:rFonts w:asciiTheme="minorHAnsi" w:hAnsiTheme="minorHAnsi"/>
          <w:sz w:val="22"/>
          <w:szCs w:val="22"/>
          <w:lang w:val="fr-FR"/>
        </w:rPr>
        <w:t>ci-dessus</w:t>
      </w:r>
      <w:r w:rsidRPr="00AF095C">
        <w:rPr>
          <w:rFonts w:asciiTheme="minorHAnsi" w:hAnsiTheme="minorHAnsi"/>
          <w:sz w:val="22"/>
          <w:szCs w:val="22"/>
          <w:lang w:val="fr-FR"/>
        </w:rPr>
        <w:t>).</w:t>
      </w:r>
    </w:p>
    <w:p w:rsidR="003715B5" w:rsidRPr="00AF095C" w:rsidRDefault="003715B5" w:rsidP="003715B5">
      <w:pPr>
        <w:pStyle w:val="BodyText"/>
        <w:tabs>
          <w:tab w:val="left" w:pos="360"/>
          <w:tab w:val="left" w:pos="708"/>
        </w:tabs>
        <w:ind w:left="360" w:right="211" w:hanging="360"/>
        <w:rPr>
          <w:rFonts w:asciiTheme="minorHAnsi" w:hAnsiTheme="minorHAnsi"/>
          <w:sz w:val="22"/>
          <w:szCs w:val="22"/>
          <w:lang w:val="fr-FR"/>
        </w:rPr>
      </w:pPr>
    </w:p>
    <w:p w:rsidR="003715B5" w:rsidRPr="00AF095C" w:rsidRDefault="003715B5" w:rsidP="003715B5">
      <w:pPr>
        <w:pStyle w:val="BodyText"/>
        <w:tabs>
          <w:tab w:val="left" w:pos="360"/>
          <w:tab w:val="left" w:pos="708"/>
        </w:tabs>
        <w:ind w:left="360" w:right="211" w:hanging="360"/>
        <w:rPr>
          <w:rFonts w:asciiTheme="minorHAnsi" w:hAnsiTheme="minorHAnsi"/>
          <w:sz w:val="22"/>
          <w:szCs w:val="22"/>
          <w:lang w:val="fr-FR"/>
        </w:rPr>
      </w:pPr>
      <w:r w:rsidRPr="00AF095C">
        <w:rPr>
          <w:rFonts w:asciiTheme="minorHAnsi" w:hAnsiTheme="minorHAnsi"/>
          <w:sz w:val="22"/>
          <w:szCs w:val="22"/>
          <w:lang w:val="fr-FR"/>
        </w:rPr>
        <w:t>61.</w:t>
      </w:r>
      <w:r w:rsidRPr="00AF095C">
        <w:rPr>
          <w:rFonts w:asciiTheme="minorHAnsi" w:hAnsiTheme="minorHAnsi"/>
          <w:sz w:val="22"/>
          <w:szCs w:val="22"/>
          <w:lang w:val="fr-FR"/>
        </w:rPr>
        <w:tab/>
        <w:t xml:space="preserve">Actuellement, 16 écosystèmes de zones humides partagés sont officiellement inscrits comme </w:t>
      </w:r>
      <w:r w:rsidRPr="00AF095C">
        <w:rPr>
          <w:rFonts w:asciiTheme="minorHAnsi" w:hAnsiTheme="minorHAnsi"/>
          <w:i/>
          <w:sz w:val="22"/>
          <w:szCs w:val="22"/>
          <w:lang w:val="fr-FR"/>
        </w:rPr>
        <w:t>Sites Ramsar transfrontières</w:t>
      </w:r>
      <w:r w:rsidRPr="00AF095C">
        <w:rPr>
          <w:rFonts w:asciiTheme="minorHAnsi" w:hAnsiTheme="minorHAnsi"/>
          <w:sz w:val="22"/>
          <w:szCs w:val="22"/>
          <w:lang w:val="fr-FR"/>
        </w:rPr>
        <w:t xml:space="preserve">, et 15 d’entre eux se trouvent en Europe. Trois nouveaux </w:t>
      </w:r>
      <w:r w:rsidRPr="00AF095C">
        <w:rPr>
          <w:rFonts w:asciiTheme="minorHAnsi" w:hAnsiTheme="minorHAnsi"/>
          <w:i/>
          <w:sz w:val="22"/>
          <w:szCs w:val="22"/>
          <w:lang w:val="fr-FR"/>
        </w:rPr>
        <w:t>Sites Ramsar transfrontières</w:t>
      </w:r>
      <w:r w:rsidRPr="00AF095C">
        <w:rPr>
          <w:rFonts w:asciiTheme="minorHAnsi" w:hAnsiTheme="minorHAnsi"/>
          <w:sz w:val="22"/>
          <w:szCs w:val="22"/>
          <w:lang w:val="fr-FR"/>
        </w:rPr>
        <w:t xml:space="preserve"> ont été déclarés depuis la COP11 et sont partagés entre la Bulgarie et la Roumanie le long du corridor vert du Danube inférieur : lac Calarasi (Iezerul Calarasi)-Srébarna, le complexe insulaire de Suhaia-Belene et l’île Bistret-Ibisha. En Europe, environ 20 autres écosystèmes de zones humides partagés mériteraient d’être officiellement inscrits en tant que </w:t>
      </w:r>
      <w:r w:rsidRPr="00AF095C">
        <w:rPr>
          <w:rFonts w:asciiTheme="minorHAnsi" w:hAnsiTheme="minorHAnsi"/>
          <w:i/>
          <w:sz w:val="22"/>
          <w:szCs w:val="22"/>
          <w:lang w:val="fr-FR"/>
        </w:rPr>
        <w:t>Sites Ramsar transfrontières</w:t>
      </w:r>
      <w:r w:rsidRPr="00AF095C">
        <w:rPr>
          <w:rFonts w:asciiTheme="minorHAnsi" w:hAnsiTheme="minorHAnsi"/>
          <w:i/>
          <w:w w:val="99"/>
          <w:sz w:val="22"/>
          <w:szCs w:val="22"/>
          <w:lang w:val="fr-FR"/>
        </w:rPr>
        <w:t xml:space="preserve"> </w:t>
      </w:r>
      <w:r w:rsidRPr="00AF095C">
        <w:rPr>
          <w:rFonts w:asciiTheme="minorHAnsi" w:hAnsiTheme="minorHAnsi"/>
          <w:sz w:val="22"/>
          <w:szCs w:val="22"/>
          <w:lang w:val="fr-FR"/>
        </w:rPr>
        <w:t xml:space="preserve">pour faciliter leur gestion à long terme au niveau de l’écosystème. Pour deux d’entre eux, les formalités sont en cours : la mer des Wadden, partagée entre le Danemark, l’Allemagne et les </w:t>
      </w:r>
      <w:r w:rsidR="00AF095C" w:rsidRPr="00AF095C">
        <w:rPr>
          <w:rFonts w:asciiTheme="minorHAnsi" w:hAnsiTheme="minorHAnsi"/>
          <w:sz w:val="22"/>
          <w:szCs w:val="22"/>
          <w:lang w:val="fr-FR"/>
        </w:rPr>
        <w:t>Pays-Bas</w:t>
      </w:r>
      <w:r w:rsidRPr="00AF095C">
        <w:rPr>
          <w:rFonts w:asciiTheme="minorHAnsi" w:hAnsiTheme="minorHAnsi"/>
          <w:sz w:val="22"/>
          <w:szCs w:val="22"/>
          <w:lang w:val="fr-FR"/>
        </w:rPr>
        <w:t xml:space="preserve"> (Déclaration ministérielle de février 2014, également Bien du patrimoine mondial transfrontière) et le confluent Mura-Drava-Danube partagé entre l’Autriche, la Croatie, la Hongrie, la Serbie et la Slovénie (dont il est prévu de faire aussi une Réserve de biosphère transfrontière).</w:t>
      </w:r>
    </w:p>
    <w:p w:rsidR="003715B5" w:rsidRPr="00AF095C" w:rsidRDefault="003715B5" w:rsidP="003715B5">
      <w:pPr>
        <w:pStyle w:val="BodyText"/>
        <w:tabs>
          <w:tab w:val="left" w:pos="360"/>
          <w:tab w:val="left" w:pos="708"/>
        </w:tabs>
        <w:ind w:left="360" w:right="211" w:hanging="360"/>
        <w:rPr>
          <w:rFonts w:asciiTheme="minorHAnsi" w:hAnsiTheme="minorHAnsi"/>
          <w:sz w:val="22"/>
          <w:szCs w:val="22"/>
          <w:lang w:val="fr-FR"/>
        </w:rPr>
      </w:pPr>
    </w:p>
    <w:p w:rsidR="003715B5" w:rsidRPr="00AF095C" w:rsidRDefault="003715B5" w:rsidP="003715B5">
      <w:pPr>
        <w:pStyle w:val="BodyText"/>
        <w:tabs>
          <w:tab w:val="left" w:pos="360"/>
          <w:tab w:val="left" w:pos="708"/>
        </w:tabs>
        <w:ind w:left="360" w:right="211" w:hanging="360"/>
        <w:rPr>
          <w:rFonts w:asciiTheme="minorHAnsi" w:hAnsiTheme="minorHAnsi"/>
          <w:sz w:val="22"/>
          <w:szCs w:val="22"/>
          <w:lang w:val="fr-FR"/>
        </w:rPr>
      </w:pPr>
      <w:r w:rsidRPr="00AF095C">
        <w:rPr>
          <w:rFonts w:asciiTheme="minorHAnsi" w:hAnsiTheme="minorHAnsi"/>
          <w:sz w:val="22"/>
          <w:szCs w:val="22"/>
          <w:lang w:val="fr-FR"/>
        </w:rPr>
        <w:t>62.</w:t>
      </w:r>
      <w:r w:rsidRPr="00AF095C">
        <w:rPr>
          <w:rFonts w:asciiTheme="minorHAnsi" w:hAnsiTheme="minorHAnsi"/>
          <w:sz w:val="22"/>
          <w:szCs w:val="22"/>
          <w:lang w:val="fr-FR"/>
        </w:rPr>
        <w:tab/>
        <w:t>Environ un tiers des Parties européennes signalent une gestion coopérative en place pour des bassins hydrographiques et zones côtières partagés (Indicateur 3.5.2). Comment les préoccupations Ramsar sont-elles prises en compte dans ce travail coopératif? Beaucoup de Parties signalent des intérêts qui se chevauchent entre la Convention de Ramsar et la Convention sur les espèces migratrices (CMS) et ses accords, notamment l’Accord sur les oiseaux d’eau migrateurs d’Afrique et d’Eurasie (AEWA).</w:t>
      </w:r>
    </w:p>
    <w:p w:rsidR="003715B5" w:rsidRPr="00AF095C" w:rsidRDefault="003715B5" w:rsidP="003715B5">
      <w:pPr>
        <w:rPr>
          <w:rFonts w:cs="Garamond"/>
          <w:lang w:val="fr-FR"/>
        </w:rPr>
      </w:pPr>
    </w:p>
    <w:p w:rsidR="003715B5" w:rsidRPr="00AF095C" w:rsidRDefault="003F124C" w:rsidP="003715B5">
      <w:pPr>
        <w:rPr>
          <w:rFonts w:cs="Garamond"/>
          <w:lang w:val="fr-FR"/>
        </w:rPr>
      </w:pPr>
      <w:r w:rsidRPr="003F124C">
        <w:rPr>
          <w:rFonts w:cs="Garamond"/>
          <w:noProof/>
          <w:lang w:val="fr-FR"/>
        </w:rPr>
      </w:r>
      <w:r>
        <w:rPr>
          <w:rFonts w:cs="Garamond"/>
          <w:noProof/>
          <w:lang w:val="fr-FR"/>
        </w:rPr>
        <w:pict>
          <v:shape id="Text Box 8156" o:spid="_x0000_s1086" type="#_x0000_t202" style="width:454.4pt;height:13.5pt;visibility:visible;mso-left-percent:-10001;mso-top-percent:-10001;mso-position-horizontal:absolute;mso-position-horizontal-relative:char;mso-position-vertical:absolute;mso-position-vertical-relative:line;mso-left-percent:-10001;mso-top-percent:-10001" fillcolor="#fabf90" stroked="f">
            <v:textbox inset="0,0,0,0">
              <w:txbxContent>
                <w:p w:rsidR="001B043A" w:rsidRPr="00C17BF5" w:rsidRDefault="001B043A" w:rsidP="00C17BF5">
                  <w:pPr>
                    <w:rPr>
                      <w:b/>
                      <w:sz w:val="24"/>
                      <w:lang w:val="fr-FR"/>
                    </w:rPr>
                  </w:pPr>
                  <w:r w:rsidRPr="00C17BF5">
                    <w:rPr>
                      <w:b/>
                      <w:sz w:val="24"/>
                      <w:lang w:val="fr-FR"/>
                    </w:rPr>
                    <w:t>But 4 : Capacité institutionnelle et efficacité</w:t>
                  </w:r>
                </w:p>
              </w:txbxContent>
            </v:textbox>
            <w10:wrap type="none"/>
            <w10:anchorlock/>
          </v:shape>
        </w:pict>
      </w:r>
    </w:p>
    <w:p w:rsidR="003715B5" w:rsidRPr="00AF095C" w:rsidRDefault="003715B5" w:rsidP="003715B5">
      <w:pPr>
        <w:rPr>
          <w:rFonts w:cs="Garamond"/>
          <w:lang w:val="fr-FR"/>
        </w:rPr>
      </w:pPr>
    </w:p>
    <w:p w:rsidR="003715B5" w:rsidRPr="00AF095C" w:rsidRDefault="003715B5" w:rsidP="003715B5">
      <w:pPr>
        <w:rPr>
          <w:rFonts w:cs="Garamond"/>
          <w:lang w:val="fr-FR"/>
        </w:rPr>
      </w:pPr>
      <w:r w:rsidRPr="00AF095C">
        <w:rPr>
          <w:b/>
          <w:lang w:val="fr-FR"/>
        </w:rPr>
        <w:t xml:space="preserve">CESP </w:t>
      </w:r>
      <w:r w:rsidRPr="00AF095C">
        <w:rPr>
          <w:i/>
          <w:lang w:val="fr-FR"/>
        </w:rPr>
        <w:t>(Stratégie 4.1)</w:t>
      </w:r>
    </w:p>
    <w:p w:rsidR="003715B5" w:rsidRPr="00AF095C" w:rsidRDefault="003715B5" w:rsidP="003715B5">
      <w:pPr>
        <w:rPr>
          <w:rFonts w:cs="Garamond"/>
          <w:i/>
          <w:lang w:val="fr-FR"/>
        </w:rPr>
      </w:pPr>
    </w:p>
    <w:p w:rsidR="003715B5" w:rsidRPr="00AF095C" w:rsidRDefault="003715B5" w:rsidP="003715B5">
      <w:pPr>
        <w:pStyle w:val="BodyText"/>
        <w:tabs>
          <w:tab w:val="left" w:pos="360"/>
          <w:tab w:val="left" w:pos="709"/>
        </w:tabs>
        <w:ind w:left="360" w:right="354" w:hanging="360"/>
        <w:rPr>
          <w:rFonts w:asciiTheme="minorHAnsi" w:hAnsiTheme="minorHAnsi"/>
          <w:sz w:val="22"/>
          <w:szCs w:val="22"/>
          <w:lang w:val="fr-FR"/>
        </w:rPr>
      </w:pPr>
      <w:r w:rsidRPr="00AF095C">
        <w:rPr>
          <w:rFonts w:asciiTheme="minorHAnsi" w:hAnsiTheme="minorHAnsi"/>
          <w:sz w:val="22"/>
          <w:szCs w:val="22"/>
          <w:lang w:val="fr-FR"/>
        </w:rPr>
        <w:t>63.</w:t>
      </w:r>
      <w:r w:rsidRPr="00AF095C">
        <w:rPr>
          <w:rFonts w:asciiTheme="minorHAnsi" w:hAnsiTheme="minorHAnsi"/>
          <w:sz w:val="22"/>
          <w:szCs w:val="22"/>
          <w:lang w:val="fr-FR"/>
        </w:rPr>
        <w:tab/>
        <w:t xml:space="preserve">En Europe, les progrès en matière de mise en place de plans d’action nationaux pour la communication, l’éducation, la sensibilisation et la participation (CESP), sont lents. Les principales réponses des Parties, avant la COP12, sont résumées dans la figure 3 et indiquent que peu d’entre elles ont réellement entrepris la planification d’activités spécifiques (Indicateur 4.1.1). On ne constate pas non plus beaucoup de progrès en la matière depuis la COP11 (voir annexe 1). Toutefois, concernant l’Indicateur 4.1.2, 23 Parties européennes mentionnent 345 centres d’accueil des visiteurs ou d’éducation dans les Sites Ramsar et 191 centres dans d’autres zones humides. C’est une augmentation considérable par rapport aux 349 centres signalés en 2011. </w:t>
      </w:r>
    </w:p>
    <w:p w:rsidR="003715B5" w:rsidRPr="003715B5" w:rsidRDefault="003715B5" w:rsidP="003715B5">
      <w:pPr>
        <w:rPr>
          <w:rFonts w:ascii="Garamond" w:hAnsi="Garamond" w:cs="Garamond"/>
          <w:sz w:val="20"/>
          <w:szCs w:val="20"/>
          <w:lang w:val="fr-FR"/>
        </w:rPr>
      </w:pPr>
    </w:p>
    <w:p w:rsidR="00C17BF5" w:rsidRDefault="00C17BF5" w:rsidP="003715B5">
      <w:pPr>
        <w:rPr>
          <w:rFonts w:ascii="Garamond" w:hAnsi="Garamond" w:cs="Garamond"/>
          <w:sz w:val="24"/>
          <w:szCs w:val="24"/>
          <w:lang w:val="fr-FR"/>
        </w:rPr>
      </w:pPr>
    </w:p>
    <w:p w:rsidR="00C17BF5" w:rsidRDefault="003F124C" w:rsidP="003715B5">
      <w:pPr>
        <w:rPr>
          <w:rFonts w:ascii="Garamond" w:hAnsi="Garamond" w:cs="Garamond"/>
          <w:sz w:val="24"/>
          <w:szCs w:val="24"/>
          <w:lang w:val="fr-FR"/>
        </w:rPr>
      </w:pPr>
      <w:r w:rsidRPr="003F124C">
        <w:rPr>
          <w:rFonts w:ascii="Calibri" w:hAnsi="Calibri" w:cs="Times New Roman"/>
          <w:noProof/>
          <w:lang w:val="fr-FR" w:eastAsia="fr-CA"/>
        </w:rPr>
        <w:lastRenderedPageBreak/>
        <w:pict>
          <v:shape id="Text Box 23" o:spid="_x0000_s1062" type="#_x0000_t202" style="position:absolute;margin-left:8.5pt;margin-top:60.9pt;width:17.6pt;height:2in;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" stroked="f">
            <v:textbox style="layout-flow:vertical;mso-layout-flow-alt:bottom-to-top" inset="0,0,0,0">
              <w:txbxContent>
                <w:p w:rsidR="001B043A" w:rsidRPr="00BA0729" w:rsidRDefault="001B043A" w:rsidP="003715B5">
                  <w:pPr>
                    <w:rPr>
                      <w:lang w:val="fr-CA"/>
                    </w:rPr>
                  </w:pPr>
                  <w:r w:rsidRPr="00BA0729">
                    <w:rPr>
                      <w:lang w:val="fr-CA"/>
                    </w:rPr>
                    <w:t>Nombre de PC européennes</w:t>
                  </w:r>
                </w:p>
              </w:txbxContent>
            </v:textbox>
          </v:shape>
        </w:pict>
      </w:r>
      <w:r w:rsidRPr="003F124C">
        <w:rPr>
          <w:rFonts w:ascii="Calibri" w:hAnsi="Calibri" w:cs="Times New Roman"/>
          <w:noProof/>
        </w:rPr>
        <w:pict>
          <v:shape id="_x0000_s1083" type="#_x0000_t202" style="position:absolute;margin-left:387.9pt;margin-top:122.75pt;width:41.1pt;height:14.6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" stroked="f">
            <v:textbox inset=".3mm,.3mm,.3mm,.3mm">
              <w:txbxContent>
                <w:p w:rsidR="001B043A" w:rsidRPr="00C17BF5" w:rsidRDefault="001B043A" w:rsidP="00BA0729">
                  <w:pPr>
                    <w:rPr>
                      <w:sz w:val="20"/>
                      <w:szCs w:val="20"/>
                      <w:lang w:val="fr-CA"/>
                    </w:rPr>
                  </w:pPr>
                  <w:r>
                    <w:rPr>
                      <w:sz w:val="20"/>
                      <w:szCs w:val="20"/>
                      <w:lang w:val="fr-CA"/>
                    </w:rPr>
                    <w:t>Prévu</w:t>
                  </w:r>
                </w:p>
              </w:txbxContent>
            </v:textbox>
          </v:shape>
        </w:pict>
      </w:r>
      <w:r w:rsidRPr="003F124C">
        <w:rPr>
          <w:rFonts w:ascii="Calibri" w:hAnsi="Calibri" w:cs="Times New Roman"/>
          <w:noProof/>
        </w:rPr>
        <w:pict>
          <v:shape id="_x0000_s1084" type="#_x0000_t202" style="position:absolute;margin-left:387.9pt;margin-top:141.95pt;width:41.1pt;height:14.6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" stroked="f">
            <v:textbox inset=".3mm,.3mm,.3mm,.3mm">
              <w:txbxContent>
                <w:p w:rsidR="001B043A" w:rsidRPr="00C17BF5" w:rsidRDefault="001B043A" w:rsidP="00BA0729">
                  <w:pPr>
                    <w:rPr>
                      <w:sz w:val="20"/>
                      <w:szCs w:val="20"/>
                      <w:lang w:val="fr-CA"/>
                    </w:rPr>
                  </w:pPr>
                  <w:r>
                    <w:rPr>
                      <w:sz w:val="20"/>
                      <w:szCs w:val="20"/>
                      <w:lang w:val="fr-CA"/>
                    </w:rPr>
                    <w:t>En partie</w:t>
                  </w:r>
                </w:p>
              </w:txbxContent>
            </v:textbox>
          </v:shape>
        </w:pict>
      </w:r>
      <w:r w:rsidRPr="003F124C">
        <w:rPr>
          <w:rFonts w:ascii="Calibri" w:hAnsi="Calibri" w:cs="Times New Roman"/>
          <w:noProof/>
        </w:rPr>
        <w:pict>
          <v:shape id="_x0000_s1085" type="#_x0000_t202" style="position:absolute;margin-left:387.5pt;margin-top:159.35pt;width:31.5pt;height:14.6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" stroked="f">
            <v:textbox inset=".3mm,.3mm,.3mm,.3mm">
              <w:txbxContent>
                <w:p w:rsidR="001B043A" w:rsidRPr="00C17BF5" w:rsidRDefault="001B043A" w:rsidP="00BA0729">
                  <w:pPr>
                    <w:rPr>
                      <w:sz w:val="20"/>
                      <w:szCs w:val="20"/>
                      <w:lang w:val="fr-CA"/>
                    </w:rPr>
                  </w:pPr>
                  <w:r>
                    <w:rPr>
                      <w:sz w:val="20"/>
                      <w:szCs w:val="20"/>
                      <w:lang w:val="fr-CA"/>
                    </w:rPr>
                    <w:t>Oui</w:t>
                  </w:r>
                </w:p>
              </w:txbxContent>
            </v:textbox>
          </v:shape>
        </w:pict>
      </w:r>
      <w:r w:rsidRPr="003F124C">
        <w:rPr>
          <w:rFonts w:ascii="Calibri" w:hAnsi="Calibri" w:cs="Times New Roman"/>
          <w:noProof/>
        </w:rPr>
        <w:pict>
          <v:shape id="_x0000_s1082" type="#_x0000_t202" style="position:absolute;margin-left:385.5pt;margin-top:104.35pt;width:31.5pt;height:14.65pt;z-index:251681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" stroked="f">
            <v:textbox inset=".3mm,.3mm,.3mm,.3mm">
              <w:txbxContent>
                <w:p w:rsidR="001B043A" w:rsidRPr="00C17BF5" w:rsidRDefault="001B043A" w:rsidP="00BA0729">
                  <w:pPr>
                    <w:rPr>
                      <w:sz w:val="20"/>
                      <w:szCs w:val="20"/>
                      <w:lang w:val="fr-CA"/>
                    </w:rPr>
                  </w:pPr>
                  <w:r w:rsidRPr="00C17BF5">
                    <w:rPr>
                      <w:sz w:val="20"/>
                      <w:szCs w:val="20"/>
                      <w:lang w:val="fr-CA"/>
                    </w:rPr>
                    <w:t>Non</w:t>
                  </w:r>
                </w:p>
              </w:txbxContent>
            </v:textbox>
          </v:shape>
        </w:pict>
      </w:r>
      <w:r w:rsidRPr="003F124C">
        <w:rPr>
          <w:rFonts w:ascii="Calibri" w:hAnsi="Calibri" w:cs="Times New Roman"/>
          <w:noProof/>
          <w:lang w:val="fr-FR" w:eastAsia="fr-CA"/>
        </w:rPr>
        <w:pict>
          <v:shape id="Text Box 18" o:spid="_x0000_s1057" type="#_x0000_t202" style="position:absolute;margin-left:30.5pt;margin-top:6.35pt;width:369.5pt;height:30.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" stroked="f">
            <v:textbox>
              <w:txbxContent>
                <w:p w:rsidR="001B043A" w:rsidRPr="00CD7790" w:rsidRDefault="001B043A" w:rsidP="00C17BF5">
                  <w:pPr>
                    <w:jc w:val="center"/>
                    <w:rPr>
                      <w:b/>
                      <w:sz w:val="21"/>
                      <w:szCs w:val="21"/>
                      <w:lang w:val="fr-CA"/>
                    </w:rPr>
                  </w:pPr>
                  <w:r>
                    <w:rPr>
                      <w:b/>
                      <w:sz w:val="21"/>
                      <w:szCs w:val="21"/>
                      <w:lang w:val="fr-CA"/>
                    </w:rPr>
                    <w:t xml:space="preserve">Indicateur </w:t>
                  </w:r>
                  <w:r w:rsidRPr="00CD7790">
                    <w:rPr>
                      <w:b/>
                      <w:sz w:val="21"/>
                      <w:szCs w:val="21"/>
                      <w:lang w:val="fr-CA"/>
                    </w:rPr>
                    <w:t>4.1.1 Un plan (ou des plans) d’action pour la CESP zones humides a-t-il (ont-ils) été établi(s)?</w:t>
                  </w:r>
                </w:p>
              </w:txbxContent>
            </v:textbox>
          </v:shape>
        </w:pict>
      </w:r>
      <w:r w:rsidR="00C17BF5" w:rsidRPr="00C17BF5">
        <w:rPr>
          <w:rFonts w:ascii="Garamond" w:hAnsi="Garamond" w:cs="Garamond"/>
          <w:noProof/>
          <w:sz w:val="24"/>
          <w:szCs w:val="24"/>
        </w:rPr>
        <w:drawing>
          <wp:inline distT="0" distB="0" distL="0" distR="0">
            <wp:extent cx="5454650" cy="3067050"/>
            <wp:effectExtent l="19050" t="0" r="1270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17BF5" w:rsidRDefault="00C17BF5" w:rsidP="003715B5">
      <w:pPr>
        <w:rPr>
          <w:rFonts w:ascii="Garamond" w:hAnsi="Garamond" w:cs="Garamond"/>
          <w:sz w:val="24"/>
          <w:szCs w:val="24"/>
          <w:lang w:val="fr-FR"/>
        </w:rPr>
      </w:pPr>
    </w:p>
    <w:p w:rsidR="003715B5" w:rsidRPr="00AF095C" w:rsidRDefault="003715B5" w:rsidP="003715B5">
      <w:pPr>
        <w:rPr>
          <w:b/>
          <w:lang w:val="fr-FR"/>
        </w:rPr>
      </w:pPr>
      <w:r w:rsidRPr="00AF095C">
        <w:rPr>
          <w:b/>
          <w:lang w:val="fr-FR"/>
        </w:rPr>
        <w:t xml:space="preserve">Figure 3 : Nombre de Parties européennes signalant </w:t>
      </w:r>
      <w:r w:rsidR="00AF095C">
        <w:rPr>
          <w:b/>
          <w:lang w:val="fr-FR"/>
        </w:rPr>
        <w:t xml:space="preserve">avoir un plan d’action CESP aux </w:t>
      </w:r>
      <w:r w:rsidRPr="00AF095C">
        <w:rPr>
          <w:b/>
          <w:lang w:val="fr-FR"/>
        </w:rPr>
        <w:t>niveaux : a) national, b) sous-national, c) de bassins versants, d) de sites.</w:t>
      </w:r>
    </w:p>
    <w:p w:rsidR="003715B5" w:rsidRPr="00AF095C" w:rsidRDefault="003715B5" w:rsidP="003715B5">
      <w:pPr>
        <w:pStyle w:val="BodyText"/>
        <w:tabs>
          <w:tab w:val="left" w:pos="688"/>
        </w:tabs>
        <w:ind w:left="0" w:right="241" w:firstLine="0"/>
        <w:rPr>
          <w:rFonts w:asciiTheme="minorHAnsi" w:hAnsiTheme="minorHAnsi"/>
          <w:sz w:val="22"/>
          <w:szCs w:val="22"/>
          <w:lang w:val="fr-FR"/>
        </w:rPr>
      </w:pPr>
    </w:p>
    <w:p w:rsidR="003715B5" w:rsidRPr="00AF095C" w:rsidRDefault="003715B5" w:rsidP="003715B5">
      <w:pPr>
        <w:pStyle w:val="BodyText"/>
        <w:tabs>
          <w:tab w:val="left" w:pos="360"/>
          <w:tab w:val="left" w:pos="688"/>
        </w:tabs>
        <w:ind w:left="360" w:right="241" w:hanging="360"/>
        <w:rPr>
          <w:rFonts w:asciiTheme="minorHAnsi" w:hAnsiTheme="minorHAnsi"/>
          <w:sz w:val="22"/>
          <w:szCs w:val="22"/>
          <w:lang w:val="fr-FR"/>
        </w:rPr>
      </w:pPr>
      <w:r w:rsidRPr="00AF095C">
        <w:rPr>
          <w:rFonts w:asciiTheme="minorHAnsi" w:hAnsiTheme="minorHAnsi"/>
          <w:sz w:val="22"/>
          <w:szCs w:val="22"/>
          <w:lang w:val="fr-FR"/>
        </w:rPr>
        <w:t>64.</w:t>
      </w:r>
      <w:r w:rsidRPr="00AF095C">
        <w:rPr>
          <w:rFonts w:asciiTheme="minorHAnsi" w:hAnsiTheme="minorHAnsi"/>
          <w:sz w:val="22"/>
          <w:szCs w:val="22"/>
          <w:lang w:val="fr-FR"/>
        </w:rPr>
        <w:tab/>
        <w:t>Environ la moitié des Parties européennes ont établi un Comité Ramsar national intersectoriel opérationnel, c.-à-d. 18 sur les 34 Parties ayant communiqué leurs rapports. Ce chiffre est inférieur à la moyenne mondiale. L’Islande, la Roumanie et la Suisse signalent que la création d’un comité est prévue. Les autres Parties sont vivement encouragées à faire de même.</w:t>
      </w:r>
    </w:p>
    <w:p w:rsidR="003715B5" w:rsidRPr="00AF095C" w:rsidRDefault="003715B5" w:rsidP="003715B5">
      <w:pPr>
        <w:pStyle w:val="BodyText"/>
        <w:tabs>
          <w:tab w:val="left" w:pos="360"/>
          <w:tab w:val="left" w:pos="688"/>
        </w:tabs>
        <w:ind w:left="360" w:right="241" w:hanging="360"/>
        <w:rPr>
          <w:rFonts w:asciiTheme="minorHAnsi" w:hAnsiTheme="minorHAnsi"/>
          <w:sz w:val="22"/>
          <w:szCs w:val="22"/>
          <w:lang w:val="fr-FR"/>
        </w:rPr>
      </w:pPr>
    </w:p>
    <w:p w:rsidR="003715B5" w:rsidRDefault="003715B5" w:rsidP="003715B5">
      <w:pPr>
        <w:pStyle w:val="BodyText"/>
        <w:tabs>
          <w:tab w:val="left" w:pos="360"/>
          <w:tab w:val="left" w:pos="688"/>
        </w:tabs>
        <w:ind w:left="360" w:right="241" w:hanging="360"/>
        <w:rPr>
          <w:rFonts w:asciiTheme="minorHAnsi" w:hAnsiTheme="minorHAnsi"/>
          <w:sz w:val="22"/>
          <w:szCs w:val="22"/>
          <w:lang w:val="fr-FR"/>
        </w:rPr>
      </w:pPr>
      <w:r w:rsidRPr="00AF095C">
        <w:rPr>
          <w:rFonts w:asciiTheme="minorHAnsi" w:hAnsiTheme="minorHAnsi"/>
          <w:sz w:val="22"/>
          <w:szCs w:val="22"/>
          <w:lang w:val="fr-FR"/>
        </w:rPr>
        <w:t>65.</w:t>
      </w:r>
      <w:r w:rsidRPr="00AF095C">
        <w:rPr>
          <w:rFonts w:asciiTheme="minorHAnsi" w:hAnsiTheme="minorHAnsi"/>
          <w:sz w:val="22"/>
          <w:szCs w:val="22"/>
          <w:lang w:val="fr-FR"/>
        </w:rPr>
        <w:tab/>
        <w:t>Une analyse spécifique de toutes les activités de communication, éducation, sensibilisation et participation en appui à la mise en œuvre de la Convention de Ramsar au niveau national figure dans le document Ramsar COP12 DOC. 18. De plus en plus, la communication avec – et la sensibilisation – d’autres secteurs et le public en général, est considérée essentielle pour que la Convention et ses préoccupations soient plus largement comprises, suivies et appliquées.</w:t>
      </w:r>
    </w:p>
    <w:p w:rsidR="00891454" w:rsidRDefault="00891454" w:rsidP="003715B5">
      <w:pPr>
        <w:pStyle w:val="BodyText"/>
        <w:tabs>
          <w:tab w:val="left" w:pos="360"/>
          <w:tab w:val="left" w:pos="688"/>
        </w:tabs>
        <w:ind w:left="360" w:right="241" w:hanging="360"/>
        <w:rPr>
          <w:rFonts w:asciiTheme="minorHAnsi" w:hAnsiTheme="minorHAnsi"/>
          <w:sz w:val="22"/>
          <w:szCs w:val="22"/>
          <w:lang w:val="fr-FR"/>
        </w:rPr>
      </w:pPr>
    </w:p>
    <w:p w:rsidR="00891454" w:rsidRPr="00AF095C" w:rsidRDefault="00891454" w:rsidP="00891454">
      <w:pPr>
        <w:pStyle w:val="BodyText"/>
        <w:tabs>
          <w:tab w:val="left" w:pos="360"/>
          <w:tab w:val="left" w:pos="688"/>
        </w:tabs>
        <w:ind w:left="360" w:right="241" w:hanging="360"/>
        <w:rPr>
          <w:rFonts w:asciiTheme="minorHAnsi" w:hAnsiTheme="minorHAnsi"/>
          <w:b/>
          <w:sz w:val="22"/>
          <w:szCs w:val="22"/>
          <w:lang w:val="fr-FR"/>
        </w:rPr>
      </w:pPr>
      <w:r w:rsidRPr="00AF095C">
        <w:rPr>
          <w:rFonts w:asciiTheme="minorHAnsi" w:hAnsiTheme="minorHAnsi"/>
          <w:b/>
          <w:sz w:val="22"/>
          <w:szCs w:val="22"/>
          <w:lang w:val="fr-FR"/>
        </w:rPr>
        <w:t xml:space="preserve">Capacités financières de la Convention </w:t>
      </w:r>
      <w:r w:rsidRPr="00AF095C">
        <w:rPr>
          <w:rFonts w:asciiTheme="minorHAnsi" w:hAnsiTheme="minorHAnsi"/>
          <w:i/>
          <w:sz w:val="22"/>
          <w:szCs w:val="22"/>
          <w:lang w:val="fr-FR"/>
        </w:rPr>
        <w:t>(Stratégie 4.2)</w:t>
      </w:r>
    </w:p>
    <w:p w:rsidR="003715B5" w:rsidRPr="00AF095C" w:rsidRDefault="003715B5" w:rsidP="003715B5">
      <w:pPr>
        <w:rPr>
          <w:rFonts w:cs="Garamond"/>
          <w:b/>
          <w:bCs/>
          <w:lang w:val="fr-FR"/>
        </w:rPr>
      </w:pPr>
    </w:p>
    <w:p w:rsidR="003715B5" w:rsidRPr="00AF095C" w:rsidRDefault="003715B5" w:rsidP="003715B5">
      <w:pPr>
        <w:pStyle w:val="BodyText"/>
        <w:tabs>
          <w:tab w:val="left" w:pos="360"/>
          <w:tab w:val="left" w:pos="689"/>
        </w:tabs>
        <w:ind w:left="360" w:right="239" w:hanging="360"/>
        <w:rPr>
          <w:rFonts w:asciiTheme="minorHAnsi" w:hAnsiTheme="minorHAnsi"/>
          <w:sz w:val="22"/>
          <w:szCs w:val="22"/>
          <w:lang w:val="fr-FR"/>
        </w:rPr>
      </w:pPr>
      <w:r w:rsidRPr="00AF095C">
        <w:rPr>
          <w:rFonts w:asciiTheme="minorHAnsi" w:hAnsiTheme="minorHAnsi"/>
          <w:sz w:val="22"/>
          <w:szCs w:val="22"/>
          <w:lang w:val="fr-FR"/>
        </w:rPr>
        <w:t>66.</w:t>
      </w:r>
      <w:r w:rsidRPr="00AF095C">
        <w:rPr>
          <w:rFonts w:asciiTheme="minorHAnsi" w:hAnsiTheme="minorHAnsi"/>
          <w:sz w:val="22"/>
          <w:szCs w:val="22"/>
          <w:lang w:val="fr-FR"/>
        </w:rPr>
        <w:tab/>
        <w:t xml:space="preserve">La plupart des Parties européennes sont à jour dans leurs contributions annuelles, au moins jusques et y compris 2013 ou 2014 (Indicateur 4.2.1). L’Allemagne, le Danemark, la Finlande, </w:t>
      </w:r>
      <w:r w:rsidR="00AF095C">
        <w:rPr>
          <w:rFonts w:asciiTheme="minorHAnsi" w:hAnsiTheme="minorHAnsi"/>
          <w:sz w:val="22"/>
          <w:szCs w:val="22"/>
          <w:lang w:val="fr-FR"/>
        </w:rPr>
        <w:t>la France, la Norvège, les Pays-</w:t>
      </w:r>
      <w:r w:rsidRPr="00AF095C">
        <w:rPr>
          <w:rFonts w:asciiTheme="minorHAnsi" w:hAnsiTheme="minorHAnsi"/>
          <w:sz w:val="22"/>
          <w:szCs w:val="22"/>
          <w:lang w:val="fr-FR"/>
        </w:rPr>
        <w:t>Bas, la Slovaquie, la Suisse et l’Ukraine signalent leurs contributions volontaires additionnelles, depuis la COP11, pour les budgets de fonctionnement des Initiatives régionales Ramsar, les travaux du Groupe d’évaluation scientifique et technique (GEST), le Fonds Ramsar de petites subventions (FPS), la Subvention suisse pour l’Afrique, le coût des Missions consultatives Ramsar, la 8</w:t>
      </w:r>
      <w:r w:rsidRPr="00AF095C">
        <w:rPr>
          <w:rFonts w:asciiTheme="minorHAnsi" w:hAnsiTheme="minorHAnsi"/>
          <w:sz w:val="22"/>
          <w:szCs w:val="22"/>
          <w:vertAlign w:val="superscript"/>
          <w:lang w:val="fr-FR"/>
        </w:rPr>
        <w:t>e</w:t>
      </w:r>
      <w:r w:rsidRPr="00AF095C">
        <w:rPr>
          <w:rFonts w:asciiTheme="minorHAnsi" w:hAnsiTheme="minorHAnsi"/>
          <w:sz w:val="22"/>
          <w:szCs w:val="22"/>
          <w:lang w:val="fr-FR"/>
        </w:rPr>
        <w:t> Réunion Ramsar européenne en 2014, des projets internationaux spécifiques et des activités au niveau national (Indicateur 4.2.2). C’est une liste impressionnante et encourageante de contributions volontaires. Elle laisse bien augurer pour la longue liste d’activités qui auront besoin de contributions financières volontaires dans les années 2016 à 2018 (voir COP12 DR1).</w:t>
      </w:r>
    </w:p>
    <w:p w:rsidR="003715B5" w:rsidRPr="00AF095C" w:rsidRDefault="003715B5" w:rsidP="003715B5">
      <w:pPr>
        <w:rPr>
          <w:rFonts w:cs="Garamond"/>
          <w:lang w:val="fr-FR"/>
        </w:rPr>
      </w:pPr>
    </w:p>
    <w:p w:rsidR="003715B5" w:rsidRPr="00AF095C" w:rsidRDefault="003715B5" w:rsidP="003715B5">
      <w:pPr>
        <w:rPr>
          <w:rFonts w:cs="Garamond"/>
          <w:lang w:val="fr-FR"/>
        </w:rPr>
      </w:pPr>
      <w:r w:rsidRPr="00AF095C">
        <w:rPr>
          <w:rFonts w:cs="Garamond"/>
          <w:b/>
          <w:bCs/>
          <w:lang w:val="fr-FR"/>
        </w:rPr>
        <w:t xml:space="preserve">Efficacité des organes de la Convention </w:t>
      </w:r>
      <w:r w:rsidRPr="00AF095C">
        <w:rPr>
          <w:rFonts w:cs="Garamond"/>
          <w:i/>
          <w:lang w:val="fr-FR"/>
        </w:rPr>
        <w:t>(Stratégie 4.3)</w:t>
      </w:r>
    </w:p>
    <w:p w:rsidR="003715B5" w:rsidRPr="00AF095C" w:rsidRDefault="003715B5" w:rsidP="003715B5">
      <w:pPr>
        <w:rPr>
          <w:rFonts w:cs="Garamond"/>
          <w:i/>
          <w:lang w:val="fr-FR"/>
        </w:rPr>
      </w:pPr>
    </w:p>
    <w:p w:rsidR="003715B5" w:rsidRPr="00AF095C" w:rsidRDefault="003715B5" w:rsidP="003715B5">
      <w:pPr>
        <w:pStyle w:val="BodyText"/>
        <w:tabs>
          <w:tab w:val="left" w:pos="360"/>
          <w:tab w:val="left" w:pos="688"/>
        </w:tabs>
        <w:ind w:left="360" w:right="635" w:hanging="360"/>
        <w:rPr>
          <w:rFonts w:asciiTheme="minorHAnsi" w:hAnsiTheme="minorHAnsi"/>
          <w:sz w:val="22"/>
          <w:szCs w:val="22"/>
          <w:lang w:val="fr-FR"/>
        </w:rPr>
      </w:pPr>
      <w:r w:rsidRPr="00AF095C">
        <w:rPr>
          <w:rFonts w:asciiTheme="minorHAnsi" w:hAnsiTheme="minorHAnsi"/>
          <w:sz w:val="22"/>
          <w:szCs w:val="22"/>
          <w:lang w:val="fr-FR"/>
        </w:rPr>
        <w:t>67.</w:t>
      </w:r>
      <w:r w:rsidRPr="00AF095C">
        <w:rPr>
          <w:rFonts w:asciiTheme="minorHAnsi" w:hAnsiTheme="minorHAnsi"/>
          <w:sz w:val="22"/>
          <w:szCs w:val="22"/>
          <w:lang w:val="fr-FR"/>
        </w:rPr>
        <w:tab/>
        <w:t xml:space="preserve">Depuis la COP8, les rapports nationaux sont conçus de manière à aider les Parties à </w:t>
      </w:r>
      <w:r w:rsidRPr="00AF095C">
        <w:rPr>
          <w:rFonts w:asciiTheme="minorHAnsi" w:hAnsiTheme="minorHAnsi"/>
          <w:sz w:val="22"/>
          <w:szCs w:val="22"/>
          <w:lang w:val="fr-FR"/>
        </w:rPr>
        <w:lastRenderedPageBreak/>
        <w:t>planifier et surveiller leur application du Plan stratégique de la Convention au niveau national. Les présentations antérieures comprenaient aussi une section consacrée à l’identification des objectifs nationaux, qui permettait des vérifications et des mises à jour régulières sur les progrès d’application. Seule une très petite minorité de Parties utilisait cette section « objectifs nationaux » comme outil de planification de sorte qu’elle a été abandonnée à la COP10.</w:t>
      </w:r>
    </w:p>
    <w:p w:rsidR="003715B5" w:rsidRPr="00AF095C" w:rsidRDefault="003715B5" w:rsidP="003715B5">
      <w:pPr>
        <w:pStyle w:val="BodyText"/>
        <w:tabs>
          <w:tab w:val="left" w:pos="360"/>
          <w:tab w:val="left" w:pos="688"/>
        </w:tabs>
        <w:ind w:left="360" w:right="635" w:hanging="360"/>
        <w:rPr>
          <w:rFonts w:asciiTheme="minorHAnsi" w:hAnsiTheme="minorHAnsi"/>
          <w:sz w:val="22"/>
          <w:szCs w:val="22"/>
          <w:lang w:val="fr-FR"/>
        </w:rPr>
      </w:pPr>
    </w:p>
    <w:p w:rsidR="003715B5" w:rsidRPr="00AF095C" w:rsidRDefault="003715B5" w:rsidP="003715B5">
      <w:pPr>
        <w:pStyle w:val="BodyText"/>
        <w:tabs>
          <w:tab w:val="left" w:pos="360"/>
          <w:tab w:val="left" w:pos="688"/>
        </w:tabs>
        <w:ind w:left="360" w:right="635" w:hanging="360"/>
        <w:rPr>
          <w:rFonts w:asciiTheme="minorHAnsi" w:hAnsiTheme="minorHAnsi"/>
          <w:sz w:val="22"/>
          <w:szCs w:val="22"/>
          <w:lang w:val="fr-FR"/>
        </w:rPr>
      </w:pPr>
      <w:r w:rsidRPr="00AF095C">
        <w:rPr>
          <w:rFonts w:asciiTheme="minorHAnsi" w:hAnsiTheme="minorHAnsi"/>
          <w:sz w:val="22"/>
          <w:szCs w:val="22"/>
          <w:lang w:val="fr-FR"/>
        </w:rPr>
        <w:t>68.</w:t>
      </w:r>
      <w:r w:rsidRPr="00AF095C">
        <w:rPr>
          <w:rFonts w:asciiTheme="minorHAnsi" w:hAnsiTheme="minorHAnsi"/>
          <w:sz w:val="22"/>
          <w:szCs w:val="22"/>
          <w:lang w:val="fr-FR"/>
        </w:rPr>
        <w:tab/>
        <w:t>La planification au niveau national, la surveillance de la mise en œuvre des tâches, les rapports sur les progrès, l’identification des lacunes et la définition de nouveaux objectifs sont des étapes cruciales dans un cycle de travail efficace. Les Parties à la Convention de Ramsar avaient déjà défini cela en 1984, dans la Recommandation 2.1 en stipulant :</w:t>
      </w:r>
      <w:r w:rsidRPr="00AF095C">
        <w:rPr>
          <w:rFonts w:asciiTheme="minorHAnsi" w:hAnsiTheme="minorHAnsi"/>
          <w:w w:val="99"/>
          <w:sz w:val="22"/>
          <w:szCs w:val="22"/>
          <w:lang w:val="fr-FR"/>
        </w:rPr>
        <w:t xml:space="preserve"> « </w:t>
      </w:r>
      <w:r w:rsidRPr="00AF095C">
        <w:rPr>
          <w:rFonts w:asciiTheme="minorHAnsi" w:hAnsiTheme="minorHAnsi"/>
          <w:sz w:val="22"/>
          <w:szCs w:val="22"/>
          <w:lang w:val="fr-FR"/>
        </w:rPr>
        <w:t>que la soumission, en temps voulu, de rapports nationaux détaillés est d’importance vitale en vue d’assurer la surveillance continue de l’application de la Convention et de partager l’information relative aux mesures prises en matière de conservation des zones humides, aux problèmes qui se seraient posés et aux moyens appropriés de les résoudre ».</w:t>
      </w:r>
    </w:p>
    <w:p w:rsidR="003715B5" w:rsidRPr="00AF095C" w:rsidRDefault="003715B5" w:rsidP="003715B5">
      <w:pPr>
        <w:pStyle w:val="BodyText"/>
        <w:tabs>
          <w:tab w:val="left" w:pos="360"/>
          <w:tab w:val="left" w:pos="688"/>
        </w:tabs>
        <w:ind w:left="360" w:right="635" w:hanging="360"/>
        <w:rPr>
          <w:rFonts w:asciiTheme="minorHAnsi" w:hAnsiTheme="minorHAnsi"/>
          <w:sz w:val="22"/>
          <w:szCs w:val="22"/>
          <w:lang w:val="fr-FR"/>
        </w:rPr>
      </w:pPr>
    </w:p>
    <w:p w:rsidR="003715B5" w:rsidRPr="00AF095C" w:rsidRDefault="003715B5" w:rsidP="003715B5">
      <w:pPr>
        <w:pStyle w:val="BodyText"/>
        <w:tabs>
          <w:tab w:val="left" w:pos="360"/>
          <w:tab w:val="left" w:pos="688"/>
        </w:tabs>
        <w:ind w:left="360" w:right="635" w:hanging="360"/>
        <w:rPr>
          <w:rFonts w:asciiTheme="minorHAnsi" w:hAnsiTheme="minorHAnsi"/>
          <w:sz w:val="22"/>
          <w:szCs w:val="22"/>
          <w:lang w:val="fr-FR"/>
        </w:rPr>
      </w:pPr>
      <w:r w:rsidRPr="00AF095C">
        <w:rPr>
          <w:rFonts w:asciiTheme="minorHAnsi" w:hAnsiTheme="minorHAnsi"/>
          <w:sz w:val="22"/>
          <w:szCs w:val="22"/>
          <w:lang w:val="fr-FR"/>
        </w:rPr>
        <w:t>69.</w:t>
      </w:r>
      <w:r w:rsidRPr="00AF095C">
        <w:rPr>
          <w:rFonts w:asciiTheme="minorHAnsi" w:hAnsiTheme="minorHAnsi"/>
          <w:sz w:val="22"/>
          <w:szCs w:val="22"/>
          <w:lang w:val="fr-FR"/>
        </w:rPr>
        <w:tab/>
        <w:t xml:space="preserve">De plus en plus, les Parties utilisent les rapports nationaux dans ce but. Cette </w:t>
      </w:r>
      <w:r w:rsidR="00AF095C">
        <w:rPr>
          <w:rFonts w:asciiTheme="minorHAnsi" w:hAnsiTheme="minorHAnsi"/>
          <w:sz w:val="22"/>
          <w:szCs w:val="22"/>
          <w:lang w:val="fr-FR"/>
        </w:rPr>
        <w:t>fois-</w:t>
      </w:r>
      <w:r w:rsidR="00AF095C" w:rsidRPr="00AF095C">
        <w:rPr>
          <w:rFonts w:asciiTheme="minorHAnsi" w:hAnsiTheme="minorHAnsi"/>
          <w:sz w:val="22"/>
          <w:szCs w:val="22"/>
          <w:lang w:val="fr-FR"/>
        </w:rPr>
        <w:t>ci</w:t>
      </w:r>
      <w:r w:rsidRPr="00AF095C">
        <w:rPr>
          <w:rFonts w:asciiTheme="minorHAnsi" w:hAnsiTheme="minorHAnsi"/>
          <w:sz w:val="22"/>
          <w:szCs w:val="22"/>
          <w:lang w:val="fr-FR"/>
        </w:rPr>
        <w:t>, 21 Parties indiquent l’avoir fait (Indicateur 4.3.1). Pour trois d’entre elles, il s’agit d’un progrès par rapport à la COP11, mais quatre autres Parties signalent une régression par rapport à la COP11 (voir annexe 1). Cependant, beaucoup de Parties ne commencent à compiler leur rapport national qu’à la fin de la période triennale, près de la date butoir de soumission (voire même après). Il importe que le rapport national soit un outil facile à utiliser, permettant aux Parties de surveiller les progrès d’application au niveau national, tout au long d’un ensemble de périodes successives entre les COP.</w:t>
      </w:r>
    </w:p>
    <w:p w:rsidR="003715B5" w:rsidRPr="00AF095C" w:rsidRDefault="003715B5" w:rsidP="003715B5">
      <w:pPr>
        <w:pStyle w:val="BodyText"/>
        <w:tabs>
          <w:tab w:val="left" w:pos="360"/>
          <w:tab w:val="left" w:pos="688"/>
        </w:tabs>
        <w:ind w:left="360" w:right="635" w:hanging="360"/>
        <w:rPr>
          <w:rFonts w:asciiTheme="minorHAnsi" w:hAnsiTheme="minorHAnsi"/>
          <w:sz w:val="22"/>
          <w:szCs w:val="22"/>
          <w:lang w:val="fr-FR"/>
        </w:rPr>
      </w:pPr>
    </w:p>
    <w:p w:rsidR="003715B5" w:rsidRPr="00AF095C" w:rsidRDefault="003715B5" w:rsidP="003715B5">
      <w:pPr>
        <w:pStyle w:val="BodyText"/>
        <w:tabs>
          <w:tab w:val="left" w:pos="360"/>
          <w:tab w:val="left" w:pos="688"/>
        </w:tabs>
        <w:ind w:left="360" w:right="635" w:hanging="360"/>
        <w:rPr>
          <w:rFonts w:asciiTheme="minorHAnsi" w:hAnsiTheme="minorHAnsi"/>
          <w:sz w:val="22"/>
          <w:szCs w:val="22"/>
          <w:lang w:val="fr-FR"/>
        </w:rPr>
      </w:pPr>
      <w:r w:rsidRPr="00AF095C">
        <w:rPr>
          <w:rFonts w:asciiTheme="minorHAnsi" w:hAnsiTheme="minorHAnsi"/>
          <w:sz w:val="22"/>
          <w:szCs w:val="22"/>
          <w:lang w:val="fr-FR"/>
        </w:rPr>
        <w:t>70.</w:t>
      </w:r>
      <w:r w:rsidRPr="00AF095C">
        <w:rPr>
          <w:rFonts w:asciiTheme="minorHAnsi" w:hAnsiTheme="minorHAnsi"/>
          <w:sz w:val="22"/>
          <w:szCs w:val="22"/>
          <w:lang w:val="fr-FR"/>
        </w:rPr>
        <w:tab/>
        <w:t xml:space="preserve">Beaucoup de Parties européennes ont fait des progrès substantiels depuis la COP11 en ce qui concerne la nomination de Correspondants nationaux pour les questions scientifiques et techniques (GEST) et pour la planification et l’élaboration de programmes nationaux de communication, éducation, sensibilisation et participation (CESP). Beaucoup ont informé le Secrétariat, dans leur rapport national, de changements et de nominations de nouveaux Correspondants nationaux (Indicateur </w:t>
      </w:r>
      <w:r w:rsidRPr="00AF095C">
        <w:rPr>
          <w:rFonts w:asciiTheme="minorHAnsi" w:hAnsiTheme="minorHAnsi" w:cs="Garamond"/>
          <w:sz w:val="22"/>
          <w:szCs w:val="22"/>
          <w:lang w:val="fr-FR"/>
        </w:rPr>
        <w:t>4.3.2</w:t>
      </w:r>
      <w:r w:rsidRPr="00AF095C">
        <w:rPr>
          <w:rFonts w:asciiTheme="minorHAnsi" w:hAnsiTheme="minorHAnsi"/>
          <w:sz w:val="22"/>
          <w:szCs w:val="22"/>
          <w:lang w:val="fr-FR"/>
        </w:rPr>
        <w:t xml:space="preserve">), comme indiqué dans le tableau </w:t>
      </w:r>
      <w:r w:rsidR="00AF095C" w:rsidRPr="00AF095C">
        <w:rPr>
          <w:rFonts w:asciiTheme="minorHAnsi" w:hAnsiTheme="minorHAnsi"/>
          <w:sz w:val="22"/>
          <w:szCs w:val="22"/>
          <w:lang w:val="fr-FR"/>
        </w:rPr>
        <w:t>ci-dessous</w:t>
      </w:r>
      <w:r w:rsidRPr="00AF095C">
        <w:rPr>
          <w:rFonts w:asciiTheme="minorHAnsi" w:hAnsiTheme="minorHAnsi"/>
          <w:sz w:val="22"/>
          <w:szCs w:val="22"/>
          <w:lang w:val="fr-FR"/>
        </w:rPr>
        <w:t xml:space="preserve">. Certaines personnes remplissent le rôle de correspondant dans plus d’un domaine. Cette pratique peut, certes, être source de synergies et répondre à une nécessité pour de plus petits pays ayant peu de moyens mais elle peut aussi limiter la capacité de la Partie à s’acquitter intégralement de chacun des rôles et devrait être évitée dans toute la mesure du possible. Les Parties sont encouragées à nommer les correspondants manquants, comme indiqué dans les cases ombrées du tableau </w:t>
      </w:r>
      <w:r w:rsidR="00AF095C" w:rsidRPr="00AF095C">
        <w:rPr>
          <w:rFonts w:asciiTheme="minorHAnsi" w:hAnsiTheme="minorHAnsi"/>
          <w:sz w:val="22"/>
          <w:szCs w:val="22"/>
          <w:lang w:val="fr-FR"/>
        </w:rPr>
        <w:t>ci-dessous</w:t>
      </w:r>
      <w:r w:rsidRPr="00AF095C">
        <w:rPr>
          <w:rFonts w:asciiTheme="minorHAnsi" w:hAnsiTheme="minorHAnsi"/>
          <w:sz w:val="22"/>
          <w:szCs w:val="22"/>
          <w:lang w:val="fr-FR"/>
        </w:rPr>
        <w:t>.</w:t>
      </w:r>
    </w:p>
    <w:p w:rsidR="003715B5" w:rsidRPr="003715B5" w:rsidRDefault="003715B5" w:rsidP="003715B5">
      <w:pPr>
        <w:pStyle w:val="BodyText"/>
        <w:tabs>
          <w:tab w:val="left" w:pos="688"/>
        </w:tabs>
        <w:ind w:left="0" w:right="521" w:firstLine="0"/>
        <w:rPr>
          <w:lang w:val="fr-FR"/>
        </w:rPr>
      </w:pPr>
    </w:p>
    <w:tbl>
      <w:tblPr>
        <w:tblW w:w="9397" w:type="dxa"/>
        <w:jc w:val="center"/>
        <w:tblLook w:val="00A0"/>
      </w:tblPr>
      <w:tblGrid>
        <w:gridCol w:w="2281"/>
        <w:gridCol w:w="1843"/>
        <w:gridCol w:w="1701"/>
        <w:gridCol w:w="1984"/>
        <w:gridCol w:w="1588"/>
      </w:tblGrid>
      <w:tr w:rsidR="003715B5" w:rsidRPr="003715B5" w:rsidTr="00891454">
        <w:trPr>
          <w:trHeight w:val="196"/>
          <w:jc w:val="center"/>
        </w:trPr>
        <w:tc>
          <w:tcPr>
            <w:tcW w:w="2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15B5" w:rsidRPr="00891454" w:rsidRDefault="003715B5" w:rsidP="003715B5">
            <w:pPr>
              <w:widowControl/>
              <w:jc w:val="center"/>
              <w:rPr>
                <w:b/>
                <w:color w:val="000000"/>
                <w:sz w:val="20"/>
                <w:szCs w:val="20"/>
                <w:lang w:val="fr-FR" w:eastAsia="en-GB"/>
              </w:rPr>
            </w:pPr>
            <w:r w:rsidRPr="00891454">
              <w:rPr>
                <w:b/>
                <w:color w:val="000000"/>
                <w:sz w:val="20"/>
                <w:szCs w:val="20"/>
                <w:lang w:val="fr-FR" w:eastAsia="en-GB"/>
              </w:rPr>
              <w:t>Partie</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715B5" w:rsidRPr="00891454" w:rsidRDefault="003715B5" w:rsidP="003715B5">
            <w:pPr>
              <w:widowControl/>
              <w:jc w:val="center"/>
              <w:rPr>
                <w:b/>
                <w:bCs/>
                <w:color w:val="000000"/>
                <w:sz w:val="20"/>
                <w:szCs w:val="20"/>
                <w:lang w:val="fr-FR" w:eastAsia="en-GB"/>
              </w:rPr>
            </w:pPr>
            <w:r w:rsidRPr="00891454">
              <w:rPr>
                <w:b/>
                <w:bCs/>
                <w:color w:val="000000"/>
                <w:sz w:val="20"/>
                <w:szCs w:val="20"/>
                <w:lang w:val="fr-FR" w:eastAsia="en-GB"/>
              </w:rPr>
              <w:t>Correspondant Autorité administrative</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715B5" w:rsidRPr="00891454" w:rsidRDefault="003715B5" w:rsidP="003715B5">
            <w:pPr>
              <w:widowControl/>
              <w:jc w:val="center"/>
              <w:rPr>
                <w:b/>
                <w:bCs/>
                <w:color w:val="000000"/>
                <w:sz w:val="20"/>
                <w:szCs w:val="20"/>
                <w:lang w:val="fr-FR" w:eastAsia="en-GB"/>
              </w:rPr>
            </w:pPr>
            <w:r w:rsidRPr="00891454">
              <w:rPr>
                <w:b/>
                <w:bCs/>
                <w:color w:val="000000"/>
                <w:sz w:val="20"/>
                <w:szCs w:val="20"/>
                <w:lang w:val="fr-FR" w:eastAsia="en-GB"/>
              </w:rPr>
              <w:t>Correspondant GEST</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715B5" w:rsidRPr="00891454" w:rsidRDefault="003715B5" w:rsidP="003715B5">
            <w:pPr>
              <w:widowControl/>
              <w:jc w:val="center"/>
              <w:rPr>
                <w:b/>
                <w:bCs/>
                <w:color w:val="000000"/>
                <w:sz w:val="20"/>
                <w:szCs w:val="20"/>
                <w:lang w:val="fr-FR" w:eastAsia="en-GB"/>
              </w:rPr>
            </w:pPr>
            <w:r w:rsidRPr="00891454">
              <w:rPr>
                <w:b/>
                <w:bCs/>
                <w:color w:val="000000"/>
                <w:sz w:val="20"/>
                <w:szCs w:val="20"/>
                <w:lang w:val="fr-FR" w:eastAsia="en-GB"/>
              </w:rPr>
              <w:t>Correspondant CESP gouvernemental</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3715B5" w:rsidRPr="00891454" w:rsidRDefault="003715B5" w:rsidP="003715B5">
            <w:pPr>
              <w:widowControl/>
              <w:jc w:val="center"/>
              <w:rPr>
                <w:b/>
                <w:bCs/>
                <w:color w:val="000000"/>
                <w:sz w:val="20"/>
                <w:szCs w:val="20"/>
                <w:lang w:val="fr-FR" w:eastAsia="en-GB"/>
              </w:rPr>
            </w:pPr>
            <w:r w:rsidRPr="00891454">
              <w:rPr>
                <w:b/>
                <w:bCs/>
                <w:color w:val="000000"/>
                <w:sz w:val="20"/>
                <w:szCs w:val="20"/>
                <w:lang w:val="fr-FR" w:eastAsia="en-GB"/>
              </w:rPr>
              <w:t>Correspondant CESP non gouvernemental</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Albanie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O. Cato</w:t>
            </w:r>
          </w:p>
        </w:tc>
        <w:tc>
          <w:tcPr>
            <w:tcW w:w="170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S. Alshabani</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Allemagne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J. Schmitz</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B. Hedden-Dunkhorst</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C. Schell</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S. Stübing</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Andorre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J. Naudi</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 Moles</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N. Rovira</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Arménie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K. Jenderedjian</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K. Jenderedjian</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 Avalyan</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S. Hakobyan</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Autriche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G. Schwar ch</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G.M. Steiner</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G. Schwach</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B. Mair-Markart</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Azerbaïdjan</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R.Allahverdiyev</w:t>
            </w:r>
          </w:p>
        </w:tc>
        <w:tc>
          <w:tcPr>
            <w:tcW w:w="170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Bélarus</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T. Trafimovich</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A.V. Kozulin</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N. Minchenko</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Y.V. Solovjev</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Belgique</w:t>
            </w:r>
          </w:p>
        </w:tc>
        <w:tc>
          <w:tcPr>
            <w:tcW w:w="1843" w:type="dxa"/>
            <w:tcBorders>
              <w:top w:val="nil"/>
              <w:left w:val="nil"/>
              <w:bottom w:val="single" w:sz="4" w:space="0" w:color="auto"/>
              <w:right w:val="single" w:sz="4" w:space="0" w:color="auto"/>
            </w:tcBorders>
            <w:noWrap/>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G. Raeymaekers</w:t>
            </w:r>
          </w:p>
        </w:tc>
        <w:tc>
          <w:tcPr>
            <w:tcW w:w="1701" w:type="dxa"/>
            <w:tcBorders>
              <w:top w:val="nil"/>
              <w:left w:val="nil"/>
              <w:bottom w:val="single" w:sz="4" w:space="0" w:color="auto"/>
              <w:right w:val="single" w:sz="4" w:space="0" w:color="auto"/>
            </w:tcBorders>
            <w:noWrap/>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E. Martens</w:t>
            </w:r>
          </w:p>
        </w:tc>
        <w:tc>
          <w:tcPr>
            <w:tcW w:w="1984" w:type="dxa"/>
            <w:tcBorders>
              <w:top w:val="nil"/>
              <w:left w:val="nil"/>
              <w:bottom w:val="single" w:sz="4" w:space="0" w:color="auto"/>
              <w:right w:val="single" w:sz="4" w:space="0" w:color="auto"/>
            </w:tcBorders>
            <w:noWrap/>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W. van den Bossche</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center"/>
          </w:tcPr>
          <w:p w:rsidR="003715B5" w:rsidRPr="00891454" w:rsidRDefault="003715B5" w:rsidP="003715B5">
            <w:pPr>
              <w:widowControl/>
              <w:jc w:val="center"/>
              <w:rPr>
                <w:color w:val="000000"/>
                <w:sz w:val="20"/>
                <w:szCs w:val="20"/>
                <w:lang w:val="fr-FR" w:eastAsia="en-GB"/>
              </w:rPr>
            </w:pP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Bosnie-Herzégovine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J. Vego</w:t>
            </w:r>
          </w:p>
        </w:tc>
        <w:tc>
          <w:tcPr>
            <w:tcW w:w="170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lastRenderedPageBreak/>
              <w:t>Bulgarie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 Hasan</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N. Kambourova</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 Hasan</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N. Arabadzhieva</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Chypre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E. Stylianopoulou</w:t>
            </w:r>
          </w:p>
        </w:tc>
        <w:tc>
          <w:tcPr>
            <w:tcW w:w="170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E. Stylianopoulou</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Croatie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 Jurić</w:t>
            </w:r>
          </w:p>
        </w:tc>
        <w:tc>
          <w:tcPr>
            <w:tcW w:w="170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Danemark</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L.L. Dinesen</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L.L. Dinesen</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 Lysholt Mathiasen</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K. Flensted</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Danemark (Groenland)</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A.Lysholt Mathiasen</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L.L. Dinesen</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 Lysholt Mathiasen</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K. Flensted</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Espagne</w:t>
            </w:r>
          </w:p>
        </w:tc>
        <w:tc>
          <w:tcPr>
            <w:tcW w:w="1843" w:type="dxa"/>
            <w:tcBorders>
              <w:top w:val="nil"/>
              <w:left w:val="nil"/>
              <w:bottom w:val="single" w:sz="4" w:space="0" w:color="auto"/>
              <w:right w:val="single" w:sz="4" w:space="0" w:color="auto"/>
            </w:tcBorders>
            <w:noWrap/>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 Bernués Sanz</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R. Sánchez Navarro</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Estonie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H. Fridolin</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K. Kimmel</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 Kivistik</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 Kose</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xml:space="preserve">Ex-République yougoslave de Macédoine </w:t>
            </w:r>
          </w:p>
        </w:tc>
        <w:tc>
          <w:tcPr>
            <w:tcW w:w="1843" w:type="dxa"/>
            <w:tcBorders>
              <w:top w:val="nil"/>
              <w:left w:val="nil"/>
              <w:bottom w:val="single" w:sz="4" w:space="0" w:color="auto"/>
              <w:right w:val="single" w:sz="4" w:space="0" w:color="auto"/>
            </w:tcBorders>
            <w:noWrap/>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 Nastov</w:t>
            </w:r>
          </w:p>
        </w:tc>
        <w:tc>
          <w:tcPr>
            <w:tcW w:w="1701" w:type="dxa"/>
            <w:tcBorders>
              <w:top w:val="nil"/>
              <w:left w:val="nil"/>
              <w:bottom w:val="single" w:sz="4" w:space="0" w:color="auto"/>
              <w:right w:val="single" w:sz="4" w:space="0" w:color="auto"/>
            </w:tcBorders>
            <w:noWrap/>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B. Micevski</w:t>
            </w:r>
          </w:p>
        </w:tc>
        <w:tc>
          <w:tcPr>
            <w:tcW w:w="1984" w:type="dxa"/>
            <w:tcBorders>
              <w:top w:val="nil"/>
              <w:left w:val="nil"/>
              <w:bottom w:val="single" w:sz="4" w:space="0" w:color="auto"/>
              <w:right w:val="single" w:sz="4" w:space="0" w:color="auto"/>
            </w:tcBorders>
            <w:noWrap/>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P. Kirovski</w:t>
            </w:r>
          </w:p>
        </w:tc>
        <w:tc>
          <w:tcPr>
            <w:tcW w:w="1581" w:type="dxa"/>
            <w:tcBorders>
              <w:top w:val="nil"/>
              <w:left w:val="nil"/>
              <w:bottom w:val="single" w:sz="4" w:space="0" w:color="auto"/>
              <w:right w:val="single" w:sz="4" w:space="0" w:color="auto"/>
            </w:tcBorders>
            <w:noWrap/>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B. Micevski</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Fédération de Russie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V. Ivlev</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 Sirin</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I.E. Kamennova</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Finlande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S-K. Juvonen</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J. Ilmonen</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S. Airas</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H. Klemola</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France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G. Ferrère</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P. Triplet</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G.Ferrère</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G. Macqueron</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Géorgie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S. Devdariani</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G. Sopadze</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L. Butkhuzi</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Grèce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K.Stilogianni</w:t>
            </w:r>
          </w:p>
        </w:tc>
        <w:tc>
          <w:tcPr>
            <w:tcW w:w="170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 Katsakiori</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Hongrie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 Schmidt</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S. Göri</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B. Bakó</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L. Musicz</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Irlande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L. Bradley</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J. Ryan</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K.Dubsky</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Islande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G. Þorvarðardóttir</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T. Baldursson</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H. Vésteinsdóttir</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G.Guðbrandsson</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Italie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D. Martino</w:t>
            </w:r>
          </w:p>
        </w:tc>
        <w:tc>
          <w:tcPr>
            <w:tcW w:w="170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Lettonie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J. Jatnieks</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 Urtans</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S. Ruskule</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Liechtenstein</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O. Müller</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O. Müller</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O. Müller</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 Gstöhl</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Lituanie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D. Sungaila</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V. Bezaras</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Luxembourg</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C. Origer</w:t>
            </w:r>
          </w:p>
        </w:tc>
        <w:tc>
          <w:tcPr>
            <w:tcW w:w="1701" w:type="dxa"/>
            <w:tcBorders>
              <w:top w:val="nil"/>
              <w:left w:val="nil"/>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Malte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D. Stevens</w:t>
            </w:r>
          </w:p>
        </w:tc>
        <w:tc>
          <w:tcPr>
            <w:tcW w:w="170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Monaco</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J. Carles</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J. Carles</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Monténégro</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 Misković-Spahić</w:t>
            </w:r>
          </w:p>
        </w:tc>
        <w:tc>
          <w:tcPr>
            <w:tcW w:w="170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Norvège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J.P. Huberth Hansen</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J.P. Huberth-Han.</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M.S. Aaronaes</w:t>
            </w:r>
          </w:p>
        </w:tc>
        <w:tc>
          <w:tcPr>
            <w:tcW w:w="1581" w:type="dxa"/>
            <w:tcBorders>
              <w:top w:val="single" w:sz="4" w:space="0" w:color="auto"/>
              <w:left w:val="single" w:sz="4" w:space="0" w:color="auto"/>
              <w:bottom w:val="single" w:sz="4" w:space="0" w:color="auto"/>
              <w:right w:val="single" w:sz="4" w:space="0" w:color="auto"/>
            </w:tcBorders>
            <w:shd w:val="clear" w:color="000000" w:fill="EBF1DE"/>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Pays-Bas</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A.J. Pel</w:t>
            </w:r>
          </w:p>
        </w:tc>
        <w:tc>
          <w:tcPr>
            <w:tcW w:w="170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A.J. Pel</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Pologne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P. Stawiarz</w:t>
            </w:r>
          </w:p>
        </w:tc>
        <w:tc>
          <w:tcPr>
            <w:tcW w:w="170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Portugal</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J.C. Farinha</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J.C. Farinha</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République de Moldova</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B. Valeriu</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 Andreev</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I.Trombitski</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République tchèque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L. Vlasáková</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D. Pithart</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L. Vlasáková</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Roumanie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D.M.Cocai</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G. Baboianu</w:t>
            </w:r>
          </w:p>
        </w:tc>
        <w:tc>
          <w:tcPr>
            <w:tcW w:w="1984"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c>
          <w:tcPr>
            <w:tcW w:w="1581" w:type="dxa"/>
            <w:tcBorders>
              <w:top w:val="single" w:sz="4" w:space="0" w:color="auto"/>
              <w:left w:val="single" w:sz="4" w:space="0" w:color="auto"/>
              <w:bottom w:val="single" w:sz="4" w:space="0" w:color="auto"/>
              <w:right w:val="single" w:sz="4" w:space="0" w:color="auto"/>
            </w:tcBorders>
            <w:shd w:val="clear" w:color="000000" w:fill="EBF1DE"/>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Royaume-Uni</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C. Hamilton</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D. Stroud</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 Tully</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C. Rostron</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Serbie</w:t>
            </w:r>
          </w:p>
        </w:tc>
        <w:tc>
          <w:tcPr>
            <w:tcW w:w="1843" w:type="dxa"/>
            <w:tcBorders>
              <w:top w:val="nil"/>
              <w:left w:val="nil"/>
              <w:bottom w:val="single" w:sz="4" w:space="0" w:color="auto"/>
              <w:right w:val="single" w:sz="4" w:space="0" w:color="auto"/>
            </w:tcBorders>
            <w:noWrap/>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J. Ducic</w:t>
            </w:r>
          </w:p>
        </w:tc>
        <w:tc>
          <w:tcPr>
            <w:tcW w:w="1701" w:type="dxa"/>
            <w:tcBorders>
              <w:top w:val="nil"/>
              <w:left w:val="nil"/>
              <w:bottom w:val="single" w:sz="4" w:space="0" w:color="auto"/>
              <w:right w:val="single" w:sz="4" w:space="0" w:color="auto"/>
            </w:tcBorders>
            <w:noWrap/>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xml:space="preserve">P.Lazarevic, </w:t>
            </w:r>
          </w:p>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N. Stojnic</w:t>
            </w:r>
          </w:p>
        </w:tc>
        <w:tc>
          <w:tcPr>
            <w:tcW w:w="1984" w:type="dxa"/>
            <w:tcBorders>
              <w:top w:val="nil"/>
              <w:left w:val="nil"/>
              <w:bottom w:val="single" w:sz="4" w:space="0" w:color="auto"/>
              <w:right w:val="single" w:sz="4" w:space="0" w:color="auto"/>
            </w:tcBorders>
            <w:noWrap/>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N. Panic</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Slovaquie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A. Kušíková</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E. Stloukal</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 Balciorová</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 Janák</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Slovénie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G. Beltram</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 Naglič</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 Vičar</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 Ogrin</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Suède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J. Lonnstad</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L. Tranvik</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J. Lonnstad</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L. Gladh</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Suisse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R. Schnidrig</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S. Herzog</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S. Herzog</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Turquie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M. Golge</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S. Hizli</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xml:space="preserve">S. </w:t>
            </w:r>
            <w:r w:rsidRPr="00891454">
              <w:rPr>
                <w:rFonts w:eastAsia="MS Mincho" w:cs="MS Mincho"/>
                <w:color w:val="000000"/>
                <w:sz w:val="20"/>
                <w:szCs w:val="20"/>
                <w:lang w:val="fr-FR" w:eastAsia="en-GB"/>
              </w:rPr>
              <w:t>Ҫ</w:t>
            </w:r>
            <w:r w:rsidRPr="00891454">
              <w:rPr>
                <w:color w:val="000000"/>
                <w:sz w:val="20"/>
                <w:szCs w:val="20"/>
                <w:lang w:val="fr-FR" w:eastAsia="en-GB"/>
              </w:rPr>
              <w:t>agirankaya</w:t>
            </w:r>
          </w:p>
        </w:tc>
        <w:tc>
          <w:tcPr>
            <w:tcW w:w="1581" w:type="dxa"/>
            <w:tcBorders>
              <w:top w:val="single" w:sz="4" w:space="0" w:color="auto"/>
              <w:left w:val="single" w:sz="4" w:space="0" w:color="auto"/>
              <w:bottom w:val="single" w:sz="4" w:space="0" w:color="auto"/>
              <w:right w:val="single" w:sz="4" w:space="0" w:color="auto"/>
            </w:tcBorders>
            <w:shd w:val="clear" w:color="auto" w:fill="C2D69B"/>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 </w:t>
            </w:r>
          </w:p>
        </w:tc>
      </w:tr>
      <w:tr w:rsidR="003715B5" w:rsidRPr="003715B5" w:rsidTr="003715B5">
        <w:trPr>
          <w:trHeight w:val="196"/>
          <w:jc w:val="center"/>
        </w:trPr>
        <w:tc>
          <w:tcPr>
            <w:tcW w:w="2288" w:type="dxa"/>
            <w:tcBorders>
              <w:top w:val="nil"/>
              <w:left w:val="single" w:sz="4" w:space="0" w:color="auto"/>
              <w:bottom w:val="single" w:sz="4" w:space="0" w:color="auto"/>
              <w:right w:val="single" w:sz="4" w:space="0" w:color="auto"/>
            </w:tcBorders>
            <w:vAlign w:val="center"/>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Ukraine</w:t>
            </w:r>
          </w:p>
        </w:tc>
        <w:tc>
          <w:tcPr>
            <w:tcW w:w="1843"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I. Ivanenko</w:t>
            </w:r>
          </w:p>
        </w:tc>
        <w:tc>
          <w:tcPr>
            <w:tcW w:w="170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V. Kostyushyn</w:t>
            </w:r>
          </w:p>
        </w:tc>
        <w:tc>
          <w:tcPr>
            <w:tcW w:w="1984"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O. Petrovych</w:t>
            </w:r>
          </w:p>
        </w:tc>
        <w:tc>
          <w:tcPr>
            <w:tcW w:w="1581" w:type="dxa"/>
            <w:tcBorders>
              <w:top w:val="nil"/>
              <w:left w:val="nil"/>
              <w:bottom w:val="single" w:sz="4" w:space="0" w:color="auto"/>
              <w:right w:val="single" w:sz="4" w:space="0" w:color="auto"/>
            </w:tcBorders>
            <w:noWrap/>
            <w:vAlign w:val="bottom"/>
          </w:tcPr>
          <w:p w:rsidR="003715B5" w:rsidRPr="00891454" w:rsidRDefault="003715B5" w:rsidP="003715B5">
            <w:pPr>
              <w:widowControl/>
              <w:rPr>
                <w:color w:val="000000"/>
                <w:sz w:val="20"/>
                <w:szCs w:val="20"/>
                <w:lang w:val="fr-FR" w:eastAsia="en-GB"/>
              </w:rPr>
            </w:pPr>
            <w:r w:rsidRPr="00891454">
              <w:rPr>
                <w:color w:val="000000"/>
                <w:sz w:val="20"/>
                <w:szCs w:val="20"/>
                <w:lang w:val="fr-FR" w:eastAsia="en-GB"/>
              </w:rPr>
              <w:t>G. Marushevskyi</w:t>
            </w:r>
          </w:p>
        </w:tc>
      </w:tr>
    </w:tbl>
    <w:p w:rsidR="003715B5" w:rsidRPr="003715B5" w:rsidRDefault="003715B5" w:rsidP="003715B5">
      <w:pPr>
        <w:rPr>
          <w:rFonts w:ascii="Garamond" w:hAnsi="Garamond" w:cs="Garamond"/>
          <w:sz w:val="24"/>
          <w:szCs w:val="24"/>
          <w:lang w:val="fr-FR"/>
        </w:rPr>
      </w:pPr>
    </w:p>
    <w:p w:rsidR="003715B5" w:rsidRPr="00AF095C" w:rsidRDefault="003715B5" w:rsidP="003715B5">
      <w:pPr>
        <w:rPr>
          <w:rFonts w:cs="Garamond"/>
          <w:lang w:val="fr-FR"/>
        </w:rPr>
      </w:pPr>
      <w:r w:rsidRPr="00AF095C">
        <w:rPr>
          <w:b/>
          <w:lang w:val="fr-FR"/>
        </w:rPr>
        <w:t xml:space="preserve">Collaboration avec les OIP, entre autres </w:t>
      </w:r>
      <w:r w:rsidRPr="00AF095C">
        <w:rPr>
          <w:i/>
          <w:lang w:val="fr-FR"/>
        </w:rPr>
        <w:t>(Stratégie 4.4)</w:t>
      </w:r>
    </w:p>
    <w:p w:rsidR="003715B5" w:rsidRPr="00AF095C" w:rsidRDefault="003715B5" w:rsidP="003715B5">
      <w:pPr>
        <w:rPr>
          <w:rFonts w:cs="Garamond"/>
          <w:i/>
          <w:lang w:val="fr-FR"/>
        </w:rPr>
      </w:pPr>
    </w:p>
    <w:p w:rsidR="003715B5" w:rsidRPr="00AF095C" w:rsidRDefault="003715B5" w:rsidP="003715B5">
      <w:pPr>
        <w:pStyle w:val="BodyText"/>
        <w:tabs>
          <w:tab w:val="left" w:pos="360"/>
          <w:tab w:val="left" w:pos="668"/>
        </w:tabs>
        <w:ind w:left="360" w:right="656" w:hanging="360"/>
        <w:rPr>
          <w:rFonts w:asciiTheme="minorHAnsi" w:hAnsiTheme="minorHAnsi"/>
          <w:sz w:val="22"/>
          <w:szCs w:val="22"/>
          <w:lang w:val="fr-FR"/>
        </w:rPr>
      </w:pPr>
      <w:r w:rsidRPr="00AF095C">
        <w:rPr>
          <w:rFonts w:asciiTheme="minorHAnsi" w:hAnsiTheme="minorHAnsi"/>
          <w:sz w:val="22"/>
          <w:szCs w:val="22"/>
          <w:lang w:val="fr-FR"/>
        </w:rPr>
        <w:t>71.</w:t>
      </w:r>
      <w:r w:rsidRPr="00AF095C">
        <w:rPr>
          <w:rFonts w:asciiTheme="minorHAnsi" w:hAnsiTheme="minorHAnsi"/>
          <w:sz w:val="22"/>
          <w:szCs w:val="22"/>
          <w:lang w:val="fr-FR"/>
        </w:rPr>
        <w:tab/>
        <w:t xml:space="preserve">La Convention de Ramsar est le seul traité multilatéral qui collabore officiellement avec un groupe sélectionné d’organisations internationales non gouvernementales portant le nom d’Organisations internationales partenaires (OIP). Cette coopération mutuellement bénéfique s’est développée avec le temps et offre des possibilités d’évolution vers des réalisations plus planifiées, structurées, conséquentes et ambitieuses. Cette coopération ne devrait pas seulement se faire au niveau international, pour les travaux du Secrétariat, </w:t>
      </w:r>
      <w:r w:rsidRPr="00AF095C">
        <w:rPr>
          <w:rFonts w:asciiTheme="minorHAnsi" w:hAnsiTheme="minorHAnsi"/>
          <w:sz w:val="22"/>
          <w:szCs w:val="22"/>
          <w:lang w:val="fr-FR"/>
        </w:rPr>
        <w:lastRenderedPageBreak/>
        <w:t xml:space="preserve">du GEST et du Comité permanent. En effet, les possibilités de renforcement de la coopération sont énormes, non seulement aux niveaux national et local mais aussi avec d’autres organisations non gouvernementales, notamment en Albanie, en Azerbaïdjan, en Belgique, en </w:t>
      </w:r>
      <w:r w:rsidR="00AF095C" w:rsidRPr="00AF095C">
        <w:rPr>
          <w:rFonts w:asciiTheme="minorHAnsi" w:hAnsiTheme="minorHAnsi"/>
          <w:sz w:val="22"/>
          <w:szCs w:val="22"/>
          <w:lang w:val="fr-FR"/>
        </w:rPr>
        <w:t>Bosnie-Herzégovine</w:t>
      </w:r>
      <w:r w:rsidRPr="00AF095C">
        <w:rPr>
          <w:rFonts w:asciiTheme="minorHAnsi" w:hAnsiTheme="minorHAnsi"/>
          <w:sz w:val="22"/>
          <w:szCs w:val="22"/>
          <w:lang w:val="fr-FR"/>
        </w:rPr>
        <w:t>, en Bulgarie, en Croatie, à Chypre, au Danemark, en Estonie, en Finlande, en Géorgie, au Groenland, en Hongrie, en Islande, en Italie, en Lettonie, au Liechtenstein, en Lituanie, en Roumanie, en Serbie et en Suisse (Indicateur 4.4.1).</w:t>
      </w:r>
    </w:p>
    <w:p w:rsidR="003715B5" w:rsidRPr="00AF095C" w:rsidRDefault="003715B5" w:rsidP="003715B5">
      <w:pPr>
        <w:pStyle w:val="BodyText"/>
        <w:tabs>
          <w:tab w:val="left" w:pos="360"/>
          <w:tab w:val="left" w:pos="668"/>
        </w:tabs>
        <w:ind w:left="360" w:right="656" w:hanging="360"/>
        <w:rPr>
          <w:rFonts w:asciiTheme="minorHAnsi" w:hAnsiTheme="minorHAnsi"/>
          <w:sz w:val="22"/>
          <w:szCs w:val="22"/>
          <w:lang w:val="fr-FR"/>
        </w:rPr>
      </w:pPr>
    </w:p>
    <w:p w:rsidR="003715B5" w:rsidRPr="00AF095C" w:rsidRDefault="003715B5" w:rsidP="003715B5">
      <w:pPr>
        <w:pStyle w:val="BodyText"/>
        <w:tabs>
          <w:tab w:val="left" w:pos="360"/>
          <w:tab w:val="left" w:pos="668"/>
        </w:tabs>
        <w:ind w:left="360" w:right="582" w:hanging="360"/>
        <w:rPr>
          <w:rFonts w:asciiTheme="minorHAnsi" w:hAnsiTheme="minorHAnsi"/>
          <w:sz w:val="22"/>
          <w:szCs w:val="22"/>
          <w:lang w:val="fr-FR"/>
        </w:rPr>
      </w:pPr>
      <w:r w:rsidRPr="00AF095C">
        <w:rPr>
          <w:rFonts w:asciiTheme="minorHAnsi" w:hAnsiTheme="minorHAnsi"/>
          <w:sz w:val="22"/>
          <w:szCs w:val="22"/>
          <w:lang w:val="fr-FR"/>
        </w:rPr>
        <w:t>72.</w:t>
      </w:r>
      <w:r w:rsidRPr="00AF095C">
        <w:rPr>
          <w:rFonts w:asciiTheme="minorHAnsi" w:hAnsiTheme="minorHAnsi"/>
          <w:sz w:val="22"/>
          <w:szCs w:val="22"/>
          <w:lang w:val="fr-FR"/>
        </w:rPr>
        <w:tab/>
        <w:t>L’Allemagne, le Bélarus, le Danemark, l’Espagne, la France, la Norvège les Pays</w:t>
      </w:r>
      <w:r w:rsidRPr="00AF095C">
        <w:rPr>
          <w:rFonts w:asciiTheme="minorHAnsi" w:hAnsiTheme="minorHAnsi"/>
          <w:sz w:val="22"/>
          <w:szCs w:val="22"/>
          <w:lang w:val="fr-FR"/>
        </w:rPr>
        <w:noBreakHyphen/>
        <w:t xml:space="preserve">Bas et la Suisse indiquent avoir apporté une assistance à l’une au moins des OIP de la Convention (Indicateur 4.4.2).  </w:t>
      </w:r>
    </w:p>
    <w:p w:rsidR="003715B5" w:rsidRPr="00AF095C" w:rsidRDefault="003715B5" w:rsidP="003715B5">
      <w:pPr>
        <w:rPr>
          <w:rFonts w:cs="Garamond"/>
          <w:lang w:val="fr-FR"/>
        </w:rPr>
      </w:pPr>
      <w:r w:rsidRPr="00AF095C">
        <w:rPr>
          <w:rFonts w:cs="Garamond"/>
          <w:lang w:val="fr-FR"/>
        </w:rPr>
        <w:br w:type="page"/>
      </w:r>
    </w:p>
    <w:p w:rsidR="003715B5" w:rsidRPr="00AF095C" w:rsidRDefault="003715B5" w:rsidP="003715B5">
      <w:pPr>
        <w:rPr>
          <w:rFonts w:cs="Garamond"/>
          <w:lang w:val="fr-FR"/>
        </w:rPr>
      </w:pPr>
    </w:p>
    <w:p w:rsidR="003715B5" w:rsidRPr="00532730" w:rsidRDefault="003715B5" w:rsidP="00532730">
      <w:pPr>
        <w:pStyle w:val="Heading1"/>
        <w:ind w:left="0" w:right="-28"/>
        <w:rPr>
          <w:rFonts w:asciiTheme="minorHAnsi" w:hAnsiTheme="minorHAnsi"/>
          <w:sz w:val="24"/>
          <w:szCs w:val="24"/>
          <w:lang w:val="fr-FR"/>
        </w:rPr>
      </w:pPr>
      <w:r w:rsidRPr="00532730">
        <w:rPr>
          <w:rFonts w:asciiTheme="minorHAnsi" w:hAnsiTheme="minorHAnsi"/>
          <w:sz w:val="24"/>
          <w:szCs w:val="24"/>
          <w:lang w:val="fr-FR"/>
        </w:rPr>
        <w:t>Annexe 1</w:t>
      </w:r>
    </w:p>
    <w:p w:rsidR="003715B5" w:rsidRPr="00532730" w:rsidRDefault="003715B5" w:rsidP="00532730">
      <w:pPr>
        <w:pStyle w:val="Heading1"/>
        <w:ind w:left="0" w:right="-28"/>
        <w:rPr>
          <w:rFonts w:asciiTheme="minorHAnsi" w:hAnsiTheme="minorHAnsi"/>
          <w:sz w:val="24"/>
          <w:szCs w:val="24"/>
          <w:lang w:val="fr-FR"/>
        </w:rPr>
      </w:pPr>
    </w:p>
    <w:p w:rsidR="003715B5" w:rsidRPr="00532730" w:rsidRDefault="003715B5" w:rsidP="00532730">
      <w:pPr>
        <w:pStyle w:val="Heading1"/>
        <w:ind w:left="0" w:right="-28"/>
        <w:rPr>
          <w:rFonts w:asciiTheme="minorHAnsi" w:hAnsiTheme="minorHAnsi"/>
          <w:sz w:val="24"/>
          <w:szCs w:val="24"/>
          <w:lang w:val="fr-FR"/>
        </w:rPr>
      </w:pPr>
      <w:r w:rsidRPr="00532730">
        <w:rPr>
          <w:rFonts w:asciiTheme="minorHAnsi" w:hAnsiTheme="minorHAnsi"/>
          <w:sz w:val="24"/>
          <w:szCs w:val="24"/>
          <w:lang w:val="fr-FR"/>
        </w:rPr>
        <w:t>Réponses des Parties européennes à des indicateurs sélectionnés</w:t>
      </w:r>
    </w:p>
    <w:p w:rsidR="003715B5" w:rsidRPr="00AF095C" w:rsidRDefault="003715B5" w:rsidP="003715B5">
      <w:pPr>
        <w:ind w:right="546"/>
        <w:rPr>
          <w:rFonts w:cs="Garamond"/>
          <w:b/>
          <w:bCs/>
          <w:lang w:val="fr-FR"/>
        </w:rPr>
      </w:pPr>
    </w:p>
    <w:p w:rsidR="003715B5" w:rsidRPr="00AF095C" w:rsidRDefault="003715B5" w:rsidP="003715B5">
      <w:pPr>
        <w:ind w:right="546"/>
        <w:rPr>
          <w:rFonts w:cs="Garamond"/>
          <w:lang w:val="fr-FR"/>
        </w:rPr>
      </w:pPr>
      <w:r w:rsidRPr="00AF095C">
        <w:rPr>
          <w:rFonts w:cs="Garamond"/>
          <w:b/>
          <w:bCs/>
          <w:lang w:val="fr-FR"/>
        </w:rPr>
        <w:t xml:space="preserve">Note sur les symboles utilisés </w:t>
      </w:r>
    </w:p>
    <w:p w:rsidR="003715B5" w:rsidRPr="00AF095C" w:rsidRDefault="003715B5" w:rsidP="003715B5">
      <w:pPr>
        <w:ind w:right="545"/>
        <w:jc w:val="center"/>
        <w:rPr>
          <w:b/>
          <w:lang w:val="fr-FR"/>
        </w:rPr>
      </w:pPr>
    </w:p>
    <w:p w:rsidR="003715B5" w:rsidRPr="00AF095C" w:rsidRDefault="003715B5" w:rsidP="003715B5">
      <w:pPr>
        <w:ind w:right="545"/>
        <w:jc w:val="center"/>
        <w:rPr>
          <w:b/>
          <w:lang w:val="fr-FR"/>
        </w:rPr>
      </w:pPr>
      <w:r w:rsidRPr="00AF095C">
        <w:rPr>
          <w:b/>
          <w:lang w:val="fr-FR"/>
        </w:rPr>
        <w:t>Trois catégories de réponses sont utilisées :</w:t>
      </w:r>
    </w:p>
    <w:p w:rsidR="003715B5" w:rsidRPr="00AF095C" w:rsidRDefault="003715B5" w:rsidP="003715B5">
      <w:pPr>
        <w:ind w:right="545"/>
        <w:jc w:val="center"/>
        <w:rPr>
          <w:rFonts w:cs="Garamond"/>
          <w:lang w:val="fr-FR"/>
        </w:rPr>
      </w:pPr>
    </w:p>
    <w:p w:rsidR="003715B5" w:rsidRPr="00AF095C" w:rsidRDefault="003715B5" w:rsidP="003715B5">
      <w:pPr>
        <w:tabs>
          <w:tab w:val="left" w:pos="7020"/>
        </w:tabs>
        <w:ind w:right="-28"/>
        <w:jc w:val="center"/>
        <w:rPr>
          <w:w w:val="99"/>
          <w:lang w:val="fr-FR"/>
        </w:rPr>
      </w:pPr>
      <w:r w:rsidRPr="00AF095C">
        <w:rPr>
          <w:rFonts w:cs="Garamond"/>
          <w:b/>
          <w:lang w:val="fr-FR"/>
        </w:rPr>
        <w:sym w:font="Wingdings" w:char="F04A"/>
      </w:r>
      <w:r w:rsidRPr="00AF095C">
        <w:rPr>
          <w:w w:val="95"/>
          <w:lang w:val="fr-FR"/>
        </w:rPr>
        <w:t xml:space="preserve"> oui</w:t>
      </w:r>
      <w:r w:rsidRPr="00AF095C">
        <w:rPr>
          <w:lang w:val="fr-FR"/>
        </w:rPr>
        <w:t xml:space="preserve"> </w:t>
      </w:r>
      <w:r w:rsidRPr="00AF095C">
        <w:rPr>
          <w:w w:val="95"/>
          <w:lang w:val="fr-FR"/>
        </w:rPr>
        <w:t xml:space="preserve">     </w:t>
      </w:r>
      <w:r w:rsidRPr="00AF095C">
        <w:rPr>
          <w:rFonts w:cs="Garamond"/>
          <w:lang w:val="fr-FR"/>
        </w:rPr>
        <w:sym w:font="Wingdings" w:char="F04B"/>
      </w:r>
      <w:r w:rsidRPr="00AF095C">
        <w:rPr>
          <w:w w:val="95"/>
          <w:lang w:val="fr-FR"/>
        </w:rPr>
        <w:t xml:space="preserve"> </w:t>
      </w:r>
      <w:r w:rsidRPr="00AF095C">
        <w:rPr>
          <w:lang w:val="fr-FR"/>
        </w:rPr>
        <w:t xml:space="preserve">en progrès – partiellement – prévu      </w:t>
      </w:r>
      <w:r w:rsidRPr="00AF095C">
        <w:rPr>
          <w:rFonts w:cs="Garamond"/>
          <w:lang w:val="fr-FR"/>
        </w:rPr>
        <w:sym w:font="Wingdings" w:char="F04C"/>
      </w:r>
      <w:r w:rsidRPr="00AF095C">
        <w:rPr>
          <w:rFonts w:cs="Garamond"/>
          <w:lang w:val="fr-FR"/>
        </w:rPr>
        <w:t></w:t>
      </w:r>
      <w:r w:rsidRPr="00AF095C">
        <w:rPr>
          <w:lang w:val="fr-FR"/>
        </w:rPr>
        <w:t>non</w:t>
      </w:r>
    </w:p>
    <w:p w:rsidR="003715B5" w:rsidRPr="00AF095C" w:rsidRDefault="003715B5" w:rsidP="003715B5">
      <w:pPr>
        <w:tabs>
          <w:tab w:val="left" w:pos="3629"/>
          <w:tab w:val="left" w:pos="7020"/>
        </w:tabs>
        <w:ind w:right="2206"/>
        <w:jc w:val="center"/>
        <w:rPr>
          <w:b/>
          <w:w w:val="99"/>
          <w:lang w:val="fr-FR"/>
        </w:rPr>
      </w:pPr>
    </w:p>
    <w:p w:rsidR="003715B5" w:rsidRPr="00AF095C" w:rsidRDefault="003715B5" w:rsidP="003715B5">
      <w:pPr>
        <w:tabs>
          <w:tab w:val="left" w:pos="3629"/>
          <w:tab w:val="left" w:pos="7020"/>
          <w:tab w:val="left" w:pos="7513"/>
        </w:tabs>
        <w:ind w:right="-28"/>
        <w:jc w:val="center"/>
        <w:rPr>
          <w:rFonts w:cs="Garamond"/>
          <w:lang w:val="fr-FR"/>
        </w:rPr>
      </w:pPr>
      <w:r w:rsidRPr="00AF095C">
        <w:rPr>
          <w:b/>
          <w:lang w:val="fr-FR"/>
        </w:rPr>
        <w:t>Évolution entre la COP11 (2012) et la COP12 (2015) :</w:t>
      </w:r>
    </w:p>
    <w:p w:rsidR="003715B5" w:rsidRPr="00AF095C" w:rsidRDefault="003715B5" w:rsidP="003715B5">
      <w:pPr>
        <w:pStyle w:val="BodyText"/>
        <w:ind w:left="0" w:right="372" w:firstLine="0"/>
        <w:rPr>
          <w:rFonts w:asciiTheme="minorHAnsi" w:hAnsiTheme="minorHAnsi"/>
          <w:sz w:val="22"/>
          <w:szCs w:val="22"/>
          <w:lang w:val="fr-FR"/>
        </w:rPr>
      </w:pPr>
      <w:r w:rsidRPr="00AF095C">
        <w:rPr>
          <w:rFonts w:asciiTheme="minorHAnsi" w:hAnsiTheme="minorHAnsi"/>
          <w:sz w:val="22"/>
          <w:szCs w:val="22"/>
          <w:lang w:val="fr-FR"/>
        </w:rPr>
        <w:t>Le tableau ci-dessous montre la réponse des Parties avant la COP12 à des indicateurs sélectionnés selon les trois catégories indiquées ci-dessus. Les réponses sont comparées à celles qui ont été fournies pour les indicateurs respectifs avant la COP11 (annexe 1 du document Ramsar COP11 DOC.11), sauf pour les pays portant un astérisque (*) qui n’ont pas fait rapport à la COP11.</w:t>
      </w:r>
    </w:p>
    <w:p w:rsidR="003715B5" w:rsidRPr="003715B5" w:rsidRDefault="003715B5" w:rsidP="003715B5">
      <w:pPr>
        <w:rPr>
          <w:rFonts w:ascii="Garamond" w:hAnsi="Garamond" w:cs="Garamond"/>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3"/>
        <w:gridCol w:w="4643"/>
      </w:tblGrid>
      <w:tr w:rsidR="003715B5" w:rsidRPr="003715B5" w:rsidTr="003715B5">
        <w:tc>
          <w:tcPr>
            <w:tcW w:w="5008" w:type="dxa"/>
          </w:tcPr>
          <w:p w:rsidR="003715B5" w:rsidRPr="00AF095C" w:rsidRDefault="003715B5" w:rsidP="003715B5">
            <w:pPr>
              <w:rPr>
                <w:rFonts w:cs="Garamond"/>
                <w:lang w:val="fr-FR"/>
              </w:rPr>
            </w:pPr>
            <w:r w:rsidRPr="00AF095C">
              <w:rPr>
                <w:b/>
                <w:lang w:val="fr-FR"/>
              </w:rPr>
              <w:t>cases blanches</w:t>
            </w:r>
          </w:p>
        </w:tc>
        <w:tc>
          <w:tcPr>
            <w:tcW w:w="5008" w:type="dxa"/>
          </w:tcPr>
          <w:p w:rsidR="003715B5" w:rsidRPr="00AF095C" w:rsidRDefault="003715B5" w:rsidP="003715B5">
            <w:pPr>
              <w:rPr>
                <w:rFonts w:cs="Garamond"/>
                <w:lang w:val="fr-FR"/>
              </w:rPr>
            </w:pPr>
            <w:r w:rsidRPr="00AF095C">
              <w:rPr>
                <w:lang w:val="fr-FR"/>
              </w:rPr>
              <w:t>aucun progrès important signalé depuis la COP11,</w:t>
            </w:r>
            <w:r w:rsidRPr="00AF095C">
              <w:rPr>
                <w:b/>
                <w:lang w:val="fr-FR"/>
              </w:rPr>
              <w:t xml:space="preserve"> </w:t>
            </w:r>
            <w:r w:rsidR="00AF095C" w:rsidRPr="00AF095C">
              <w:rPr>
                <w:lang w:val="fr-FR"/>
              </w:rPr>
              <w:t>c.-à-d.</w:t>
            </w:r>
            <w:r w:rsidRPr="00AF095C">
              <w:rPr>
                <w:lang w:val="fr-FR"/>
              </w:rPr>
              <w:t xml:space="preserve"> que l’indicateur est resté dans la même catégorie</w:t>
            </w:r>
          </w:p>
        </w:tc>
      </w:tr>
      <w:tr w:rsidR="003715B5" w:rsidRPr="003715B5" w:rsidTr="003715B5">
        <w:tc>
          <w:tcPr>
            <w:tcW w:w="5008" w:type="dxa"/>
          </w:tcPr>
          <w:p w:rsidR="003715B5" w:rsidRPr="00AF095C" w:rsidRDefault="003715B5" w:rsidP="003715B5">
            <w:pPr>
              <w:rPr>
                <w:rFonts w:cs="Garamond"/>
                <w:lang w:val="fr-FR"/>
              </w:rPr>
            </w:pPr>
            <w:r w:rsidRPr="00AF095C">
              <w:rPr>
                <w:b/>
                <w:shd w:val="clear" w:color="auto" w:fill="D6E3BC"/>
                <w:lang w:val="fr-FR"/>
              </w:rPr>
              <w:t>cases ombrées</w:t>
            </w:r>
          </w:p>
        </w:tc>
        <w:tc>
          <w:tcPr>
            <w:tcW w:w="5008" w:type="dxa"/>
          </w:tcPr>
          <w:p w:rsidR="003715B5" w:rsidRPr="00AF095C" w:rsidRDefault="003715B5" w:rsidP="003715B5">
            <w:pPr>
              <w:rPr>
                <w:rFonts w:cs="Garamond"/>
                <w:lang w:val="fr-FR"/>
              </w:rPr>
            </w:pPr>
            <w:r w:rsidRPr="00AF095C">
              <w:rPr>
                <w:lang w:val="fr-FR"/>
              </w:rPr>
              <w:t xml:space="preserve">l’indicateur est passé à une catégorie supérieure entre la COP11 et la COP12, p. ex., de </w:t>
            </w:r>
            <w:r w:rsidRPr="00AF095C">
              <w:rPr>
                <w:i/>
                <w:lang w:val="fr-FR"/>
              </w:rPr>
              <w:t>non</w:t>
            </w:r>
            <w:r w:rsidRPr="00AF095C">
              <w:rPr>
                <w:lang w:val="fr-FR"/>
              </w:rPr>
              <w:t xml:space="preserve"> à </w:t>
            </w:r>
            <w:r w:rsidRPr="00AF095C">
              <w:rPr>
                <w:i/>
                <w:lang w:val="fr-FR"/>
              </w:rPr>
              <w:t>en progrès</w:t>
            </w:r>
            <w:r w:rsidRPr="00AF095C">
              <w:rPr>
                <w:lang w:val="fr-FR"/>
              </w:rPr>
              <w:t xml:space="preserve">, ou de </w:t>
            </w:r>
            <w:r w:rsidRPr="00AF095C">
              <w:rPr>
                <w:i/>
                <w:lang w:val="fr-FR"/>
              </w:rPr>
              <w:t>partiellement</w:t>
            </w:r>
            <w:r w:rsidRPr="00AF095C">
              <w:rPr>
                <w:lang w:val="fr-FR"/>
              </w:rPr>
              <w:t xml:space="preserve"> à </w:t>
            </w:r>
            <w:r w:rsidRPr="00AF095C">
              <w:rPr>
                <w:i/>
                <w:lang w:val="fr-FR"/>
              </w:rPr>
              <w:t>oui</w:t>
            </w:r>
          </w:p>
        </w:tc>
      </w:tr>
      <w:tr w:rsidR="003715B5" w:rsidRPr="003715B5" w:rsidTr="003715B5">
        <w:tc>
          <w:tcPr>
            <w:tcW w:w="5008" w:type="dxa"/>
          </w:tcPr>
          <w:p w:rsidR="003715B5" w:rsidRPr="00AF095C" w:rsidRDefault="003715B5" w:rsidP="003715B5">
            <w:pPr>
              <w:rPr>
                <w:rFonts w:cs="Garamond"/>
                <w:lang w:val="fr-FR"/>
              </w:rPr>
            </w:pPr>
            <w:r w:rsidRPr="00AF095C">
              <w:rPr>
                <w:b/>
                <w:color w:val="FFFFFF"/>
                <w:highlight w:val="black"/>
                <w:lang w:val="fr-FR"/>
              </w:rPr>
              <w:t>cases noires</w:t>
            </w:r>
          </w:p>
        </w:tc>
        <w:tc>
          <w:tcPr>
            <w:tcW w:w="5008" w:type="dxa"/>
          </w:tcPr>
          <w:p w:rsidR="003715B5" w:rsidRPr="00AF095C" w:rsidRDefault="003715B5" w:rsidP="003715B5">
            <w:pPr>
              <w:rPr>
                <w:rFonts w:cs="Garamond"/>
                <w:lang w:val="fr-FR"/>
              </w:rPr>
            </w:pPr>
            <w:r w:rsidRPr="00AF095C">
              <w:rPr>
                <w:lang w:val="fr-FR"/>
              </w:rPr>
              <w:t>l’indicateur se trouve maintenant (2014) dans une catégorie inférieure à la COP11 (2012)</w:t>
            </w:r>
          </w:p>
        </w:tc>
      </w:tr>
    </w:tbl>
    <w:p w:rsidR="003715B5" w:rsidRPr="003715B5" w:rsidRDefault="003715B5" w:rsidP="003715B5">
      <w:pPr>
        <w:rPr>
          <w:rFonts w:ascii="Garamond" w:hAnsi="Garamond" w:cs="Garamond"/>
          <w:sz w:val="24"/>
          <w:szCs w:val="24"/>
          <w:lang w:val="fr-FR"/>
        </w:rPr>
      </w:pPr>
    </w:p>
    <w:p w:rsidR="003715B5" w:rsidRPr="00AF095C" w:rsidRDefault="003715B5" w:rsidP="003715B5">
      <w:pPr>
        <w:ind w:right="547"/>
        <w:rPr>
          <w:rFonts w:cs="Garamond"/>
          <w:lang w:val="fr-FR"/>
        </w:rPr>
      </w:pPr>
      <w:r w:rsidRPr="00AF095C">
        <w:rPr>
          <w:b/>
          <w:lang w:val="fr-FR"/>
        </w:rPr>
        <w:t>Indicateurs comparés :</w:t>
      </w:r>
    </w:p>
    <w:p w:rsidR="003715B5" w:rsidRPr="00AF095C" w:rsidRDefault="003715B5" w:rsidP="003715B5">
      <w:pPr>
        <w:ind w:right="547"/>
        <w:rPr>
          <w:rFonts w:cs="Garamond"/>
          <w:lang w:val="fr-FR"/>
        </w:rPr>
      </w:pPr>
    </w:p>
    <w:p w:rsidR="003715B5" w:rsidRPr="00AF095C" w:rsidRDefault="003715B5" w:rsidP="003715B5">
      <w:pPr>
        <w:rPr>
          <w:rFonts w:cs="Garamond"/>
          <w:b/>
          <w:bCs/>
          <w:lang w:val="fr-FR"/>
        </w:rPr>
      </w:pPr>
    </w:p>
    <w:p w:rsidR="003715B5" w:rsidRPr="00AF095C" w:rsidRDefault="003715B5" w:rsidP="003715B5">
      <w:pPr>
        <w:tabs>
          <w:tab w:val="left" w:pos="990"/>
        </w:tabs>
        <w:ind w:left="993" w:hanging="993"/>
        <w:rPr>
          <w:rFonts w:cs="Garamond"/>
          <w:lang w:val="fr-FR"/>
        </w:rPr>
      </w:pPr>
      <w:r w:rsidRPr="00AF095C">
        <w:rPr>
          <w:w w:val="95"/>
          <w:lang w:val="fr-FR"/>
        </w:rPr>
        <w:t>1.1.1</w:t>
      </w:r>
      <w:r w:rsidRPr="00AF095C">
        <w:rPr>
          <w:w w:val="95"/>
          <w:lang w:val="fr-FR"/>
        </w:rPr>
        <w:tab/>
      </w:r>
      <w:r w:rsidRPr="00AF095C">
        <w:rPr>
          <w:lang w:val="fr-FR"/>
        </w:rPr>
        <w:t>La Partie a un Inventaire national des zones humides complet</w:t>
      </w:r>
    </w:p>
    <w:p w:rsidR="003715B5" w:rsidRPr="00AF095C" w:rsidRDefault="003715B5" w:rsidP="003715B5">
      <w:pPr>
        <w:tabs>
          <w:tab w:val="left" w:pos="990"/>
        </w:tabs>
        <w:ind w:left="993" w:hanging="993"/>
        <w:rPr>
          <w:rFonts w:cs="Garamond"/>
          <w:lang w:val="fr-FR"/>
        </w:rPr>
      </w:pPr>
      <w:r w:rsidRPr="00AF095C">
        <w:rPr>
          <w:w w:val="95"/>
          <w:lang w:val="fr-FR"/>
        </w:rPr>
        <w:t>1.3.1</w:t>
      </w:r>
      <w:r w:rsidRPr="00AF095C">
        <w:rPr>
          <w:w w:val="95"/>
          <w:lang w:val="fr-FR"/>
        </w:rPr>
        <w:tab/>
      </w:r>
      <w:r w:rsidRPr="00AF095C">
        <w:rPr>
          <w:lang w:val="fr-FR"/>
        </w:rPr>
        <w:t>La Partie a une Politique nationale pour les zones humides ou un instrument équivalent en vigueur</w:t>
      </w:r>
      <w:r w:rsidRPr="00AF095C">
        <w:rPr>
          <w:w w:val="95"/>
          <w:lang w:val="fr-FR"/>
        </w:rPr>
        <w:t xml:space="preserve"> </w:t>
      </w:r>
    </w:p>
    <w:p w:rsidR="003715B5" w:rsidRPr="00AF095C" w:rsidRDefault="003715B5" w:rsidP="003715B5">
      <w:pPr>
        <w:tabs>
          <w:tab w:val="left" w:pos="990"/>
        </w:tabs>
        <w:ind w:left="993" w:hanging="993"/>
        <w:rPr>
          <w:rFonts w:cs="Garamond"/>
          <w:lang w:val="fr-FR"/>
        </w:rPr>
      </w:pPr>
      <w:r w:rsidRPr="00AF095C">
        <w:rPr>
          <w:w w:val="95"/>
          <w:lang w:val="fr-FR"/>
        </w:rPr>
        <w:t>1.4.1</w:t>
      </w:r>
      <w:r w:rsidRPr="00AF095C">
        <w:rPr>
          <w:w w:val="95"/>
          <w:lang w:val="fr-FR"/>
        </w:rPr>
        <w:tab/>
      </w:r>
      <w:r w:rsidRPr="00AF095C">
        <w:rPr>
          <w:lang w:val="fr-FR"/>
        </w:rPr>
        <w:t xml:space="preserve">La Partie a évalué les services écosystémiques fournis par les Sites Ramsar </w:t>
      </w:r>
    </w:p>
    <w:p w:rsidR="003715B5" w:rsidRPr="00AF095C" w:rsidRDefault="003715B5" w:rsidP="003715B5">
      <w:pPr>
        <w:tabs>
          <w:tab w:val="left" w:pos="990"/>
        </w:tabs>
        <w:ind w:left="993" w:right="263" w:hanging="993"/>
        <w:rPr>
          <w:rFonts w:cs="Garamond"/>
          <w:lang w:val="fr-FR"/>
        </w:rPr>
      </w:pPr>
      <w:r w:rsidRPr="00AF095C">
        <w:rPr>
          <w:rFonts w:cs="Garamond"/>
          <w:w w:val="95"/>
          <w:lang w:val="fr-FR"/>
        </w:rPr>
        <w:t>1.7.1</w:t>
      </w:r>
      <w:r w:rsidRPr="00AF095C">
        <w:rPr>
          <w:rFonts w:cs="Garamond"/>
          <w:w w:val="95"/>
          <w:lang w:val="fr-FR"/>
        </w:rPr>
        <w:tab/>
      </w:r>
      <w:r w:rsidRPr="00AF095C">
        <w:rPr>
          <w:rFonts w:cs="Garamond"/>
          <w:lang w:val="fr-FR"/>
        </w:rPr>
        <w:t xml:space="preserve">Les systèmes de gouvernance et de gestion de l’eau de la Partie traitent les zones humides comme une infrastructure hydrologique naturelle à l’échelle des bassins hydrographiques </w:t>
      </w:r>
      <w:r w:rsidRPr="00AF095C">
        <w:rPr>
          <w:rFonts w:cs="Garamond"/>
          <w:i/>
          <w:lang w:val="fr-FR"/>
        </w:rPr>
        <w:t>(Indicateur COP11 : La Partie utilise les orientations Ramsar relatives à l’eau dans la prise de décisions relative à la planification et à la gestion des ressources d’eau)</w:t>
      </w:r>
    </w:p>
    <w:p w:rsidR="003715B5" w:rsidRPr="00AF095C" w:rsidRDefault="003715B5" w:rsidP="003715B5">
      <w:pPr>
        <w:tabs>
          <w:tab w:val="left" w:pos="990"/>
        </w:tabs>
        <w:ind w:left="993" w:right="922" w:hanging="993"/>
        <w:rPr>
          <w:rFonts w:cs="Garamond"/>
          <w:lang w:val="fr-FR"/>
        </w:rPr>
      </w:pPr>
      <w:r w:rsidRPr="00AF095C">
        <w:rPr>
          <w:w w:val="95"/>
          <w:lang w:val="fr-FR"/>
        </w:rPr>
        <w:t>2.1.1</w:t>
      </w:r>
      <w:r w:rsidRPr="00AF095C">
        <w:rPr>
          <w:w w:val="95"/>
          <w:lang w:val="fr-FR"/>
        </w:rPr>
        <w:tab/>
      </w:r>
      <w:r w:rsidRPr="00AF095C">
        <w:rPr>
          <w:lang w:val="fr-FR"/>
        </w:rPr>
        <w:t xml:space="preserve">La Partie a une stratégie et des priorités pour l’inscription d’autres Sites Ramsar, en utilisant le Cadre stratégique pour l’évolution de la Liste de Ramsar </w:t>
      </w:r>
    </w:p>
    <w:p w:rsidR="003715B5" w:rsidRPr="00AF095C" w:rsidRDefault="003715B5" w:rsidP="003715B5">
      <w:pPr>
        <w:tabs>
          <w:tab w:val="left" w:pos="990"/>
        </w:tabs>
        <w:ind w:left="993" w:hanging="993"/>
        <w:rPr>
          <w:rFonts w:cs="Garamond"/>
          <w:lang w:val="fr-FR"/>
        </w:rPr>
      </w:pPr>
      <w:r w:rsidRPr="00AF095C">
        <w:rPr>
          <w:w w:val="95"/>
          <w:lang w:val="fr-FR"/>
        </w:rPr>
        <w:t>3.5.1</w:t>
      </w:r>
      <w:r w:rsidRPr="00AF095C">
        <w:rPr>
          <w:w w:val="95"/>
          <w:lang w:val="fr-FR"/>
        </w:rPr>
        <w:tab/>
      </w:r>
      <w:r w:rsidRPr="00AF095C">
        <w:rPr>
          <w:lang w:val="fr-FR"/>
        </w:rPr>
        <w:t>Tous les réseaux de zones humides transfrontières/partagés du pays ont été identifiés</w:t>
      </w:r>
      <w:r w:rsidRPr="00AF095C">
        <w:rPr>
          <w:w w:val="95"/>
          <w:lang w:val="fr-FR"/>
        </w:rPr>
        <w:t xml:space="preserve"> </w:t>
      </w:r>
    </w:p>
    <w:p w:rsidR="003715B5" w:rsidRPr="00AF095C" w:rsidRDefault="003715B5" w:rsidP="003715B5">
      <w:pPr>
        <w:tabs>
          <w:tab w:val="left" w:pos="990"/>
        </w:tabs>
        <w:ind w:left="993" w:hanging="993"/>
        <w:rPr>
          <w:rFonts w:cs="Garamond"/>
          <w:lang w:val="fr-FR"/>
        </w:rPr>
      </w:pPr>
      <w:r w:rsidRPr="00AF095C">
        <w:rPr>
          <w:w w:val="95"/>
          <w:lang w:val="fr-FR"/>
        </w:rPr>
        <w:t>4.1.1</w:t>
      </w:r>
      <w:r w:rsidRPr="00AF095C">
        <w:rPr>
          <w:w w:val="95"/>
          <w:lang w:val="fr-FR"/>
        </w:rPr>
        <w:tab/>
      </w:r>
      <w:r w:rsidRPr="00AF095C">
        <w:rPr>
          <w:lang w:val="fr-FR"/>
        </w:rPr>
        <w:t>Un plan d’action pour la CESP zones humides a été établi</w:t>
      </w:r>
      <w:r w:rsidRPr="00AF095C">
        <w:rPr>
          <w:w w:val="95"/>
          <w:lang w:val="fr-FR"/>
        </w:rPr>
        <w:t xml:space="preserve"> </w:t>
      </w:r>
    </w:p>
    <w:p w:rsidR="003715B5" w:rsidRPr="00AF095C" w:rsidRDefault="003715B5" w:rsidP="003715B5">
      <w:pPr>
        <w:tabs>
          <w:tab w:val="left" w:pos="990"/>
        </w:tabs>
        <w:ind w:left="993" w:hanging="993"/>
        <w:rPr>
          <w:rFonts w:cs="Garamond"/>
          <w:lang w:val="fr-FR"/>
        </w:rPr>
      </w:pPr>
      <w:r w:rsidRPr="00AF095C">
        <w:rPr>
          <w:w w:val="95"/>
          <w:lang w:val="fr-FR"/>
        </w:rPr>
        <w:t>4.3.1</w:t>
      </w:r>
      <w:r w:rsidRPr="00AF095C">
        <w:rPr>
          <w:w w:val="95"/>
          <w:lang w:val="fr-FR"/>
        </w:rPr>
        <w:tab/>
      </w:r>
      <w:r w:rsidRPr="00AF095C">
        <w:rPr>
          <w:lang w:val="fr-FR"/>
        </w:rPr>
        <w:t xml:space="preserve">La Partie a utilisé d’anciens Rapports nationaux pour surveiller la mise en œuvre de la Convention </w:t>
      </w:r>
    </w:p>
    <w:p w:rsidR="003715B5" w:rsidRPr="00AF095C" w:rsidRDefault="003715B5" w:rsidP="003715B5">
      <w:pPr>
        <w:rPr>
          <w:rFonts w:cs="Garamond"/>
          <w:lang w:val="fr-FR"/>
        </w:rPr>
      </w:pPr>
    </w:p>
    <w:p w:rsidR="003715B5" w:rsidRPr="003715B5" w:rsidRDefault="003715B5" w:rsidP="003715B5">
      <w:pPr>
        <w:rPr>
          <w:rFonts w:ascii="Garamond" w:hAnsi="Garamond" w:cs="Garamond"/>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A0"/>
      </w:tblPr>
      <w:tblGrid>
        <w:gridCol w:w="1924"/>
        <w:gridCol w:w="898"/>
        <w:gridCol w:w="898"/>
        <w:gridCol w:w="899"/>
        <w:gridCol w:w="898"/>
        <w:gridCol w:w="898"/>
        <w:gridCol w:w="898"/>
        <w:gridCol w:w="899"/>
        <w:gridCol w:w="874"/>
      </w:tblGrid>
      <w:tr w:rsidR="003715B5" w:rsidRPr="001B043A" w:rsidTr="001B043A">
        <w:trPr>
          <w:tblHeader/>
        </w:trPr>
        <w:tc>
          <w:tcPr>
            <w:tcW w:w="2093" w:type="dxa"/>
            <w:vAlign w:val="center"/>
          </w:tcPr>
          <w:p w:rsidR="003715B5" w:rsidRPr="001B043A" w:rsidRDefault="003715B5" w:rsidP="003715B5">
            <w:pPr>
              <w:jc w:val="center"/>
              <w:rPr>
                <w:rFonts w:cs="Garamond"/>
                <w:i/>
                <w:sz w:val="20"/>
                <w:szCs w:val="20"/>
                <w:lang w:val="fr-FR"/>
              </w:rPr>
            </w:pPr>
            <w:r w:rsidRPr="001B043A">
              <w:rPr>
                <w:rFonts w:cs="Garamond"/>
                <w:i/>
                <w:sz w:val="20"/>
                <w:szCs w:val="20"/>
                <w:lang w:val="fr-FR"/>
              </w:rPr>
              <w:t>Indicateur COP12 :</w:t>
            </w:r>
          </w:p>
        </w:tc>
        <w:tc>
          <w:tcPr>
            <w:tcW w:w="992"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1.1.1</w:t>
            </w:r>
          </w:p>
        </w:tc>
        <w:tc>
          <w:tcPr>
            <w:tcW w:w="992"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1.3.1</w:t>
            </w:r>
          </w:p>
        </w:tc>
        <w:tc>
          <w:tcPr>
            <w:tcW w:w="99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1.4.1</w:t>
            </w:r>
          </w:p>
        </w:tc>
        <w:tc>
          <w:tcPr>
            <w:tcW w:w="992"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1.7.1</w:t>
            </w:r>
          </w:p>
        </w:tc>
        <w:tc>
          <w:tcPr>
            <w:tcW w:w="992"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2.1.1</w:t>
            </w:r>
          </w:p>
        </w:tc>
        <w:tc>
          <w:tcPr>
            <w:tcW w:w="992"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3.5.1</w:t>
            </w:r>
          </w:p>
        </w:tc>
        <w:tc>
          <w:tcPr>
            <w:tcW w:w="99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4.1.1</w:t>
            </w:r>
          </w:p>
        </w:tc>
        <w:tc>
          <w:tcPr>
            <w:tcW w:w="96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4.3.1</w:t>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(Groenland)</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shd w:val="clear" w:color="auto" w:fill="000000"/>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n.a.</w:t>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63" w:type="dxa"/>
            <w:shd w:val="clear" w:color="auto" w:fill="000000"/>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C"/>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Albanie</w:t>
            </w:r>
          </w:p>
        </w:tc>
        <w:tc>
          <w:tcPr>
            <w:tcW w:w="992" w:type="dxa"/>
            <w:vAlign w:val="center"/>
          </w:tcPr>
          <w:p w:rsidR="003715B5" w:rsidRPr="001B043A" w:rsidRDefault="003715B5" w:rsidP="003715B5">
            <w:pPr>
              <w:jc w:val="center"/>
              <w:rPr>
                <w:rFonts w:cs="Garamond"/>
                <w:b/>
                <w:color w:val="009900"/>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shd w:val="clear" w:color="auto" w:fill="D6E3BC"/>
            <w:vAlign w:val="center"/>
          </w:tcPr>
          <w:p w:rsidR="003715B5" w:rsidRPr="001B043A" w:rsidRDefault="003715B5" w:rsidP="003715B5">
            <w:pPr>
              <w:jc w:val="center"/>
              <w:rPr>
                <w:rFonts w:cs="Garamond"/>
                <w:b/>
                <w:sz w:val="20"/>
                <w:szCs w:val="20"/>
                <w:highlight w:val="green"/>
                <w:lang w:val="fr-FR"/>
              </w:rPr>
            </w:pPr>
            <w:r w:rsidRPr="001B043A">
              <w:rPr>
                <w:rFonts w:cs="Garamond"/>
                <w:b/>
                <w:sz w:val="20"/>
                <w:szCs w:val="20"/>
                <w:lang w:val="fr-FR"/>
              </w:rPr>
              <w:sym w:font="Wingdings" w:char="F04A"/>
            </w:r>
          </w:p>
        </w:tc>
        <w:tc>
          <w:tcPr>
            <w:tcW w:w="992" w:type="dxa"/>
            <w:shd w:val="clear" w:color="auto" w:fill="000000"/>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C"/>
            </w:r>
          </w:p>
        </w:tc>
        <w:tc>
          <w:tcPr>
            <w:tcW w:w="992" w:type="dxa"/>
            <w:shd w:val="clear" w:color="auto" w:fill="FFFFFF"/>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6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lastRenderedPageBreak/>
              <w:t>Allemagne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6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Andorre*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6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n.a.</w:t>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Autriche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63"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Azerbaïdjan*</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Bélarus</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Belgique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63"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Bosnie-Herzégovine</w:t>
            </w:r>
          </w:p>
        </w:tc>
        <w:tc>
          <w:tcPr>
            <w:tcW w:w="992" w:type="dxa"/>
            <w:shd w:val="clear" w:color="auto" w:fill="000000"/>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Bulgarie</w:t>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3"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Chypre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n.a.</w:t>
            </w:r>
          </w:p>
        </w:tc>
        <w:tc>
          <w:tcPr>
            <w:tcW w:w="99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Croatie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shd w:val="clear" w:color="auto" w:fill="000000"/>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63"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Danemark</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Espagne</w:t>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shd w:val="clear" w:color="auto" w:fill="000000"/>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B"/>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63" w:type="dxa"/>
            <w:shd w:val="clear" w:color="auto" w:fill="000000"/>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C"/>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Estonie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Finlande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63"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France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shd w:val="clear" w:color="auto" w:fill="000000"/>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Géorgie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Hongrie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shd w:val="clear" w:color="auto" w:fill="000000"/>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6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Islande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shd w:val="clear" w:color="auto" w:fill="000000"/>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n.a.</w:t>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6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Italie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shd w:val="clear" w:color="auto" w:fill="000000"/>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6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 xml:space="preserve">Lettonie </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Liechtenstein</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6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Lituanie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6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Monaco</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shd w:val="clear" w:color="auto" w:fill="000000"/>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n.a.</w:t>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63" w:type="dxa"/>
            <w:shd w:val="clear" w:color="auto" w:fill="000000"/>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C"/>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Norvège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Pays-Bas</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shd w:val="clear" w:color="auto" w:fill="000000"/>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Rép. de Moldova</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Roumanie</w:t>
            </w:r>
          </w:p>
        </w:tc>
        <w:tc>
          <w:tcPr>
            <w:tcW w:w="992" w:type="dxa"/>
            <w:shd w:val="clear" w:color="auto" w:fill="000000"/>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C"/>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shd w:val="clear" w:color="auto" w:fill="FFFFFF"/>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shd w:val="clear" w:color="auto" w:fill="000000"/>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B"/>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Serbie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6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Slovaquie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Slovénie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6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Suède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shd w:val="clear" w:color="auto" w:fill="000000"/>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Suisse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shd w:val="clear" w:color="auto" w:fill="000000"/>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C"/>
            </w:r>
          </w:p>
        </w:tc>
        <w:tc>
          <w:tcPr>
            <w:tcW w:w="993" w:type="dxa"/>
            <w:shd w:val="clear" w:color="auto" w:fill="000000"/>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C"/>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C"/>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63" w:type="dxa"/>
            <w:shd w:val="clear" w:color="auto" w:fill="000000"/>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sym w:font="Wingdings" w:char="F04C"/>
            </w:r>
          </w:p>
        </w:tc>
      </w:tr>
      <w:tr w:rsidR="003715B5" w:rsidRPr="001B043A" w:rsidTr="001B043A">
        <w:tc>
          <w:tcPr>
            <w:tcW w:w="20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Ukraine</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2" w:type="dxa"/>
            <w:shd w:val="clear" w:color="auto" w:fill="D6E3BC"/>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c>
          <w:tcPr>
            <w:tcW w:w="99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sym w:font="Wingdings" w:char="F04B"/>
            </w:r>
          </w:p>
        </w:tc>
        <w:tc>
          <w:tcPr>
            <w:tcW w:w="963" w:type="dxa"/>
            <w:vAlign w:val="center"/>
          </w:tcPr>
          <w:p w:rsidR="003715B5" w:rsidRPr="001B043A" w:rsidRDefault="003715B5" w:rsidP="003715B5">
            <w:pPr>
              <w:jc w:val="center"/>
              <w:rPr>
                <w:rFonts w:cs="Garamond"/>
                <w:sz w:val="20"/>
                <w:szCs w:val="20"/>
                <w:lang w:val="fr-FR"/>
              </w:rPr>
            </w:pPr>
            <w:r w:rsidRPr="001B043A">
              <w:rPr>
                <w:rFonts w:cs="Garamond"/>
                <w:b/>
                <w:sz w:val="20"/>
                <w:szCs w:val="20"/>
                <w:lang w:val="fr-FR"/>
              </w:rPr>
              <w:sym w:font="Wingdings" w:char="F04A"/>
            </w:r>
          </w:p>
        </w:tc>
      </w:tr>
    </w:tbl>
    <w:p w:rsidR="003715B5" w:rsidRPr="003715B5" w:rsidRDefault="003715B5" w:rsidP="003715B5">
      <w:pPr>
        <w:rPr>
          <w:rFonts w:ascii="Garamond" w:hAnsi="Garamond" w:cs="Garamond"/>
          <w:sz w:val="24"/>
          <w:szCs w:val="24"/>
          <w:lang w:val="fr-FR"/>
        </w:rPr>
      </w:pPr>
    </w:p>
    <w:p w:rsidR="003715B5" w:rsidRPr="003715B5" w:rsidRDefault="003715B5" w:rsidP="003715B5">
      <w:pPr>
        <w:rPr>
          <w:rFonts w:ascii="Garamond" w:hAnsi="Garamond" w:cs="Garamond"/>
          <w:b/>
          <w:bCs/>
          <w:sz w:val="24"/>
          <w:szCs w:val="24"/>
          <w:lang w:val="fr-FR"/>
        </w:rPr>
      </w:pPr>
    </w:p>
    <w:p w:rsidR="003715B5" w:rsidRPr="003715B5" w:rsidRDefault="003715B5" w:rsidP="003715B5">
      <w:pPr>
        <w:rPr>
          <w:rFonts w:ascii="Garamond" w:hAnsi="Garamond"/>
          <w:b/>
          <w:bCs/>
          <w:sz w:val="24"/>
          <w:szCs w:val="24"/>
          <w:lang w:val="fr-FR"/>
        </w:rPr>
      </w:pPr>
      <w:r w:rsidRPr="003715B5">
        <w:rPr>
          <w:sz w:val="24"/>
          <w:szCs w:val="24"/>
          <w:lang w:val="fr-FR"/>
        </w:rPr>
        <w:br w:type="page"/>
      </w:r>
    </w:p>
    <w:p w:rsidR="003715B5" w:rsidRPr="00532730" w:rsidRDefault="003715B5" w:rsidP="00532730">
      <w:pPr>
        <w:pStyle w:val="Heading1"/>
        <w:ind w:left="0" w:right="-28"/>
        <w:rPr>
          <w:rFonts w:asciiTheme="minorHAnsi" w:hAnsiTheme="minorHAnsi"/>
          <w:sz w:val="24"/>
          <w:szCs w:val="24"/>
          <w:lang w:val="fr-FR"/>
        </w:rPr>
      </w:pPr>
      <w:r w:rsidRPr="00532730">
        <w:rPr>
          <w:rFonts w:asciiTheme="minorHAnsi" w:hAnsiTheme="minorHAnsi"/>
          <w:sz w:val="24"/>
          <w:szCs w:val="24"/>
          <w:lang w:val="fr-FR"/>
        </w:rPr>
        <w:lastRenderedPageBreak/>
        <w:t>Annexe 2</w:t>
      </w:r>
    </w:p>
    <w:p w:rsidR="003715B5" w:rsidRPr="00532730" w:rsidRDefault="003715B5" w:rsidP="00532730">
      <w:pPr>
        <w:pStyle w:val="Heading1"/>
        <w:ind w:left="0" w:right="-28"/>
        <w:rPr>
          <w:rFonts w:asciiTheme="minorHAnsi" w:hAnsiTheme="minorHAnsi"/>
          <w:sz w:val="24"/>
          <w:szCs w:val="24"/>
          <w:lang w:val="fr-FR"/>
        </w:rPr>
      </w:pPr>
    </w:p>
    <w:p w:rsidR="003715B5" w:rsidRPr="00532730" w:rsidRDefault="003715B5" w:rsidP="00532730">
      <w:pPr>
        <w:pStyle w:val="Heading1"/>
        <w:ind w:left="0" w:right="-28"/>
        <w:rPr>
          <w:rFonts w:asciiTheme="minorHAnsi" w:hAnsiTheme="minorHAnsi"/>
          <w:sz w:val="24"/>
          <w:szCs w:val="24"/>
          <w:lang w:val="fr-FR"/>
        </w:rPr>
      </w:pPr>
      <w:r w:rsidRPr="00532730">
        <w:rPr>
          <w:rFonts w:asciiTheme="minorHAnsi" w:hAnsiTheme="minorHAnsi"/>
          <w:sz w:val="24"/>
          <w:szCs w:val="24"/>
          <w:lang w:val="fr-FR"/>
        </w:rPr>
        <w:t>Vue d’ensemble résumée des tendances entre la COP8 (2002) et la COP12 (2015)</w:t>
      </w:r>
    </w:p>
    <w:p w:rsidR="003715B5" w:rsidRPr="00AF095C" w:rsidRDefault="003715B5" w:rsidP="003715B5">
      <w:pPr>
        <w:jc w:val="center"/>
        <w:rPr>
          <w:rFonts w:cs="Garamond"/>
          <w:lang w:val="fr-FR"/>
        </w:rPr>
      </w:pPr>
    </w:p>
    <w:p w:rsidR="003715B5" w:rsidRPr="00AF095C" w:rsidRDefault="003715B5" w:rsidP="003715B5">
      <w:pPr>
        <w:pStyle w:val="BodyText"/>
        <w:ind w:left="0" w:right="-28" w:firstLine="0"/>
        <w:rPr>
          <w:rFonts w:asciiTheme="minorHAnsi" w:hAnsiTheme="minorHAnsi"/>
          <w:sz w:val="22"/>
          <w:szCs w:val="22"/>
          <w:lang w:val="fr-FR"/>
        </w:rPr>
      </w:pPr>
      <w:r w:rsidRPr="00AF095C">
        <w:rPr>
          <w:rFonts w:asciiTheme="minorHAnsi" w:hAnsiTheme="minorHAnsi"/>
          <w:sz w:val="22"/>
          <w:szCs w:val="22"/>
          <w:lang w:val="fr-FR"/>
        </w:rPr>
        <w:t>Lorsque les indicateurs étaient raisonnablement semblables, le tableau compare l’information fournie dans les rapports nationaux à la COP8, la COP9, la COP10 et la COP11 à ceux qui ont été fournis pour la COP12 afin d’évaluer les progrès durant ces 13 années, couvrant les périodes des Plans stratégiques 2003-2008 et 2009-2015.</w:t>
      </w:r>
    </w:p>
    <w:p w:rsidR="003715B5" w:rsidRPr="00AF095C" w:rsidRDefault="003715B5" w:rsidP="003715B5">
      <w:pPr>
        <w:ind w:right="-28"/>
        <w:rPr>
          <w:rFonts w:cs="Garamond"/>
          <w:lang w:val="fr-FR"/>
        </w:rPr>
      </w:pPr>
    </w:p>
    <w:p w:rsidR="003715B5" w:rsidRPr="00AF095C" w:rsidRDefault="003715B5" w:rsidP="003715B5">
      <w:pPr>
        <w:pStyle w:val="BodyText"/>
        <w:ind w:left="0" w:right="-28" w:firstLine="0"/>
        <w:rPr>
          <w:rFonts w:asciiTheme="minorHAnsi" w:hAnsiTheme="minorHAnsi"/>
          <w:sz w:val="22"/>
          <w:szCs w:val="22"/>
          <w:lang w:val="fr-FR"/>
        </w:rPr>
      </w:pPr>
      <w:r w:rsidRPr="00AF095C">
        <w:rPr>
          <w:rFonts w:asciiTheme="minorHAnsi" w:hAnsiTheme="minorHAnsi"/>
          <w:sz w:val="22"/>
          <w:szCs w:val="22"/>
          <w:shd w:val="clear" w:color="auto" w:fill="D6E3BC"/>
          <w:lang w:val="fr-FR"/>
        </w:rPr>
        <w:t>La zone ombrée,</w:t>
      </w:r>
      <w:r w:rsidRPr="00AF095C">
        <w:rPr>
          <w:rFonts w:asciiTheme="minorHAnsi" w:hAnsiTheme="minorHAnsi"/>
          <w:sz w:val="22"/>
          <w:szCs w:val="22"/>
          <w:lang w:val="fr-FR"/>
        </w:rPr>
        <w:t xml:space="preserve"> dans le tableau, indique si des actions particulières signalées pour la COP12 étaient plus (ou moins) largement traitées dans la région Europe par rapport à la moyenne mondiale, d’après les pourcentages de Parties ayant répondu de manière positive.</w:t>
      </w:r>
    </w:p>
    <w:p w:rsidR="003715B5" w:rsidRPr="003715B5" w:rsidRDefault="003715B5" w:rsidP="003715B5">
      <w:pPr>
        <w:rPr>
          <w:rFonts w:ascii="Garamond" w:hAnsi="Garamond" w:cs="Garamond"/>
          <w:sz w:val="24"/>
          <w:szCs w:val="24"/>
          <w:lang w:val="fr-FR"/>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1843"/>
        <w:gridCol w:w="793"/>
        <w:gridCol w:w="936"/>
        <w:gridCol w:w="935"/>
        <w:gridCol w:w="936"/>
        <w:gridCol w:w="936"/>
        <w:gridCol w:w="992"/>
        <w:gridCol w:w="1134"/>
      </w:tblGrid>
      <w:tr w:rsidR="003715B5" w:rsidRPr="001B043A" w:rsidTr="001B043A">
        <w:tc>
          <w:tcPr>
            <w:tcW w:w="993" w:type="dxa"/>
            <w:vAlign w:val="center"/>
          </w:tcPr>
          <w:p w:rsidR="003715B5" w:rsidRPr="001B043A" w:rsidRDefault="003715B5" w:rsidP="001B043A">
            <w:pPr>
              <w:jc w:val="center"/>
              <w:rPr>
                <w:rFonts w:cs="Garamond"/>
                <w:b/>
                <w:sz w:val="20"/>
                <w:szCs w:val="20"/>
                <w:lang w:val="fr-FR"/>
              </w:rPr>
            </w:pPr>
            <w:r w:rsidRPr="001B043A">
              <w:rPr>
                <w:rFonts w:cs="Garamond"/>
                <w:b/>
                <w:sz w:val="20"/>
                <w:szCs w:val="20"/>
                <w:lang w:val="fr-FR"/>
              </w:rPr>
              <w:t>Stratégie</w:t>
            </w:r>
          </w:p>
        </w:tc>
        <w:tc>
          <w:tcPr>
            <w:tcW w:w="184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Indicateur</w:t>
            </w:r>
          </w:p>
        </w:tc>
        <w:tc>
          <w:tcPr>
            <w:tcW w:w="4536" w:type="dxa"/>
            <w:gridSpan w:val="5"/>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Parties européennes ayant répondu positivement</w:t>
            </w:r>
          </w:p>
        </w:tc>
        <w:tc>
          <w:tcPr>
            <w:tcW w:w="992" w:type="dxa"/>
          </w:tcPr>
          <w:p w:rsidR="003715B5" w:rsidRPr="001B043A" w:rsidRDefault="003715B5" w:rsidP="003715B5">
            <w:pPr>
              <w:jc w:val="center"/>
              <w:rPr>
                <w:rFonts w:cs="Garamond"/>
                <w:b/>
                <w:sz w:val="20"/>
                <w:szCs w:val="20"/>
                <w:lang w:val="fr-FR"/>
              </w:rPr>
            </w:pPr>
          </w:p>
        </w:tc>
        <w:tc>
          <w:tcPr>
            <w:tcW w:w="1134" w:type="dxa"/>
          </w:tcPr>
          <w:p w:rsidR="003715B5" w:rsidRPr="001B043A" w:rsidRDefault="003715B5" w:rsidP="003715B5">
            <w:pPr>
              <w:jc w:val="center"/>
              <w:rPr>
                <w:rFonts w:cs="Garamond"/>
                <w:b/>
                <w:sz w:val="20"/>
                <w:szCs w:val="20"/>
                <w:lang w:val="fr-FR"/>
              </w:rPr>
            </w:pPr>
          </w:p>
        </w:tc>
      </w:tr>
      <w:tr w:rsidR="003715B5" w:rsidRPr="001B043A" w:rsidTr="001B043A">
        <w:tc>
          <w:tcPr>
            <w:tcW w:w="993" w:type="dxa"/>
          </w:tcPr>
          <w:p w:rsidR="003715B5" w:rsidRPr="001B043A" w:rsidRDefault="003715B5" w:rsidP="001B043A">
            <w:pPr>
              <w:jc w:val="center"/>
              <w:rPr>
                <w:rFonts w:cs="Garamond"/>
                <w:b/>
                <w:sz w:val="20"/>
                <w:szCs w:val="20"/>
                <w:lang w:val="fr-FR"/>
              </w:rPr>
            </w:pPr>
          </w:p>
        </w:tc>
        <w:tc>
          <w:tcPr>
            <w:tcW w:w="1843" w:type="dxa"/>
          </w:tcPr>
          <w:p w:rsidR="003715B5" w:rsidRPr="001B043A" w:rsidRDefault="003715B5" w:rsidP="001B043A">
            <w:pPr>
              <w:jc w:val="center"/>
              <w:rPr>
                <w:rFonts w:cs="Garamond"/>
                <w:b/>
                <w:sz w:val="20"/>
                <w:szCs w:val="20"/>
                <w:lang w:val="fr-FR"/>
              </w:rPr>
            </w:pPr>
          </w:p>
        </w:tc>
        <w:tc>
          <w:tcPr>
            <w:tcW w:w="793" w:type="dxa"/>
            <w:vAlign w:val="center"/>
          </w:tcPr>
          <w:p w:rsidR="003715B5" w:rsidRPr="001B043A" w:rsidRDefault="003715B5" w:rsidP="001B043A">
            <w:pPr>
              <w:jc w:val="center"/>
              <w:rPr>
                <w:rFonts w:cs="Garamond"/>
                <w:b/>
                <w:sz w:val="20"/>
                <w:szCs w:val="20"/>
                <w:lang w:val="fr-FR"/>
              </w:rPr>
            </w:pPr>
            <w:r w:rsidRPr="001B043A">
              <w:rPr>
                <w:rFonts w:cs="Garamond"/>
                <w:b/>
                <w:sz w:val="20"/>
                <w:szCs w:val="20"/>
                <w:lang w:val="fr-FR"/>
              </w:rPr>
              <w:t>COP8</w:t>
            </w:r>
          </w:p>
        </w:tc>
        <w:tc>
          <w:tcPr>
            <w:tcW w:w="936" w:type="dxa"/>
            <w:vAlign w:val="center"/>
          </w:tcPr>
          <w:p w:rsidR="003715B5" w:rsidRPr="001B043A" w:rsidRDefault="003715B5" w:rsidP="001B043A">
            <w:pPr>
              <w:jc w:val="center"/>
              <w:rPr>
                <w:rFonts w:cs="Garamond"/>
                <w:b/>
                <w:sz w:val="20"/>
                <w:szCs w:val="20"/>
                <w:lang w:val="fr-FR"/>
              </w:rPr>
            </w:pPr>
            <w:r w:rsidRPr="001B043A">
              <w:rPr>
                <w:rFonts w:cs="Garamond"/>
                <w:b/>
                <w:sz w:val="20"/>
                <w:szCs w:val="20"/>
                <w:lang w:val="fr-FR"/>
              </w:rPr>
              <w:t>COP9</w:t>
            </w:r>
          </w:p>
        </w:tc>
        <w:tc>
          <w:tcPr>
            <w:tcW w:w="935" w:type="dxa"/>
            <w:vAlign w:val="center"/>
          </w:tcPr>
          <w:p w:rsidR="003715B5" w:rsidRPr="001B043A" w:rsidRDefault="003715B5" w:rsidP="001B043A">
            <w:pPr>
              <w:jc w:val="center"/>
              <w:rPr>
                <w:rFonts w:cs="Garamond"/>
                <w:b/>
                <w:sz w:val="20"/>
                <w:szCs w:val="20"/>
                <w:lang w:val="fr-FR"/>
              </w:rPr>
            </w:pPr>
            <w:r w:rsidRPr="001B043A">
              <w:rPr>
                <w:rFonts w:cs="Garamond"/>
                <w:b/>
                <w:sz w:val="20"/>
                <w:szCs w:val="20"/>
                <w:lang w:val="fr-FR"/>
              </w:rPr>
              <w:t>COP10</w:t>
            </w:r>
          </w:p>
        </w:tc>
        <w:tc>
          <w:tcPr>
            <w:tcW w:w="936" w:type="dxa"/>
            <w:vAlign w:val="center"/>
          </w:tcPr>
          <w:p w:rsidR="003715B5" w:rsidRPr="001B043A" w:rsidRDefault="003715B5" w:rsidP="001B043A">
            <w:pPr>
              <w:jc w:val="center"/>
              <w:rPr>
                <w:rFonts w:cs="Garamond"/>
                <w:b/>
                <w:sz w:val="20"/>
                <w:szCs w:val="20"/>
                <w:lang w:val="fr-FR"/>
              </w:rPr>
            </w:pPr>
            <w:r w:rsidRPr="001B043A">
              <w:rPr>
                <w:rFonts w:cs="Garamond"/>
                <w:b/>
                <w:sz w:val="20"/>
                <w:szCs w:val="20"/>
                <w:lang w:val="fr-FR"/>
              </w:rPr>
              <w:t>COP11</w:t>
            </w:r>
          </w:p>
        </w:tc>
        <w:tc>
          <w:tcPr>
            <w:tcW w:w="936" w:type="dxa"/>
            <w:vAlign w:val="center"/>
          </w:tcPr>
          <w:p w:rsidR="003715B5" w:rsidRPr="001B043A" w:rsidRDefault="003715B5" w:rsidP="001B043A">
            <w:pPr>
              <w:jc w:val="center"/>
              <w:rPr>
                <w:rFonts w:cs="Garamond"/>
                <w:b/>
                <w:sz w:val="20"/>
                <w:szCs w:val="20"/>
                <w:lang w:val="fr-FR"/>
              </w:rPr>
            </w:pPr>
            <w:r w:rsidRPr="001B043A">
              <w:rPr>
                <w:rFonts w:cs="Garamond"/>
                <w:b/>
                <w:sz w:val="20"/>
                <w:szCs w:val="20"/>
                <w:lang w:val="fr-FR"/>
              </w:rPr>
              <w:t>COP12</w:t>
            </w:r>
          </w:p>
        </w:tc>
        <w:tc>
          <w:tcPr>
            <w:tcW w:w="992" w:type="dxa"/>
            <w:vAlign w:val="center"/>
          </w:tcPr>
          <w:p w:rsidR="003715B5" w:rsidRPr="001B043A" w:rsidRDefault="003715B5" w:rsidP="001B043A">
            <w:pPr>
              <w:jc w:val="center"/>
              <w:rPr>
                <w:rFonts w:cs="Garamond"/>
                <w:b/>
                <w:sz w:val="20"/>
                <w:szCs w:val="20"/>
                <w:lang w:val="fr-FR"/>
              </w:rPr>
            </w:pPr>
            <w:r w:rsidRPr="001B043A">
              <w:rPr>
                <w:rFonts w:cs="Garamond"/>
                <w:sz w:val="20"/>
                <w:szCs w:val="20"/>
                <w:lang w:val="fr-FR"/>
              </w:rPr>
              <w:t xml:space="preserve">COP12 </w:t>
            </w:r>
            <w:r w:rsidRPr="001B043A">
              <w:rPr>
                <w:rFonts w:cs="Garamond"/>
                <w:b/>
                <w:sz w:val="20"/>
                <w:szCs w:val="20"/>
                <w:lang w:val="fr-FR"/>
              </w:rPr>
              <w:t>niveau mondial</w:t>
            </w:r>
          </w:p>
        </w:tc>
        <w:tc>
          <w:tcPr>
            <w:tcW w:w="1134" w:type="dxa"/>
            <w:vAlign w:val="center"/>
          </w:tcPr>
          <w:p w:rsidR="003715B5" w:rsidRPr="001B043A" w:rsidRDefault="003715B5" w:rsidP="001B043A">
            <w:pPr>
              <w:jc w:val="center"/>
              <w:rPr>
                <w:rFonts w:cs="Garamond"/>
                <w:b/>
                <w:sz w:val="20"/>
                <w:szCs w:val="20"/>
                <w:lang w:val="fr-FR"/>
              </w:rPr>
            </w:pPr>
            <w:r w:rsidRPr="001B043A">
              <w:rPr>
                <w:rFonts w:cs="Garamond"/>
                <w:b/>
                <w:sz w:val="20"/>
                <w:szCs w:val="20"/>
                <w:lang w:val="fr-FR"/>
              </w:rPr>
              <w:t>Progrès</w:t>
            </w:r>
            <w:r w:rsidRPr="001B043A">
              <w:rPr>
                <w:rFonts w:cs="Garamond"/>
                <w:b/>
                <w:sz w:val="20"/>
                <w:szCs w:val="20"/>
                <w:lang w:val="fr-FR"/>
              </w:rPr>
              <w:br/>
            </w:r>
            <w:r w:rsidRPr="001B043A">
              <w:rPr>
                <w:rFonts w:cs="Garamond"/>
                <w:sz w:val="20"/>
                <w:szCs w:val="20"/>
                <w:lang w:val="fr-FR"/>
              </w:rPr>
              <w:t>en 13 ans</w:t>
            </w:r>
          </w:p>
        </w:tc>
      </w:tr>
      <w:tr w:rsidR="003715B5" w:rsidRPr="001B043A" w:rsidTr="001B043A">
        <w:tc>
          <w:tcPr>
            <w:tcW w:w="99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1.1</w:t>
            </w:r>
          </w:p>
        </w:tc>
        <w:tc>
          <w:tcPr>
            <w:tcW w:w="184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 xml:space="preserve">La Partie a un </w:t>
            </w:r>
            <w:r w:rsidRPr="001B043A">
              <w:rPr>
                <w:rFonts w:cs="Garamond"/>
                <w:b/>
                <w:sz w:val="20"/>
                <w:szCs w:val="20"/>
                <w:lang w:val="fr-FR"/>
              </w:rPr>
              <w:t>inventaire</w:t>
            </w:r>
            <w:r w:rsidRPr="001B043A">
              <w:rPr>
                <w:rFonts w:cs="Garamond"/>
                <w:sz w:val="20"/>
                <w:szCs w:val="20"/>
                <w:lang w:val="fr-FR"/>
              </w:rPr>
              <w:t xml:space="preserve"> national des zones humides complet (1.1.1)</w:t>
            </w:r>
          </w:p>
        </w:tc>
        <w:tc>
          <w:tcPr>
            <w:tcW w:w="79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11</w:t>
            </w:r>
          </w:p>
        </w:tc>
        <w:tc>
          <w:tcPr>
            <w:tcW w:w="936"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20</w:t>
            </w:r>
          </w:p>
        </w:tc>
        <w:tc>
          <w:tcPr>
            <w:tcW w:w="935"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20</w:t>
            </w:r>
          </w:p>
        </w:tc>
        <w:tc>
          <w:tcPr>
            <w:tcW w:w="936"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21</w:t>
            </w:r>
          </w:p>
        </w:tc>
        <w:tc>
          <w:tcPr>
            <w:tcW w:w="936" w:type="dxa"/>
            <w:shd w:val="clear" w:color="auto" w:fill="D6E3BC"/>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22 (65%)</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47%</w:t>
            </w:r>
          </w:p>
        </w:tc>
        <w:tc>
          <w:tcPr>
            <w:tcW w:w="1134"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peu</w:t>
            </w:r>
          </w:p>
          <w:p w:rsidR="003715B5" w:rsidRPr="001B043A" w:rsidRDefault="003715B5" w:rsidP="003715B5">
            <w:pPr>
              <w:jc w:val="center"/>
              <w:rPr>
                <w:rFonts w:cs="Garamond"/>
                <w:sz w:val="20"/>
                <w:szCs w:val="20"/>
                <w:lang w:val="fr-FR"/>
              </w:rPr>
            </w:pPr>
            <w:r w:rsidRPr="001B043A">
              <w:rPr>
                <w:rFonts w:cs="Garamond"/>
                <w:sz w:val="20"/>
                <w:szCs w:val="20"/>
                <w:lang w:val="fr-FR"/>
              </w:rPr>
              <w:t>(depuis 2005)</w:t>
            </w:r>
          </w:p>
        </w:tc>
      </w:tr>
      <w:tr w:rsidR="003715B5" w:rsidRPr="001B043A" w:rsidTr="001B043A">
        <w:tc>
          <w:tcPr>
            <w:tcW w:w="99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1.3</w:t>
            </w:r>
          </w:p>
        </w:tc>
        <w:tc>
          <w:tcPr>
            <w:tcW w:w="184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 xml:space="preserve">La Partie a une </w:t>
            </w:r>
            <w:r w:rsidRPr="001B043A">
              <w:rPr>
                <w:rFonts w:cs="Garamond"/>
                <w:b/>
                <w:sz w:val="20"/>
                <w:szCs w:val="20"/>
                <w:lang w:val="fr-FR"/>
              </w:rPr>
              <w:t>politique</w:t>
            </w:r>
            <w:r w:rsidRPr="001B043A">
              <w:rPr>
                <w:rFonts w:cs="Garamond"/>
                <w:sz w:val="20"/>
                <w:szCs w:val="20"/>
                <w:lang w:val="fr-FR"/>
              </w:rPr>
              <w:t xml:space="preserve"> nationale pour les zones humides en vigueur (1.3.1)</w:t>
            </w:r>
          </w:p>
        </w:tc>
        <w:tc>
          <w:tcPr>
            <w:tcW w:w="79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15</w:t>
            </w:r>
          </w:p>
        </w:tc>
        <w:tc>
          <w:tcPr>
            <w:tcW w:w="936"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18</w:t>
            </w:r>
          </w:p>
        </w:tc>
        <w:tc>
          <w:tcPr>
            <w:tcW w:w="935"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17</w:t>
            </w:r>
          </w:p>
        </w:tc>
        <w:tc>
          <w:tcPr>
            <w:tcW w:w="936"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24</w:t>
            </w:r>
          </w:p>
        </w:tc>
        <w:tc>
          <w:tcPr>
            <w:tcW w:w="936" w:type="dxa"/>
            <w:shd w:val="clear" w:color="auto" w:fill="D6E3BC"/>
            <w:vAlign w:val="center"/>
          </w:tcPr>
          <w:p w:rsidR="003715B5" w:rsidRPr="001B043A" w:rsidRDefault="003715B5" w:rsidP="003715B5">
            <w:pPr>
              <w:jc w:val="center"/>
              <w:rPr>
                <w:rFonts w:cs="Garamond"/>
                <w:b/>
                <w:sz w:val="20"/>
                <w:szCs w:val="20"/>
                <w:lang w:val="fr-FR"/>
              </w:rPr>
            </w:pPr>
            <w:r w:rsidRPr="001B043A">
              <w:rPr>
                <w:rFonts w:cs="Garamond"/>
                <w:b/>
                <w:sz w:val="20"/>
                <w:szCs w:val="20"/>
                <w:shd w:val="clear" w:color="auto" w:fill="D6E3BC"/>
                <w:lang w:val="fr-FR"/>
              </w:rPr>
              <w:t>24 (71</w:t>
            </w:r>
            <w:r w:rsidRPr="001B043A">
              <w:rPr>
                <w:rFonts w:cs="Garamond"/>
                <w:b/>
                <w:sz w:val="20"/>
                <w:szCs w:val="20"/>
                <w:lang w:val="fr-FR"/>
              </w:rPr>
              <w:t>%)</w:t>
            </w:r>
          </w:p>
        </w:tc>
        <w:tc>
          <w:tcPr>
            <w:tcW w:w="992" w:type="dxa"/>
            <w:shd w:val="clear" w:color="auto" w:fill="FFFFFF"/>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55%</w:t>
            </w:r>
          </w:p>
        </w:tc>
        <w:tc>
          <w:tcPr>
            <w:tcW w:w="1134"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en stagnation</w:t>
            </w:r>
          </w:p>
        </w:tc>
      </w:tr>
      <w:tr w:rsidR="003715B5" w:rsidRPr="001B043A" w:rsidTr="001B043A">
        <w:tc>
          <w:tcPr>
            <w:tcW w:w="99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1.7</w:t>
            </w:r>
          </w:p>
        </w:tc>
        <w:tc>
          <w:tcPr>
            <w:tcW w:w="184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 xml:space="preserve">La Partie a appliqué les orientations Ramsar </w:t>
            </w:r>
            <w:r w:rsidRPr="001B043A">
              <w:rPr>
                <w:rFonts w:cs="Garamond"/>
                <w:b/>
                <w:sz w:val="20"/>
                <w:szCs w:val="20"/>
                <w:lang w:val="fr-FR"/>
              </w:rPr>
              <w:t>relatives à l’eau</w:t>
            </w:r>
            <w:r w:rsidRPr="001B043A">
              <w:rPr>
                <w:rFonts w:cs="Garamond"/>
                <w:sz w:val="20"/>
                <w:szCs w:val="20"/>
                <w:lang w:val="fr-FR"/>
              </w:rPr>
              <w:t xml:space="preserve"> (1.7.1)</w:t>
            </w:r>
          </w:p>
        </w:tc>
        <w:tc>
          <w:tcPr>
            <w:tcW w:w="79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n.a.</w:t>
            </w:r>
          </w:p>
        </w:tc>
        <w:tc>
          <w:tcPr>
            <w:tcW w:w="936"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5</w:t>
            </w:r>
          </w:p>
        </w:tc>
        <w:tc>
          <w:tcPr>
            <w:tcW w:w="935"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10</w:t>
            </w:r>
          </w:p>
        </w:tc>
        <w:tc>
          <w:tcPr>
            <w:tcW w:w="936"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14</w:t>
            </w:r>
          </w:p>
        </w:tc>
        <w:tc>
          <w:tcPr>
            <w:tcW w:w="936"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 xml:space="preserve">24 </w:t>
            </w:r>
            <w:r w:rsidRPr="001B043A">
              <w:rPr>
                <w:rFonts w:cs="Garamond"/>
                <w:sz w:val="20"/>
                <w:szCs w:val="20"/>
                <w:lang w:val="fr-FR"/>
              </w:rPr>
              <w:t>(71%)</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71%</w:t>
            </w:r>
          </w:p>
        </w:tc>
        <w:tc>
          <w:tcPr>
            <w:tcW w:w="1134"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important</w:t>
            </w:r>
          </w:p>
        </w:tc>
      </w:tr>
      <w:tr w:rsidR="003715B5" w:rsidRPr="001B043A" w:rsidTr="001B043A">
        <w:tc>
          <w:tcPr>
            <w:tcW w:w="99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1.8</w:t>
            </w:r>
          </w:p>
        </w:tc>
        <w:tc>
          <w:tcPr>
            <w:tcW w:w="184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 xml:space="preserve">La Partie a appliqué les programmes de </w:t>
            </w:r>
            <w:r w:rsidRPr="001B043A">
              <w:rPr>
                <w:rFonts w:cs="Garamond"/>
                <w:b/>
                <w:sz w:val="20"/>
                <w:szCs w:val="20"/>
                <w:lang w:val="fr-FR"/>
              </w:rPr>
              <w:t>restauration</w:t>
            </w:r>
            <w:r w:rsidRPr="001B043A">
              <w:rPr>
                <w:rFonts w:cs="Garamond"/>
                <w:sz w:val="20"/>
                <w:szCs w:val="20"/>
                <w:lang w:val="fr-FR"/>
              </w:rPr>
              <w:t xml:space="preserve"> des zones humides (1.8.2)</w:t>
            </w:r>
          </w:p>
        </w:tc>
        <w:tc>
          <w:tcPr>
            <w:tcW w:w="79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11</w:t>
            </w:r>
          </w:p>
        </w:tc>
        <w:tc>
          <w:tcPr>
            <w:tcW w:w="936"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24</w:t>
            </w:r>
          </w:p>
        </w:tc>
        <w:tc>
          <w:tcPr>
            <w:tcW w:w="935"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29</w:t>
            </w:r>
          </w:p>
        </w:tc>
        <w:tc>
          <w:tcPr>
            <w:tcW w:w="936"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30</w:t>
            </w:r>
          </w:p>
        </w:tc>
        <w:tc>
          <w:tcPr>
            <w:tcW w:w="936" w:type="dxa"/>
            <w:shd w:val="clear" w:color="auto" w:fill="D6E3BC"/>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27 (79%)</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70%</w:t>
            </w:r>
          </w:p>
        </w:tc>
        <w:tc>
          <w:tcPr>
            <w:tcW w:w="1134"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en régression</w:t>
            </w:r>
          </w:p>
        </w:tc>
      </w:tr>
      <w:tr w:rsidR="003715B5" w:rsidRPr="001B043A" w:rsidTr="001B043A">
        <w:tc>
          <w:tcPr>
            <w:tcW w:w="99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2.1</w:t>
            </w:r>
          </w:p>
        </w:tc>
        <w:tc>
          <w:tcPr>
            <w:tcW w:w="184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 xml:space="preserve">La Partie utilise le Cadre stratégique </w:t>
            </w:r>
            <w:r w:rsidRPr="001B043A">
              <w:rPr>
                <w:rFonts w:cs="Garamond"/>
                <w:b/>
                <w:sz w:val="20"/>
                <w:szCs w:val="20"/>
                <w:lang w:val="fr-FR"/>
              </w:rPr>
              <w:t>pour inscrire des Sites Ramsar</w:t>
            </w:r>
            <w:r w:rsidRPr="001B043A">
              <w:rPr>
                <w:rFonts w:cs="Garamond"/>
                <w:sz w:val="20"/>
                <w:szCs w:val="20"/>
                <w:lang w:val="fr-FR"/>
              </w:rPr>
              <w:t xml:space="preserve"> (2.1.1)</w:t>
            </w:r>
          </w:p>
        </w:tc>
        <w:tc>
          <w:tcPr>
            <w:tcW w:w="79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n.a.</w:t>
            </w:r>
          </w:p>
        </w:tc>
        <w:tc>
          <w:tcPr>
            <w:tcW w:w="936"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15</w:t>
            </w:r>
          </w:p>
        </w:tc>
        <w:tc>
          <w:tcPr>
            <w:tcW w:w="935"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18</w:t>
            </w:r>
          </w:p>
        </w:tc>
        <w:tc>
          <w:tcPr>
            <w:tcW w:w="936"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15</w:t>
            </w:r>
          </w:p>
        </w:tc>
        <w:tc>
          <w:tcPr>
            <w:tcW w:w="936"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 xml:space="preserve">10 </w:t>
            </w:r>
            <w:r w:rsidRPr="001B043A">
              <w:rPr>
                <w:rFonts w:cs="Garamond"/>
                <w:sz w:val="20"/>
                <w:szCs w:val="20"/>
                <w:lang w:val="fr-FR"/>
              </w:rPr>
              <w:t>(29%)</w:t>
            </w:r>
          </w:p>
        </w:tc>
        <w:tc>
          <w:tcPr>
            <w:tcW w:w="992" w:type="dxa"/>
            <w:shd w:val="clear" w:color="auto" w:fill="D6E3BC"/>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41%</w:t>
            </w:r>
          </w:p>
        </w:tc>
        <w:tc>
          <w:tcPr>
            <w:tcW w:w="1134"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en régression</w:t>
            </w:r>
          </w:p>
        </w:tc>
      </w:tr>
      <w:tr w:rsidR="003715B5" w:rsidRPr="001B043A" w:rsidTr="001B043A">
        <w:tc>
          <w:tcPr>
            <w:tcW w:w="99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3.3</w:t>
            </w:r>
          </w:p>
        </w:tc>
        <w:tc>
          <w:tcPr>
            <w:tcW w:w="1843"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 xml:space="preserve">Les organismes d’aide au développement fournissent des </w:t>
            </w:r>
            <w:r w:rsidRPr="001B043A">
              <w:rPr>
                <w:rFonts w:cs="Garamond"/>
                <w:b/>
                <w:sz w:val="20"/>
                <w:szCs w:val="20"/>
                <w:lang w:val="fr-FR"/>
              </w:rPr>
              <w:t>fonds</w:t>
            </w:r>
            <w:r w:rsidRPr="001B043A">
              <w:rPr>
                <w:rFonts w:cs="Garamond"/>
                <w:sz w:val="20"/>
                <w:szCs w:val="20"/>
                <w:lang w:val="fr-FR"/>
              </w:rPr>
              <w:t xml:space="preserve"> pour les zones humides (3.3.1)</w:t>
            </w:r>
          </w:p>
        </w:tc>
        <w:tc>
          <w:tcPr>
            <w:tcW w:w="793"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15</w:t>
            </w:r>
          </w:p>
        </w:tc>
        <w:tc>
          <w:tcPr>
            <w:tcW w:w="936"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12</w:t>
            </w:r>
          </w:p>
        </w:tc>
        <w:tc>
          <w:tcPr>
            <w:tcW w:w="935"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11</w:t>
            </w:r>
          </w:p>
        </w:tc>
        <w:tc>
          <w:tcPr>
            <w:tcW w:w="936"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14</w:t>
            </w:r>
          </w:p>
        </w:tc>
        <w:tc>
          <w:tcPr>
            <w:tcW w:w="936" w:type="dxa"/>
            <w:shd w:val="clear" w:color="auto" w:fill="D6E3BC"/>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9 (26%)</w:t>
            </w:r>
          </w:p>
        </w:tc>
        <w:tc>
          <w:tcPr>
            <w:tcW w:w="992" w:type="dxa"/>
            <w:vAlign w:val="center"/>
          </w:tcPr>
          <w:p w:rsidR="003715B5" w:rsidRPr="001B043A" w:rsidRDefault="003715B5" w:rsidP="003715B5">
            <w:pPr>
              <w:jc w:val="center"/>
              <w:rPr>
                <w:rFonts w:cs="Garamond"/>
                <w:sz w:val="20"/>
                <w:szCs w:val="20"/>
                <w:lang w:val="fr-FR"/>
              </w:rPr>
            </w:pPr>
            <w:r w:rsidRPr="001B043A">
              <w:rPr>
                <w:rFonts w:cs="Garamond"/>
                <w:sz w:val="20"/>
                <w:szCs w:val="20"/>
                <w:lang w:val="fr-FR"/>
              </w:rPr>
              <w:t>15%</w:t>
            </w:r>
          </w:p>
        </w:tc>
        <w:tc>
          <w:tcPr>
            <w:tcW w:w="1134" w:type="dxa"/>
            <w:vAlign w:val="center"/>
          </w:tcPr>
          <w:p w:rsidR="003715B5" w:rsidRPr="001B043A" w:rsidRDefault="003715B5" w:rsidP="003715B5">
            <w:pPr>
              <w:jc w:val="center"/>
              <w:rPr>
                <w:rFonts w:cs="Garamond"/>
                <w:b/>
                <w:sz w:val="20"/>
                <w:szCs w:val="20"/>
                <w:lang w:val="fr-FR"/>
              </w:rPr>
            </w:pPr>
            <w:r w:rsidRPr="001B043A">
              <w:rPr>
                <w:rFonts w:cs="Garamond"/>
                <w:b/>
                <w:sz w:val="20"/>
                <w:szCs w:val="20"/>
                <w:lang w:val="fr-FR"/>
              </w:rPr>
              <w:t>en stagnation</w:t>
            </w:r>
          </w:p>
        </w:tc>
      </w:tr>
    </w:tbl>
    <w:p w:rsidR="003715B5" w:rsidRPr="003715B5" w:rsidRDefault="003715B5" w:rsidP="003715B5">
      <w:pPr>
        <w:rPr>
          <w:rFonts w:ascii="Garamond" w:hAnsi="Garamond" w:cs="Garamond"/>
          <w:sz w:val="24"/>
          <w:szCs w:val="24"/>
          <w:lang w:val="fr-FR"/>
        </w:rPr>
      </w:pPr>
    </w:p>
    <w:p w:rsidR="003715B5" w:rsidRPr="003715B5" w:rsidRDefault="003715B5" w:rsidP="003715B5">
      <w:pPr>
        <w:rPr>
          <w:rFonts w:ascii="Garamond" w:hAnsi="Garamond" w:cs="Garamond"/>
          <w:sz w:val="24"/>
          <w:szCs w:val="24"/>
          <w:lang w:val="fr-FR"/>
        </w:rPr>
      </w:pPr>
    </w:p>
    <w:p w:rsidR="003715B5" w:rsidRPr="003715B5" w:rsidRDefault="003715B5" w:rsidP="003715B5">
      <w:pPr>
        <w:rPr>
          <w:rFonts w:ascii="Garamond" w:hAnsi="Garamond"/>
          <w:b/>
          <w:bCs/>
          <w:sz w:val="24"/>
          <w:szCs w:val="24"/>
          <w:lang w:val="fr-FR"/>
        </w:rPr>
      </w:pPr>
      <w:r w:rsidRPr="003715B5">
        <w:rPr>
          <w:sz w:val="24"/>
          <w:szCs w:val="24"/>
          <w:lang w:val="fr-FR"/>
        </w:rPr>
        <w:br w:type="page"/>
      </w:r>
    </w:p>
    <w:p w:rsidR="003715B5" w:rsidRPr="00532730" w:rsidRDefault="003715B5" w:rsidP="00532730">
      <w:pPr>
        <w:pStyle w:val="Heading1"/>
        <w:ind w:left="0" w:right="-28"/>
        <w:rPr>
          <w:rFonts w:asciiTheme="minorHAnsi" w:hAnsiTheme="minorHAnsi"/>
          <w:sz w:val="24"/>
          <w:szCs w:val="24"/>
          <w:lang w:val="fr-FR"/>
        </w:rPr>
      </w:pPr>
      <w:r w:rsidRPr="00532730">
        <w:rPr>
          <w:rFonts w:asciiTheme="minorHAnsi" w:hAnsiTheme="minorHAnsi"/>
          <w:sz w:val="24"/>
          <w:szCs w:val="24"/>
          <w:lang w:val="fr-FR"/>
        </w:rPr>
        <w:lastRenderedPageBreak/>
        <w:t>Annexe</w:t>
      </w:r>
      <w:r w:rsidRPr="00532730">
        <w:rPr>
          <w:rFonts w:asciiTheme="minorHAnsi" w:hAnsiTheme="minorHAnsi"/>
          <w:spacing w:val="-9"/>
          <w:sz w:val="24"/>
          <w:szCs w:val="24"/>
          <w:lang w:val="fr-FR"/>
        </w:rPr>
        <w:t xml:space="preserve"> </w:t>
      </w:r>
      <w:r w:rsidRPr="00532730">
        <w:rPr>
          <w:rFonts w:asciiTheme="minorHAnsi" w:hAnsiTheme="minorHAnsi"/>
          <w:sz w:val="24"/>
          <w:szCs w:val="24"/>
          <w:lang w:val="fr-FR"/>
        </w:rPr>
        <w:t>3</w:t>
      </w:r>
    </w:p>
    <w:p w:rsidR="003715B5" w:rsidRPr="00532730" w:rsidRDefault="003715B5" w:rsidP="00532730">
      <w:pPr>
        <w:pStyle w:val="Heading1"/>
        <w:ind w:left="0" w:right="-28"/>
        <w:rPr>
          <w:rFonts w:asciiTheme="minorHAnsi" w:hAnsiTheme="minorHAnsi"/>
          <w:b w:val="0"/>
          <w:bCs w:val="0"/>
          <w:sz w:val="24"/>
          <w:szCs w:val="24"/>
          <w:lang w:val="fr-FR"/>
        </w:rPr>
      </w:pPr>
    </w:p>
    <w:p w:rsidR="003715B5" w:rsidRPr="00532730" w:rsidRDefault="003715B5" w:rsidP="00532730">
      <w:pPr>
        <w:ind w:right="-28"/>
        <w:rPr>
          <w:rFonts w:cs="Garamond"/>
          <w:sz w:val="24"/>
          <w:szCs w:val="24"/>
          <w:lang w:val="fr-FR"/>
        </w:rPr>
      </w:pPr>
      <w:r w:rsidRPr="00532730">
        <w:rPr>
          <w:rFonts w:eastAsia="Times New Roman"/>
          <w:b/>
          <w:sz w:val="24"/>
          <w:szCs w:val="24"/>
          <w:lang w:val="fr-FR"/>
        </w:rPr>
        <w:t>Nouveaux Sites Ramsar europ</w:t>
      </w:r>
      <w:r w:rsidRPr="00532730">
        <w:rPr>
          <w:b/>
          <w:sz w:val="24"/>
          <w:szCs w:val="24"/>
          <w:lang w:val="fr-FR"/>
        </w:rPr>
        <w:t>é</w:t>
      </w:r>
      <w:r w:rsidRPr="00532730">
        <w:rPr>
          <w:rFonts w:eastAsia="Times New Roman"/>
          <w:b/>
          <w:sz w:val="24"/>
          <w:szCs w:val="24"/>
          <w:lang w:val="fr-FR"/>
        </w:rPr>
        <w:t xml:space="preserve">ens inscrits depuis la COP11 </w:t>
      </w:r>
    </w:p>
    <w:p w:rsidR="003715B5" w:rsidRPr="00AF095C" w:rsidRDefault="003715B5" w:rsidP="003715B5">
      <w:pPr>
        <w:pStyle w:val="BodyText"/>
        <w:ind w:left="360" w:right="1255" w:firstLine="0"/>
        <w:rPr>
          <w:rFonts w:asciiTheme="minorHAnsi" w:hAnsiTheme="minorHAnsi"/>
          <w:spacing w:val="-1"/>
          <w:sz w:val="22"/>
          <w:szCs w:val="22"/>
          <w:lang w:val="fr-FR"/>
        </w:rPr>
      </w:pPr>
    </w:p>
    <w:p w:rsidR="003715B5" w:rsidRPr="00AF095C" w:rsidRDefault="003715B5" w:rsidP="00532730">
      <w:pPr>
        <w:pStyle w:val="BodyText"/>
        <w:ind w:left="0" w:right="-28" w:firstLine="0"/>
        <w:rPr>
          <w:rFonts w:asciiTheme="minorHAnsi" w:hAnsiTheme="minorHAnsi"/>
          <w:sz w:val="22"/>
          <w:szCs w:val="22"/>
          <w:lang w:val="fr-FR"/>
        </w:rPr>
      </w:pPr>
      <w:r w:rsidRPr="00AF095C">
        <w:rPr>
          <w:rFonts w:asciiTheme="minorHAnsi" w:hAnsiTheme="minorHAnsi"/>
          <w:spacing w:val="-1"/>
          <w:sz w:val="22"/>
          <w:szCs w:val="22"/>
          <w:lang w:val="fr-FR"/>
        </w:rPr>
        <w:t xml:space="preserve">Y compris les nouvelles inscriptions soumises entre le 15 juillet 2012 et le 15 janvier 2015. </w:t>
      </w:r>
      <w:r w:rsidRPr="00AF095C">
        <w:rPr>
          <w:rFonts w:asciiTheme="minorHAnsi" w:hAnsiTheme="minorHAnsi"/>
          <w:sz w:val="22"/>
          <w:szCs w:val="22"/>
          <w:lang w:val="fr-FR"/>
        </w:rPr>
        <w:t>La colonne de droite énumère le nombre d’autres inscriptions de Sites Ramsar annoncées pour la période triennale 2016-2018.</w:t>
      </w:r>
    </w:p>
    <w:p w:rsidR="003715B5" w:rsidRPr="003715B5" w:rsidRDefault="003715B5" w:rsidP="003715B5">
      <w:pPr>
        <w:pStyle w:val="Heading1"/>
        <w:spacing w:before="73"/>
        <w:ind w:left="0" w:right="-28"/>
        <w:rPr>
          <w:sz w:val="24"/>
          <w:szCs w:val="24"/>
          <w:lang w:val="fr-FR"/>
        </w:rPr>
      </w:pPr>
    </w:p>
    <w:tbl>
      <w:tblPr>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28" w:type="dxa"/>
          <w:bottom w:w="11" w:type="dxa"/>
          <w:right w:w="28" w:type="dxa"/>
        </w:tblCellMar>
        <w:tblLook w:val="00A0"/>
      </w:tblPr>
      <w:tblGrid>
        <w:gridCol w:w="2409"/>
        <w:gridCol w:w="2268"/>
        <w:gridCol w:w="1701"/>
        <w:gridCol w:w="2091"/>
      </w:tblGrid>
      <w:tr w:rsidR="00532730" w:rsidRPr="00532730" w:rsidTr="00532730">
        <w:trPr>
          <w:trHeight w:val="20"/>
        </w:trPr>
        <w:tc>
          <w:tcPr>
            <w:tcW w:w="2409" w:type="dxa"/>
            <w:vAlign w:val="center"/>
          </w:tcPr>
          <w:p w:rsidR="00532730" w:rsidRPr="00532730" w:rsidRDefault="00532730" w:rsidP="00532730">
            <w:pPr>
              <w:widowControl/>
              <w:jc w:val="center"/>
              <w:rPr>
                <w:b/>
                <w:bCs/>
                <w:color w:val="000000"/>
                <w:sz w:val="20"/>
                <w:szCs w:val="20"/>
                <w:lang w:val="fr-FR" w:eastAsia="en-GB"/>
              </w:rPr>
            </w:pPr>
            <w:r w:rsidRPr="00532730">
              <w:rPr>
                <w:b/>
                <w:bCs/>
                <w:color w:val="000000"/>
                <w:sz w:val="20"/>
                <w:szCs w:val="20"/>
                <w:lang w:val="fr-FR" w:eastAsia="en-GB"/>
              </w:rPr>
              <w:t>Pays</w:t>
            </w:r>
          </w:p>
        </w:tc>
        <w:tc>
          <w:tcPr>
            <w:tcW w:w="2268" w:type="dxa"/>
            <w:vAlign w:val="center"/>
          </w:tcPr>
          <w:p w:rsidR="00532730" w:rsidRPr="00532730" w:rsidRDefault="00532730" w:rsidP="00532730">
            <w:pPr>
              <w:widowControl/>
              <w:jc w:val="center"/>
              <w:rPr>
                <w:bCs/>
                <w:color w:val="000000"/>
                <w:sz w:val="20"/>
                <w:szCs w:val="20"/>
                <w:lang w:val="fr-FR" w:eastAsia="en-GB"/>
              </w:rPr>
            </w:pPr>
            <w:r w:rsidRPr="00532730">
              <w:rPr>
                <w:b/>
                <w:bCs/>
                <w:color w:val="000000"/>
                <w:sz w:val="20"/>
                <w:szCs w:val="20"/>
                <w:lang w:val="fr-FR" w:eastAsia="en-GB"/>
              </w:rPr>
              <w:t>Nombre de nouveaux sites inscrits</w:t>
            </w:r>
          </w:p>
        </w:tc>
        <w:tc>
          <w:tcPr>
            <w:tcW w:w="1701" w:type="dxa"/>
            <w:vAlign w:val="center"/>
          </w:tcPr>
          <w:p w:rsidR="00532730" w:rsidRPr="00532730" w:rsidRDefault="00532730" w:rsidP="00532730">
            <w:pPr>
              <w:widowControl/>
              <w:jc w:val="center"/>
              <w:rPr>
                <w:b/>
                <w:bCs/>
                <w:color w:val="000000"/>
                <w:sz w:val="20"/>
                <w:szCs w:val="20"/>
                <w:lang w:val="fr-FR" w:eastAsia="en-GB"/>
              </w:rPr>
            </w:pPr>
            <w:r w:rsidRPr="00532730">
              <w:rPr>
                <w:b/>
                <w:bCs/>
                <w:color w:val="000000"/>
                <w:sz w:val="20"/>
                <w:szCs w:val="20"/>
                <w:lang w:val="fr-FR" w:eastAsia="en-GB"/>
              </w:rPr>
              <w:t>Superficie des nouveaux sites (ha)</w:t>
            </w:r>
          </w:p>
        </w:tc>
        <w:tc>
          <w:tcPr>
            <w:tcW w:w="2091" w:type="dxa"/>
            <w:vAlign w:val="center"/>
          </w:tcPr>
          <w:p w:rsidR="00532730" w:rsidRPr="00532730" w:rsidRDefault="00532730" w:rsidP="00532730">
            <w:pPr>
              <w:widowControl/>
              <w:jc w:val="center"/>
              <w:rPr>
                <w:b/>
                <w:bCs/>
                <w:color w:val="000000"/>
                <w:sz w:val="20"/>
                <w:szCs w:val="20"/>
                <w:lang w:val="fr-FR" w:eastAsia="en-GB"/>
              </w:rPr>
            </w:pPr>
            <w:r w:rsidRPr="00532730">
              <w:rPr>
                <w:b/>
                <w:bCs/>
                <w:color w:val="000000"/>
                <w:sz w:val="20"/>
                <w:szCs w:val="20"/>
                <w:lang w:val="fr-FR" w:eastAsia="en-GB"/>
              </w:rPr>
              <w:t xml:space="preserve">Nouveaux sites annoncés 2016-2018 </w:t>
            </w:r>
            <w:r w:rsidRPr="00532730">
              <w:rPr>
                <w:rFonts w:eastAsia="Times New Roman"/>
                <w:spacing w:val="-1"/>
                <w:sz w:val="20"/>
                <w:szCs w:val="20"/>
                <w:lang w:val="fr-FR"/>
              </w:rPr>
              <w:t xml:space="preserve">(Indicateur </w:t>
            </w:r>
            <w:r w:rsidRPr="00532730">
              <w:rPr>
                <w:rFonts w:eastAsia="Times New Roman"/>
                <w:i/>
                <w:sz w:val="20"/>
                <w:szCs w:val="20"/>
                <w:lang w:val="fr-FR"/>
              </w:rPr>
              <w:t>2.4.1</w:t>
            </w:r>
            <w:r w:rsidRPr="00532730">
              <w:rPr>
                <w:rFonts w:eastAsia="Times New Roman"/>
                <w:sz w:val="20"/>
                <w:szCs w:val="20"/>
                <w:lang w:val="fr-FR"/>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Albanie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1</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15 119</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Allemagne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Andorre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3</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6870</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Arménie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Autriche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3</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4958</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3</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Azerbaïdjan</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2</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Bélarus</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6</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212 980</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5</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Belgique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Bosnie-Herzégovine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Bulgarie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Chypre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Croatie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1</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5748</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Danemark</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1</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7393</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Espagne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4</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Estonie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4</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Ex-République yougoslave de Macédoine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Fédération de Russie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Finlande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11</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France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1</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43 970</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9</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Géorgie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1</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Grèce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Hongrie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Irlande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Islande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3</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69 696</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Italie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2</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Lettonie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Liechtenstein</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Lituanie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Luxembourg</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Malte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Monaco</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Monténégro</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1</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150</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Norvège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12</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39 505</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Pays-Bas</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4</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4274</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Pologne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lastRenderedPageBreak/>
              <w:t>Portugal</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3</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45 906</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République de Moldova</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1</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République tchèque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Roumanie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7</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232 851</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2</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Royaume-Uni</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1</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2078</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Serbie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2</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Slovaquie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1</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Slovénie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2</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Suède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15</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137 008</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2</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Suisse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Turquie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1</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4589</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w:t>
            </w:r>
          </w:p>
        </w:tc>
      </w:tr>
      <w:tr w:rsidR="00532730" w:rsidRPr="00532730" w:rsidTr="00532730">
        <w:trPr>
          <w:trHeight w:val="20"/>
        </w:trPr>
        <w:tc>
          <w:tcPr>
            <w:tcW w:w="2409" w:type="dxa"/>
            <w:vAlign w:val="center"/>
          </w:tcPr>
          <w:p w:rsidR="00532730" w:rsidRPr="00532730" w:rsidRDefault="00532730" w:rsidP="003715B5">
            <w:pPr>
              <w:widowControl/>
              <w:rPr>
                <w:color w:val="000000"/>
                <w:lang w:val="fr-FR" w:eastAsia="en-GB"/>
              </w:rPr>
            </w:pPr>
            <w:r w:rsidRPr="00532730">
              <w:rPr>
                <w:color w:val="000000"/>
                <w:lang w:val="fr-FR" w:eastAsia="en-GB"/>
              </w:rPr>
              <w:t>Ukraine</w:t>
            </w:r>
          </w:p>
        </w:tc>
        <w:tc>
          <w:tcPr>
            <w:tcW w:w="2268"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1701" w:type="dxa"/>
            <w:vAlign w:val="center"/>
          </w:tcPr>
          <w:p w:rsidR="00532730" w:rsidRPr="00532730" w:rsidRDefault="00532730" w:rsidP="003715B5">
            <w:pPr>
              <w:widowControl/>
              <w:jc w:val="center"/>
              <w:rPr>
                <w:color w:val="000000"/>
                <w:lang w:val="fr-FR" w:eastAsia="en-GB"/>
              </w:rPr>
            </w:pPr>
            <w:r w:rsidRPr="00532730">
              <w:rPr>
                <w:color w:val="000000"/>
                <w:lang w:val="fr-FR" w:eastAsia="en-GB"/>
              </w:rPr>
              <w:t>-</w:t>
            </w:r>
          </w:p>
        </w:tc>
        <w:tc>
          <w:tcPr>
            <w:tcW w:w="2091" w:type="dxa"/>
            <w:noWrap/>
            <w:vAlign w:val="bottom"/>
          </w:tcPr>
          <w:p w:rsidR="00532730" w:rsidRPr="00532730" w:rsidRDefault="00532730" w:rsidP="003715B5">
            <w:pPr>
              <w:widowControl/>
              <w:jc w:val="center"/>
              <w:rPr>
                <w:color w:val="000000"/>
                <w:lang w:val="fr-FR" w:eastAsia="en-GB"/>
              </w:rPr>
            </w:pPr>
            <w:r w:rsidRPr="00532730">
              <w:rPr>
                <w:color w:val="000000"/>
                <w:lang w:val="fr-FR" w:eastAsia="en-GB"/>
              </w:rPr>
              <w:t>25</w:t>
            </w:r>
          </w:p>
        </w:tc>
      </w:tr>
      <w:tr w:rsidR="00532730" w:rsidRPr="00532730" w:rsidTr="00532730">
        <w:trPr>
          <w:trHeight w:val="20"/>
        </w:trPr>
        <w:tc>
          <w:tcPr>
            <w:tcW w:w="2409" w:type="dxa"/>
            <w:vAlign w:val="center"/>
          </w:tcPr>
          <w:p w:rsidR="00532730" w:rsidRPr="00532730" w:rsidRDefault="00532730" w:rsidP="003715B5">
            <w:pPr>
              <w:widowControl/>
              <w:rPr>
                <w:b/>
                <w:color w:val="000000"/>
                <w:lang w:val="fr-FR" w:eastAsia="en-GB"/>
              </w:rPr>
            </w:pPr>
            <w:r w:rsidRPr="00532730">
              <w:rPr>
                <w:b/>
                <w:color w:val="000000"/>
                <w:lang w:val="fr-FR" w:eastAsia="en-GB"/>
              </w:rPr>
              <w:t>Total</w:t>
            </w:r>
          </w:p>
        </w:tc>
        <w:tc>
          <w:tcPr>
            <w:tcW w:w="2268" w:type="dxa"/>
            <w:noWrap/>
            <w:vAlign w:val="bottom"/>
          </w:tcPr>
          <w:p w:rsidR="00532730" w:rsidRPr="00532730" w:rsidRDefault="00532730" w:rsidP="003715B5">
            <w:pPr>
              <w:widowControl/>
              <w:jc w:val="center"/>
              <w:rPr>
                <w:b/>
                <w:color w:val="000000"/>
                <w:lang w:val="fr-FR" w:eastAsia="en-GB"/>
              </w:rPr>
            </w:pPr>
            <w:r w:rsidRPr="00532730">
              <w:rPr>
                <w:b/>
                <w:color w:val="000000"/>
                <w:lang w:val="fr-FR" w:eastAsia="en-GB"/>
              </w:rPr>
              <w:t>63</w:t>
            </w:r>
          </w:p>
        </w:tc>
        <w:tc>
          <w:tcPr>
            <w:tcW w:w="1701" w:type="dxa"/>
            <w:noWrap/>
            <w:vAlign w:val="bottom"/>
          </w:tcPr>
          <w:p w:rsidR="00532730" w:rsidRPr="00532730" w:rsidRDefault="00532730" w:rsidP="003715B5">
            <w:pPr>
              <w:widowControl/>
              <w:jc w:val="center"/>
              <w:rPr>
                <w:b/>
                <w:color w:val="000000"/>
                <w:lang w:val="fr-FR" w:eastAsia="en-GB"/>
              </w:rPr>
            </w:pPr>
            <w:r w:rsidRPr="00532730">
              <w:rPr>
                <w:b/>
                <w:color w:val="000000"/>
                <w:lang w:val="fr-FR" w:eastAsia="en-GB"/>
              </w:rPr>
              <w:t>833 095</w:t>
            </w:r>
          </w:p>
        </w:tc>
        <w:tc>
          <w:tcPr>
            <w:tcW w:w="2091" w:type="dxa"/>
            <w:noWrap/>
            <w:vAlign w:val="bottom"/>
          </w:tcPr>
          <w:p w:rsidR="00532730" w:rsidRPr="00532730" w:rsidRDefault="00532730" w:rsidP="003715B5">
            <w:pPr>
              <w:widowControl/>
              <w:jc w:val="center"/>
              <w:rPr>
                <w:b/>
                <w:color w:val="000000"/>
                <w:lang w:val="fr-FR" w:eastAsia="en-GB"/>
              </w:rPr>
            </w:pPr>
            <w:r w:rsidRPr="00532730">
              <w:rPr>
                <w:b/>
                <w:color w:val="000000"/>
                <w:lang w:val="fr-FR" w:eastAsia="en-GB"/>
              </w:rPr>
              <w:t>76</w:t>
            </w:r>
          </w:p>
        </w:tc>
      </w:tr>
    </w:tbl>
    <w:p w:rsidR="003715B5" w:rsidRPr="003715B5" w:rsidRDefault="003715B5" w:rsidP="003715B5">
      <w:pPr>
        <w:pStyle w:val="Heading1"/>
        <w:spacing w:before="73"/>
        <w:ind w:right="-28"/>
        <w:jc w:val="center"/>
        <w:rPr>
          <w:sz w:val="24"/>
          <w:szCs w:val="24"/>
          <w:lang w:val="fr-FR"/>
        </w:rPr>
      </w:pPr>
    </w:p>
    <w:p w:rsidR="00532730" w:rsidRDefault="00532730">
      <w:pPr>
        <w:rPr>
          <w:rFonts w:ascii="Calibri" w:eastAsia="Garamond" w:hAnsi="Calibri"/>
          <w:b/>
          <w:bCs/>
          <w:lang w:val="fr-FR"/>
        </w:rPr>
      </w:pPr>
      <w:r>
        <w:rPr>
          <w:rFonts w:ascii="Calibri" w:hAnsi="Calibri"/>
          <w:lang w:val="fr-FR"/>
        </w:rPr>
        <w:br w:type="page"/>
      </w:r>
    </w:p>
    <w:p w:rsidR="003715B5" w:rsidRPr="00532730" w:rsidRDefault="003715B5" w:rsidP="00532730">
      <w:pPr>
        <w:pStyle w:val="Heading1"/>
        <w:spacing w:before="73"/>
        <w:ind w:left="0" w:right="-28"/>
        <w:rPr>
          <w:rFonts w:ascii="Calibri" w:hAnsi="Calibri"/>
          <w:b w:val="0"/>
          <w:bCs w:val="0"/>
          <w:sz w:val="24"/>
          <w:szCs w:val="24"/>
          <w:lang w:val="fr-FR"/>
        </w:rPr>
      </w:pPr>
      <w:r w:rsidRPr="00532730">
        <w:rPr>
          <w:rFonts w:ascii="Calibri" w:hAnsi="Calibri"/>
          <w:sz w:val="24"/>
          <w:szCs w:val="24"/>
          <w:lang w:val="fr-FR"/>
        </w:rPr>
        <w:lastRenderedPageBreak/>
        <w:t>Annexe</w:t>
      </w:r>
      <w:r w:rsidRPr="00532730">
        <w:rPr>
          <w:rFonts w:ascii="Calibri" w:hAnsi="Calibri"/>
          <w:spacing w:val="-9"/>
          <w:sz w:val="24"/>
          <w:szCs w:val="24"/>
          <w:lang w:val="fr-FR"/>
        </w:rPr>
        <w:t xml:space="preserve"> </w:t>
      </w:r>
      <w:r w:rsidRPr="00532730">
        <w:rPr>
          <w:rFonts w:ascii="Calibri" w:hAnsi="Calibri"/>
          <w:sz w:val="24"/>
          <w:szCs w:val="24"/>
          <w:lang w:val="fr-FR"/>
        </w:rPr>
        <w:t>4</w:t>
      </w:r>
    </w:p>
    <w:p w:rsidR="003715B5" w:rsidRPr="00532730" w:rsidRDefault="003715B5" w:rsidP="00532730">
      <w:pPr>
        <w:ind w:right="-28"/>
        <w:rPr>
          <w:rFonts w:ascii="Calibri" w:hAnsi="Calibri" w:cs="Garamond"/>
          <w:b/>
          <w:bCs/>
          <w:sz w:val="24"/>
          <w:szCs w:val="24"/>
          <w:lang w:val="fr-FR"/>
        </w:rPr>
      </w:pPr>
    </w:p>
    <w:p w:rsidR="003715B5" w:rsidRPr="00532730" w:rsidRDefault="003715B5" w:rsidP="00532730">
      <w:pPr>
        <w:ind w:right="-28"/>
        <w:rPr>
          <w:rFonts w:ascii="Calibri" w:hAnsi="Calibri" w:cs="Garamond"/>
          <w:sz w:val="24"/>
          <w:szCs w:val="24"/>
          <w:lang w:val="fr-FR"/>
        </w:rPr>
      </w:pPr>
      <w:r w:rsidRPr="00532730">
        <w:rPr>
          <w:rFonts w:ascii="Calibri" w:hAnsi="Calibri"/>
          <w:b/>
          <w:sz w:val="24"/>
          <w:szCs w:val="24"/>
          <w:lang w:val="fr-FR"/>
        </w:rPr>
        <w:t xml:space="preserve">Nombre de Sites Ramsar européens pour lesquels les informations ne sont pas à jour </w:t>
      </w:r>
    </w:p>
    <w:p w:rsidR="003715B5" w:rsidRPr="00AF095C" w:rsidRDefault="003715B5" w:rsidP="00532730">
      <w:pPr>
        <w:rPr>
          <w:rFonts w:ascii="Calibri" w:hAnsi="Calibri" w:cs="Garamond"/>
          <w:lang w:val="fr-FR"/>
        </w:rPr>
      </w:pPr>
    </w:p>
    <w:p w:rsidR="003715B5" w:rsidRPr="00AF095C" w:rsidRDefault="003715B5" w:rsidP="00532730">
      <w:pPr>
        <w:rPr>
          <w:rFonts w:ascii="Calibri" w:hAnsi="Calibri" w:cs="Garamond"/>
          <w:lang w:val="fr-FR"/>
        </w:rPr>
      </w:pPr>
      <w:r w:rsidRPr="00AF095C">
        <w:rPr>
          <w:rFonts w:ascii="Calibri" w:hAnsi="Calibri"/>
          <w:lang w:val="fr-FR"/>
        </w:rPr>
        <w:t>*</w:t>
      </w:r>
      <w:r w:rsidRPr="00AF095C">
        <w:rPr>
          <w:rFonts w:ascii="Calibri" w:hAnsi="Calibri"/>
          <w:spacing w:val="-5"/>
          <w:lang w:val="fr-FR"/>
        </w:rPr>
        <w:t xml:space="preserve"> Les chiffres entre parenthèses font référence aux sites (y compris dans le chiffre global) pour lesquels les Autorités administratives ont soumis des informations à jour et sont en train de les réviser, en tenant compte des commentaires du Secrétariat.</w:t>
      </w:r>
    </w:p>
    <w:p w:rsidR="003715B5" w:rsidRPr="003715B5" w:rsidRDefault="003715B5" w:rsidP="003715B5">
      <w:pPr>
        <w:spacing w:line="246" w:lineRule="exact"/>
        <w:jc w:val="center"/>
        <w:rPr>
          <w:rFonts w:ascii="Garamond" w:hAnsi="Garamond" w:cs="Garamond"/>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4"/>
        <w:gridCol w:w="2935"/>
        <w:gridCol w:w="2393"/>
      </w:tblGrid>
      <w:tr w:rsidR="00532730" w:rsidRPr="00532730" w:rsidTr="00532730">
        <w:trPr>
          <w:trHeight w:val="57"/>
        </w:trPr>
        <w:tc>
          <w:tcPr>
            <w:tcW w:w="2974" w:type="dxa"/>
            <w:vAlign w:val="center"/>
          </w:tcPr>
          <w:p w:rsidR="00532730" w:rsidRPr="00532730" w:rsidRDefault="00532730" w:rsidP="003715B5">
            <w:pPr>
              <w:jc w:val="center"/>
              <w:rPr>
                <w:rFonts w:cs="Garamond"/>
                <w:b/>
                <w:bCs/>
                <w:lang w:val="fr-FR"/>
              </w:rPr>
            </w:pPr>
            <w:r w:rsidRPr="00532730">
              <w:rPr>
                <w:rFonts w:cs="Garamond"/>
                <w:b/>
                <w:bCs/>
                <w:lang w:val="fr-FR"/>
              </w:rPr>
              <w:t>Pays</w:t>
            </w:r>
          </w:p>
        </w:tc>
        <w:tc>
          <w:tcPr>
            <w:tcW w:w="2935" w:type="dxa"/>
            <w:vAlign w:val="center"/>
          </w:tcPr>
          <w:p w:rsidR="00532730" w:rsidRPr="00532730" w:rsidRDefault="00532730" w:rsidP="003715B5">
            <w:pPr>
              <w:jc w:val="center"/>
              <w:rPr>
                <w:rFonts w:cs="Garamond"/>
                <w:b/>
                <w:bCs/>
                <w:lang w:val="fr-FR"/>
              </w:rPr>
            </w:pPr>
            <w:r w:rsidRPr="00532730">
              <w:rPr>
                <w:rFonts w:cs="Garamond"/>
                <w:b/>
                <w:bCs/>
                <w:lang w:val="fr-FR"/>
              </w:rPr>
              <w:t>Sites Ramsar dont les informations ne sont pas à jour</w:t>
            </w:r>
          </w:p>
        </w:tc>
        <w:tc>
          <w:tcPr>
            <w:tcW w:w="2393" w:type="dxa"/>
            <w:vAlign w:val="center"/>
          </w:tcPr>
          <w:p w:rsidR="00532730" w:rsidRPr="00532730" w:rsidRDefault="00532730" w:rsidP="003715B5">
            <w:pPr>
              <w:jc w:val="center"/>
              <w:rPr>
                <w:rFonts w:cs="Garamond"/>
                <w:b/>
                <w:bCs/>
                <w:lang w:val="fr-FR"/>
              </w:rPr>
            </w:pPr>
            <w:r w:rsidRPr="00532730">
              <w:rPr>
                <w:rFonts w:cs="Garamond"/>
                <w:b/>
                <w:bCs/>
                <w:lang w:val="fr-FR"/>
              </w:rPr>
              <w:t>Nombre total de Sites Ramsar</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Albanie</w:t>
            </w:r>
          </w:p>
        </w:tc>
        <w:tc>
          <w:tcPr>
            <w:tcW w:w="2935" w:type="dxa"/>
          </w:tcPr>
          <w:p w:rsidR="00532730" w:rsidRPr="00532730" w:rsidRDefault="00532730" w:rsidP="003715B5">
            <w:pPr>
              <w:jc w:val="center"/>
              <w:rPr>
                <w:rFonts w:cs="Garamond"/>
                <w:lang w:val="fr-FR"/>
              </w:rPr>
            </w:pPr>
            <w:r w:rsidRPr="00532730">
              <w:rPr>
                <w:rFonts w:cs="Garamond"/>
                <w:lang w:val="fr-FR"/>
              </w:rPr>
              <w:t>3</w:t>
            </w:r>
          </w:p>
        </w:tc>
        <w:tc>
          <w:tcPr>
            <w:tcW w:w="2393" w:type="dxa"/>
          </w:tcPr>
          <w:p w:rsidR="00532730" w:rsidRPr="00532730" w:rsidRDefault="00532730" w:rsidP="003715B5">
            <w:pPr>
              <w:jc w:val="center"/>
              <w:rPr>
                <w:rFonts w:cs="Garamond"/>
                <w:lang w:val="fr-FR"/>
              </w:rPr>
            </w:pPr>
            <w:r w:rsidRPr="00532730">
              <w:rPr>
                <w:rFonts w:cs="Garamond"/>
                <w:lang w:val="fr-FR"/>
              </w:rPr>
              <w:t>4</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Allemagne</w:t>
            </w:r>
          </w:p>
        </w:tc>
        <w:tc>
          <w:tcPr>
            <w:tcW w:w="2935" w:type="dxa"/>
          </w:tcPr>
          <w:p w:rsidR="00532730" w:rsidRPr="00532730" w:rsidRDefault="00532730" w:rsidP="003715B5">
            <w:pPr>
              <w:jc w:val="center"/>
              <w:rPr>
                <w:rFonts w:cs="Garamond"/>
                <w:lang w:val="fr-FR"/>
              </w:rPr>
            </w:pPr>
            <w:r w:rsidRPr="00532730">
              <w:rPr>
                <w:rFonts w:cs="Garamond"/>
                <w:lang w:val="fr-FR"/>
              </w:rPr>
              <w:t>33 (17*)</w:t>
            </w:r>
          </w:p>
        </w:tc>
        <w:tc>
          <w:tcPr>
            <w:tcW w:w="2393" w:type="dxa"/>
          </w:tcPr>
          <w:p w:rsidR="00532730" w:rsidRPr="00532730" w:rsidRDefault="00532730" w:rsidP="003715B5">
            <w:pPr>
              <w:jc w:val="center"/>
              <w:rPr>
                <w:rFonts w:cs="Garamond"/>
                <w:lang w:val="fr-FR"/>
              </w:rPr>
            </w:pPr>
            <w:r w:rsidRPr="00532730">
              <w:rPr>
                <w:rFonts w:cs="Garamond"/>
                <w:lang w:val="fr-FR"/>
              </w:rPr>
              <w:t>34</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Andorre</w:t>
            </w:r>
          </w:p>
        </w:tc>
        <w:tc>
          <w:tcPr>
            <w:tcW w:w="2935" w:type="dxa"/>
            <w:shd w:val="clear" w:color="auto" w:fill="D9D9D9"/>
          </w:tcPr>
          <w:p w:rsidR="00532730" w:rsidRPr="00532730" w:rsidRDefault="00532730" w:rsidP="003715B5">
            <w:pPr>
              <w:jc w:val="center"/>
              <w:rPr>
                <w:rFonts w:cs="Garamond"/>
                <w:b/>
                <w:lang w:val="fr-FR"/>
              </w:rPr>
            </w:pPr>
            <w:r w:rsidRPr="00532730">
              <w:rPr>
                <w:rFonts w:cs="Garamond"/>
                <w:b/>
                <w:lang w:val="fr-FR"/>
              </w:rPr>
              <w:t>tous à jour</w:t>
            </w:r>
          </w:p>
        </w:tc>
        <w:tc>
          <w:tcPr>
            <w:tcW w:w="2393" w:type="dxa"/>
          </w:tcPr>
          <w:p w:rsidR="00532730" w:rsidRPr="00532730" w:rsidRDefault="00532730" w:rsidP="003715B5">
            <w:pPr>
              <w:jc w:val="center"/>
              <w:rPr>
                <w:rFonts w:cs="Garamond"/>
                <w:lang w:val="fr-FR"/>
              </w:rPr>
            </w:pPr>
            <w:r w:rsidRPr="00532730">
              <w:rPr>
                <w:rFonts w:cs="Garamond"/>
                <w:lang w:val="fr-FR"/>
              </w:rPr>
              <w:t>3</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Arménie</w:t>
            </w:r>
          </w:p>
        </w:tc>
        <w:tc>
          <w:tcPr>
            <w:tcW w:w="2935" w:type="dxa"/>
            <w:shd w:val="clear" w:color="auto" w:fill="D9D9D9"/>
          </w:tcPr>
          <w:p w:rsidR="00532730" w:rsidRPr="00532730" w:rsidRDefault="00532730" w:rsidP="003715B5">
            <w:pPr>
              <w:jc w:val="center"/>
              <w:rPr>
                <w:rFonts w:cs="Garamond"/>
                <w:b/>
                <w:lang w:val="fr-FR"/>
              </w:rPr>
            </w:pPr>
            <w:r w:rsidRPr="00532730">
              <w:rPr>
                <w:rFonts w:cs="Garamond"/>
                <w:b/>
                <w:lang w:val="fr-FR"/>
              </w:rPr>
              <w:t>tous à jour</w:t>
            </w:r>
          </w:p>
        </w:tc>
        <w:tc>
          <w:tcPr>
            <w:tcW w:w="2393" w:type="dxa"/>
          </w:tcPr>
          <w:p w:rsidR="00532730" w:rsidRPr="00532730" w:rsidRDefault="00532730" w:rsidP="003715B5">
            <w:pPr>
              <w:jc w:val="center"/>
              <w:rPr>
                <w:rFonts w:cs="Garamond"/>
                <w:lang w:val="fr-FR"/>
              </w:rPr>
            </w:pPr>
            <w:r w:rsidRPr="00532730">
              <w:rPr>
                <w:rFonts w:cs="Garamond"/>
                <w:lang w:val="fr-FR"/>
              </w:rPr>
              <w:t>3</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Autriche</w:t>
            </w:r>
          </w:p>
        </w:tc>
        <w:tc>
          <w:tcPr>
            <w:tcW w:w="2935" w:type="dxa"/>
          </w:tcPr>
          <w:p w:rsidR="00532730" w:rsidRPr="00532730" w:rsidRDefault="00532730" w:rsidP="003715B5">
            <w:pPr>
              <w:jc w:val="center"/>
              <w:rPr>
                <w:rFonts w:cs="Garamond"/>
                <w:lang w:val="fr-FR"/>
              </w:rPr>
            </w:pPr>
            <w:r w:rsidRPr="00532730">
              <w:rPr>
                <w:rFonts w:cs="Garamond"/>
                <w:lang w:val="fr-FR"/>
              </w:rPr>
              <w:t>16 (7*)</w:t>
            </w:r>
          </w:p>
        </w:tc>
        <w:tc>
          <w:tcPr>
            <w:tcW w:w="2393" w:type="dxa"/>
          </w:tcPr>
          <w:p w:rsidR="00532730" w:rsidRPr="00532730" w:rsidRDefault="00532730" w:rsidP="003715B5">
            <w:pPr>
              <w:jc w:val="center"/>
              <w:rPr>
                <w:rFonts w:cs="Garamond"/>
                <w:lang w:val="fr-FR"/>
              </w:rPr>
            </w:pPr>
            <w:r w:rsidRPr="00532730">
              <w:rPr>
                <w:rFonts w:cs="Garamond"/>
                <w:lang w:val="fr-FR"/>
              </w:rPr>
              <w:t>23</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Azerbaïdjan</w:t>
            </w:r>
          </w:p>
        </w:tc>
        <w:tc>
          <w:tcPr>
            <w:tcW w:w="2935" w:type="dxa"/>
          </w:tcPr>
          <w:p w:rsidR="00532730" w:rsidRPr="00532730" w:rsidRDefault="00532730" w:rsidP="003715B5">
            <w:pPr>
              <w:jc w:val="center"/>
              <w:rPr>
                <w:rFonts w:cs="Garamond"/>
                <w:lang w:val="fr-FR"/>
              </w:rPr>
            </w:pPr>
            <w:r w:rsidRPr="00532730">
              <w:rPr>
                <w:rFonts w:cs="Garamond"/>
                <w:lang w:val="fr-FR"/>
              </w:rPr>
              <w:t>2</w:t>
            </w:r>
          </w:p>
        </w:tc>
        <w:tc>
          <w:tcPr>
            <w:tcW w:w="2393" w:type="dxa"/>
          </w:tcPr>
          <w:p w:rsidR="00532730" w:rsidRPr="00532730" w:rsidRDefault="00532730" w:rsidP="003715B5">
            <w:pPr>
              <w:jc w:val="center"/>
              <w:rPr>
                <w:rFonts w:cs="Garamond"/>
                <w:lang w:val="fr-FR"/>
              </w:rPr>
            </w:pPr>
            <w:r w:rsidRPr="00532730">
              <w:rPr>
                <w:rFonts w:cs="Garamond"/>
                <w:lang w:val="fr-FR"/>
              </w:rPr>
              <w:t>2</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Bélarus</w:t>
            </w:r>
          </w:p>
        </w:tc>
        <w:tc>
          <w:tcPr>
            <w:tcW w:w="2935" w:type="dxa"/>
          </w:tcPr>
          <w:p w:rsidR="00532730" w:rsidRPr="00532730" w:rsidRDefault="00532730" w:rsidP="003715B5">
            <w:pPr>
              <w:jc w:val="center"/>
              <w:rPr>
                <w:rFonts w:cs="Garamond"/>
                <w:lang w:val="fr-FR"/>
              </w:rPr>
            </w:pPr>
            <w:r w:rsidRPr="00532730">
              <w:rPr>
                <w:rFonts w:cs="Garamond"/>
                <w:lang w:val="fr-FR"/>
              </w:rPr>
              <w:t>8</w:t>
            </w:r>
          </w:p>
        </w:tc>
        <w:tc>
          <w:tcPr>
            <w:tcW w:w="2393" w:type="dxa"/>
          </w:tcPr>
          <w:p w:rsidR="00532730" w:rsidRPr="00532730" w:rsidRDefault="00532730" w:rsidP="003715B5">
            <w:pPr>
              <w:jc w:val="center"/>
              <w:rPr>
                <w:rFonts w:cs="Garamond"/>
                <w:lang w:val="fr-FR"/>
              </w:rPr>
            </w:pPr>
            <w:r w:rsidRPr="00532730">
              <w:rPr>
                <w:rFonts w:cs="Garamond"/>
                <w:lang w:val="fr-FR"/>
              </w:rPr>
              <w:t>16</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Belgique</w:t>
            </w:r>
          </w:p>
        </w:tc>
        <w:tc>
          <w:tcPr>
            <w:tcW w:w="2935" w:type="dxa"/>
          </w:tcPr>
          <w:p w:rsidR="00532730" w:rsidRPr="00532730" w:rsidRDefault="00532730" w:rsidP="003715B5">
            <w:pPr>
              <w:jc w:val="center"/>
              <w:rPr>
                <w:rFonts w:cs="Garamond"/>
                <w:lang w:val="fr-FR"/>
              </w:rPr>
            </w:pPr>
            <w:r w:rsidRPr="00532730">
              <w:rPr>
                <w:rFonts w:cs="Garamond"/>
                <w:lang w:val="fr-FR"/>
              </w:rPr>
              <w:t>9 (3*)</w:t>
            </w:r>
          </w:p>
        </w:tc>
        <w:tc>
          <w:tcPr>
            <w:tcW w:w="2393" w:type="dxa"/>
          </w:tcPr>
          <w:p w:rsidR="00532730" w:rsidRPr="00532730" w:rsidRDefault="00532730" w:rsidP="003715B5">
            <w:pPr>
              <w:jc w:val="center"/>
              <w:rPr>
                <w:rFonts w:cs="Garamond"/>
                <w:lang w:val="fr-FR"/>
              </w:rPr>
            </w:pPr>
            <w:r w:rsidRPr="00532730">
              <w:rPr>
                <w:rFonts w:cs="Garamond"/>
                <w:lang w:val="fr-FR"/>
              </w:rPr>
              <w:t>9</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Bosnie-Herzégovine</w:t>
            </w:r>
          </w:p>
        </w:tc>
        <w:tc>
          <w:tcPr>
            <w:tcW w:w="2935" w:type="dxa"/>
          </w:tcPr>
          <w:p w:rsidR="00532730" w:rsidRPr="00532730" w:rsidRDefault="00532730" w:rsidP="003715B5">
            <w:pPr>
              <w:jc w:val="center"/>
              <w:rPr>
                <w:rFonts w:cs="Garamond"/>
                <w:lang w:val="fr-FR"/>
              </w:rPr>
            </w:pPr>
            <w:r w:rsidRPr="00532730">
              <w:rPr>
                <w:rFonts w:cs="Garamond"/>
                <w:lang w:val="fr-FR"/>
              </w:rPr>
              <w:t>2 (1*)</w:t>
            </w:r>
          </w:p>
        </w:tc>
        <w:tc>
          <w:tcPr>
            <w:tcW w:w="2393" w:type="dxa"/>
          </w:tcPr>
          <w:p w:rsidR="00532730" w:rsidRPr="00532730" w:rsidRDefault="00532730" w:rsidP="003715B5">
            <w:pPr>
              <w:jc w:val="center"/>
              <w:rPr>
                <w:rFonts w:cs="Garamond"/>
                <w:lang w:val="fr-FR"/>
              </w:rPr>
            </w:pPr>
            <w:r w:rsidRPr="00532730">
              <w:rPr>
                <w:rFonts w:cs="Garamond"/>
                <w:lang w:val="fr-FR"/>
              </w:rPr>
              <w:t>3</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Bulgarie</w:t>
            </w:r>
          </w:p>
        </w:tc>
        <w:tc>
          <w:tcPr>
            <w:tcW w:w="2935" w:type="dxa"/>
          </w:tcPr>
          <w:p w:rsidR="00532730" w:rsidRPr="00532730" w:rsidRDefault="00532730" w:rsidP="003715B5">
            <w:pPr>
              <w:jc w:val="center"/>
              <w:rPr>
                <w:rFonts w:cs="Garamond"/>
                <w:lang w:val="fr-FR"/>
              </w:rPr>
            </w:pPr>
            <w:r w:rsidRPr="00532730">
              <w:rPr>
                <w:rFonts w:cs="Garamond"/>
                <w:lang w:val="fr-FR"/>
              </w:rPr>
              <w:t>6</w:t>
            </w:r>
          </w:p>
        </w:tc>
        <w:tc>
          <w:tcPr>
            <w:tcW w:w="2393" w:type="dxa"/>
          </w:tcPr>
          <w:p w:rsidR="00532730" w:rsidRPr="00532730" w:rsidRDefault="00532730" w:rsidP="003715B5">
            <w:pPr>
              <w:jc w:val="center"/>
              <w:rPr>
                <w:rFonts w:cs="Garamond"/>
                <w:lang w:val="fr-FR"/>
              </w:rPr>
            </w:pPr>
            <w:r w:rsidRPr="00532730">
              <w:rPr>
                <w:rFonts w:cs="Garamond"/>
                <w:lang w:val="fr-FR"/>
              </w:rPr>
              <w:t>11</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Chypre</w:t>
            </w:r>
          </w:p>
        </w:tc>
        <w:tc>
          <w:tcPr>
            <w:tcW w:w="2935" w:type="dxa"/>
            <w:shd w:val="clear" w:color="auto" w:fill="D9D9D9"/>
          </w:tcPr>
          <w:p w:rsidR="00532730" w:rsidRPr="00532730" w:rsidRDefault="00532730" w:rsidP="003715B5">
            <w:pPr>
              <w:jc w:val="center"/>
              <w:rPr>
                <w:rFonts w:cs="Garamond"/>
                <w:b/>
                <w:lang w:val="fr-FR"/>
              </w:rPr>
            </w:pPr>
            <w:r w:rsidRPr="00532730">
              <w:rPr>
                <w:rFonts w:cs="Garamond"/>
                <w:b/>
                <w:lang w:val="fr-FR"/>
              </w:rPr>
              <w:t>tous à jour</w:t>
            </w:r>
          </w:p>
        </w:tc>
        <w:tc>
          <w:tcPr>
            <w:tcW w:w="2393" w:type="dxa"/>
          </w:tcPr>
          <w:p w:rsidR="00532730" w:rsidRPr="00532730" w:rsidRDefault="00532730" w:rsidP="003715B5">
            <w:pPr>
              <w:jc w:val="center"/>
              <w:rPr>
                <w:rFonts w:cs="Garamond"/>
                <w:lang w:val="fr-FR"/>
              </w:rPr>
            </w:pPr>
            <w:r w:rsidRPr="00532730">
              <w:rPr>
                <w:rFonts w:cs="Garamond"/>
                <w:lang w:val="fr-FR"/>
              </w:rPr>
              <w:t>1</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Croatie</w:t>
            </w:r>
          </w:p>
        </w:tc>
        <w:tc>
          <w:tcPr>
            <w:tcW w:w="2935" w:type="dxa"/>
          </w:tcPr>
          <w:p w:rsidR="00532730" w:rsidRPr="00532730" w:rsidRDefault="00532730" w:rsidP="003715B5">
            <w:pPr>
              <w:jc w:val="center"/>
              <w:rPr>
                <w:rFonts w:cs="Garamond"/>
                <w:lang w:val="fr-FR"/>
              </w:rPr>
            </w:pPr>
            <w:r w:rsidRPr="00532730">
              <w:rPr>
                <w:rFonts w:cs="Garamond"/>
                <w:lang w:val="fr-FR"/>
              </w:rPr>
              <w:t>1</w:t>
            </w:r>
          </w:p>
        </w:tc>
        <w:tc>
          <w:tcPr>
            <w:tcW w:w="2393" w:type="dxa"/>
          </w:tcPr>
          <w:p w:rsidR="00532730" w:rsidRPr="00532730" w:rsidRDefault="00532730" w:rsidP="003715B5">
            <w:pPr>
              <w:jc w:val="center"/>
              <w:rPr>
                <w:rFonts w:cs="Garamond"/>
                <w:lang w:val="fr-FR"/>
              </w:rPr>
            </w:pPr>
            <w:r w:rsidRPr="00532730">
              <w:rPr>
                <w:rFonts w:cs="Garamond"/>
                <w:lang w:val="fr-FR"/>
              </w:rPr>
              <w:t>5</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 xml:space="preserve">Danemark </w:t>
            </w:r>
            <w:r w:rsidRPr="00532730">
              <w:rPr>
                <w:rFonts w:eastAsia="Times New Roman"/>
                <w:lang w:val="fr-FR"/>
              </w:rPr>
              <w:t>(y compris</w:t>
            </w:r>
            <w:r w:rsidRPr="00532730">
              <w:rPr>
                <w:rFonts w:eastAsia="Times New Roman"/>
                <w:spacing w:val="-11"/>
                <w:lang w:val="fr-FR"/>
              </w:rPr>
              <w:t xml:space="preserve"> </w:t>
            </w:r>
            <w:r w:rsidRPr="00532730">
              <w:rPr>
                <w:rFonts w:eastAsia="Times New Roman"/>
                <w:lang w:val="fr-FR"/>
              </w:rPr>
              <w:t>Groenland)</w:t>
            </w:r>
          </w:p>
        </w:tc>
        <w:tc>
          <w:tcPr>
            <w:tcW w:w="2935" w:type="dxa"/>
          </w:tcPr>
          <w:p w:rsidR="00532730" w:rsidRPr="00532730" w:rsidRDefault="00532730" w:rsidP="003715B5">
            <w:pPr>
              <w:jc w:val="center"/>
              <w:rPr>
                <w:rFonts w:cs="Garamond"/>
                <w:lang w:val="fr-FR"/>
              </w:rPr>
            </w:pPr>
            <w:r w:rsidRPr="00532730">
              <w:rPr>
                <w:rFonts w:cs="Garamond"/>
                <w:lang w:val="fr-FR"/>
              </w:rPr>
              <w:t>13 (13*)</w:t>
            </w:r>
          </w:p>
        </w:tc>
        <w:tc>
          <w:tcPr>
            <w:tcW w:w="2393" w:type="dxa"/>
          </w:tcPr>
          <w:p w:rsidR="00532730" w:rsidRPr="00532730" w:rsidRDefault="00532730" w:rsidP="003715B5">
            <w:pPr>
              <w:jc w:val="center"/>
              <w:rPr>
                <w:rFonts w:cs="Garamond"/>
                <w:lang w:val="fr-FR"/>
              </w:rPr>
            </w:pPr>
            <w:r w:rsidRPr="00532730">
              <w:rPr>
                <w:rFonts w:cs="Garamond"/>
                <w:lang w:val="fr-FR"/>
              </w:rPr>
              <w:t>43</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Espagne</w:t>
            </w:r>
          </w:p>
        </w:tc>
        <w:tc>
          <w:tcPr>
            <w:tcW w:w="2935" w:type="dxa"/>
          </w:tcPr>
          <w:p w:rsidR="00532730" w:rsidRPr="00532730" w:rsidRDefault="00532730" w:rsidP="003715B5">
            <w:pPr>
              <w:jc w:val="center"/>
              <w:rPr>
                <w:rFonts w:cs="Garamond"/>
                <w:lang w:val="fr-FR"/>
              </w:rPr>
            </w:pPr>
            <w:r w:rsidRPr="00532730">
              <w:rPr>
                <w:rFonts w:cs="Garamond"/>
                <w:lang w:val="fr-FR"/>
              </w:rPr>
              <w:t>61</w:t>
            </w:r>
          </w:p>
        </w:tc>
        <w:tc>
          <w:tcPr>
            <w:tcW w:w="2393" w:type="dxa"/>
          </w:tcPr>
          <w:p w:rsidR="00532730" w:rsidRPr="00532730" w:rsidRDefault="00532730" w:rsidP="003715B5">
            <w:pPr>
              <w:jc w:val="center"/>
              <w:rPr>
                <w:rFonts w:cs="Garamond"/>
                <w:lang w:val="fr-FR"/>
              </w:rPr>
            </w:pPr>
            <w:r w:rsidRPr="00532730">
              <w:rPr>
                <w:rFonts w:cs="Garamond"/>
                <w:lang w:val="fr-FR"/>
              </w:rPr>
              <w:t>74</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Estonie</w:t>
            </w:r>
          </w:p>
        </w:tc>
        <w:tc>
          <w:tcPr>
            <w:tcW w:w="2935" w:type="dxa"/>
          </w:tcPr>
          <w:p w:rsidR="00532730" w:rsidRPr="00532730" w:rsidRDefault="00532730" w:rsidP="003715B5">
            <w:pPr>
              <w:jc w:val="center"/>
              <w:rPr>
                <w:rFonts w:cs="Garamond"/>
                <w:lang w:val="fr-FR"/>
              </w:rPr>
            </w:pPr>
            <w:r w:rsidRPr="00532730">
              <w:rPr>
                <w:rFonts w:cs="Garamond"/>
                <w:lang w:val="fr-FR"/>
              </w:rPr>
              <w:t>6</w:t>
            </w:r>
          </w:p>
        </w:tc>
        <w:tc>
          <w:tcPr>
            <w:tcW w:w="2393" w:type="dxa"/>
          </w:tcPr>
          <w:p w:rsidR="00532730" w:rsidRPr="00532730" w:rsidRDefault="00532730" w:rsidP="003715B5">
            <w:pPr>
              <w:jc w:val="center"/>
              <w:rPr>
                <w:rFonts w:cs="Garamond"/>
                <w:lang w:val="fr-FR"/>
              </w:rPr>
            </w:pPr>
            <w:r w:rsidRPr="00532730">
              <w:rPr>
                <w:rFonts w:cs="Garamond"/>
                <w:lang w:val="fr-FR"/>
              </w:rPr>
              <w:t>17</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Ex-République yougoslave de Macédoine</w:t>
            </w:r>
          </w:p>
        </w:tc>
        <w:tc>
          <w:tcPr>
            <w:tcW w:w="2935" w:type="dxa"/>
          </w:tcPr>
          <w:p w:rsidR="00532730" w:rsidRPr="00532730" w:rsidRDefault="00532730" w:rsidP="003715B5">
            <w:pPr>
              <w:jc w:val="center"/>
              <w:rPr>
                <w:rFonts w:cs="Garamond"/>
                <w:lang w:val="fr-FR"/>
              </w:rPr>
            </w:pPr>
            <w:r w:rsidRPr="00532730">
              <w:rPr>
                <w:rFonts w:cs="Garamond"/>
                <w:lang w:val="fr-FR"/>
              </w:rPr>
              <w:t>1</w:t>
            </w:r>
          </w:p>
        </w:tc>
        <w:tc>
          <w:tcPr>
            <w:tcW w:w="2393" w:type="dxa"/>
          </w:tcPr>
          <w:p w:rsidR="00532730" w:rsidRPr="00532730" w:rsidRDefault="00532730" w:rsidP="003715B5">
            <w:pPr>
              <w:jc w:val="center"/>
              <w:rPr>
                <w:rFonts w:cs="Garamond"/>
                <w:lang w:val="fr-FR"/>
              </w:rPr>
            </w:pPr>
            <w:r w:rsidRPr="00532730">
              <w:rPr>
                <w:rFonts w:cs="Garamond"/>
                <w:lang w:val="fr-FR"/>
              </w:rPr>
              <w:t>2</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Fédération de Russie</w:t>
            </w:r>
          </w:p>
        </w:tc>
        <w:tc>
          <w:tcPr>
            <w:tcW w:w="2935" w:type="dxa"/>
          </w:tcPr>
          <w:p w:rsidR="00532730" w:rsidRPr="00532730" w:rsidRDefault="00532730" w:rsidP="003715B5">
            <w:pPr>
              <w:jc w:val="center"/>
              <w:rPr>
                <w:rFonts w:cs="Garamond"/>
                <w:lang w:val="fr-FR"/>
              </w:rPr>
            </w:pPr>
            <w:r w:rsidRPr="00532730">
              <w:rPr>
                <w:rFonts w:cs="Garamond"/>
                <w:lang w:val="fr-FR"/>
              </w:rPr>
              <w:t>26 (21*)</w:t>
            </w:r>
          </w:p>
        </w:tc>
        <w:tc>
          <w:tcPr>
            <w:tcW w:w="2393" w:type="dxa"/>
          </w:tcPr>
          <w:p w:rsidR="00532730" w:rsidRPr="00532730" w:rsidRDefault="00532730" w:rsidP="003715B5">
            <w:pPr>
              <w:jc w:val="center"/>
              <w:rPr>
                <w:rFonts w:cs="Garamond"/>
                <w:lang w:val="fr-FR"/>
              </w:rPr>
            </w:pPr>
            <w:r w:rsidRPr="00532730">
              <w:rPr>
                <w:rFonts w:cs="Garamond"/>
                <w:lang w:val="fr-FR"/>
              </w:rPr>
              <w:t>35</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Finlande</w:t>
            </w:r>
          </w:p>
        </w:tc>
        <w:tc>
          <w:tcPr>
            <w:tcW w:w="2935" w:type="dxa"/>
          </w:tcPr>
          <w:p w:rsidR="00532730" w:rsidRPr="00532730" w:rsidRDefault="00532730" w:rsidP="003715B5">
            <w:pPr>
              <w:jc w:val="center"/>
              <w:rPr>
                <w:rFonts w:cs="Garamond"/>
                <w:lang w:val="fr-FR"/>
              </w:rPr>
            </w:pPr>
            <w:r w:rsidRPr="00532730">
              <w:rPr>
                <w:rFonts w:cs="Garamond"/>
                <w:lang w:val="fr-FR"/>
              </w:rPr>
              <w:t>49</w:t>
            </w:r>
          </w:p>
        </w:tc>
        <w:tc>
          <w:tcPr>
            <w:tcW w:w="2393" w:type="dxa"/>
          </w:tcPr>
          <w:p w:rsidR="00532730" w:rsidRPr="00532730" w:rsidRDefault="00532730" w:rsidP="003715B5">
            <w:pPr>
              <w:jc w:val="center"/>
              <w:rPr>
                <w:rFonts w:cs="Garamond"/>
                <w:lang w:val="fr-FR"/>
              </w:rPr>
            </w:pPr>
            <w:r w:rsidRPr="00532730">
              <w:rPr>
                <w:rFonts w:cs="Garamond"/>
                <w:lang w:val="fr-FR"/>
              </w:rPr>
              <w:t>49</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France</w:t>
            </w:r>
          </w:p>
        </w:tc>
        <w:tc>
          <w:tcPr>
            <w:tcW w:w="2935" w:type="dxa"/>
          </w:tcPr>
          <w:p w:rsidR="00532730" w:rsidRPr="00532730" w:rsidRDefault="00532730" w:rsidP="003715B5">
            <w:pPr>
              <w:jc w:val="center"/>
              <w:rPr>
                <w:rFonts w:cs="Garamond"/>
                <w:lang w:val="fr-FR"/>
              </w:rPr>
            </w:pPr>
            <w:r w:rsidRPr="00532730">
              <w:rPr>
                <w:rFonts w:cs="Garamond"/>
                <w:lang w:val="fr-FR"/>
              </w:rPr>
              <w:t>20 (8*)</w:t>
            </w:r>
          </w:p>
        </w:tc>
        <w:tc>
          <w:tcPr>
            <w:tcW w:w="2393" w:type="dxa"/>
          </w:tcPr>
          <w:p w:rsidR="00532730" w:rsidRPr="00532730" w:rsidRDefault="00532730" w:rsidP="003715B5">
            <w:pPr>
              <w:jc w:val="center"/>
              <w:rPr>
                <w:rFonts w:cs="Garamond"/>
                <w:lang w:val="fr-FR"/>
              </w:rPr>
            </w:pPr>
            <w:r w:rsidRPr="00532730">
              <w:rPr>
                <w:rFonts w:cs="Garamond"/>
                <w:lang w:val="fr-FR"/>
              </w:rPr>
              <w:t>43</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Géorgie</w:t>
            </w:r>
          </w:p>
        </w:tc>
        <w:tc>
          <w:tcPr>
            <w:tcW w:w="2935" w:type="dxa"/>
          </w:tcPr>
          <w:p w:rsidR="00532730" w:rsidRPr="00532730" w:rsidRDefault="00532730" w:rsidP="003715B5">
            <w:pPr>
              <w:jc w:val="center"/>
              <w:rPr>
                <w:rFonts w:cs="Garamond"/>
                <w:lang w:val="fr-FR"/>
              </w:rPr>
            </w:pPr>
            <w:r w:rsidRPr="00532730">
              <w:rPr>
                <w:rFonts w:cs="Garamond"/>
                <w:lang w:val="fr-FR"/>
              </w:rPr>
              <w:t>2 (1*)</w:t>
            </w:r>
          </w:p>
        </w:tc>
        <w:tc>
          <w:tcPr>
            <w:tcW w:w="2393" w:type="dxa"/>
          </w:tcPr>
          <w:p w:rsidR="00532730" w:rsidRPr="00532730" w:rsidRDefault="00532730" w:rsidP="003715B5">
            <w:pPr>
              <w:jc w:val="center"/>
              <w:rPr>
                <w:rFonts w:cs="Garamond"/>
                <w:lang w:val="fr-FR"/>
              </w:rPr>
            </w:pPr>
            <w:r w:rsidRPr="00532730">
              <w:rPr>
                <w:rFonts w:cs="Garamond"/>
                <w:lang w:val="fr-FR"/>
              </w:rPr>
              <w:t>2</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Grèce</w:t>
            </w:r>
          </w:p>
        </w:tc>
        <w:tc>
          <w:tcPr>
            <w:tcW w:w="2935" w:type="dxa"/>
          </w:tcPr>
          <w:p w:rsidR="00532730" w:rsidRPr="00532730" w:rsidRDefault="00532730" w:rsidP="003715B5">
            <w:pPr>
              <w:jc w:val="center"/>
              <w:rPr>
                <w:rFonts w:cs="Garamond"/>
                <w:lang w:val="fr-FR"/>
              </w:rPr>
            </w:pPr>
            <w:r w:rsidRPr="00532730">
              <w:rPr>
                <w:rFonts w:cs="Garamond"/>
                <w:lang w:val="fr-FR"/>
              </w:rPr>
              <w:t>10</w:t>
            </w:r>
          </w:p>
        </w:tc>
        <w:tc>
          <w:tcPr>
            <w:tcW w:w="2393" w:type="dxa"/>
          </w:tcPr>
          <w:p w:rsidR="00532730" w:rsidRPr="00532730" w:rsidRDefault="00532730" w:rsidP="003715B5">
            <w:pPr>
              <w:jc w:val="center"/>
              <w:rPr>
                <w:rFonts w:cs="Garamond"/>
                <w:lang w:val="fr-FR"/>
              </w:rPr>
            </w:pPr>
            <w:r w:rsidRPr="00532730">
              <w:rPr>
                <w:rFonts w:cs="Garamond"/>
                <w:lang w:val="fr-FR"/>
              </w:rPr>
              <w:t>10</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Hongrie</w:t>
            </w:r>
          </w:p>
        </w:tc>
        <w:tc>
          <w:tcPr>
            <w:tcW w:w="2935" w:type="dxa"/>
          </w:tcPr>
          <w:p w:rsidR="00532730" w:rsidRPr="00532730" w:rsidRDefault="00532730" w:rsidP="003715B5">
            <w:pPr>
              <w:jc w:val="center"/>
              <w:rPr>
                <w:rFonts w:cs="Garamond"/>
                <w:lang w:val="fr-FR"/>
              </w:rPr>
            </w:pPr>
            <w:r w:rsidRPr="00532730">
              <w:rPr>
                <w:rFonts w:cs="Garamond"/>
                <w:lang w:val="fr-FR"/>
              </w:rPr>
              <w:t>27 (27*)</w:t>
            </w:r>
          </w:p>
        </w:tc>
        <w:tc>
          <w:tcPr>
            <w:tcW w:w="2393" w:type="dxa"/>
          </w:tcPr>
          <w:p w:rsidR="00532730" w:rsidRPr="00532730" w:rsidRDefault="00532730" w:rsidP="003715B5">
            <w:pPr>
              <w:jc w:val="center"/>
              <w:rPr>
                <w:rFonts w:cs="Garamond"/>
                <w:lang w:val="fr-FR"/>
              </w:rPr>
            </w:pPr>
            <w:r w:rsidRPr="00532730">
              <w:rPr>
                <w:rFonts w:cs="Garamond"/>
                <w:lang w:val="fr-FR"/>
              </w:rPr>
              <w:t>29</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Irlande</w:t>
            </w:r>
          </w:p>
        </w:tc>
        <w:tc>
          <w:tcPr>
            <w:tcW w:w="2935" w:type="dxa"/>
          </w:tcPr>
          <w:p w:rsidR="00532730" w:rsidRPr="00532730" w:rsidRDefault="00532730" w:rsidP="003715B5">
            <w:pPr>
              <w:jc w:val="center"/>
              <w:rPr>
                <w:rFonts w:cs="Garamond"/>
                <w:lang w:val="fr-FR"/>
              </w:rPr>
            </w:pPr>
            <w:r w:rsidRPr="00532730">
              <w:rPr>
                <w:rFonts w:cs="Garamond"/>
                <w:lang w:val="fr-FR"/>
              </w:rPr>
              <w:t>45</w:t>
            </w:r>
          </w:p>
        </w:tc>
        <w:tc>
          <w:tcPr>
            <w:tcW w:w="2393" w:type="dxa"/>
          </w:tcPr>
          <w:p w:rsidR="00532730" w:rsidRPr="00532730" w:rsidRDefault="00532730" w:rsidP="003715B5">
            <w:pPr>
              <w:jc w:val="center"/>
              <w:rPr>
                <w:rFonts w:cs="Garamond"/>
                <w:lang w:val="fr-FR"/>
              </w:rPr>
            </w:pPr>
            <w:r w:rsidRPr="00532730">
              <w:rPr>
                <w:rFonts w:cs="Garamond"/>
                <w:lang w:val="fr-FR"/>
              </w:rPr>
              <w:t>45</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Islande</w:t>
            </w:r>
          </w:p>
        </w:tc>
        <w:tc>
          <w:tcPr>
            <w:tcW w:w="2935" w:type="dxa"/>
          </w:tcPr>
          <w:p w:rsidR="00532730" w:rsidRPr="00532730" w:rsidRDefault="00532730" w:rsidP="003715B5">
            <w:pPr>
              <w:jc w:val="center"/>
              <w:rPr>
                <w:rFonts w:cs="Garamond"/>
                <w:lang w:val="fr-FR"/>
              </w:rPr>
            </w:pPr>
            <w:r w:rsidRPr="00532730">
              <w:rPr>
                <w:rFonts w:cs="Garamond"/>
                <w:lang w:val="fr-FR"/>
              </w:rPr>
              <w:t>3</w:t>
            </w:r>
          </w:p>
        </w:tc>
        <w:tc>
          <w:tcPr>
            <w:tcW w:w="2393" w:type="dxa"/>
          </w:tcPr>
          <w:p w:rsidR="00532730" w:rsidRPr="00532730" w:rsidRDefault="00532730" w:rsidP="003715B5">
            <w:pPr>
              <w:jc w:val="center"/>
              <w:rPr>
                <w:rFonts w:cs="Garamond"/>
                <w:lang w:val="fr-FR"/>
              </w:rPr>
            </w:pPr>
            <w:r w:rsidRPr="00532730">
              <w:rPr>
                <w:rFonts w:cs="Garamond"/>
                <w:lang w:val="fr-FR"/>
              </w:rPr>
              <w:t>6</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Italie</w:t>
            </w:r>
          </w:p>
        </w:tc>
        <w:tc>
          <w:tcPr>
            <w:tcW w:w="2935" w:type="dxa"/>
          </w:tcPr>
          <w:p w:rsidR="00532730" w:rsidRPr="00532730" w:rsidRDefault="00532730" w:rsidP="003715B5">
            <w:pPr>
              <w:jc w:val="center"/>
              <w:rPr>
                <w:rFonts w:cs="Garamond"/>
                <w:lang w:val="fr-FR"/>
              </w:rPr>
            </w:pPr>
            <w:r w:rsidRPr="00532730">
              <w:rPr>
                <w:rFonts w:cs="Garamond"/>
                <w:lang w:val="fr-FR"/>
              </w:rPr>
              <w:t>48 (44*)</w:t>
            </w:r>
          </w:p>
        </w:tc>
        <w:tc>
          <w:tcPr>
            <w:tcW w:w="2393" w:type="dxa"/>
          </w:tcPr>
          <w:p w:rsidR="00532730" w:rsidRPr="00532730" w:rsidRDefault="00532730" w:rsidP="003715B5">
            <w:pPr>
              <w:jc w:val="center"/>
              <w:rPr>
                <w:rFonts w:cs="Garamond"/>
                <w:lang w:val="fr-FR"/>
              </w:rPr>
            </w:pPr>
            <w:r w:rsidRPr="00532730">
              <w:rPr>
                <w:rFonts w:cs="Garamond"/>
                <w:lang w:val="fr-FR"/>
              </w:rPr>
              <w:t>52</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Lettonie</w:t>
            </w:r>
          </w:p>
        </w:tc>
        <w:tc>
          <w:tcPr>
            <w:tcW w:w="2935" w:type="dxa"/>
          </w:tcPr>
          <w:p w:rsidR="00532730" w:rsidRPr="00532730" w:rsidRDefault="00532730" w:rsidP="003715B5">
            <w:pPr>
              <w:jc w:val="center"/>
              <w:rPr>
                <w:rFonts w:cs="Garamond"/>
                <w:lang w:val="fr-FR"/>
              </w:rPr>
            </w:pPr>
            <w:r w:rsidRPr="00532730">
              <w:rPr>
                <w:rFonts w:cs="Garamond"/>
                <w:lang w:val="fr-FR"/>
              </w:rPr>
              <w:t>4</w:t>
            </w:r>
          </w:p>
        </w:tc>
        <w:tc>
          <w:tcPr>
            <w:tcW w:w="2393" w:type="dxa"/>
          </w:tcPr>
          <w:p w:rsidR="00532730" w:rsidRPr="00532730" w:rsidRDefault="00532730" w:rsidP="003715B5">
            <w:pPr>
              <w:jc w:val="center"/>
              <w:rPr>
                <w:rFonts w:cs="Garamond"/>
                <w:lang w:val="fr-FR"/>
              </w:rPr>
            </w:pPr>
            <w:r w:rsidRPr="00532730">
              <w:rPr>
                <w:rFonts w:cs="Garamond"/>
                <w:lang w:val="fr-FR"/>
              </w:rPr>
              <w:t>6</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Liechtenstein</w:t>
            </w:r>
          </w:p>
        </w:tc>
        <w:tc>
          <w:tcPr>
            <w:tcW w:w="2935" w:type="dxa"/>
          </w:tcPr>
          <w:p w:rsidR="00532730" w:rsidRPr="00532730" w:rsidRDefault="00532730" w:rsidP="003715B5">
            <w:pPr>
              <w:jc w:val="center"/>
              <w:rPr>
                <w:rFonts w:cs="Garamond"/>
                <w:lang w:val="fr-FR"/>
              </w:rPr>
            </w:pPr>
            <w:r w:rsidRPr="00532730">
              <w:rPr>
                <w:rFonts w:cs="Garamond"/>
                <w:lang w:val="fr-FR"/>
              </w:rPr>
              <w:t>1</w:t>
            </w:r>
          </w:p>
        </w:tc>
        <w:tc>
          <w:tcPr>
            <w:tcW w:w="2393" w:type="dxa"/>
          </w:tcPr>
          <w:p w:rsidR="00532730" w:rsidRPr="00532730" w:rsidRDefault="00532730" w:rsidP="003715B5">
            <w:pPr>
              <w:jc w:val="center"/>
              <w:rPr>
                <w:rFonts w:cs="Garamond"/>
                <w:lang w:val="fr-FR"/>
              </w:rPr>
            </w:pPr>
            <w:r w:rsidRPr="00532730">
              <w:rPr>
                <w:rFonts w:cs="Garamond"/>
                <w:lang w:val="fr-FR"/>
              </w:rPr>
              <w:t>1</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Lituanie</w:t>
            </w:r>
          </w:p>
        </w:tc>
        <w:tc>
          <w:tcPr>
            <w:tcW w:w="2935" w:type="dxa"/>
          </w:tcPr>
          <w:p w:rsidR="00532730" w:rsidRPr="00532730" w:rsidRDefault="00532730" w:rsidP="003715B5">
            <w:pPr>
              <w:jc w:val="center"/>
              <w:rPr>
                <w:rFonts w:cs="Garamond"/>
                <w:lang w:val="fr-FR"/>
              </w:rPr>
            </w:pPr>
            <w:r w:rsidRPr="00532730">
              <w:rPr>
                <w:rFonts w:cs="Garamond"/>
                <w:lang w:val="fr-FR"/>
              </w:rPr>
              <w:t>1 (1*)</w:t>
            </w:r>
          </w:p>
        </w:tc>
        <w:tc>
          <w:tcPr>
            <w:tcW w:w="2393" w:type="dxa"/>
          </w:tcPr>
          <w:p w:rsidR="00532730" w:rsidRPr="00532730" w:rsidRDefault="00532730" w:rsidP="003715B5">
            <w:pPr>
              <w:jc w:val="center"/>
              <w:rPr>
                <w:rFonts w:cs="Garamond"/>
                <w:lang w:val="fr-FR"/>
              </w:rPr>
            </w:pPr>
            <w:r w:rsidRPr="00532730">
              <w:rPr>
                <w:rFonts w:cs="Garamond"/>
                <w:lang w:val="fr-FR"/>
              </w:rPr>
              <w:t>7</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Luxembourg</w:t>
            </w:r>
          </w:p>
        </w:tc>
        <w:tc>
          <w:tcPr>
            <w:tcW w:w="2935" w:type="dxa"/>
          </w:tcPr>
          <w:p w:rsidR="00532730" w:rsidRPr="00532730" w:rsidRDefault="00532730" w:rsidP="003715B5">
            <w:pPr>
              <w:jc w:val="center"/>
              <w:rPr>
                <w:rFonts w:cs="Garamond"/>
                <w:lang w:val="fr-FR"/>
              </w:rPr>
            </w:pPr>
            <w:r w:rsidRPr="00532730">
              <w:rPr>
                <w:rFonts w:cs="Garamond"/>
                <w:lang w:val="fr-FR"/>
              </w:rPr>
              <w:t>2</w:t>
            </w:r>
          </w:p>
        </w:tc>
        <w:tc>
          <w:tcPr>
            <w:tcW w:w="2393" w:type="dxa"/>
          </w:tcPr>
          <w:p w:rsidR="00532730" w:rsidRPr="00532730" w:rsidRDefault="00532730" w:rsidP="003715B5">
            <w:pPr>
              <w:jc w:val="center"/>
              <w:rPr>
                <w:rFonts w:cs="Garamond"/>
                <w:lang w:val="fr-FR"/>
              </w:rPr>
            </w:pPr>
            <w:r w:rsidRPr="00532730">
              <w:rPr>
                <w:rFonts w:cs="Garamond"/>
                <w:lang w:val="fr-FR"/>
              </w:rPr>
              <w:t>2</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Malte</w:t>
            </w:r>
          </w:p>
        </w:tc>
        <w:tc>
          <w:tcPr>
            <w:tcW w:w="2935" w:type="dxa"/>
          </w:tcPr>
          <w:p w:rsidR="00532730" w:rsidRPr="00532730" w:rsidRDefault="00532730" w:rsidP="003715B5">
            <w:pPr>
              <w:jc w:val="center"/>
              <w:rPr>
                <w:rFonts w:cs="Garamond"/>
                <w:lang w:val="fr-FR"/>
              </w:rPr>
            </w:pPr>
            <w:r w:rsidRPr="00532730">
              <w:rPr>
                <w:rFonts w:cs="Garamond"/>
                <w:lang w:val="fr-FR"/>
              </w:rPr>
              <w:t>2</w:t>
            </w:r>
          </w:p>
        </w:tc>
        <w:tc>
          <w:tcPr>
            <w:tcW w:w="2393" w:type="dxa"/>
          </w:tcPr>
          <w:p w:rsidR="00532730" w:rsidRPr="00532730" w:rsidRDefault="00532730" w:rsidP="003715B5">
            <w:pPr>
              <w:jc w:val="center"/>
              <w:rPr>
                <w:rFonts w:cs="Garamond"/>
                <w:lang w:val="fr-FR"/>
              </w:rPr>
            </w:pPr>
            <w:r w:rsidRPr="00532730">
              <w:rPr>
                <w:rFonts w:cs="Garamond"/>
                <w:lang w:val="fr-FR"/>
              </w:rPr>
              <w:t>2</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Monaco</w:t>
            </w:r>
          </w:p>
        </w:tc>
        <w:tc>
          <w:tcPr>
            <w:tcW w:w="2935" w:type="dxa"/>
          </w:tcPr>
          <w:p w:rsidR="00532730" w:rsidRPr="00532730" w:rsidRDefault="00532730" w:rsidP="003715B5">
            <w:pPr>
              <w:jc w:val="center"/>
              <w:rPr>
                <w:rFonts w:cs="Garamond"/>
                <w:lang w:val="fr-FR"/>
              </w:rPr>
            </w:pPr>
            <w:r w:rsidRPr="00532730">
              <w:rPr>
                <w:rFonts w:cs="Garamond"/>
                <w:lang w:val="fr-FR"/>
              </w:rPr>
              <w:t>1</w:t>
            </w:r>
          </w:p>
        </w:tc>
        <w:tc>
          <w:tcPr>
            <w:tcW w:w="2393" w:type="dxa"/>
          </w:tcPr>
          <w:p w:rsidR="00532730" w:rsidRPr="00532730" w:rsidRDefault="00532730" w:rsidP="003715B5">
            <w:pPr>
              <w:jc w:val="center"/>
              <w:rPr>
                <w:rFonts w:cs="Garamond"/>
                <w:lang w:val="fr-FR"/>
              </w:rPr>
            </w:pPr>
            <w:r w:rsidRPr="00532730">
              <w:rPr>
                <w:rFonts w:cs="Garamond"/>
                <w:lang w:val="fr-FR"/>
              </w:rPr>
              <w:t>1</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Monténégro</w:t>
            </w:r>
          </w:p>
        </w:tc>
        <w:tc>
          <w:tcPr>
            <w:tcW w:w="2935" w:type="dxa"/>
          </w:tcPr>
          <w:p w:rsidR="00532730" w:rsidRPr="00532730" w:rsidRDefault="00532730" w:rsidP="003715B5">
            <w:pPr>
              <w:jc w:val="center"/>
              <w:rPr>
                <w:rFonts w:cs="Garamond"/>
                <w:lang w:val="fr-FR"/>
              </w:rPr>
            </w:pPr>
            <w:r w:rsidRPr="00532730">
              <w:rPr>
                <w:rFonts w:cs="Garamond"/>
                <w:lang w:val="fr-FR"/>
              </w:rPr>
              <w:t>1</w:t>
            </w:r>
          </w:p>
        </w:tc>
        <w:tc>
          <w:tcPr>
            <w:tcW w:w="2393" w:type="dxa"/>
          </w:tcPr>
          <w:p w:rsidR="00532730" w:rsidRPr="00532730" w:rsidRDefault="00532730" w:rsidP="003715B5">
            <w:pPr>
              <w:jc w:val="center"/>
              <w:rPr>
                <w:rFonts w:cs="Garamond"/>
                <w:lang w:val="fr-FR"/>
              </w:rPr>
            </w:pPr>
            <w:r w:rsidRPr="00532730">
              <w:rPr>
                <w:rFonts w:cs="Garamond"/>
                <w:lang w:val="fr-FR"/>
              </w:rPr>
              <w:t>2</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Norvège</w:t>
            </w:r>
          </w:p>
        </w:tc>
        <w:tc>
          <w:tcPr>
            <w:tcW w:w="2935" w:type="dxa"/>
          </w:tcPr>
          <w:p w:rsidR="00532730" w:rsidRPr="00532730" w:rsidRDefault="00532730" w:rsidP="003715B5">
            <w:pPr>
              <w:jc w:val="center"/>
              <w:rPr>
                <w:rFonts w:cs="Garamond"/>
                <w:lang w:val="fr-FR"/>
              </w:rPr>
            </w:pPr>
            <w:r w:rsidRPr="00532730">
              <w:rPr>
                <w:rFonts w:cs="Garamond"/>
                <w:lang w:val="fr-FR"/>
              </w:rPr>
              <w:t>6 (1*)</w:t>
            </w:r>
          </w:p>
        </w:tc>
        <w:tc>
          <w:tcPr>
            <w:tcW w:w="2393" w:type="dxa"/>
          </w:tcPr>
          <w:p w:rsidR="00532730" w:rsidRPr="00532730" w:rsidRDefault="00532730" w:rsidP="003715B5">
            <w:pPr>
              <w:jc w:val="center"/>
              <w:rPr>
                <w:rFonts w:cs="Garamond"/>
                <w:lang w:val="fr-FR"/>
              </w:rPr>
            </w:pPr>
            <w:r w:rsidRPr="00532730">
              <w:rPr>
                <w:rFonts w:cs="Garamond"/>
                <w:lang w:val="fr-FR"/>
              </w:rPr>
              <w:t>63</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Pays-Bas</w:t>
            </w:r>
          </w:p>
        </w:tc>
        <w:tc>
          <w:tcPr>
            <w:tcW w:w="2935" w:type="dxa"/>
          </w:tcPr>
          <w:p w:rsidR="00532730" w:rsidRPr="00532730" w:rsidRDefault="00532730" w:rsidP="003715B5">
            <w:pPr>
              <w:jc w:val="center"/>
              <w:rPr>
                <w:rFonts w:cs="Garamond"/>
                <w:lang w:val="fr-FR"/>
              </w:rPr>
            </w:pPr>
            <w:r w:rsidRPr="00532730">
              <w:rPr>
                <w:rFonts w:cs="Garamond"/>
                <w:lang w:val="fr-FR"/>
              </w:rPr>
              <w:t>32 (20*)</w:t>
            </w:r>
          </w:p>
        </w:tc>
        <w:tc>
          <w:tcPr>
            <w:tcW w:w="2393" w:type="dxa"/>
          </w:tcPr>
          <w:p w:rsidR="00532730" w:rsidRPr="00532730" w:rsidRDefault="00532730" w:rsidP="003715B5">
            <w:pPr>
              <w:jc w:val="center"/>
              <w:rPr>
                <w:rFonts w:cs="Garamond"/>
                <w:lang w:val="fr-FR"/>
              </w:rPr>
            </w:pPr>
            <w:r w:rsidRPr="00532730">
              <w:rPr>
                <w:rFonts w:cs="Garamond"/>
                <w:lang w:val="fr-FR"/>
              </w:rPr>
              <w:t>53</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Pologne</w:t>
            </w:r>
          </w:p>
        </w:tc>
        <w:tc>
          <w:tcPr>
            <w:tcW w:w="2935" w:type="dxa"/>
          </w:tcPr>
          <w:p w:rsidR="00532730" w:rsidRPr="00532730" w:rsidRDefault="00532730" w:rsidP="003715B5">
            <w:pPr>
              <w:jc w:val="center"/>
              <w:rPr>
                <w:rFonts w:cs="Garamond"/>
                <w:lang w:val="fr-FR"/>
              </w:rPr>
            </w:pPr>
            <w:r w:rsidRPr="00532730">
              <w:rPr>
                <w:rFonts w:cs="Garamond"/>
                <w:lang w:val="fr-FR"/>
              </w:rPr>
              <w:t>13</w:t>
            </w:r>
          </w:p>
        </w:tc>
        <w:tc>
          <w:tcPr>
            <w:tcW w:w="2393" w:type="dxa"/>
          </w:tcPr>
          <w:p w:rsidR="00532730" w:rsidRPr="00532730" w:rsidRDefault="00532730" w:rsidP="003715B5">
            <w:pPr>
              <w:jc w:val="center"/>
              <w:rPr>
                <w:rFonts w:cs="Garamond"/>
                <w:lang w:val="fr-FR"/>
              </w:rPr>
            </w:pPr>
            <w:r w:rsidRPr="00532730">
              <w:rPr>
                <w:rFonts w:cs="Garamond"/>
                <w:lang w:val="fr-FR"/>
              </w:rPr>
              <w:t>13</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Portugal</w:t>
            </w:r>
          </w:p>
        </w:tc>
        <w:tc>
          <w:tcPr>
            <w:tcW w:w="2935" w:type="dxa"/>
          </w:tcPr>
          <w:p w:rsidR="00532730" w:rsidRPr="00532730" w:rsidRDefault="00532730" w:rsidP="003715B5">
            <w:pPr>
              <w:jc w:val="center"/>
              <w:rPr>
                <w:rFonts w:cs="Garamond"/>
                <w:lang w:val="fr-FR"/>
              </w:rPr>
            </w:pPr>
            <w:r w:rsidRPr="00532730">
              <w:rPr>
                <w:rFonts w:cs="Garamond"/>
                <w:lang w:val="fr-FR"/>
              </w:rPr>
              <w:t>17(6*)</w:t>
            </w:r>
          </w:p>
        </w:tc>
        <w:tc>
          <w:tcPr>
            <w:tcW w:w="2393" w:type="dxa"/>
          </w:tcPr>
          <w:p w:rsidR="00532730" w:rsidRPr="00532730" w:rsidRDefault="00532730" w:rsidP="003715B5">
            <w:pPr>
              <w:jc w:val="center"/>
              <w:rPr>
                <w:rFonts w:cs="Garamond"/>
                <w:lang w:val="fr-FR"/>
              </w:rPr>
            </w:pPr>
            <w:r w:rsidRPr="00532730">
              <w:rPr>
                <w:rFonts w:cs="Garamond"/>
                <w:lang w:val="fr-FR"/>
              </w:rPr>
              <w:t>31</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République de Moldova</w:t>
            </w:r>
          </w:p>
        </w:tc>
        <w:tc>
          <w:tcPr>
            <w:tcW w:w="2935" w:type="dxa"/>
          </w:tcPr>
          <w:p w:rsidR="00532730" w:rsidRPr="00532730" w:rsidRDefault="00532730" w:rsidP="003715B5">
            <w:pPr>
              <w:jc w:val="center"/>
              <w:rPr>
                <w:rFonts w:cs="Garamond"/>
                <w:lang w:val="fr-FR"/>
              </w:rPr>
            </w:pPr>
            <w:r w:rsidRPr="00532730">
              <w:rPr>
                <w:rFonts w:cs="Garamond"/>
                <w:lang w:val="fr-FR"/>
              </w:rPr>
              <w:t>3</w:t>
            </w:r>
          </w:p>
        </w:tc>
        <w:tc>
          <w:tcPr>
            <w:tcW w:w="2393" w:type="dxa"/>
          </w:tcPr>
          <w:p w:rsidR="00532730" w:rsidRPr="00532730" w:rsidRDefault="00532730" w:rsidP="003715B5">
            <w:pPr>
              <w:jc w:val="center"/>
              <w:rPr>
                <w:rFonts w:cs="Garamond"/>
                <w:lang w:val="fr-FR"/>
              </w:rPr>
            </w:pPr>
            <w:r w:rsidRPr="00532730">
              <w:rPr>
                <w:rFonts w:cs="Garamond"/>
                <w:lang w:val="fr-FR"/>
              </w:rPr>
              <w:t>3</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lastRenderedPageBreak/>
              <w:t>République tchèque</w:t>
            </w:r>
          </w:p>
        </w:tc>
        <w:tc>
          <w:tcPr>
            <w:tcW w:w="2935" w:type="dxa"/>
          </w:tcPr>
          <w:p w:rsidR="00532730" w:rsidRPr="00532730" w:rsidRDefault="00532730" w:rsidP="003715B5">
            <w:pPr>
              <w:jc w:val="center"/>
              <w:rPr>
                <w:rFonts w:cs="Garamond"/>
                <w:lang w:val="fr-FR"/>
              </w:rPr>
            </w:pPr>
            <w:r w:rsidRPr="00532730">
              <w:rPr>
                <w:rFonts w:cs="Garamond"/>
                <w:lang w:val="fr-FR"/>
              </w:rPr>
              <w:t>12</w:t>
            </w:r>
          </w:p>
        </w:tc>
        <w:tc>
          <w:tcPr>
            <w:tcW w:w="2393" w:type="dxa"/>
          </w:tcPr>
          <w:p w:rsidR="00532730" w:rsidRPr="00532730" w:rsidRDefault="00532730" w:rsidP="003715B5">
            <w:pPr>
              <w:jc w:val="center"/>
              <w:rPr>
                <w:rFonts w:cs="Garamond"/>
                <w:lang w:val="fr-FR"/>
              </w:rPr>
            </w:pPr>
            <w:r w:rsidRPr="00532730">
              <w:rPr>
                <w:rFonts w:cs="Garamond"/>
                <w:lang w:val="fr-FR"/>
              </w:rPr>
              <w:t>14</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Roumanie</w:t>
            </w:r>
          </w:p>
        </w:tc>
        <w:tc>
          <w:tcPr>
            <w:tcW w:w="2935" w:type="dxa"/>
          </w:tcPr>
          <w:p w:rsidR="00532730" w:rsidRPr="00532730" w:rsidRDefault="00532730" w:rsidP="003715B5">
            <w:pPr>
              <w:jc w:val="center"/>
              <w:rPr>
                <w:rFonts w:cs="Garamond"/>
                <w:lang w:val="fr-FR"/>
              </w:rPr>
            </w:pPr>
            <w:r w:rsidRPr="00532730">
              <w:rPr>
                <w:rFonts w:cs="Garamond"/>
                <w:lang w:val="fr-FR"/>
              </w:rPr>
              <w:t>5</w:t>
            </w:r>
          </w:p>
        </w:tc>
        <w:tc>
          <w:tcPr>
            <w:tcW w:w="2393" w:type="dxa"/>
          </w:tcPr>
          <w:p w:rsidR="00532730" w:rsidRPr="00532730" w:rsidRDefault="00532730" w:rsidP="003715B5">
            <w:pPr>
              <w:jc w:val="center"/>
              <w:rPr>
                <w:rFonts w:cs="Garamond"/>
                <w:lang w:val="fr-FR"/>
              </w:rPr>
            </w:pPr>
            <w:r w:rsidRPr="00532730">
              <w:rPr>
                <w:rFonts w:cs="Garamond"/>
                <w:lang w:val="fr-FR"/>
              </w:rPr>
              <w:t>19</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Royaume-Uni</w:t>
            </w:r>
          </w:p>
        </w:tc>
        <w:tc>
          <w:tcPr>
            <w:tcW w:w="2935" w:type="dxa"/>
          </w:tcPr>
          <w:p w:rsidR="00532730" w:rsidRPr="00532730" w:rsidRDefault="00532730" w:rsidP="003715B5">
            <w:pPr>
              <w:jc w:val="center"/>
              <w:rPr>
                <w:rFonts w:cs="Garamond"/>
                <w:lang w:val="fr-FR"/>
              </w:rPr>
            </w:pPr>
            <w:r w:rsidRPr="00532730">
              <w:rPr>
                <w:rFonts w:cs="Garamond"/>
                <w:lang w:val="fr-FR"/>
              </w:rPr>
              <w:t>163</w:t>
            </w:r>
          </w:p>
        </w:tc>
        <w:tc>
          <w:tcPr>
            <w:tcW w:w="2393" w:type="dxa"/>
          </w:tcPr>
          <w:p w:rsidR="00532730" w:rsidRPr="00532730" w:rsidRDefault="00532730" w:rsidP="003715B5">
            <w:pPr>
              <w:jc w:val="center"/>
              <w:rPr>
                <w:rFonts w:cs="Garamond"/>
                <w:lang w:val="fr-FR"/>
              </w:rPr>
            </w:pPr>
            <w:r w:rsidRPr="00532730">
              <w:rPr>
                <w:rFonts w:cs="Garamond"/>
                <w:lang w:val="fr-FR"/>
              </w:rPr>
              <w:t>170</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Serbie</w:t>
            </w:r>
          </w:p>
        </w:tc>
        <w:tc>
          <w:tcPr>
            <w:tcW w:w="2935" w:type="dxa"/>
          </w:tcPr>
          <w:p w:rsidR="00532730" w:rsidRPr="00532730" w:rsidRDefault="00532730" w:rsidP="003715B5">
            <w:pPr>
              <w:jc w:val="center"/>
              <w:rPr>
                <w:rFonts w:cs="Garamond"/>
                <w:lang w:val="fr-FR"/>
              </w:rPr>
            </w:pPr>
            <w:r w:rsidRPr="00532730">
              <w:rPr>
                <w:rFonts w:cs="Garamond"/>
                <w:lang w:val="fr-FR"/>
              </w:rPr>
              <w:t>6</w:t>
            </w:r>
          </w:p>
        </w:tc>
        <w:tc>
          <w:tcPr>
            <w:tcW w:w="2393" w:type="dxa"/>
          </w:tcPr>
          <w:p w:rsidR="00532730" w:rsidRPr="00532730" w:rsidRDefault="00532730" w:rsidP="003715B5">
            <w:pPr>
              <w:jc w:val="center"/>
              <w:rPr>
                <w:rFonts w:cs="Garamond"/>
                <w:lang w:val="fr-FR"/>
              </w:rPr>
            </w:pPr>
            <w:r w:rsidRPr="00532730">
              <w:rPr>
                <w:rFonts w:cs="Garamond"/>
                <w:lang w:val="fr-FR"/>
              </w:rPr>
              <w:t>10</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Slovaquie</w:t>
            </w:r>
          </w:p>
        </w:tc>
        <w:tc>
          <w:tcPr>
            <w:tcW w:w="2935" w:type="dxa"/>
          </w:tcPr>
          <w:p w:rsidR="00532730" w:rsidRPr="00532730" w:rsidRDefault="00532730" w:rsidP="003715B5">
            <w:pPr>
              <w:jc w:val="center"/>
              <w:rPr>
                <w:rFonts w:cs="Garamond"/>
                <w:lang w:val="fr-FR"/>
              </w:rPr>
            </w:pPr>
            <w:r w:rsidRPr="00532730">
              <w:rPr>
                <w:rFonts w:cs="Garamond"/>
                <w:lang w:val="fr-FR"/>
              </w:rPr>
              <w:t>14</w:t>
            </w:r>
          </w:p>
        </w:tc>
        <w:tc>
          <w:tcPr>
            <w:tcW w:w="2393" w:type="dxa"/>
          </w:tcPr>
          <w:p w:rsidR="00532730" w:rsidRPr="00532730" w:rsidRDefault="00532730" w:rsidP="003715B5">
            <w:pPr>
              <w:jc w:val="center"/>
              <w:rPr>
                <w:rFonts w:cs="Garamond"/>
                <w:lang w:val="fr-FR"/>
              </w:rPr>
            </w:pPr>
            <w:r w:rsidRPr="00532730">
              <w:rPr>
                <w:rFonts w:cs="Garamond"/>
                <w:lang w:val="fr-FR"/>
              </w:rPr>
              <w:t>14</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Slovénie</w:t>
            </w:r>
          </w:p>
        </w:tc>
        <w:tc>
          <w:tcPr>
            <w:tcW w:w="2935" w:type="dxa"/>
          </w:tcPr>
          <w:p w:rsidR="00532730" w:rsidRPr="00532730" w:rsidRDefault="00532730" w:rsidP="003715B5">
            <w:pPr>
              <w:jc w:val="center"/>
              <w:rPr>
                <w:rFonts w:cs="Garamond"/>
                <w:lang w:val="fr-FR"/>
              </w:rPr>
            </w:pPr>
            <w:r w:rsidRPr="00532730">
              <w:rPr>
                <w:rFonts w:cs="Garamond"/>
                <w:lang w:val="fr-FR"/>
              </w:rPr>
              <w:t>3</w:t>
            </w:r>
          </w:p>
        </w:tc>
        <w:tc>
          <w:tcPr>
            <w:tcW w:w="2393" w:type="dxa"/>
          </w:tcPr>
          <w:p w:rsidR="00532730" w:rsidRPr="00532730" w:rsidRDefault="00532730" w:rsidP="003715B5">
            <w:pPr>
              <w:jc w:val="center"/>
              <w:rPr>
                <w:rFonts w:cs="Garamond"/>
                <w:lang w:val="fr-FR"/>
              </w:rPr>
            </w:pPr>
            <w:r w:rsidRPr="00532730">
              <w:rPr>
                <w:rFonts w:cs="Garamond"/>
                <w:lang w:val="fr-FR"/>
              </w:rPr>
              <w:t>3</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Suède</w:t>
            </w:r>
          </w:p>
        </w:tc>
        <w:tc>
          <w:tcPr>
            <w:tcW w:w="2935" w:type="dxa"/>
          </w:tcPr>
          <w:p w:rsidR="00532730" w:rsidRPr="00532730" w:rsidRDefault="00532730" w:rsidP="003715B5">
            <w:pPr>
              <w:jc w:val="center"/>
              <w:rPr>
                <w:rFonts w:cs="Garamond"/>
                <w:lang w:val="fr-FR"/>
              </w:rPr>
            </w:pPr>
            <w:r w:rsidRPr="00532730">
              <w:rPr>
                <w:rFonts w:cs="Garamond"/>
                <w:lang w:val="fr-FR"/>
              </w:rPr>
              <w:t>34 (32*)</w:t>
            </w:r>
          </w:p>
        </w:tc>
        <w:tc>
          <w:tcPr>
            <w:tcW w:w="2393" w:type="dxa"/>
          </w:tcPr>
          <w:p w:rsidR="00532730" w:rsidRPr="00532730" w:rsidRDefault="00532730" w:rsidP="003715B5">
            <w:pPr>
              <w:jc w:val="center"/>
              <w:rPr>
                <w:rFonts w:cs="Garamond"/>
                <w:lang w:val="fr-FR"/>
              </w:rPr>
            </w:pPr>
            <w:r w:rsidRPr="00532730">
              <w:rPr>
                <w:rFonts w:cs="Garamond"/>
                <w:lang w:val="fr-FR"/>
              </w:rPr>
              <w:t>66</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Suisse</w:t>
            </w:r>
          </w:p>
        </w:tc>
        <w:tc>
          <w:tcPr>
            <w:tcW w:w="2935" w:type="dxa"/>
          </w:tcPr>
          <w:p w:rsidR="00532730" w:rsidRPr="00532730" w:rsidRDefault="00532730" w:rsidP="003715B5">
            <w:pPr>
              <w:jc w:val="center"/>
              <w:rPr>
                <w:rFonts w:cs="Garamond"/>
                <w:lang w:val="fr-FR"/>
              </w:rPr>
            </w:pPr>
            <w:r w:rsidRPr="00532730">
              <w:rPr>
                <w:rFonts w:cs="Garamond"/>
                <w:lang w:val="fr-FR"/>
              </w:rPr>
              <w:t>10</w:t>
            </w:r>
          </w:p>
        </w:tc>
        <w:tc>
          <w:tcPr>
            <w:tcW w:w="2393" w:type="dxa"/>
          </w:tcPr>
          <w:p w:rsidR="00532730" w:rsidRPr="00532730" w:rsidRDefault="00532730" w:rsidP="003715B5">
            <w:pPr>
              <w:jc w:val="center"/>
              <w:rPr>
                <w:rFonts w:cs="Garamond"/>
                <w:lang w:val="fr-FR"/>
              </w:rPr>
            </w:pPr>
            <w:r w:rsidRPr="00532730">
              <w:rPr>
                <w:rFonts w:cs="Garamond"/>
                <w:lang w:val="fr-FR"/>
              </w:rPr>
              <w:t>11</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Turquie</w:t>
            </w:r>
          </w:p>
        </w:tc>
        <w:tc>
          <w:tcPr>
            <w:tcW w:w="2935" w:type="dxa"/>
          </w:tcPr>
          <w:p w:rsidR="00532730" w:rsidRPr="00532730" w:rsidRDefault="00532730" w:rsidP="003715B5">
            <w:pPr>
              <w:jc w:val="center"/>
              <w:rPr>
                <w:rFonts w:cs="Garamond"/>
                <w:lang w:val="fr-FR"/>
              </w:rPr>
            </w:pPr>
            <w:r w:rsidRPr="00532730">
              <w:rPr>
                <w:rFonts w:cs="Garamond"/>
                <w:lang w:val="fr-FR"/>
              </w:rPr>
              <w:t>8</w:t>
            </w:r>
          </w:p>
        </w:tc>
        <w:tc>
          <w:tcPr>
            <w:tcW w:w="2393" w:type="dxa"/>
          </w:tcPr>
          <w:p w:rsidR="00532730" w:rsidRPr="00532730" w:rsidRDefault="00532730" w:rsidP="003715B5">
            <w:pPr>
              <w:jc w:val="center"/>
              <w:rPr>
                <w:rFonts w:cs="Garamond"/>
                <w:lang w:val="fr-FR"/>
              </w:rPr>
            </w:pPr>
            <w:r w:rsidRPr="00532730">
              <w:rPr>
                <w:rFonts w:cs="Garamond"/>
                <w:lang w:val="fr-FR"/>
              </w:rPr>
              <w:t>14</w:t>
            </w:r>
          </w:p>
        </w:tc>
      </w:tr>
      <w:tr w:rsidR="00532730" w:rsidRPr="00532730" w:rsidTr="00532730">
        <w:trPr>
          <w:trHeight w:val="57"/>
        </w:trPr>
        <w:tc>
          <w:tcPr>
            <w:tcW w:w="2974" w:type="dxa"/>
          </w:tcPr>
          <w:p w:rsidR="00532730" w:rsidRPr="00532730" w:rsidRDefault="00532730" w:rsidP="003715B5">
            <w:pPr>
              <w:rPr>
                <w:rFonts w:cs="Garamond"/>
                <w:lang w:val="fr-FR"/>
              </w:rPr>
            </w:pPr>
            <w:r w:rsidRPr="00532730">
              <w:rPr>
                <w:rFonts w:cs="Garamond"/>
                <w:lang w:val="fr-FR"/>
              </w:rPr>
              <w:t>Ukraine</w:t>
            </w:r>
          </w:p>
        </w:tc>
        <w:tc>
          <w:tcPr>
            <w:tcW w:w="2935" w:type="dxa"/>
          </w:tcPr>
          <w:p w:rsidR="00532730" w:rsidRPr="00532730" w:rsidRDefault="00532730" w:rsidP="003715B5">
            <w:pPr>
              <w:jc w:val="center"/>
              <w:rPr>
                <w:rFonts w:cs="Garamond"/>
                <w:lang w:val="fr-FR"/>
              </w:rPr>
            </w:pPr>
            <w:r w:rsidRPr="00532730">
              <w:rPr>
                <w:rFonts w:cs="Garamond"/>
                <w:lang w:val="fr-FR"/>
              </w:rPr>
              <w:t>33 (33*)</w:t>
            </w:r>
          </w:p>
        </w:tc>
        <w:tc>
          <w:tcPr>
            <w:tcW w:w="2393" w:type="dxa"/>
          </w:tcPr>
          <w:p w:rsidR="00532730" w:rsidRPr="00532730" w:rsidRDefault="00532730" w:rsidP="003715B5">
            <w:pPr>
              <w:jc w:val="center"/>
              <w:rPr>
                <w:rFonts w:cs="Garamond"/>
                <w:lang w:val="fr-FR"/>
              </w:rPr>
            </w:pPr>
            <w:r w:rsidRPr="00532730">
              <w:rPr>
                <w:rFonts w:cs="Garamond"/>
                <w:lang w:val="fr-FR"/>
              </w:rPr>
              <w:t>33</w:t>
            </w:r>
          </w:p>
        </w:tc>
      </w:tr>
      <w:tr w:rsidR="00532730" w:rsidRPr="00532730" w:rsidTr="00532730">
        <w:trPr>
          <w:trHeight w:val="57"/>
        </w:trPr>
        <w:tc>
          <w:tcPr>
            <w:tcW w:w="2974" w:type="dxa"/>
          </w:tcPr>
          <w:p w:rsidR="00532730" w:rsidRPr="00532730" w:rsidRDefault="00532730" w:rsidP="003715B5">
            <w:pPr>
              <w:rPr>
                <w:rFonts w:cs="Garamond"/>
                <w:b/>
                <w:bCs/>
                <w:lang w:val="fr-FR"/>
              </w:rPr>
            </w:pPr>
            <w:r w:rsidRPr="00532730">
              <w:rPr>
                <w:rFonts w:cs="Garamond"/>
                <w:b/>
                <w:bCs/>
                <w:lang w:val="fr-FR"/>
              </w:rPr>
              <w:t xml:space="preserve">Total </w:t>
            </w:r>
          </w:p>
        </w:tc>
        <w:tc>
          <w:tcPr>
            <w:tcW w:w="2935" w:type="dxa"/>
            <w:noWrap/>
          </w:tcPr>
          <w:p w:rsidR="00532730" w:rsidRPr="00532730" w:rsidRDefault="00532730" w:rsidP="003715B5">
            <w:pPr>
              <w:jc w:val="center"/>
              <w:rPr>
                <w:rFonts w:cs="Garamond"/>
                <w:b/>
                <w:bCs/>
                <w:lang w:val="fr-FR"/>
              </w:rPr>
            </w:pPr>
            <w:r w:rsidRPr="00532730">
              <w:rPr>
                <w:rFonts w:cs="Garamond"/>
                <w:b/>
                <w:bCs/>
                <w:lang w:val="fr-FR"/>
              </w:rPr>
              <w:t xml:space="preserve">762 </w:t>
            </w:r>
            <w:r w:rsidRPr="00532730">
              <w:rPr>
                <w:rFonts w:cs="Garamond"/>
                <w:bCs/>
                <w:lang w:val="fr-FR"/>
              </w:rPr>
              <w:t xml:space="preserve">(72%) </w:t>
            </w:r>
            <w:r w:rsidRPr="00532730">
              <w:rPr>
                <w:rFonts w:cs="Garamond"/>
                <w:b/>
                <w:bCs/>
                <w:lang w:val="fr-FR"/>
              </w:rPr>
              <w:t xml:space="preserve"> </w:t>
            </w:r>
            <w:r w:rsidRPr="00532730">
              <w:rPr>
                <w:rFonts w:cs="Garamond"/>
                <w:bCs/>
                <w:lang w:val="fr-FR"/>
              </w:rPr>
              <w:t>(</w:t>
            </w:r>
            <w:r w:rsidRPr="00532730">
              <w:rPr>
                <w:rFonts w:cs="Garamond"/>
                <w:b/>
                <w:bCs/>
                <w:lang w:val="fr-FR"/>
              </w:rPr>
              <w:t>235</w:t>
            </w:r>
            <w:r w:rsidRPr="00532730">
              <w:rPr>
                <w:rFonts w:cs="Garamond"/>
                <w:bCs/>
                <w:lang w:val="fr-FR"/>
              </w:rPr>
              <w:t>*</w:t>
            </w:r>
            <w:r w:rsidRPr="00532730">
              <w:rPr>
                <w:rFonts w:cs="Garamond"/>
                <w:b/>
                <w:bCs/>
                <w:lang w:val="fr-FR"/>
              </w:rPr>
              <w:t xml:space="preserve"> </w:t>
            </w:r>
            <w:r w:rsidRPr="00532730">
              <w:rPr>
                <w:rFonts w:cs="Garamond"/>
                <w:bCs/>
                <w:lang w:val="fr-FR"/>
              </w:rPr>
              <w:t>22%)</w:t>
            </w:r>
          </w:p>
        </w:tc>
        <w:tc>
          <w:tcPr>
            <w:tcW w:w="2393" w:type="dxa"/>
            <w:noWrap/>
          </w:tcPr>
          <w:p w:rsidR="00532730" w:rsidRPr="00532730" w:rsidRDefault="00532730" w:rsidP="003715B5">
            <w:pPr>
              <w:jc w:val="center"/>
              <w:rPr>
                <w:rFonts w:cs="Garamond"/>
                <w:b/>
                <w:bCs/>
                <w:lang w:val="fr-FR"/>
              </w:rPr>
            </w:pPr>
            <w:r w:rsidRPr="00532730">
              <w:rPr>
                <w:rFonts w:cs="Garamond"/>
                <w:b/>
                <w:bCs/>
                <w:lang w:val="fr-FR"/>
              </w:rPr>
              <w:t xml:space="preserve">1059 </w:t>
            </w:r>
            <w:r w:rsidRPr="00532730">
              <w:rPr>
                <w:rFonts w:cs="Garamond"/>
                <w:bCs/>
                <w:lang w:val="fr-FR"/>
              </w:rPr>
              <w:t>(100%)</w:t>
            </w:r>
          </w:p>
        </w:tc>
      </w:tr>
    </w:tbl>
    <w:p w:rsidR="00FF73FE" w:rsidRPr="003715B5" w:rsidRDefault="00FF73FE" w:rsidP="00757AAB">
      <w:pPr>
        <w:rPr>
          <w:sz w:val="24"/>
          <w:szCs w:val="24"/>
          <w:lang w:val="fr-FR"/>
        </w:rPr>
      </w:pPr>
    </w:p>
    <w:sectPr w:rsidR="00FF73FE" w:rsidRPr="003715B5" w:rsidSect="007B10A4">
      <w:headerReference w:type="even" r:id="rId22"/>
      <w:headerReference w:type="default" r:id="rId23"/>
      <w:footerReference w:type="even" r:id="rId24"/>
      <w:footerReference w:type="default" r:id="rId25"/>
      <w:headerReference w:type="first" r:id="rId26"/>
      <w:footerReference w:type="first" r:id="rId27"/>
      <w:pgSz w:w="11910" w:h="16840"/>
      <w:pgMar w:top="1440" w:right="1440" w:bottom="1440" w:left="1440" w:header="709" w:footer="709"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43A" w:rsidRDefault="001B043A">
      <w:r>
        <w:separator/>
      </w:r>
    </w:p>
  </w:endnote>
  <w:endnote w:type="continuationSeparator" w:id="0">
    <w:p w:rsidR="001B043A" w:rsidRDefault="001B04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730" w:rsidRDefault="0053273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43A" w:rsidRPr="00910DB3" w:rsidRDefault="001B043A" w:rsidP="00910DB3">
    <w:pPr>
      <w:pStyle w:val="Footer"/>
      <w:tabs>
        <w:tab w:val="right" w:pos="9072"/>
      </w:tabs>
      <w:rPr>
        <w:sz w:val="20"/>
      </w:rPr>
    </w:pPr>
    <w:r w:rsidRPr="00E95F01">
      <w:rPr>
        <w:sz w:val="20"/>
      </w:rPr>
      <w:t>Ramsar COP12 D</w:t>
    </w:r>
    <w:r>
      <w:rPr>
        <w:sz w:val="20"/>
      </w:rPr>
      <w:t>OC.11</w:t>
    </w:r>
    <w:r w:rsidRPr="00E95F01">
      <w:rPr>
        <w:sz w:val="20"/>
      </w:rPr>
      <w:tab/>
    </w:r>
    <w:r w:rsidRPr="00E95F01">
      <w:rPr>
        <w:sz w:val="20"/>
      </w:rPr>
      <w:tab/>
    </w:r>
    <w:r w:rsidR="003F124C" w:rsidRPr="00E95F01">
      <w:rPr>
        <w:sz w:val="20"/>
      </w:rPr>
      <w:fldChar w:fldCharType="begin"/>
    </w:r>
    <w:r w:rsidRPr="00E95F01">
      <w:rPr>
        <w:sz w:val="20"/>
      </w:rPr>
      <w:instrText xml:space="preserve"> PAGE   \* MERGEFORMAT </w:instrText>
    </w:r>
    <w:r w:rsidR="003F124C" w:rsidRPr="00E95F01">
      <w:rPr>
        <w:sz w:val="20"/>
      </w:rPr>
      <w:fldChar w:fldCharType="separate"/>
    </w:r>
    <w:r w:rsidR="005158C5">
      <w:rPr>
        <w:noProof/>
        <w:sz w:val="20"/>
      </w:rPr>
      <w:t>28</w:t>
    </w:r>
    <w:r w:rsidR="003F124C" w:rsidRPr="00E95F01">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43A" w:rsidRDefault="001B04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43A" w:rsidRDefault="001B043A">
      <w:r>
        <w:separator/>
      </w:r>
    </w:p>
  </w:footnote>
  <w:footnote w:type="continuationSeparator" w:id="0">
    <w:p w:rsidR="001B043A" w:rsidRDefault="001B043A">
      <w:r>
        <w:continuationSeparator/>
      </w:r>
    </w:p>
  </w:footnote>
  <w:footnote w:id="1">
    <w:p w:rsidR="001B043A" w:rsidRPr="00F7670B" w:rsidRDefault="001B043A">
      <w:pPr>
        <w:pStyle w:val="FootnoteText"/>
        <w:rPr>
          <w:sz w:val="18"/>
          <w:szCs w:val="18"/>
          <w:lang w:val="fr-FR"/>
        </w:rPr>
      </w:pPr>
      <w:r w:rsidRPr="00F7670B">
        <w:rPr>
          <w:rStyle w:val="FootnoteReference"/>
          <w:sz w:val="18"/>
          <w:szCs w:val="18"/>
          <w:lang w:val="fr-FR"/>
        </w:rPr>
        <w:footnoteRef/>
      </w:r>
      <w:r w:rsidRPr="00F7670B">
        <w:rPr>
          <w:sz w:val="18"/>
          <w:szCs w:val="18"/>
          <w:lang w:val="fr-FR"/>
        </w:rPr>
        <w:t xml:space="preserve"> </w:t>
      </w:r>
      <w:r>
        <w:rPr>
          <w:sz w:val="18"/>
          <w:szCs w:val="18"/>
          <w:lang w:val="fr-FR"/>
        </w:rPr>
        <w:t xml:space="preserve">Conformément à la Décision </w:t>
      </w:r>
      <w:r w:rsidRPr="00F7670B">
        <w:rPr>
          <w:sz w:val="18"/>
          <w:szCs w:val="18"/>
          <w:lang w:val="fr-FR"/>
        </w:rPr>
        <w:t xml:space="preserve">SC46-21 </w:t>
      </w:r>
      <w:r>
        <w:rPr>
          <w:sz w:val="18"/>
          <w:szCs w:val="18"/>
          <w:lang w:val="fr-FR"/>
        </w:rPr>
        <w:t>du Comité permanent : « </w:t>
      </w:r>
      <w:r w:rsidRPr="00F7670B">
        <w:rPr>
          <w:sz w:val="18"/>
          <w:szCs w:val="18"/>
          <w:lang w:val="fr-FR"/>
        </w:rPr>
        <w:t>… le délai de soumission des rapports terminés au Secrétariat est fixé à neuf mois avant le début de la COP12, provisoirement en septembre 2014 …</w:t>
      </w:r>
      <w:r>
        <w:rPr>
          <w:sz w:val="18"/>
          <w:szCs w:val="18"/>
          <w:lang w:val="fr-FR"/>
        </w:rPr>
        <w:t> ». Des rapports communiqués au Secrétariat jusqu’à la mi-octobre 2014 ont néanmoins pu être inclus dans l’analyse</w:t>
      </w:r>
      <w:r w:rsidRPr="00F7670B">
        <w:rPr>
          <w:sz w:val="18"/>
          <w:szCs w:val="18"/>
          <w:lang w:val="fr-F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2730" w:rsidRDefault="0053273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43A" w:rsidRDefault="001B043A">
    <w:pPr>
      <w:spacing w:line="14" w:lineRule="auto"/>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043A" w:rsidRDefault="001B04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C07F7"/>
    <w:multiLevelType w:val="hybridMultilevel"/>
    <w:tmpl w:val="7C400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B0CE1"/>
    <w:multiLevelType w:val="hybridMultilevel"/>
    <w:tmpl w:val="E18C3D72"/>
    <w:lvl w:ilvl="0" w:tplc="68A88E5C">
      <w:start w:val="1"/>
      <w:numFmt w:val="upperRoman"/>
      <w:lvlText w:val="%1."/>
      <w:lvlJc w:val="left"/>
      <w:pPr>
        <w:ind w:left="757" w:hanging="720"/>
      </w:pPr>
      <w:rPr>
        <w:rFonts w:hint="default"/>
      </w:rPr>
    </w:lvl>
    <w:lvl w:ilvl="1" w:tplc="04100019" w:tentative="1">
      <w:start w:val="1"/>
      <w:numFmt w:val="lowerLetter"/>
      <w:lvlText w:val="%2."/>
      <w:lvlJc w:val="left"/>
      <w:pPr>
        <w:ind w:left="1117" w:hanging="360"/>
      </w:pPr>
    </w:lvl>
    <w:lvl w:ilvl="2" w:tplc="0410001B" w:tentative="1">
      <w:start w:val="1"/>
      <w:numFmt w:val="lowerRoman"/>
      <w:lvlText w:val="%3."/>
      <w:lvlJc w:val="right"/>
      <w:pPr>
        <w:ind w:left="1837" w:hanging="180"/>
      </w:pPr>
    </w:lvl>
    <w:lvl w:ilvl="3" w:tplc="0410000F" w:tentative="1">
      <w:start w:val="1"/>
      <w:numFmt w:val="decimal"/>
      <w:lvlText w:val="%4."/>
      <w:lvlJc w:val="left"/>
      <w:pPr>
        <w:ind w:left="2557" w:hanging="360"/>
      </w:pPr>
    </w:lvl>
    <w:lvl w:ilvl="4" w:tplc="04100019" w:tentative="1">
      <w:start w:val="1"/>
      <w:numFmt w:val="lowerLetter"/>
      <w:lvlText w:val="%5."/>
      <w:lvlJc w:val="left"/>
      <w:pPr>
        <w:ind w:left="3277" w:hanging="360"/>
      </w:pPr>
    </w:lvl>
    <w:lvl w:ilvl="5" w:tplc="0410001B" w:tentative="1">
      <w:start w:val="1"/>
      <w:numFmt w:val="lowerRoman"/>
      <w:lvlText w:val="%6."/>
      <w:lvlJc w:val="right"/>
      <w:pPr>
        <w:ind w:left="3997" w:hanging="180"/>
      </w:pPr>
    </w:lvl>
    <w:lvl w:ilvl="6" w:tplc="0410000F" w:tentative="1">
      <w:start w:val="1"/>
      <w:numFmt w:val="decimal"/>
      <w:lvlText w:val="%7."/>
      <w:lvlJc w:val="left"/>
      <w:pPr>
        <w:ind w:left="4717" w:hanging="360"/>
      </w:pPr>
    </w:lvl>
    <w:lvl w:ilvl="7" w:tplc="04100019" w:tentative="1">
      <w:start w:val="1"/>
      <w:numFmt w:val="lowerLetter"/>
      <w:lvlText w:val="%8."/>
      <w:lvlJc w:val="left"/>
      <w:pPr>
        <w:ind w:left="5437" w:hanging="360"/>
      </w:pPr>
    </w:lvl>
    <w:lvl w:ilvl="8" w:tplc="0410001B" w:tentative="1">
      <w:start w:val="1"/>
      <w:numFmt w:val="lowerRoman"/>
      <w:lvlText w:val="%9."/>
      <w:lvlJc w:val="right"/>
      <w:pPr>
        <w:ind w:left="6157" w:hanging="180"/>
      </w:pPr>
    </w:lvl>
  </w:abstractNum>
  <w:abstractNum w:abstractNumId="2">
    <w:nsid w:val="07E20EB4"/>
    <w:multiLevelType w:val="hybridMultilevel"/>
    <w:tmpl w:val="93D28B0A"/>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3C609F"/>
    <w:multiLevelType w:val="hybridMultilevel"/>
    <w:tmpl w:val="BFEC6500"/>
    <w:lvl w:ilvl="0" w:tplc="99F24FF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0324531"/>
    <w:multiLevelType w:val="hybridMultilevel"/>
    <w:tmpl w:val="573E3BFE"/>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DD4713"/>
    <w:multiLevelType w:val="hybridMultilevel"/>
    <w:tmpl w:val="DE109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344C70"/>
    <w:multiLevelType w:val="hybridMultilevel"/>
    <w:tmpl w:val="4E06C630"/>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331250"/>
    <w:multiLevelType w:val="hybridMultilevel"/>
    <w:tmpl w:val="620E2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EF35FA"/>
    <w:multiLevelType w:val="hybridMultilevel"/>
    <w:tmpl w:val="BF92FAD8"/>
    <w:lvl w:ilvl="0" w:tplc="73DE6E0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30D323A"/>
    <w:multiLevelType w:val="hybridMultilevel"/>
    <w:tmpl w:val="3D728A1A"/>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5558EC"/>
    <w:multiLevelType w:val="hybridMultilevel"/>
    <w:tmpl w:val="5394AE3A"/>
    <w:lvl w:ilvl="0" w:tplc="3F4A6A00">
      <w:start w:val="1"/>
      <w:numFmt w:val="bullet"/>
      <w:lvlText w:val=""/>
      <w:lvlJc w:val="left"/>
      <w:pPr>
        <w:ind w:left="720" w:hanging="360"/>
      </w:pPr>
      <w:rPr>
        <w:rFonts w:ascii="Symbol" w:hAnsi="Symbol" w:hint="default"/>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7134A"/>
    <w:multiLevelType w:val="hybridMultilevel"/>
    <w:tmpl w:val="65386EC6"/>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A6576D"/>
    <w:multiLevelType w:val="hybridMultilevel"/>
    <w:tmpl w:val="D45422A8"/>
    <w:lvl w:ilvl="0" w:tplc="090A45CC">
      <w:start w:val="1"/>
      <w:numFmt w:val="decimal"/>
      <w:lvlText w:val="%1."/>
      <w:lvlJc w:val="left"/>
      <w:pPr>
        <w:ind w:left="720" w:hanging="360"/>
      </w:pPr>
      <w:rPr>
        <w:rFonts w:asciiTheme="minorHAnsi" w:hAnsiTheme="minorHAnsi" w:hint="default"/>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522D26"/>
    <w:multiLevelType w:val="hybridMultilevel"/>
    <w:tmpl w:val="6CA6BEEC"/>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82623D"/>
    <w:multiLevelType w:val="hybridMultilevel"/>
    <w:tmpl w:val="F24CF9B2"/>
    <w:lvl w:ilvl="0" w:tplc="94CE3B12">
      <w:start w:val="1"/>
      <w:numFmt w:val="decimal"/>
      <w:lvlText w:val="%1."/>
      <w:lvlJc w:val="left"/>
      <w:pPr>
        <w:ind w:left="720" w:hanging="360"/>
      </w:pPr>
      <w:rPr>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397E37"/>
    <w:multiLevelType w:val="hybridMultilevel"/>
    <w:tmpl w:val="63620658"/>
    <w:lvl w:ilvl="0" w:tplc="3830EC64">
      <w:start w:val="1059"/>
      <w:numFmt w:val="bullet"/>
      <w:lvlText w:val=""/>
      <w:lvlJc w:val="left"/>
      <w:pPr>
        <w:ind w:left="801" w:hanging="360"/>
      </w:pPr>
      <w:rPr>
        <w:rFonts w:ascii="Symbol" w:eastAsiaTheme="minorHAnsi" w:hAnsi="Symbol" w:cstheme="minorBidi" w:hint="default"/>
      </w:rPr>
    </w:lvl>
    <w:lvl w:ilvl="1" w:tplc="04100003" w:tentative="1">
      <w:start w:val="1"/>
      <w:numFmt w:val="bullet"/>
      <w:lvlText w:val="o"/>
      <w:lvlJc w:val="left"/>
      <w:pPr>
        <w:ind w:left="1521" w:hanging="360"/>
      </w:pPr>
      <w:rPr>
        <w:rFonts w:ascii="Courier New" w:hAnsi="Courier New" w:cs="Courier New" w:hint="default"/>
      </w:rPr>
    </w:lvl>
    <w:lvl w:ilvl="2" w:tplc="04100005" w:tentative="1">
      <w:start w:val="1"/>
      <w:numFmt w:val="bullet"/>
      <w:lvlText w:val=""/>
      <w:lvlJc w:val="left"/>
      <w:pPr>
        <w:ind w:left="2241" w:hanging="360"/>
      </w:pPr>
      <w:rPr>
        <w:rFonts w:ascii="Wingdings" w:hAnsi="Wingdings" w:hint="default"/>
      </w:rPr>
    </w:lvl>
    <w:lvl w:ilvl="3" w:tplc="04100001" w:tentative="1">
      <w:start w:val="1"/>
      <w:numFmt w:val="bullet"/>
      <w:lvlText w:val=""/>
      <w:lvlJc w:val="left"/>
      <w:pPr>
        <w:ind w:left="2961" w:hanging="360"/>
      </w:pPr>
      <w:rPr>
        <w:rFonts w:ascii="Symbol" w:hAnsi="Symbol" w:hint="default"/>
      </w:rPr>
    </w:lvl>
    <w:lvl w:ilvl="4" w:tplc="04100003" w:tentative="1">
      <w:start w:val="1"/>
      <w:numFmt w:val="bullet"/>
      <w:lvlText w:val="o"/>
      <w:lvlJc w:val="left"/>
      <w:pPr>
        <w:ind w:left="3681" w:hanging="360"/>
      </w:pPr>
      <w:rPr>
        <w:rFonts w:ascii="Courier New" w:hAnsi="Courier New" w:cs="Courier New" w:hint="default"/>
      </w:rPr>
    </w:lvl>
    <w:lvl w:ilvl="5" w:tplc="04100005" w:tentative="1">
      <w:start w:val="1"/>
      <w:numFmt w:val="bullet"/>
      <w:lvlText w:val=""/>
      <w:lvlJc w:val="left"/>
      <w:pPr>
        <w:ind w:left="4401" w:hanging="360"/>
      </w:pPr>
      <w:rPr>
        <w:rFonts w:ascii="Wingdings" w:hAnsi="Wingdings" w:hint="default"/>
      </w:rPr>
    </w:lvl>
    <w:lvl w:ilvl="6" w:tplc="04100001" w:tentative="1">
      <w:start w:val="1"/>
      <w:numFmt w:val="bullet"/>
      <w:lvlText w:val=""/>
      <w:lvlJc w:val="left"/>
      <w:pPr>
        <w:ind w:left="5121" w:hanging="360"/>
      </w:pPr>
      <w:rPr>
        <w:rFonts w:ascii="Symbol" w:hAnsi="Symbol" w:hint="default"/>
      </w:rPr>
    </w:lvl>
    <w:lvl w:ilvl="7" w:tplc="04100003" w:tentative="1">
      <w:start w:val="1"/>
      <w:numFmt w:val="bullet"/>
      <w:lvlText w:val="o"/>
      <w:lvlJc w:val="left"/>
      <w:pPr>
        <w:ind w:left="5841" w:hanging="360"/>
      </w:pPr>
      <w:rPr>
        <w:rFonts w:ascii="Courier New" w:hAnsi="Courier New" w:cs="Courier New" w:hint="default"/>
      </w:rPr>
    </w:lvl>
    <w:lvl w:ilvl="8" w:tplc="04100005" w:tentative="1">
      <w:start w:val="1"/>
      <w:numFmt w:val="bullet"/>
      <w:lvlText w:val=""/>
      <w:lvlJc w:val="left"/>
      <w:pPr>
        <w:ind w:left="6561" w:hanging="360"/>
      </w:pPr>
      <w:rPr>
        <w:rFonts w:ascii="Wingdings" w:hAnsi="Wingdings" w:hint="default"/>
      </w:rPr>
    </w:lvl>
  </w:abstractNum>
  <w:abstractNum w:abstractNumId="16">
    <w:nsid w:val="593101D9"/>
    <w:multiLevelType w:val="hybridMultilevel"/>
    <w:tmpl w:val="15769080"/>
    <w:lvl w:ilvl="0" w:tplc="1BFAA12A">
      <w:start w:val="1"/>
      <w:numFmt w:val="decimal"/>
      <w:lvlText w:val="%1."/>
      <w:lvlJc w:val="left"/>
      <w:pPr>
        <w:ind w:left="227" w:hanging="569"/>
        <w:jc w:val="right"/>
      </w:pPr>
      <w:rPr>
        <w:rFonts w:ascii="Garamond" w:eastAsia="Garamond" w:hAnsi="Garamond" w:hint="default"/>
        <w:w w:val="99"/>
        <w:sz w:val="24"/>
        <w:szCs w:val="24"/>
      </w:rPr>
    </w:lvl>
    <w:lvl w:ilvl="1" w:tplc="4E9075DE">
      <w:start w:val="1"/>
      <w:numFmt w:val="bullet"/>
      <w:lvlText w:val=""/>
      <w:lvlJc w:val="left"/>
      <w:pPr>
        <w:ind w:left="894" w:hanging="567"/>
      </w:pPr>
      <w:rPr>
        <w:rFonts w:ascii="Symbol" w:eastAsia="Symbol" w:hAnsi="Symbol" w:hint="default"/>
        <w:sz w:val="24"/>
        <w:szCs w:val="24"/>
      </w:rPr>
    </w:lvl>
    <w:lvl w:ilvl="2" w:tplc="3EB06C3A">
      <w:start w:val="1"/>
      <w:numFmt w:val="bullet"/>
      <w:lvlText w:val="•"/>
      <w:lvlJc w:val="left"/>
      <w:pPr>
        <w:ind w:left="567" w:hanging="567"/>
      </w:pPr>
      <w:rPr>
        <w:rFonts w:hint="default"/>
      </w:rPr>
    </w:lvl>
    <w:lvl w:ilvl="3" w:tplc="48149A18">
      <w:start w:val="1"/>
      <w:numFmt w:val="bullet"/>
      <w:lvlText w:val="•"/>
      <w:lvlJc w:val="left"/>
      <w:pPr>
        <w:ind w:left="894" w:hanging="567"/>
      </w:pPr>
      <w:rPr>
        <w:rFonts w:hint="default"/>
      </w:rPr>
    </w:lvl>
    <w:lvl w:ilvl="4" w:tplc="2BD4BA42">
      <w:start w:val="1"/>
      <w:numFmt w:val="bullet"/>
      <w:lvlText w:val="•"/>
      <w:lvlJc w:val="left"/>
      <w:pPr>
        <w:ind w:left="2029" w:hanging="567"/>
      </w:pPr>
      <w:rPr>
        <w:rFonts w:hint="default"/>
      </w:rPr>
    </w:lvl>
    <w:lvl w:ilvl="5" w:tplc="19EE1D9A">
      <w:start w:val="1"/>
      <w:numFmt w:val="bullet"/>
      <w:lvlText w:val="•"/>
      <w:lvlJc w:val="left"/>
      <w:pPr>
        <w:ind w:left="3165" w:hanging="567"/>
      </w:pPr>
      <w:rPr>
        <w:rFonts w:hint="default"/>
      </w:rPr>
    </w:lvl>
    <w:lvl w:ilvl="6" w:tplc="0BF8841E">
      <w:start w:val="1"/>
      <w:numFmt w:val="bullet"/>
      <w:lvlText w:val="•"/>
      <w:lvlJc w:val="left"/>
      <w:pPr>
        <w:ind w:left="4301" w:hanging="567"/>
      </w:pPr>
      <w:rPr>
        <w:rFonts w:hint="default"/>
      </w:rPr>
    </w:lvl>
    <w:lvl w:ilvl="7" w:tplc="038E9FF4">
      <w:start w:val="1"/>
      <w:numFmt w:val="bullet"/>
      <w:lvlText w:val="•"/>
      <w:lvlJc w:val="left"/>
      <w:pPr>
        <w:ind w:left="5437" w:hanging="567"/>
      </w:pPr>
      <w:rPr>
        <w:rFonts w:hint="default"/>
      </w:rPr>
    </w:lvl>
    <w:lvl w:ilvl="8" w:tplc="DDF21FB8">
      <w:start w:val="1"/>
      <w:numFmt w:val="bullet"/>
      <w:lvlText w:val="•"/>
      <w:lvlJc w:val="left"/>
      <w:pPr>
        <w:ind w:left="6572" w:hanging="567"/>
      </w:pPr>
      <w:rPr>
        <w:rFonts w:hint="default"/>
      </w:rPr>
    </w:lvl>
  </w:abstractNum>
  <w:abstractNum w:abstractNumId="17">
    <w:nsid w:val="68D324E0"/>
    <w:multiLevelType w:val="hybridMultilevel"/>
    <w:tmpl w:val="1324C52C"/>
    <w:lvl w:ilvl="0" w:tplc="3BC8F25A">
      <w:start w:val="1029"/>
      <w:numFmt w:val="bullet"/>
      <w:lvlText w:val="-"/>
      <w:lvlJc w:val="left"/>
      <w:pPr>
        <w:ind w:left="720" w:hanging="360"/>
      </w:pPr>
      <w:rPr>
        <w:rFonts w:ascii="Garamond" w:eastAsia="Garamond"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4AE79FC"/>
    <w:multiLevelType w:val="hybridMultilevel"/>
    <w:tmpl w:val="2EE45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42429B"/>
    <w:multiLevelType w:val="hybridMultilevel"/>
    <w:tmpl w:val="781C45F6"/>
    <w:lvl w:ilvl="0" w:tplc="3F4A6A00">
      <w:start w:val="1"/>
      <w:numFmt w:val="bullet"/>
      <w:lvlText w:val=""/>
      <w:lvlJc w:val="left"/>
      <w:pPr>
        <w:ind w:left="1172" w:hanging="360"/>
      </w:pPr>
      <w:rPr>
        <w:rFonts w:ascii="Symbol" w:hAnsi="Symbol" w:hint="default"/>
        <w:sz w:val="20"/>
        <w:szCs w:val="20"/>
      </w:rPr>
    </w:lvl>
    <w:lvl w:ilvl="1" w:tplc="04090003" w:tentative="1">
      <w:start w:val="1"/>
      <w:numFmt w:val="bullet"/>
      <w:lvlText w:val="o"/>
      <w:lvlJc w:val="left"/>
      <w:pPr>
        <w:ind w:left="1892" w:hanging="360"/>
      </w:pPr>
      <w:rPr>
        <w:rFonts w:ascii="Courier New" w:hAnsi="Courier New" w:cs="Courier New" w:hint="default"/>
      </w:rPr>
    </w:lvl>
    <w:lvl w:ilvl="2" w:tplc="04090005" w:tentative="1">
      <w:start w:val="1"/>
      <w:numFmt w:val="bullet"/>
      <w:lvlText w:val=""/>
      <w:lvlJc w:val="left"/>
      <w:pPr>
        <w:ind w:left="2612" w:hanging="360"/>
      </w:pPr>
      <w:rPr>
        <w:rFonts w:ascii="Wingdings" w:hAnsi="Wingdings" w:hint="default"/>
      </w:rPr>
    </w:lvl>
    <w:lvl w:ilvl="3" w:tplc="04090001" w:tentative="1">
      <w:start w:val="1"/>
      <w:numFmt w:val="bullet"/>
      <w:lvlText w:val=""/>
      <w:lvlJc w:val="left"/>
      <w:pPr>
        <w:ind w:left="3332" w:hanging="360"/>
      </w:pPr>
      <w:rPr>
        <w:rFonts w:ascii="Symbol" w:hAnsi="Symbol" w:hint="default"/>
      </w:rPr>
    </w:lvl>
    <w:lvl w:ilvl="4" w:tplc="04090003" w:tentative="1">
      <w:start w:val="1"/>
      <w:numFmt w:val="bullet"/>
      <w:lvlText w:val="o"/>
      <w:lvlJc w:val="left"/>
      <w:pPr>
        <w:ind w:left="4052" w:hanging="360"/>
      </w:pPr>
      <w:rPr>
        <w:rFonts w:ascii="Courier New" w:hAnsi="Courier New" w:cs="Courier New" w:hint="default"/>
      </w:rPr>
    </w:lvl>
    <w:lvl w:ilvl="5" w:tplc="04090005" w:tentative="1">
      <w:start w:val="1"/>
      <w:numFmt w:val="bullet"/>
      <w:lvlText w:val=""/>
      <w:lvlJc w:val="left"/>
      <w:pPr>
        <w:ind w:left="4772" w:hanging="360"/>
      </w:pPr>
      <w:rPr>
        <w:rFonts w:ascii="Wingdings" w:hAnsi="Wingdings" w:hint="default"/>
      </w:rPr>
    </w:lvl>
    <w:lvl w:ilvl="6" w:tplc="04090001" w:tentative="1">
      <w:start w:val="1"/>
      <w:numFmt w:val="bullet"/>
      <w:lvlText w:val=""/>
      <w:lvlJc w:val="left"/>
      <w:pPr>
        <w:ind w:left="5492" w:hanging="360"/>
      </w:pPr>
      <w:rPr>
        <w:rFonts w:ascii="Symbol" w:hAnsi="Symbol" w:hint="default"/>
      </w:rPr>
    </w:lvl>
    <w:lvl w:ilvl="7" w:tplc="04090003" w:tentative="1">
      <w:start w:val="1"/>
      <w:numFmt w:val="bullet"/>
      <w:lvlText w:val="o"/>
      <w:lvlJc w:val="left"/>
      <w:pPr>
        <w:ind w:left="6212" w:hanging="360"/>
      </w:pPr>
      <w:rPr>
        <w:rFonts w:ascii="Courier New" w:hAnsi="Courier New" w:cs="Courier New" w:hint="default"/>
      </w:rPr>
    </w:lvl>
    <w:lvl w:ilvl="8" w:tplc="04090005" w:tentative="1">
      <w:start w:val="1"/>
      <w:numFmt w:val="bullet"/>
      <w:lvlText w:val=""/>
      <w:lvlJc w:val="left"/>
      <w:pPr>
        <w:ind w:left="6932" w:hanging="360"/>
      </w:pPr>
      <w:rPr>
        <w:rFonts w:ascii="Wingdings" w:hAnsi="Wingdings" w:hint="default"/>
      </w:rPr>
    </w:lvl>
  </w:abstractNum>
  <w:num w:numId="1">
    <w:abstractNumId w:val="16"/>
  </w:num>
  <w:num w:numId="2">
    <w:abstractNumId w:val="17"/>
  </w:num>
  <w:num w:numId="3">
    <w:abstractNumId w:val="15"/>
  </w:num>
  <w:num w:numId="4">
    <w:abstractNumId w:val="8"/>
  </w:num>
  <w:num w:numId="5">
    <w:abstractNumId w:val="3"/>
  </w:num>
  <w:num w:numId="6">
    <w:abstractNumId w:val="1"/>
  </w:num>
  <w:num w:numId="7">
    <w:abstractNumId w:val="12"/>
  </w:num>
  <w:num w:numId="8">
    <w:abstractNumId w:val="18"/>
  </w:num>
  <w:num w:numId="9">
    <w:abstractNumId w:val="7"/>
  </w:num>
  <w:num w:numId="10">
    <w:abstractNumId w:val="5"/>
  </w:num>
  <w:num w:numId="11">
    <w:abstractNumId w:val="0"/>
  </w:num>
  <w:num w:numId="12">
    <w:abstractNumId w:val="11"/>
  </w:num>
  <w:num w:numId="13">
    <w:abstractNumId w:val="9"/>
  </w:num>
  <w:num w:numId="14">
    <w:abstractNumId w:val="4"/>
  </w:num>
  <w:num w:numId="15">
    <w:abstractNumId w:val="14"/>
  </w:num>
  <w:num w:numId="16">
    <w:abstractNumId w:val="2"/>
  </w:num>
  <w:num w:numId="17">
    <w:abstractNumId w:val="13"/>
  </w:num>
  <w:num w:numId="18">
    <w:abstractNumId w:val="6"/>
  </w:num>
  <w:num w:numId="19">
    <w:abstractNumId w:val="19"/>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72"/>
  <w:doNotTrackFormatting/>
  <w:defaultTabStop w:val="720"/>
  <w:hyphenationZone w:val="283"/>
  <w:drawingGridHorizontalSpacing w:val="110"/>
  <w:displayHorizontalDrawingGridEvery w:val="2"/>
  <w:characterSpacingControl w:val="doNotCompress"/>
  <w:hdrShapeDefaults>
    <o:shapedefaults v:ext="edit" spidmax="10241">
      <o:colormenu v:ext="edit" strokecolor="none"/>
    </o:shapedefaults>
  </w:hdrShapeDefaults>
  <w:footnotePr>
    <w:footnote w:id="-1"/>
    <w:footnote w:id="0"/>
  </w:footnotePr>
  <w:endnotePr>
    <w:endnote w:id="-1"/>
    <w:endnote w:id="0"/>
  </w:endnotePr>
  <w:compat>
    <w:ulTrailSpace/>
  </w:compat>
  <w:rsids>
    <w:rsidRoot w:val="0001533C"/>
    <w:rsid w:val="00004BEC"/>
    <w:rsid w:val="0000771D"/>
    <w:rsid w:val="000123E6"/>
    <w:rsid w:val="000145AF"/>
    <w:rsid w:val="0001533C"/>
    <w:rsid w:val="00026559"/>
    <w:rsid w:val="0003528C"/>
    <w:rsid w:val="0004391D"/>
    <w:rsid w:val="00044376"/>
    <w:rsid w:val="000513CF"/>
    <w:rsid w:val="00087F50"/>
    <w:rsid w:val="00090503"/>
    <w:rsid w:val="0009201D"/>
    <w:rsid w:val="0009412C"/>
    <w:rsid w:val="000C3C87"/>
    <w:rsid w:val="000D394B"/>
    <w:rsid w:val="000D473A"/>
    <w:rsid w:val="000E206E"/>
    <w:rsid w:val="000E3171"/>
    <w:rsid w:val="000E5CB2"/>
    <w:rsid w:val="000E6969"/>
    <w:rsid w:val="000F7EBD"/>
    <w:rsid w:val="001112B8"/>
    <w:rsid w:val="001113EC"/>
    <w:rsid w:val="0011154B"/>
    <w:rsid w:val="0012215D"/>
    <w:rsid w:val="00124CE1"/>
    <w:rsid w:val="00133866"/>
    <w:rsid w:val="001354BE"/>
    <w:rsid w:val="00154764"/>
    <w:rsid w:val="001560C0"/>
    <w:rsid w:val="00156FB1"/>
    <w:rsid w:val="0015750D"/>
    <w:rsid w:val="001575A6"/>
    <w:rsid w:val="0015764F"/>
    <w:rsid w:val="001576B6"/>
    <w:rsid w:val="001728D5"/>
    <w:rsid w:val="001919CE"/>
    <w:rsid w:val="001931A8"/>
    <w:rsid w:val="00197B2F"/>
    <w:rsid w:val="001A35EF"/>
    <w:rsid w:val="001A47BD"/>
    <w:rsid w:val="001A7066"/>
    <w:rsid w:val="001B043A"/>
    <w:rsid w:val="001C0820"/>
    <w:rsid w:val="001D3494"/>
    <w:rsid w:val="001D3927"/>
    <w:rsid w:val="00202EB0"/>
    <w:rsid w:val="00204368"/>
    <w:rsid w:val="00207521"/>
    <w:rsid w:val="0023147A"/>
    <w:rsid w:val="0023168A"/>
    <w:rsid w:val="00243DB7"/>
    <w:rsid w:val="00245356"/>
    <w:rsid w:val="00246C87"/>
    <w:rsid w:val="00250325"/>
    <w:rsid w:val="0025741B"/>
    <w:rsid w:val="00260263"/>
    <w:rsid w:val="00266B56"/>
    <w:rsid w:val="00267372"/>
    <w:rsid w:val="00272588"/>
    <w:rsid w:val="00277685"/>
    <w:rsid w:val="002926CA"/>
    <w:rsid w:val="00297B37"/>
    <w:rsid w:val="002A79D4"/>
    <w:rsid w:val="002B0689"/>
    <w:rsid w:val="002B0831"/>
    <w:rsid w:val="002B1CA7"/>
    <w:rsid w:val="002B3609"/>
    <w:rsid w:val="002B53F8"/>
    <w:rsid w:val="002D43DD"/>
    <w:rsid w:val="002D75D8"/>
    <w:rsid w:val="002E0347"/>
    <w:rsid w:val="002E49C8"/>
    <w:rsid w:val="002F4BEA"/>
    <w:rsid w:val="002F51DE"/>
    <w:rsid w:val="00304043"/>
    <w:rsid w:val="003077CF"/>
    <w:rsid w:val="00322BF2"/>
    <w:rsid w:val="00325F68"/>
    <w:rsid w:val="00326D56"/>
    <w:rsid w:val="00335E4B"/>
    <w:rsid w:val="00347041"/>
    <w:rsid w:val="003502AD"/>
    <w:rsid w:val="00353940"/>
    <w:rsid w:val="003557CA"/>
    <w:rsid w:val="003648EC"/>
    <w:rsid w:val="003715B5"/>
    <w:rsid w:val="003860FB"/>
    <w:rsid w:val="003935BB"/>
    <w:rsid w:val="00393FAC"/>
    <w:rsid w:val="00397EFC"/>
    <w:rsid w:val="003A57EA"/>
    <w:rsid w:val="003B169B"/>
    <w:rsid w:val="003D6555"/>
    <w:rsid w:val="003E12A5"/>
    <w:rsid w:val="003E579B"/>
    <w:rsid w:val="003E5C2B"/>
    <w:rsid w:val="003F110C"/>
    <w:rsid w:val="003F124C"/>
    <w:rsid w:val="003F2CE9"/>
    <w:rsid w:val="003F378D"/>
    <w:rsid w:val="003F66A9"/>
    <w:rsid w:val="004006DA"/>
    <w:rsid w:val="00404278"/>
    <w:rsid w:val="00407BD8"/>
    <w:rsid w:val="004161E4"/>
    <w:rsid w:val="00440B05"/>
    <w:rsid w:val="00444B9E"/>
    <w:rsid w:val="00447400"/>
    <w:rsid w:val="004506FD"/>
    <w:rsid w:val="00465C78"/>
    <w:rsid w:val="00480D7C"/>
    <w:rsid w:val="0048326B"/>
    <w:rsid w:val="00487005"/>
    <w:rsid w:val="00487B27"/>
    <w:rsid w:val="004929B7"/>
    <w:rsid w:val="004A56C8"/>
    <w:rsid w:val="004A6140"/>
    <w:rsid w:val="004C17CB"/>
    <w:rsid w:val="004D3B1A"/>
    <w:rsid w:val="004D4F87"/>
    <w:rsid w:val="004E2A11"/>
    <w:rsid w:val="004E465B"/>
    <w:rsid w:val="00506648"/>
    <w:rsid w:val="00507F0A"/>
    <w:rsid w:val="005158C5"/>
    <w:rsid w:val="005166BE"/>
    <w:rsid w:val="00520D5E"/>
    <w:rsid w:val="00525026"/>
    <w:rsid w:val="00532730"/>
    <w:rsid w:val="005340F1"/>
    <w:rsid w:val="00540035"/>
    <w:rsid w:val="0054063B"/>
    <w:rsid w:val="00545877"/>
    <w:rsid w:val="005529E3"/>
    <w:rsid w:val="00553432"/>
    <w:rsid w:val="00556561"/>
    <w:rsid w:val="00557019"/>
    <w:rsid w:val="00557722"/>
    <w:rsid w:val="00561347"/>
    <w:rsid w:val="00565264"/>
    <w:rsid w:val="00567A56"/>
    <w:rsid w:val="005834A3"/>
    <w:rsid w:val="00590642"/>
    <w:rsid w:val="005976BC"/>
    <w:rsid w:val="005A5E11"/>
    <w:rsid w:val="005B55B4"/>
    <w:rsid w:val="005B63A8"/>
    <w:rsid w:val="005C015C"/>
    <w:rsid w:val="005C1D25"/>
    <w:rsid w:val="005D01AE"/>
    <w:rsid w:val="005D5451"/>
    <w:rsid w:val="005D5F6F"/>
    <w:rsid w:val="005E1451"/>
    <w:rsid w:val="005E200B"/>
    <w:rsid w:val="005E5716"/>
    <w:rsid w:val="005E74EF"/>
    <w:rsid w:val="005F0733"/>
    <w:rsid w:val="005F1BCC"/>
    <w:rsid w:val="005F39C4"/>
    <w:rsid w:val="005F76BF"/>
    <w:rsid w:val="00602E41"/>
    <w:rsid w:val="00603079"/>
    <w:rsid w:val="006069A7"/>
    <w:rsid w:val="00607467"/>
    <w:rsid w:val="00610EC0"/>
    <w:rsid w:val="00613E2A"/>
    <w:rsid w:val="006201B4"/>
    <w:rsid w:val="00621CB0"/>
    <w:rsid w:val="00623F78"/>
    <w:rsid w:val="006251BC"/>
    <w:rsid w:val="00630D96"/>
    <w:rsid w:val="00636477"/>
    <w:rsid w:val="00661FDF"/>
    <w:rsid w:val="00674F7D"/>
    <w:rsid w:val="006754E2"/>
    <w:rsid w:val="00676914"/>
    <w:rsid w:val="00685B40"/>
    <w:rsid w:val="00685C6C"/>
    <w:rsid w:val="00693293"/>
    <w:rsid w:val="006A1E80"/>
    <w:rsid w:val="006A735D"/>
    <w:rsid w:val="006B3719"/>
    <w:rsid w:val="006B5D74"/>
    <w:rsid w:val="006C3654"/>
    <w:rsid w:val="006C7691"/>
    <w:rsid w:val="006D14AF"/>
    <w:rsid w:val="006D1C58"/>
    <w:rsid w:val="006D5F31"/>
    <w:rsid w:val="006E2F78"/>
    <w:rsid w:val="006E3BF0"/>
    <w:rsid w:val="006E5729"/>
    <w:rsid w:val="006E5FA2"/>
    <w:rsid w:val="006E6BDE"/>
    <w:rsid w:val="006F4B83"/>
    <w:rsid w:val="006F5E8C"/>
    <w:rsid w:val="00703F31"/>
    <w:rsid w:val="00705EF1"/>
    <w:rsid w:val="0070623E"/>
    <w:rsid w:val="00707AE2"/>
    <w:rsid w:val="0071016C"/>
    <w:rsid w:val="00716931"/>
    <w:rsid w:val="00717F85"/>
    <w:rsid w:val="007246CE"/>
    <w:rsid w:val="007371E8"/>
    <w:rsid w:val="00757AAB"/>
    <w:rsid w:val="00760E05"/>
    <w:rsid w:val="0076392B"/>
    <w:rsid w:val="007776D0"/>
    <w:rsid w:val="00777AC7"/>
    <w:rsid w:val="007A4BBC"/>
    <w:rsid w:val="007B10A4"/>
    <w:rsid w:val="007B784E"/>
    <w:rsid w:val="007D332F"/>
    <w:rsid w:val="008040D5"/>
    <w:rsid w:val="00806BE6"/>
    <w:rsid w:val="008164E3"/>
    <w:rsid w:val="008243A5"/>
    <w:rsid w:val="00835FEF"/>
    <w:rsid w:val="008409C8"/>
    <w:rsid w:val="00844482"/>
    <w:rsid w:val="0085778C"/>
    <w:rsid w:val="008639BF"/>
    <w:rsid w:val="008661A2"/>
    <w:rsid w:val="00867D32"/>
    <w:rsid w:val="008765A4"/>
    <w:rsid w:val="00885063"/>
    <w:rsid w:val="00891454"/>
    <w:rsid w:val="0089550F"/>
    <w:rsid w:val="008A255B"/>
    <w:rsid w:val="008A56DB"/>
    <w:rsid w:val="008B1018"/>
    <w:rsid w:val="008B4CD3"/>
    <w:rsid w:val="008B61A7"/>
    <w:rsid w:val="008B763B"/>
    <w:rsid w:val="008C653F"/>
    <w:rsid w:val="008D3EFA"/>
    <w:rsid w:val="008E104F"/>
    <w:rsid w:val="008E5739"/>
    <w:rsid w:val="008F51FC"/>
    <w:rsid w:val="008F6399"/>
    <w:rsid w:val="00900CAD"/>
    <w:rsid w:val="009012D8"/>
    <w:rsid w:val="00906BB4"/>
    <w:rsid w:val="00910DB3"/>
    <w:rsid w:val="00920B9D"/>
    <w:rsid w:val="00926FA2"/>
    <w:rsid w:val="009441D6"/>
    <w:rsid w:val="0095224A"/>
    <w:rsid w:val="00957410"/>
    <w:rsid w:val="00967634"/>
    <w:rsid w:val="00980A35"/>
    <w:rsid w:val="00983835"/>
    <w:rsid w:val="00984B96"/>
    <w:rsid w:val="009A31B7"/>
    <w:rsid w:val="009A3DCA"/>
    <w:rsid w:val="009C1B16"/>
    <w:rsid w:val="009C3D1F"/>
    <w:rsid w:val="009C4267"/>
    <w:rsid w:val="009C4831"/>
    <w:rsid w:val="009D75A7"/>
    <w:rsid w:val="009D7FCF"/>
    <w:rsid w:val="009E4512"/>
    <w:rsid w:val="009F7B2E"/>
    <w:rsid w:val="00A02CEA"/>
    <w:rsid w:val="00A1051A"/>
    <w:rsid w:val="00A15CE6"/>
    <w:rsid w:val="00A2657C"/>
    <w:rsid w:val="00A27201"/>
    <w:rsid w:val="00A3371B"/>
    <w:rsid w:val="00A35961"/>
    <w:rsid w:val="00A448F2"/>
    <w:rsid w:val="00A4517F"/>
    <w:rsid w:val="00A66CE7"/>
    <w:rsid w:val="00A74E69"/>
    <w:rsid w:val="00A9292C"/>
    <w:rsid w:val="00AA2E66"/>
    <w:rsid w:val="00AB0AE3"/>
    <w:rsid w:val="00AC37DD"/>
    <w:rsid w:val="00AC431A"/>
    <w:rsid w:val="00AD647C"/>
    <w:rsid w:val="00AE0BAC"/>
    <w:rsid w:val="00AE18E9"/>
    <w:rsid w:val="00AF095C"/>
    <w:rsid w:val="00AF21BD"/>
    <w:rsid w:val="00AF46B9"/>
    <w:rsid w:val="00B0003B"/>
    <w:rsid w:val="00B05396"/>
    <w:rsid w:val="00B05CA7"/>
    <w:rsid w:val="00B061B2"/>
    <w:rsid w:val="00B07204"/>
    <w:rsid w:val="00B139B2"/>
    <w:rsid w:val="00B144DF"/>
    <w:rsid w:val="00B178FD"/>
    <w:rsid w:val="00B26456"/>
    <w:rsid w:val="00B305BC"/>
    <w:rsid w:val="00B360BE"/>
    <w:rsid w:val="00B4024A"/>
    <w:rsid w:val="00B54E41"/>
    <w:rsid w:val="00B61BB7"/>
    <w:rsid w:val="00B63FA7"/>
    <w:rsid w:val="00B64532"/>
    <w:rsid w:val="00B76242"/>
    <w:rsid w:val="00B77295"/>
    <w:rsid w:val="00B836E8"/>
    <w:rsid w:val="00B91E1B"/>
    <w:rsid w:val="00B93BCD"/>
    <w:rsid w:val="00B94235"/>
    <w:rsid w:val="00B94DA4"/>
    <w:rsid w:val="00B957DF"/>
    <w:rsid w:val="00BA0729"/>
    <w:rsid w:val="00BA3322"/>
    <w:rsid w:val="00BB578B"/>
    <w:rsid w:val="00BC02BE"/>
    <w:rsid w:val="00BD2ADA"/>
    <w:rsid w:val="00BD6285"/>
    <w:rsid w:val="00BD7A33"/>
    <w:rsid w:val="00BE4954"/>
    <w:rsid w:val="00BE52B7"/>
    <w:rsid w:val="00BF0355"/>
    <w:rsid w:val="00BF47AE"/>
    <w:rsid w:val="00C00DA5"/>
    <w:rsid w:val="00C020B3"/>
    <w:rsid w:val="00C17BF5"/>
    <w:rsid w:val="00C17EE3"/>
    <w:rsid w:val="00C346C1"/>
    <w:rsid w:val="00C3523F"/>
    <w:rsid w:val="00C36BF2"/>
    <w:rsid w:val="00C3743D"/>
    <w:rsid w:val="00C37911"/>
    <w:rsid w:val="00C40D31"/>
    <w:rsid w:val="00C44475"/>
    <w:rsid w:val="00C451DA"/>
    <w:rsid w:val="00C50187"/>
    <w:rsid w:val="00C50B28"/>
    <w:rsid w:val="00C51390"/>
    <w:rsid w:val="00C519E8"/>
    <w:rsid w:val="00C55204"/>
    <w:rsid w:val="00C6345A"/>
    <w:rsid w:val="00C63AFE"/>
    <w:rsid w:val="00C813D8"/>
    <w:rsid w:val="00C87ED2"/>
    <w:rsid w:val="00C90042"/>
    <w:rsid w:val="00C9286C"/>
    <w:rsid w:val="00C952D3"/>
    <w:rsid w:val="00CA3384"/>
    <w:rsid w:val="00CA3459"/>
    <w:rsid w:val="00CA734E"/>
    <w:rsid w:val="00CC6F22"/>
    <w:rsid w:val="00CD18BE"/>
    <w:rsid w:val="00CD2BAA"/>
    <w:rsid w:val="00CD672F"/>
    <w:rsid w:val="00CE312E"/>
    <w:rsid w:val="00CE3490"/>
    <w:rsid w:val="00CE58F0"/>
    <w:rsid w:val="00D03CCA"/>
    <w:rsid w:val="00D07F3E"/>
    <w:rsid w:val="00D1188C"/>
    <w:rsid w:val="00D124CB"/>
    <w:rsid w:val="00D35D3D"/>
    <w:rsid w:val="00D45030"/>
    <w:rsid w:val="00D50B8A"/>
    <w:rsid w:val="00D5758E"/>
    <w:rsid w:val="00D63949"/>
    <w:rsid w:val="00D6402D"/>
    <w:rsid w:val="00D753CA"/>
    <w:rsid w:val="00D75450"/>
    <w:rsid w:val="00D76047"/>
    <w:rsid w:val="00D82189"/>
    <w:rsid w:val="00D8363C"/>
    <w:rsid w:val="00D84FFF"/>
    <w:rsid w:val="00D86325"/>
    <w:rsid w:val="00D9526C"/>
    <w:rsid w:val="00D96C13"/>
    <w:rsid w:val="00DA53E7"/>
    <w:rsid w:val="00DC3869"/>
    <w:rsid w:val="00DC6236"/>
    <w:rsid w:val="00DD0792"/>
    <w:rsid w:val="00DD2F1E"/>
    <w:rsid w:val="00DD4D8D"/>
    <w:rsid w:val="00DD615E"/>
    <w:rsid w:val="00DE1F6C"/>
    <w:rsid w:val="00DE6653"/>
    <w:rsid w:val="00DF7851"/>
    <w:rsid w:val="00E037E2"/>
    <w:rsid w:val="00E0589A"/>
    <w:rsid w:val="00E1038A"/>
    <w:rsid w:val="00E2318B"/>
    <w:rsid w:val="00E23AB1"/>
    <w:rsid w:val="00E26C1F"/>
    <w:rsid w:val="00E33BB2"/>
    <w:rsid w:val="00E41376"/>
    <w:rsid w:val="00E42A3C"/>
    <w:rsid w:val="00E438B0"/>
    <w:rsid w:val="00E62725"/>
    <w:rsid w:val="00E67917"/>
    <w:rsid w:val="00E71CFC"/>
    <w:rsid w:val="00E808A0"/>
    <w:rsid w:val="00E85932"/>
    <w:rsid w:val="00E86AAC"/>
    <w:rsid w:val="00E9421B"/>
    <w:rsid w:val="00E958AA"/>
    <w:rsid w:val="00EB2D01"/>
    <w:rsid w:val="00EB2DF0"/>
    <w:rsid w:val="00EB559C"/>
    <w:rsid w:val="00EC166C"/>
    <w:rsid w:val="00EC263F"/>
    <w:rsid w:val="00EC5D39"/>
    <w:rsid w:val="00ED601E"/>
    <w:rsid w:val="00ED7897"/>
    <w:rsid w:val="00EF478D"/>
    <w:rsid w:val="00F05FC0"/>
    <w:rsid w:val="00F12D6E"/>
    <w:rsid w:val="00F17AE0"/>
    <w:rsid w:val="00F33168"/>
    <w:rsid w:val="00F34B8B"/>
    <w:rsid w:val="00F45026"/>
    <w:rsid w:val="00F455DD"/>
    <w:rsid w:val="00F46D50"/>
    <w:rsid w:val="00F47DFD"/>
    <w:rsid w:val="00F50F39"/>
    <w:rsid w:val="00F65169"/>
    <w:rsid w:val="00F7670B"/>
    <w:rsid w:val="00F76E5F"/>
    <w:rsid w:val="00F8074A"/>
    <w:rsid w:val="00F96C22"/>
    <w:rsid w:val="00F97CC1"/>
    <w:rsid w:val="00FA0879"/>
    <w:rsid w:val="00FA4AC9"/>
    <w:rsid w:val="00FB7F5D"/>
    <w:rsid w:val="00FD1460"/>
    <w:rsid w:val="00FD1606"/>
    <w:rsid w:val="00FD2DD2"/>
    <w:rsid w:val="00FD44BC"/>
    <w:rsid w:val="00FE1A9A"/>
    <w:rsid w:val="00FE463D"/>
    <w:rsid w:val="00FE7ED7"/>
    <w:rsid w:val="00FF1467"/>
    <w:rsid w:val="00FF1BD9"/>
    <w:rsid w:val="00FF73F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9201D"/>
  </w:style>
  <w:style w:type="paragraph" w:styleId="Heading1">
    <w:name w:val="heading 1"/>
    <w:basedOn w:val="Normal"/>
    <w:link w:val="Heading1Char"/>
    <w:uiPriority w:val="99"/>
    <w:qFormat/>
    <w:rsid w:val="0009201D"/>
    <w:pPr>
      <w:ind w:left="549"/>
      <w:outlineLvl w:val="0"/>
    </w:pPr>
    <w:rPr>
      <w:rFonts w:ascii="Garamond" w:eastAsia="Garamond" w:hAnsi="Garamond"/>
      <w:b/>
      <w:bCs/>
      <w:sz w:val="28"/>
      <w:szCs w:val="28"/>
    </w:rPr>
  </w:style>
  <w:style w:type="paragraph" w:styleId="Heading2">
    <w:name w:val="heading 2"/>
    <w:basedOn w:val="Normal"/>
    <w:link w:val="Heading2Char"/>
    <w:uiPriority w:val="99"/>
    <w:qFormat/>
    <w:rsid w:val="0009201D"/>
    <w:pPr>
      <w:ind w:left="119"/>
      <w:outlineLvl w:val="1"/>
    </w:pPr>
    <w:rPr>
      <w:rFonts w:ascii="Garamond" w:eastAsia="Garamond" w:hAnsi="Garamon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09201D"/>
    <w:pPr>
      <w:ind w:left="687" w:hanging="567"/>
    </w:pPr>
    <w:rPr>
      <w:rFonts w:ascii="Garamond" w:eastAsia="Garamond" w:hAnsi="Garamond"/>
      <w:sz w:val="24"/>
      <w:szCs w:val="24"/>
    </w:rPr>
  </w:style>
  <w:style w:type="paragraph" w:styleId="ListParagraph">
    <w:name w:val="List Paragraph"/>
    <w:basedOn w:val="Normal"/>
    <w:uiPriority w:val="99"/>
    <w:qFormat/>
    <w:rsid w:val="0009201D"/>
  </w:style>
  <w:style w:type="paragraph" w:customStyle="1" w:styleId="TableParagraph">
    <w:name w:val="Table Paragraph"/>
    <w:basedOn w:val="Normal"/>
    <w:uiPriority w:val="99"/>
    <w:qFormat/>
    <w:rsid w:val="0009201D"/>
  </w:style>
  <w:style w:type="paragraph" w:styleId="BalloonText">
    <w:name w:val="Balloon Text"/>
    <w:basedOn w:val="Normal"/>
    <w:link w:val="BalloonTextChar"/>
    <w:uiPriority w:val="99"/>
    <w:semiHidden/>
    <w:unhideWhenUsed/>
    <w:rsid w:val="00447400"/>
    <w:rPr>
      <w:rFonts w:ascii="Tahoma" w:hAnsi="Tahoma" w:cs="Tahoma"/>
      <w:sz w:val="16"/>
      <w:szCs w:val="16"/>
    </w:rPr>
  </w:style>
  <w:style w:type="character" w:customStyle="1" w:styleId="BalloonTextChar">
    <w:name w:val="Balloon Text Char"/>
    <w:basedOn w:val="DefaultParagraphFont"/>
    <w:link w:val="BalloonText"/>
    <w:uiPriority w:val="99"/>
    <w:semiHidden/>
    <w:rsid w:val="00447400"/>
    <w:rPr>
      <w:rFonts w:ascii="Tahoma" w:hAnsi="Tahoma" w:cs="Tahoma"/>
      <w:sz w:val="16"/>
      <w:szCs w:val="16"/>
    </w:rPr>
  </w:style>
  <w:style w:type="paragraph" w:styleId="Header">
    <w:name w:val="header"/>
    <w:basedOn w:val="Normal"/>
    <w:link w:val="HeaderChar"/>
    <w:uiPriority w:val="99"/>
    <w:unhideWhenUsed/>
    <w:rsid w:val="00447400"/>
    <w:pPr>
      <w:tabs>
        <w:tab w:val="center" w:pos="4513"/>
        <w:tab w:val="right" w:pos="9026"/>
      </w:tabs>
    </w:pPr>
  </w:style>
  <w:style w:type="character" w:customStyle="1" w:styleId="HeaderChar">
    <w:name w:val="Header Char"/>
    <w:basedOn w:val="DefaultParagraphFont"/>
    <w:link w:val="Header"/>
    <w:uiPriority w:val="99"/>
    <w:rsid w:val="00447400"/>
  </w:style>
  <w:style w:type="paragraph" w:styleId="Footer">
    <w:name w:val="footer"/>
    <w:basedOn w:val="Normal"/>
    <w:link w:val="FooterChar"/>
    <w:uiPriority w:val="99"/>
    <w:unhideWhenUsed/>
    <w:rsid w:val="00447400"/>
    <w:pPr>
      <w:tabs>
        <w:tab w:val="center" w:pos="4513"/>
        <w:tab w:val="right" w:pos="9026"/>
      </w:tabs>
    </w:pPr>
  </w:style>
  <w:style w:type="character" w:customStyle="1" w:styleId="FooterChar">
    <w:name w:val="Footer Char"/>
    <w:basedOn w:val="DefaultParagraphFont"/>
    <w:link w:val="Footer"/>
    <w:uiPriority w:val="99"/>
    <w:rsid w:val="00447400"/>
  </w:style>
  <w:style w:type="paragraph" w:styleId="FootnoteText">
    <w:name w:val="footnote text"/>
    <w:basedOn w:val="Normal"/>
    <w:link w:val="FootnoteTextChar"/>
    <w:uiPriority w:val="99"/>
    <w:semiHidden/>
    <w:unhideWhenUsed/>
    <w:rsid w:val="00AF21BD"/>
    <w:rPr>
      <w:sz w:val="20"/>
      <w:szCs w:val="20"/>
    </w:rPr>
  </w:style>
  <w:style w:type="character" w:customStyle="1" w:styleId="FootnoteTextChar">
    <w:name w:val="Footnote Text Char"/>
    <w:basedOn w:val="DefaultParagraphFont"/>
    <w:link w:val="FootnoteText"/>
    <w:uiPriority w:val="99"/>
    <w:semiHidden/>
    <w:rsid w:val="00AF21BD"/>
    <w:rPr>
      <w:sz w:val="20"/>
      <w:szCs w:val="20"/>
    </w:rPr>
  </w:style>
  <w:style w:type="character" w:styleId="FootnoteReference">
    <w:name w:val="footnote reference"/>
    <w:basedOn w:val="DefaultParagraphFont"/>
    <w:uiPriority w:val="99"/>
    <w:semiHidden/>
    <w:unhideWhenUsed/>
    <w:rsid w:val="00AF21BD"/>
    <w:rPr>
      <w:vertAlign w:val="superscript"/>
    </w:rPr>
  </w:style>
  <w:style w:type="character" w:styleId="Hyperlink">
    <w:name w:val="Hyperlink"/>
    <w:basedOn w:val="DefaultParagraphFont"/>
    <w:uiPriority w:val="99"/>
    <w:unhideWhenUsed/>
    <w:rsid w:val="008B4CD3"/>
    <w:rPr>
      <w:color w:val="0000FF" w:themeColor="hyperlink"/>
      <w:u w:val="single"/>
    </w:rPr>
  </w:style>
  <w:style w:type="table" w:styleId="TableGrid">
    <w:name w:val="Table Grid"/>
    <w:basedOn w:val="TableNormal"/>
    <w:uiPriority w:val="99"/>
    <w:rsid w:val="00D754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9E4512"/>
    <w:rPr>
      <w:rFonts w:ascii="Garamond" w:eastAsia="Garamond" w:hAnsi="Garamond"/>
      <w:b/>
      <w:bCs/>
      <w:sz w:val="28"/>
      <w:szCs w:val="28"/>
    </w:rPr>
  </w:style>
  <w:style w:type="character" w:customStyle="1" w:styleId="BodyTextChar">
    <w:name w:val="Body Text Char"/>
    <w:basedOn w:val="DefaultParagraphFont"/>
    <w:link w:val="BodyText"/>
    <w:uiPriority w:val="99"/>
    <w:rsid w:val="00304043"/>
    <w:rPr>
      <w:rFonts w:ascii="Garamond" w:eastAsia="Garamond" w:hAnsi="Garamond"/>
      <w:sz w:val="24"/>
      <w:szCs w:val="24"/>
    </w:rPr>
  </w:style>
  <w:style w:type="character" w:styleId="CommentReference">
    <w:name w:val="annotation reference"/>
    <w:basedOn w:val="DefaultParagraphFont"/>
    <w:uiPriority w:val="99"/>
    <w:semiHidden/>
    <w:unhideWhenUsed/>
    <w:rsid w:val="00304043"/>
    <w:rPr>
      <w:sz w:val="16"/>
      <w:szCs w:val="16"/>
    </w:rPr>
  </w:style>
  <w:style w:type="paragraph" w:styleId="CommentText">
    <w:name w:val="annotation text"/>
    <w:basedOn w:val="Normal"/>
    <w:link w:val="CommentTextChar"/>
    <w:uiPriority w:val="99"/>
    <w:semiHidden/>
    <w:unhideWhenUsed/>
    <w:rsid w:val="00304043"/>
    <w:rPr>
      <w:sz w:val="20"/>
      <w:szCs w:val="20"/>
    </w:rPr>
  </w:style>
  <w:style w:type="character" w:customStyle="1" w:styleId="CommentTextChar">
    <w:name w:val="Comment Text Char"/>
    <w:basedOn w:val="DefaultParagraphFont"/>
    <w:link w:val="CommentText"/>
    <w:uiPriority w:val="99"/>
    <w:semiHidden/>
    <w:rsid w:val="00304043"/>
    <w:rPr>
      <w:sz w:val="20"/>
      <w:szCs w:val="20"/>
    </w:rPr>
  </w:style>
  <w:style w:type="paragraph" w:styleId="CommentSubject">
    <w:name w:val="annotation subject"/>
    <w:basedOn w:val="CommentText"/>
    <w:next w:val="CommentText"/>
    <w:link w:val="CommentSubjectChar"/>
    <w:uiPriority w:val="99"/>
    <w:semiHidden/>
    <w:unhideWhenUsed/>
    <w:rsid w:val="00335E4B"/>
    <w:rPr>
      <w:b/>
      <w:bCs/>
    </w:rPr>
  </w:style>
  <w:style w:type="character" w:customStyle="1" w:styleId="CommentSubjectChar">
    <w:name w:val="Comment Subject Char"/>
    <w:basedOn w:val="CommentTextChar"/>
    <w:link w:val="CommentSubject"/>
    <w:uiPriority w:val="99"/>
    <w:semiHidden/>
    <w:rsid w:val="00335E4B"/>
    <w:rPr>
      <w:b/>
      <w:bCs/>
      <w:sz w:val="20"/>
      <w:szCs w:val="20"/>
    </w:rPr>
  </w:style>
  <w:style w:type="paragraph" w:styleId="Revision">
    <w:name w:val="Revision"/>
    <w:hidden/>
    <w:uiPriority w:val="99"/>
    <w:semiHidden/>
    <w:rsid w:val="004E465B"/>
    <w:pPr>
      <w:widowControl/>
    </w:pPr>
  </w:style>
  <w:style w:type="character" w:customStyle="1" w:styleId="Heading2Char">
    <w:name w:val="Heading 2 Char"/>
    <w:basedOn w:val="DefaultParagraphFont"/>
    <w:link w:val="Heading2"/>
    <w:uiPriority w:val="99"/>
    <w:locked/>
    <w:rsid w:val="003715B5"/>
    <w:rPr>
      <w:rFonts w:ascii="Garamond" w:eastAsia="Garamond" w:hAnsi="Garamond"/>
      <w:b/>
      <w:bCs/>
      <w:sz w:val="24"/>
      <w:szCs w:val="24"/>
    </w:rPr>
  </w:style>
  <w:style w:type="character" w:styleId="FollowedHyperlink">
    <w:name w:val="FollowedHyperlink"/>
    <w:basedOn w:val="DefaultParagraphFont"/>
    <w:uiPriority w:val="99"/>
    <w:semiHidden/>
    <w:unhideWhenUsed/>
    <w:rsid w:val="00325F6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6827422">
      <w:bodyDiv w:val="1"/>
      <w:marLeft w:val="0"/>
      <w:marRight w:val="0"/>
      <w:marTop w:val="0"/>
      <w:marBottom w:val="0"/>
      <w:divBdr>
        <w:top w:val="none" w:sz="0" w:space="0" w:color="auto"/>
        <w:left w:val="none" w:sz="0" w:space="0" w:color="auto"/>
        <w:bottom w:val="none" w:sz="0" w:space="0" w:color="auto"/>
        <w:right w:val="none" w:sz="0" w:space="0" w:color="auto"/>
      </w:divBdr>
      <w:divsChild>
        <w:div w:id="1916545258">
          <w:marLeft w:val="0"/>
          <w:marRight w:val="0"/>
          <w:marTop w:val="0"/>
          <w:marBottom w:val="0"/>
          <w:divBdr>
            <w:top w:val="none" w:sz="0" w:space="0" w:color="auto"/>
            <w:left w:val="none" w:sz="0" w:space="0" w:color="auto"/>
            <w:bottom w:val="none" w:sz="0" w:space="0" w:color="auto"/>
            <w:right w:val="none" w:sz="0" w:space="0" w:color="auto"/>
          </w:divBdr>
        </w:div>
        <w:div w:id="601188689">
          <w:marLeft w:val="0"/>
          <w:marRight w:val="0"/>
          <w:marTop w:val="0"/>
          <w:marBottom w:val="0"/>
          <w:divBdr>
            <w:top w:val="none" w:sz="0" w:space="0" w:color="auto"/>
            <w:left w:val="none" w:sz="0" w:space="0" w:color="auto"/>
            <w:bottom w:val="none" w:sz="0" w:space="0" w:color="auto"/>
            <w:right w:val="none" w:sz="0" w:space="0" w:color="auto"/>
          </w:divBdr>
        </w:div>
        <w:div w:id="1619293540">
          <w:marLeft w:val="0"/>
          <w:marRight w:val="0"/>
          <w:marTop w:val="0"/>
          <w:marBottom w:val="0"/>
          <w:divBdr>
            <w:top w:val="none" w:sz="0" w:space="0" w:color="auto"/>
            <w:left w:val="none" w:sz="0" w:space="0" w:color="auto"/>
            <w:bottom w:val="none" w:sz="0" w:space="0" w:color="auto"/>
            <w:right w:val="none" w:sz="0" w:space="0" w:color="auto"/>
          </w:divBdr>
        </w:div>
        <w:div w:id="988367450">
          <w:marLeft w:val="0"/>
          <w:marRight w:val="0"/>
          <w:marTop w:val="0"/>
          <w:marBottom w:val="0"/>
          <w:divBdr>
            <w:top w:val="none" w:sz="0" w:space="0" w:color="auto"/>
            <w:left w:val="none" w:sz="0" w:space="0" w:color="auto"/>
            <w:bottom w:val="none" w:sz="0" w:space="0" w:color="auto"/>
            <w:right w:val="none" w:sz="0" w:space="0" w:color="auto"/>
          </w:divBdr>
        </w:div>
        <w:div w:id="239678475">
          <w:marLeft w:val="0"/>
          <w:marRight w:val="0"/>
          <w:marTop w:val="0"/>
          <w:marBottom w:val="0"/>
          <w:divBdr>
            <w:top w:val="none" w:sz="0" w:space="0" w:color="auto"/>
            <w:left w:val="none" w:sz="0" w:space="0" w:color="auto"/>
            <w:bottom w:val="none" w:sz="0" w:space="0" w:color="auto"/>
            <w:right w:val="none" w:sz="0" w:space="0" w:color="auto"/>
          </w:divBdr>
        </w:div>
        <w:div w:id="379205574">
          <w:marLeft w:val="0"/>
          <w:marRight w:val="0"/>
          <w:marTop w:val="0"/>
          <w:marBottom w:val="0"/>
          <w:divBdr>
            <w:top w:val="none" w:sz="0" w:space="0" w:color="auto"/>
            <w:left w:val="none" w:sz="0" w:space="0" w:color="auto"/>
            <w:bottom w:val="none" w:sz="0" w:space="0" w:color="auto"/>
            <w:right w:val="none" w:sz="0" w:space="0" w:color="auto"/>
          </w:divBdr>
        </w:div>
        <w:div w:id="935556921">
          <w:marLeft w:val="0"/>
          <w:marRight w:val="0"/>
          <w:marTop w:val="0"/>
          <w:marBottom w:val="0"/>
          <w:divBdr>
            <w:top w:val="none" w:sz="0" w:space="0" w:color="auto"/>
            <w:left w:val="none" w:sz="0" w:space="0" w:color="auto"/>
            <w:bottom w:val="none" w:sz="0" w:space="0" w:color="auto"/>
            <w:right w:val="none" w:sz="0" w:space="0" w:color="auto"/>
          </w:divBdr>
        </w:div>
        <w:div w:id="2026784459">
          <w:marLeft w:val="0"/>
          <w:marRight w:val="0"/>
          <w:marTop w:val="0"/>
          <w:marBottom w:val="0"/>
          <w:divBdr>
            <w:top w:val="none" w:sz="0" w:space="0" w:color="auto"/>
            <w:left w:val="none" w:sz="0" w:space="0" w:color="auto"/>
            <w:bottom w:val="none" w:sz="0" w:space="0" w:color="auto"/>
            <w:right w:val="none" w:sz="0" w:space="0" w:color="auto"/>
          </w:divBdr>
        </w:div>
      </w:divsChild>
    </w:div>
    <w:div w:id="75247770">
      <w:bodyDiv w:val="1"/>
      <w:marLeft w:val="0"/>
      <w:marRight w:val="0"/>
      <w:marTop w:val="0"/>
      <w:marBottom w:val="0"/>
      <w:divBdr>
        <w:top w:val="none" w:sz="0" w:space="0" w:color="auto"/>
        <w:left w:val="none" w:sz="0" w:space="0" w:color="auto"/>
        <w:bottom w:val="none" w:sz="0" w:space="0" w:color="auto"/>
        <w:right w:val="none" w:sz="0" w:space="0" w:color="auto"/>
      </w:divBdr>
      <w:divsChild>
        <w:div w:id="55397062">
          <w:marLeft w:val="0"/>
          <w:marRight w:val="0"/>
          <w:marTop w:val="0"/>
          <w:marBottom w:val="0"/>
          <w:divBdr>
            <w:top w:val="none" w:sz="0" w:space="0" w:color="auto"/>
            <w:left w:val="none" w:sz="0" w:space="0" w:color="auto"/>
            <w:bottom w:val="none" w:sz="0" w:space="0" w:color="auto"/>
            <w:right w:val="none" w:sz="0" w:space="0" w:color="auto"/>
          </w:divBdr>
        </w:div>
        <w:div w:id="948514896">
          <w:marLeft w:val="0"/>
          <w:marRight w:val="0"/>
          <w:marTop w:val="0"/>
          <w:marBottom w:val="0"/>
          <w:divBdr>
            <w:top w:val="none" w:sz="0" w:space="0" w:color="auto"/>
            <w:left w:val="none" w:sz="0" w:space="0" w:color="auto"/>
            <w:bottom w:val="none" w:sz="0" w:space="0" w:color="auto"/>
            <w:right w:val="none" w:sz="0" w:space="0" w:color="auto"/>
          </w:divBdr>
        </w:div>
        <w:div w:id="208886190">
          <w:marLeft w:val="0"/>
          <w:marRight w:val="0"/>
          <w:marTop w:val="0"/>
          <w:marBottom w:val="0"/>
          <w:divBdr>
            <w:top w:val="none" w:sz="0" w:space="0" w:color="auto"/>
            <w:left w:val="none" w:sz="0" w:space="0" w:color="auto"/>
            <w:bottom w:val="none" w:sz="0" w:space="0" w:color="auto"/>
            <w:right w:val="none" w:sz="0" w:space="0" w:color="auto"/>
          </w:divBdr>
        </w:div>
        <w:div w:id="382951991">
          <w:marLeft w:val="0"/>
          <w:marRight w:val="0"/>
          <w:marTop w:val="0"/>
          <w:marBottom w:val="0"/>
          <w:divBdr>
            <w:top w:val="none" w:sz="0" w:space="0" w:color="auto"/>
            <w:left w:val="none" w:sz="0" w:space="0" w:color="auto"/>
            <w:bottom w:val="none" w:sz="0" w:space="0" w:color="auto"/>
            <w:right w:val="none" w:sz="0" w:space="0" w:color="auto"/>
          </w:divBdr>
        </w:div>
        <w:div w:id="2036493694">
          <w:marLeft w:val="0"/>
          <w:marRight w:val="0"/>
          <w:marTop w:val="0"/>
          <w:marBottom w:val="0"/>
          <w:divBdr>
            <w:top w:val="none" w:sz="0" w:space="0" w:color="auto"/>
            <w:left w:val="none" w:sz="0" w:space="0" w:color="auto"/>
            <w:bottom w:val="none" w:sz="0" w:space="0" w:color="auto"/>
            <w:right w:val="none" w:sz="0" w:space="0" w:color="auto"/>
          </w:divBdr>
        </w:div>
        <w:div w:id="418986058">
          <w:marLeft w:val="0"/>
          <w:marRight w:val="0"/>
          <w:marTop w:val="0"/>
          <w:marBottom w:val="0"/>
          <w:divBdr>
            <w:top w:val="none" w:sz="0" w:space="0" w:color="auto"/>
            <w:left w:val="none" w:sz="0" w:space="0" w:color="auto"/>
            <w:bottom w:val="none" w:sz="0" w:space="0" w:color="auto"/>
            <w:right w:val="none" w:sz="0" w:space="0" w:color="auto"/>
          </w:divBdr>
        </w:div>
        <w:div w:id="183398907">
          <w:marLeft w:val="0"/>
          <w:marRight w:val="0"/>
          <w:marTop w:val="0"/>
          <w:marBottom w:val="0"/>
          <w:divBdr>
            <w:top w:val="none" w:sz="0" w:space="0" w:color="auto"/>
            <w:left w:val="none" w:sz="0" w:space="0" w:color="auto"/>
            <w:bottom w:val="none" w:sz="0" w:space="0" w:color="auto"/>
            <w:right w:val="none" w:sz="0" w:space="0" w:color="auto"/>
          </w:divBdr>
        </w:div>
        <w:div w:id="1572084379">
          <w:marLeft w:val="0"/>
          <w:marRight w:val="0"/>
          <w:marTop w:val="0"/>
          <w:marBottom w:val="0"/>
          <w:divBdr>
            <w:top w:val="none" w:sz="0" w:space="0" w:color="auto"/>
            <w:left w:val="none" w:sz="0" w:space="0" w:color="auto"/>
            <w:bottom w:val="none" w:sz="0" w:space="0" w:color="auto"/>
            <w:right w:val="none" w:sz="0" w:space="0" w:color="auto"/>
          </w:divBdr>
        </w:div>
        <w:div w:id="940649462">
          <w:marLeft w:val="0"/>
          <w:marRight w:val="0"/>
          <w:marTop w:val="0"/>
          <w:marBottom w:val="0"/>
          <w:divBdr>
            <w:top w:val="none" w:sz="0" w:space="0" w:color="auto"/>
            <w:left w:val="none" w:sz="0" w:space="0" w:color="auto"/>
            <w:bottom w:val="none" w:sz="0" w:space="0" w:color="auto"/>
            <w:right w:val="none" w:sz="0" w:space="0" w:color="auto"/>
          </w:divBdr>
        </w:div>
        <w:div w:id="390887217">
          <w:marLeft w:val="0"/>
          <w:marRight w:val="0"/>
          <w:marTop w:val="0"/>
          <w:marBottom w:val="0"/>
          <w:divBdr>
            <w:top w:val="none" w:sz="0" w:space="0" w:color="auto"/>
            <w:left w:val="none" w:sz="0" w:space="0" w:color="auto"/>
            <w:bottom w:val="none" w:sz="0" w:space="0" w:color="auto"/>
            <w:right w:val="none" w:sz="0" w:space="0" w:color="auto"/>
          </w:divBdr>
        </w:div>
        <w:div w:id="1197233038">
          <w:marLeft w:val="0"/>
          <w:marRight w:val="0"/>
          <w:marTop w:val="0"/>
          <w:marBottom w:val="0"/>
          <w:divBdr>
            <w:top w:val="none" w:sz="0" w:space="0" w:color="auto"/>
            <w:left w:val="none" w:sz="0" w:space="0" w:color="auto"/>
            <w:bottom w:val="none" w:sz="0" w:space="0" w:color="auto"/>
            <w:right w:val="none" w:sz="0" w:space="0" w:color="auto"/>
          </w:divBdr>
        </w:div>
      </w:divsChild>
    </w:div>
    <w:div w:id="83037218">
      <w:bodyDiv w:val="1"/>
      <w:marLeft w:val="0"/>
      <w:marRight w:val="0"/>
      <w:marTop w:val="0"/>
      <w:marBottom w:val="0"/>
      <w:divBdr>
        <w:top w:val="none" w:sz="0" w:space="0" w:color="auto"/>
        <w:left w:val="none" w:sz="0" w:space="0" w:color="auto"/>
        <w:bottom w:val="none" w:sz="0" w:space="0" w:color="auto"/>
        <w:right w:val="none" w:sz="0" w:space="0" w:color="auto"/>
      </w:divBdr>
      <w:divsChild>
        <w:div w:id="422381950">
          <w:marLeft w:val="0"/>
          <w:marRight w:val="0"/>
          <w:marTop w:val="0"/>
          <w:marBottom w:val="0"/>
          <w:divBdr>
            <w:top w:val="none" w:sz="0" w:space="0" w:color="auto"/>
            <w:left w:val="none" w:sz="0" w:space="0" w:color="auto"/>
            <w:bottom w:val="none" w:sz="0" w:space="0" w:color="auto"/>
            <w:right w:val="none" w:sz="0" w:space="0" w:color="auto"/>
          </w:divBdr>
        </w:div>
        <w:div w:id="695622952">
          <w:marLeft w:val="0"/>
          <w:marRight w:val="0"/>
          <w:marTop w:val="0"/>
          <w:marBottom w:val="0"/>
          <w:divBdr>
            <w:top w:val="none" w:sz="0" w:space="0" w:color="auto"/>
            <w:left w:val="none" w:sz="0" w:space="0" w:color="auto"/>
            <w:bottom w:val="none" w:sz="0" w:space="0" w:color="auto"/>
            <w:right w:val="none" w:sz="0" w:space="0" w:color="auto"/>
          </w:divBdr>
        </w:div>
        <w:div w:id="1776365201">
          <w:marLeft w:val="0"/>
          <w:marRight w:val="0"/>
          <w:marTop w:val="0"/>
          <w:marBottom w:val="0"/>
          <w:divBdr>
            <w:top w:val="none" w:sz="0" w:space="0" w:color="auto"/>
            <w:left w:val="none" w:sz="0" w:space="0" w:color="auto"/>
            <w:bottom w:val="none" w:sz="0" w:space="0" w:color="auto"/>
            <w:right w:val="none" w:sz="0" w:space="0" w:color="auto"/>
          </w:divBdr>
        </w:div>
        <w:div w:id="1934973814">
          <w:marLeft w:val="0"/>
          <w:marRight w:val="0"/>
          <w:marTop w:val="0"/>
          <w:marBottom w:val="0"/>
          <w:divBdr>
            <w:top w:val="none" w:sz="0" w:space="0" w:color="auto"/>
            <w:left w:val="none" w:sz="0" w:space="0" w:color="auto"/>
            <w:bottom w:val="none" w:sz="0" w:space="0" w:color="auto"/>
            <w:right w:val="none" w:sz="0" w:space="0" w:color="auto"/>
          </w:divBdr>
        </w:div>
        <w:div w:id="1398627234">
          <w:marLeft w:val="0"/>
          <w:marRight w:val="0"/>
          <w:marTop w:val="0"/>
          <w:marBottom w:val="0"/>
          <w:divBdr>
            <w:top w:val="none" w:sz="0" w:space="0" w:color="auto"/>
            <w:left w:val="none" w:sz="0" w:space="0" w:color="auto"/>
            <w:bottom w:val="none" w:sz="0" w:space="0" w:color="auto"/>
            <w:right w:val="none" w:sz="0" w:space="0" w:color="auto"/>
          </w:divBdr>
        </w:div>
        <w:div w:id="1796170682">
          <w:marLeft w:val="0"/>
          <w:marRight w:val="0"/>
          <w:marTop w:val="0"/>
          <w:marBottom w:val="0"/>
          <w:divBdr>
            <w:top w:val="none" w:sz="0" w:space="0" w:color="auto"/>
            <w:left w:val="none" w:sz="0" w:space="0" w:color="auto"/>
            <w:bottom w:val="none" w:sz="0" w:space="0" w:color="auto"/>
            <w:right w:val="none" w:sz="0" w:space="0" w:color="auto"/>
          </w:divBdr>
        </w:div>
        <w:div w:id="2100591942">
          <w:marLeft w:val="0"/>
          <w:marRight w:val="0"/>
          <w:marTop w:val="0"/>
          <w:marBottom w:val="0"/>
          <w:divBdr>
            <w:top w:val="none" w:sz="0" w:space="0" w:color="auto"/>
            <w:left w:val="none" w:sz="0" w:space="0" w:color="auto"/>
            <w:bottom w:val="none" w:sz="0" w:space="0" w:color="auto"/>
            <w:right w:val="none" w:sz="0" w:space="0" w:color="auto"/>
          </w:divBdr>
        </w:div>
        <w:div w:id="637609236">
          <w:marLeft w:val="0"/>
          <w:marRight w:val="0"/>
          <w:marTop w:val="0"/>
          <w:marBottom w:val="0"/>
          <w:divBdr>
            <w:top w:val="none" w:sz="0" w:space="0" w:color="auto"/>
            <w:left w:val="none" w:sz="0" w:space="0" w:color="auto"/>
            <w:bottom w:val="none" w:sz="0" w:space="0" w:color="auto"/>
            <w:right w:val="none" w:sz="0" w:space="0" w:color="auto"/>
          </w:divBdr>
        </w:div>
        <w:div w:id="242767584">
          <w:marLeft w:val="0"/>
          <w:marRight w:val="0"/>
          <w:marTop w:val="0"/>
          <w:marBottom w:val="0"/>
          <w:divBdr>
            <w:top w:val="none" w:sz="0" w:space="0" w:color="auto"/>
            <w:left w:val="none" w:sz="0" w:space="0" w:color="auto"/>
            <w:bottom w:val="none" w:sz="0" w:space="0" w:color="auto"/>
            <w:right w:val="none" w:sz="0" w:space="0" w:color="auto"/>
          </w:divBdr>
        </w:div>
        <w:div w:id="2081251364">
          <w:marLeft w:val="0"/>
          <w:marRight w:val="0"/>
          <w:marTop w:val="0"/>
          <w:marBottom w:val="0"/>
          <w:divBdr>
            <w:top w:val="none" w:sz="0" w:space="0" w:color="auto"/>
            <w:left w:val="none" w:sz="0" w:space="0" w:color="auto"/>
            <w:bottom w:val="none" w:sz="0" w:space="0" w:color="auto"/>
            <w:right w:val="none" w:sz="0" w:space="0" w:color="auto"/>
          </w:divBdr>
        </w:div>
        <w:div w:id="1697147277">
          <w:marLeft w:val="0"/>
          <w:marRight w:val="0"/>
          <w:marTop w:val="0"/>
          <w:marBottom w:val="0"/>
          <w:divBdr>
            <w:top w:val="none" w:sz="0" w:space="0" w:color="auto"/>
            <w:left w:val="none" w:sz="0" w:space="0" w:color="auto"/>
            <w:bottom w:val="none" w:sz="0" w:space="0" w:color="auto"/>
            <w:right w:val="none" w:sz="0" w:space="0" w:color="auto"/>
          </w:divBdr>
        </w:div>
        <w:div w:id="1544168627">
          <w:marLeft w:val="0"/>
          <w:marRight w:val="0"/>
          <w:marTop w:val="0"/>
          <w:marBottom w:val="0"/>
          <w:divBdr>
            <w:top w:val="none" w:sz="0" w:space="0" w:color="auto"/>
            <w:left w:val="none" w:sz="0" w:space="0" w:color="auto"/>
            <w:bottom w:val="none" w:sz="0" w:space="0" w:color="auto"/>
            <w:right w:val="none" w:sz="0" w:space="0" w:color="auto"/>
          </w:divBdr>
        </w:div>
        <w:div w:id="2083258485">
          <w:marLeft w:val="0"/>
          <w:marRight w:val="0"/>
          <w:marTop w:val="0"/>
          <w:marBottom w:val="0"/>
          <w:divBdr>
            <w:top w:val="none" w:sz="0" w:space="0" w:color="auto"/>
            <w:left w:val="none" w:sz="0" w:space="0" w:color="auto"/>
            <w:bottom w:val="none" w:sz="0" w:space="0" w:color="auto"/>
            <w:right w:val="none" w:sz="0" w:space="0" w:color="auto"/>
          </w:divBdr>
        </w:div>
        <w:div w:id="515658537">
          <w:marLeft w:val="0"/>
          <w:marRight w:val="0"/>
          <w:marTop w:val="0"/>
          <w:marBottom w:val="0"/>
          <w:divBdr>
            <w:top w:val="none" w:sz="0" w:space="0" w:color="auto"/>
            <w:left w:val="none" w:sz="0" w:space="0" w:color="auto"/>
            <w:bottom w:val="none" w:sz="0" w:space="0" w:color="auto"/>
            <w:right w:val="none" w:sz="0" w:space="0" w:color="auto"/>
          </w:divBdr>
        </w:div>
        <w:div w:id="1591887341">
          <w:marLeft w:val="0"/>
          <w:marRight w:val="0"/>
          <w:marTop w:val="0"/>
          <w:marBottom w:val="0"/>
          <w:divBdr>
            <w:top w:val="none" w:sz="0" w:space="0" w:color="auto"/>
            <w:left w:val="none" w:sz="0" w:space="0" w:color="auto"/>
            <w:bottom w:val="none" w:sz="0" w:space="0" w:color="auto"/>
            <w:right w:val="none" w:sz="0" w:space="0" w:color="auto"/>
          </w:divBdr>
        </w:div>
        <w:div w:id="1055810117">
          <w:marLeft w:val="0"/>
          <w:marRight w:val="0"/>
          <w:marTop w:val="0"/>
          <w:marBottom w:val="0"/>
          <w:divBdr>
            <w:top w:val="none" w:sz="0" w:space="0" w:color="auto"/>
            <w:left w:val="none" w:sz="0" w:space="0" w:color="auto"/>
            <w:bottom w:val="none" w:sz="0" w:space="0" w:color="auto"/>
            <w:right w:val="none" w:sz="0" w:space="0" w:color="auto"/>
          </w:divBdr>
        </w:div>
        <w:div w:id="475299468">
          <w:marLeft w:val="0"/>
          <w:marRight w:val="0"/>
          <w:marTop w:val="0"/>
          <w:marBottom w:val="0"/>
          <w:divBdr>
            <w:top w:val="none" w:sz="0" w:space="0" w:color="auto"/>
            <w:left w:val="none" w:sz="0" w:space="0" w:color="auto"/>
            <w:bottom w:val="none" w:sz="0" w:space="0" w:color="auto"/>
            <w:right w:val="none" w:sz="0" w:space="0" w:color="auto"/>
          </w:divBdr>
        </w:div>
        <w:div w:id="1540973837">
          <w:marLeft w:val="0"/>
          <w:marRight w:val="0"/>
          <w:marTop w:val="0"/>
          <w:marBottom w:val="0"/>
          <w:divBdr>
            <w:top w:val="none" w:sz="0" w:space="0" w:color="auto"/>
            <w:left w:val="none" w:sz="0" w:space="0" w:color="auto"/>
            <w:bottom w:val="none" w:sz="0" w:space="0" w:color="auto"/>
            <w:right w:val="none" w:sz="0" w:space="0" w:color="auto"/>
          </w:divBdr>
        </w:div>
        <w:div w:id="1241058454">
          <w:marLeft w:val="0"/>
          <w:marRight w:val="0"/>
          <w:marTop w:val="0"/>
          <w:marBottom w:val="0"/>
          <w:divBdr>
            <w:top w:val="none" w:sz="0" w:space="0" w:color="auto"/>
            <w:left w:val="none" w:sz="0" w:space="0" w:color="auto"/>
            <w:bottom w:val="none" w:sz="0" w:space="0" w:color="auto"/>
            <w:right w:val="none" w:sz="0" w:space="0" w:color="auto"/>
          </w:divBdr>
        </w:div>
        <w:div w:id="1612711830">
          <w:marLeft w:val="0"/>
          <w:marRight w:val="0"/>
          <w:marTop w:val="0"/>
          <w:marBottom w:val="0"/>
          <w:divBdr>
            <w:top w:val="none" w:sz="0" w:space="0" w:color="auto"/>
            <w:left w:val="none" w:sz="0" w:space="0" w:color="auto"/>
            <w:bottom w:val="none" w:sz="0" w:space="0" w:color="auto"/>
            <w:right w:val="none" w:sz="0" w:space="0" w:color="auto"/>
          </w:divBdr>
        </w:div>
      </w:divsChild>
    </w:div>
    <w:div w:id="86508537">
      <w:bodyDiv w:val="1"/>
      <w:marLeft w:val="0"/>
      <w:marRight w:val="0"/>
      <w:marTop w:val="0"/>
      <w:marBottom w:val="0"/>
      <w:divBdr>
        <w:top w:val="none" w:sz="0" w:space="0" w:color="auto"/>
        <w:left w:val="none" w:sz="0" w:space="0" w:color="auto"/>
        <w:bottom w:val="none" w:sz="0" w:space="0" w:color="auto"/>
        <w:right w:val="none" w:sz="0" w:space="0" w:color="auto"/>
      </w:divBdr>
      <w:divsChild>
        <w:div w:id="67122201">
          <w:marLeft w:val="0"/>
          <w:marRight w:val="0"/>
          <w:marTop w:val="0"/>
          <w:marBottom w:val="0"/>
          <w:divBdr>
            <w:top w:val="none" w:sz="0" w:space="0" w:color="auto"/>
            <w:left w:val="none" w:sz="0" w:space="0" w:color="auto"/>
            <w:bottom w:val="none" w:sz="0" w:space="0" w:color="auto"/>
            <w:right w:val="none" w:sz="0" w:space="0" w:color="auto"/>
          </w:divBdr>
        </w:div>
        <w:div w:id="1188526833">
          <w:marLeft w:val="0"/>
          <w:marRight w:val="0"/>
          <w:marTop w:val="0"/>
          <w:marBottom w:val="0"/>
          <w:divBdr>
            <w:top w:val="none" w:sz="0" w:space="0" w:color="auto"/>
            <w:left w:val="none" w:sz="0" w:space="0" w:color="auto"/>
            <w:bottom w:val="none" w:sz="0" w:space="0" w:color="auto"/>
            <w:right w:val="none" w:sz="0" w:space="0" w:color="auto"/>
          </w:divBdr>
        </w:div>
        <w:div w:id="512183571">
          <w:marLeft w:val="0"/>
          <w:marRight w:val="0"/>
          <w:marTop w:val="0"/>
          <w:marBottom w:val="0"/>
          <w:divBdr>
            <w:top w:val="none" w:sz="0" w:space="0" w:color="auto"/>
            <w:left w:val="none" w:sz="0" w:space="0" w:color="auto"/>
            <w:bottom w:val="none" w:sz="0" w:space="0" w:color="auto"/>
            <w:right w:val="none" w:sz="0" w:space="0" w:color="auto"/>
          </w:divBdr>
        </w:div>
        <w:div w:id="1858157490">
          <w:marLeft w:val="0"/>
          <w:marRight w:val="0"/>
          <w:marTop w:val="0"/>
          <w:marBottom w:val="0"/>
          <w:divBdr>
            <w:top w:val="none" w:sz="0" w:space="0" w:color="auto"/>
            <w:left w:val="none" w:sz="0" w:space="0" w:color="auto"/>
            <w:bottom w:val="none" w:sz="0" w:space="0" w:color="auto"/>
            <w:right w:val="none" w:sz="0" w:space="0" w:color="auto"/>
          </w:divBdr>
        </w:div>
        <w:div w:id="751050648">
          <w:marLeft w:val="0"/>
          <w:marRight w:val="0"/>
          <w:marTop w:val="0"/>
          <w:marBottom w:val="0"/>
          <w:divBdr>
            <w:top w:val="none" w:sz="0" w:space="0" w:color="auto"/>
            <w:left w:val="none" w:sz="0" w:space="0" w:color="auto"/>
            <w:bottom w:val="none" w:sz="0" w:space="0" w:color="auto"/>
            <w:right w:val="none" w:sz="0" w:space="0" w:color="auto"/>
          </w:divBdr>
        </w:div>
        <w:div w:id="697974169">
          <w:marLeft w:val="0"/>
          <w:marRight w:val="0"/>
          <w:marTop w:val="0"/>
          <w:marBottom w:val="0"/>
          <w:divBdr>
            <w:top w:val="none" w:sz="0" w:space="0" w:color="auto"/>
            <w:left w:val="none" w:sz="0" w:space="0" w:color="auto"/>
            <w:bottom w:val="none" w:sz="0" w:space="0" w:color="auto"/>
            <w:right w:val="none" w:sz="0" w:space="0" w:color="auto"/>
          </w:divBdr>
        </w:div>
        <w:div w:id="583226989">
          <w:marLeft w:val="0"/>
          <w:marRight w:val="0"/>
          <w:marTop w:val="0"/>
          <w:marBottom w:val="0"/>
          <w:divBdr>
            <w:top w:val="none" w:sz="0" w:space="0" w:color="auto"/>
            <w:left w:val="none" w:sz="0" w:space="0" w:color="auto"/>
            <w:bottom w:val="none" w:sz="0" w:space="0" w:color="auto"/>
            <w:right w:val="none" w:sz="0" w:space="0" w:color="auto"/>
          </w:divBdr>
        </w:div>
        <w:div w:id="1042167921">
          <w:marLeft w:val="0"/>
          <w:marRight w:val="0"/>
          <w:marTop w:val="0"/>
          <w:marBottom w:val="0"/>
          <w:divBdr>
            <w:top w:val="none" w:sz="0" w:space="0" w:color="auto"/>
            <w:left w:val="none" w:sz="0" w:space="0" w:color="auto"/>
            <w:bottom w:val="none" w:sz="0" w:space="0" w:color="auto"/>
            <w:right w:val="none" w:sz="0" w:space="0" w:color="auto"/>
          </w:divBdr>
        </w:div>
        <w:div w:id="1690527313">
          <w:marLeft w:val="0"/>
          <w:marRight w:val="0"/>
          <w:marTop w:val="0"/>
          <w:marBottom w:val="0"/>
          <w:divBdr>
            <w:top w:val="none" w:sz="0" w:space="0" w:color="auto"/>
            <w:left w:val="none" w:sz="0" w:space="0" w:color="auto"/>
            <w:bottom w:val="none" w:sz="0" w:space="0" w:color="auto"/>
            <w:right w:val="none" w:sz="0" w:space="0" w:color="auto"/>
          </w:divBdr>
        </w:div>
        <w:div w:id="1702242867">
          <w:marLeft w:val="0"/>
          <w:marRight w:val="0"/>
          <w:marTop w:val="0"/>
          <w:marBottom w:val="0"/>
          <w:divBdr>
            <w:top w:val="none" w:sz="0" w:space="0" w:color="auto"/>
            <w:left w:val="none" w:sz="0" w:space="0" w:color="auto"/>
            <w:bottom w:val="none" w:sz="0" w:space="0" w:color="auto"/>
            <w:right w:val="none" w:sz="0" w:space="0" w:color="auto"/>
          </w:divBdr>
        </w:div>
        <w:div w:id="39061657">
          <w:marLeft w:val="0"/>
          <w:marRight w:val="0"/>
          <w:marTop w:val="0"/>
          <w:marBottom w:val="0"/>
          <w:divBdr>
            <w:top w:val="none" w:sz="0" w:space="0" w:color="auto"/>
            <w:left w:val="none" w:sz="0" w:space="0" w:color="auto"/>
            <w:bottom w:val="none" w:sz="0" w:space="0" w:color="auto"/>
            <w:right w:val="none" w:sz="0" w:space="0" w:color="auto"/>
          </w:divBdr>
        </w:div>
        <w:div w:id="1674450435">
          <w:marLeft w:val="0"/>
          <w:marRight w:val="0"/>
          <w:marTop w:val="0"/>
          <w:marBottom w:val="0"/>
          <w:divBdr>
            <w:top w:val="none" w:sz="0" w:space="0" w:color="auto"/>
            <w:left w:val="none" w:sz="0" w:space="0" w:color="auto"/>
            <w:bottom w:val="none" w:sz="0" w:space="0" w:color="auto"/>
            <w:right w:val="none" w:sz="0" w:space="0" w:color="auto"/>
          </w:divBdr>
        </w:div>
        <w:div w:id="11303640">
          <w:marLeft w:val="0"/>
          <w:marRight w:val="0"/>
          <w:marTop w:val="0"/>
          <w:marBottom w:val="0"/>
          <w:divBdr>
            <w:top w:val="none" w:sz="0" w:space="0" w:color="auto"/>
            <w:left w:val="none" w:sz="0" w:space="0" w:color="auto"/>
            <w:bottom w:val="none" w:sz="0" w:space="0" w:color="auto"/>
            <w:right w:val="none" w:sz="0" w:space="0" w:color="auto"/>
          </w:divBdr>
        </w:div>
        <w:div w:id="1827744191">
          <w:marLeft w:val="0"/>
          <w:marRight w:val="0"/>
          <w:marTop w:val="0"/>
          <w:marBottom w:val="0"/>
          <w:divBdr>
            <w:top w:val="none" w:sz="0" w:space="0" w:color="auto"/>
            <w:left w:val="none" w:sz="0" w:space="0" w:color="auto"/>
            <w:bottom w:val="none" w:sz="0" w:space="0" w:color="auto"/>
            <w:right w:val="none" w:sz="0" w:space="0" w:color="auto"/>
          </w:divBdr>
        </w:div>
        <w:div w:id="705058120">
          <w:marLeft w:val="0"/>
          <w:marRight w:val="0"/>
          <w:marTop w:val="0"/>
          <w:marBottom w:val="0"/>
          <w:divBdr>
            <w:top w:val="none" w:sz="0" w:space="0" w:color="auto"/>
            <w:left w:val="none" w:sz="0" w:space="0" w:color="auto"/>
            <w:bottom w:val="none" w:sz="0" w:space="0" w:color="auto"/>
            <w:right w:val="none" w:sz="0" w:space="0" w:color="auto"/>
          </w:divBdr>
        </w:div>
        <w:div w:id="1405295032">
          <w:marLeft w:val="0"/>
          <w:marRight w:val="0"/>
          <w:marTop w:val="0"/>
          <w:marBottom w:val="0"/>
          <w:divBdr>
            <w:top w:val="none" w:sz="0" w:space="0" w:color="auto"/>
            <w:left w:val="none" w:sz="0" w:space="0" w:color="auto"/>
            <w:bottom w:val="none" w:sz="0" w:space="0" w:color="auto"/>
            <w:right w:val="none" w:sz="0" w:space="0" w:color="auto"/>
          </w:divBdr>
        </w:div>
        <w:div w:id="975643881">
          <w:marLeft w:val="0"/>
          <w:marRight w:val="0"/>
          <w:marTop w:val="0"/>
          <w:marBottom w:val="0"/>
          <w:divBdr>
            <w:top w:val="none" w:sz="0" w:space="0" w:color="auto"/>
            <w:left w:val="none" w:sz="0" w:space="0" w:color="auto"/>
            <w:bottom w:val="none" w:sz="0" w:space="0" w:color="auto"/>
            <w:right w:val="none" w:sz="0" w:space="0" w:color="auto"/>
          </w:divBdr>
        </w:div>
      </w:divsChild>
    </w:div>
    <w:div w:id="99419011">
      <w:bodyDiv w:val="1"/>
      <w:marLeft w:val="0"/>
      <w:marRight w:val="0"/>
      <w:marTop w:val="0"/>
      <w:marBottom w:val="0"/>
      <w:divBdr>
        <w:top w:val="none" w:sz="0" w:space="0" w:color="auto"/>
        <w:left w:val="none" w:sz="0" w:space="0" w:color="auto"/>
        <w:bottom w:val="none" w:sz="0" w:space="0" w:color="auto"/>
        <w:right w:val="none" w:sz="0" w:space="0" w:color="auto"/>
      </w:divBdr>
      <w:divsChild>
        <w:div w:id="159004523">
          <w:marLeft w:val="0"/>
          <w:marRight w:val="0"/>
          <w:marTop w:val="0"/>
          <w:marBottom w:val="0"/>
          <w:divBdr>
            <w:top w:val="none" w:sz="0" w:space="0" w:color="auto"/>
            <w:left w:val="none" w:sz="0" w:space="0" w:color="auto"/>
            <w:bottom w:val="none" w:sz="0" w:space="0" w:color="auto"/>
            <w:right w:val="none" w:sz="0" w:space="0" w:color="auto"/>
          </w:divBdr>
          <w:divsChild>
            <w:div w:id="344675704">
              <w:marLeft w:val="0"/>
              <w:marRight w:val="0"/>
              <w:marTop w:val="0"/>
              <w:marBottom w:val="0"/>
              <w:divBdr>
                <w:top w:val="none" w:sz="0" w:space="0" w:color="auto"/>
                <w:left w:val="none" w:sz="0" w:space="0" w:color="auto"/>
                <w:bottom w:val="none" w:sz="0" w:space="0" w:color="auto"/>
                <w:right w:val="none" w:sz="0" w:space="0" w:color="auto"/>
              </w:divBdr>
              <w:divsChild>
                <w:div w:id="2093967436">
                  <w:marLeft w:val="0"/>
                  <w:marRight w:val="0"/>
                  <w:marTop w:val="0"/>
                  <w:marBottom w:val="0"/>
                  <w:divBdr>
                    <w:top w:val="none" w:sz="0" w:space="0" w:color="auto"/>
                    <w:left w:val="none" w:sz="0" w:space="0" w:color="auto"/>
                    <w:bottom w:val="none" w:sz="0" w:space="0" w:color="auto"/>
                    <w:right w:val="none" w:sz="0" w:space="0" w:color="auto"/>
                  </w:divBdr>
                </w:div>
                <w:div w:id="1369139338">
                  <w:marLeft w:val="0"/>
                  <w:marRight w:val="0"/>
                  <w:marTop w:val="0"/>
                  <w:marBottom w:val="0"/>
                  <w:divBdr>
                    <w:top w:val="none" w:sz="0" w:space="0" w:color="auto"/>
                    <w:left w:val="none" w:sz="0" w:space="0" w:color="auto"/>
                    <w:bottom w:val="none" w:sz="0" w:space="0" w:color="auto"/>
                    <w:right w:val="none" w:sz="0" w:space="0" w:color="auto"/>
                  </w:divBdr>
                </w:div>
                <w:div w:id="71054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880481">
          <w:marLeft w:val="0"/>
          <w:marRight w:val="0"/>
          <w:marTop w:val="0"/>
          <w:marBottom w:val="0"/>
          <w:divBdr>
            <w:top w:val="none" w:sz="0" w:space="0" w:color="auto"/>
            <w:left w:val="none" w:sz="0" w:space="0" w:color="auto"/>
            <w:bottom w:val="none" w:sz="0" w:space="0" w:color="auto"/>
            <w:right w:val="none" w:sz="0" w:space="0" w:color="auto"/>
          </w:divBdr>
        </w:div>
        <w:div w:id="687760394">
          <w:marLeft w:val="0"/>
          <w:marRight w:val="0"/>
          <w:marTop w:val="0"/>
          <w:marBottom w:val="0"/>
          <w:divBdr>
            <w:top w:val="none" w:sz="0" w:space="0" w:color="auto"/>
            <w:left w:val="none" w:sz="0" w:space="0" w:color="auto"/>
            <w:bottom w:val="none" w:sz="0" w:space="0" w:color="auto"/>
            <w:right w:val="none" w:sz="0" w:space="0" w:color="auto"/>
          </w:divBdr>
        </w:div>
        <w:div w:id="158665450">
          <w:marLeft w:val="0"/>
          <w:marRight w:val="0"/>
          <w:marTop w:val="0"/>
          <w:marBottom w:val="0"/>
          <w:divBdr>
            <w:top w:val="none" w:sz="0" w:space="0" w:color="auto"/>
            <w:left w:val="none" w:sz="0" w:space="0" w:color="auto"/>
            <w:bottom w:val="none" w:sz="0" w:space="0" w:color="auto"/>
            <w:right w:val="none" w:sz="0" w:space="0" w:color="auto"/>
          </w:divBdr>
        </w:div>
        <w:div w:id="1049064041">
          <w:marLeft w:val="0"/>
          <w:marRight w:val="0"/>
          <w:marTop w:val="0"/>
          <w:marBottom w:val="0"/>
          <w:divBdr>
            <w:top w:val="none" w:sz="0" w:space="0" w:color="auto"/>
            <w:left w:val="none" w:sz="0" w:space="0" w:color="auto"/>
            <w:bottom w:val="none" w:sz="0" w:space="0" w:color="auto"/>
            <w:right w:val="none" w:sz="0" w:space="0" w:color="auto"/>
          </w:divBdr>
        </w:div>
        <w:div w:id="1361588997">
          <w:marLeft w:val="0"/>
          <w:marRight w:val="0"/>
          <w:marTop w:val="0"/>
          <w:marBottom w:val="0"/>
          <w:divBdr>
            <w:top w:val="none" w:sz="0" w:space="0" w:color="auto"/>
            <w:left w:val="none" w:sz="0" w:space="0" w:color="auto"/>
            <w:bottom w:val="none" w:sz="0" w:space="0" w:color="auto"/>
            <w:right w:val="none" w:sz="0" w:space="0" w:color="auto"/>
          </w:divBdr>
        </w:div>
        <w:div w:id="1768689639">
          <w:marLeft w:val="0"/>
          <w:marRight w:val="0"/>
          <w:marTop w:val="0"/>
          <w:marBottom w:val="0"/>
          <w:divBdr>
            <w:top w:val="none" w:sz="0" w:space="0" w:color="auto"/>
            <w:left w:val="none" w:sz="0" w:space="0" w:color="auto"/>
            <w:bottom w:val="none" w:sz="0" w:space="0" w:color="auto"/>
            <w:right w:val="none" w:sz="0" w:space="0" w:color="auto"/>
          </w:divBdr>
        </w:div>
        <w:div w:id="219942279">
          <w:marLeft w:val="0"/>
          <w:marRight w:val="0"/>
          <w:marTop w:val="0"/>
          <w:marBottom w:val="0"/>
          <w:divBdr>
            <w:top w:val="none" w:sz="0" w:space="0" w:color="auto"/>
            <w:left w:val="none" w:sz="0" w:space="0" w:color="auto"/>
            <w:bottom w:val="none" w:sz="0" w:space="0" w:color="auto"/>
            <w:right w:val="none" w:sz="0" w:space="0" w:color="auto"/>
          </w:divBdr>
        </w:div>
        <w:div w:id="2093164018">
          <w:marLeft w:val="0"/>
          <w:marRight w:val="0"/>
          <w:marTop w:val="0"/>
          <w:marBottom w:val="0"/>
          <w:divBdr>
            <w:top w:val="none" w:sz="0" w:space="0" w:color="auto"/>
            <w:left w:val="none" w:sz="0" w:space="0" w:color="auto"/>
            <w:bottom w:val="none" w:sz="0" w:space="0" w:color="auto"/>
            <w:right w:val="none" w:sz="0" w:space="0" w:color="auto"/>
          </w:divBdr>
        </w:div>
        <w:div w:id="1458718005">
          <w:marLeft w:val="0"/>
          <w:marRight w:val="0"/>
          <w:marTop w:val="0"/>
          <w:marBottom w:val="0"/>
          <w:divBdr>
            <w:top w:val="none" w:sz="0" w:space="0" w:color="auto"/>
            <w:left w:val="none" w:sz="0" w:space="0" w:color="auto"/>
            <w:bottom w:val="none" w:sz="0" w:space="0" w:color="auto"/>
            <w:right w:val="none" w:sz="0" w:space="0" w:color="auto"/>
          </w:divBdr>
        </w:div>
        <w:div w:id="297731657">
          <w:marLeft w:val="0"/>
          <w:marRight w:val="0"/>
          <w:marTop w:val="0"/>
          <w:marBottom w:val="0"/>
          <w:divBdr>
            <w:top w:val="none" w:sz="0" w:space="0" w:color="auto"/>
            <w:left w:val="none" w:sz="0" w:space="0" w:color="auto"/>
            <w:bottom w:val="none" w:sz="0" w:space="0" w:color="auto"/>
            <w:right w:val="none" w:sz="0" w:space="0" w:color="auto"/>
          </w:divBdr>
        </w:div>
        <w:div w:id="608781909">
          <w:marLeft w:val="0"/>
          <w:marRight w:val="0"/>
          <w:marTop w:val="0"/>
          <w:marBottom w:val="0"/>
          <w:divBdr>
            <w:top w:val="none" w:sz="0" w:space="0" w:color="auto"/>
            <w:left w:val="none" w:sz="0" w:space="0" w:color="auto"/>
            <w:bottom w:val="none" w:sz="0" w:space="0" w:color="auto"/>
            <w:right w:val="none" w:sz="0" w:space="0" w:color="auto"/>
          </w:divBdr>
        </w:div>
        <w:div w:id="894851453">
          <w:marLeft w:val="0"/>
          <w:marRight w:val="0"/>
          <w:marTop w:val="0"/>
          <w:marBottom w:val="0"/>
          <w:divBdr>
            <w:top w:val="none" w:sz="0" w:space="0" w:color="auto"/>
            <w:left w:val="none" w:sz="0" w:space="0" w:color="auto"/>
            <w:bottom w:val="none" w:sz="0" w:space="0" w:color="auto"/>
            <w:right w:val="none" w:sz="0" w:space="0" w:color="auto"/>
          </w:divBdr>
        </w:div>
        <w:div w:id="704915337">
          <w:marLeft w:val="0"/>
          <w:marRight w:val="0"/>
          <w:marTop w:val="0"/>
          <w:marBottom w:val="0"/>
          <w:divBdr>
            <w:top w:val="none" w:sz="0" w:space="0" w:color="auto"/>
            <w:left w:val="none" w:sz="0" w:space="0" w:color="auto"/>
            <w:bottom w:val="none" w:sz="0" w:space="0" w:color="auto"/>
            <w:right w:val="none" w:sz="0" w:space="0" w:color="auto"/>
          </w:divBdr>
        </w:div>
        <w:div w:id="1482621490">
          <w:marLeft w:val="0"/>
          <w:marRight w:val="0"/>
          <w:marTop w:val="0"/>
          <w:marBottom w:val="0"/>
          <w:divBdr>
            <w:top w:val="none" w:sz="0" w:space="0" w:color="auto"/>
            <w:left w:val="none" w:sz="0" w:space="0" w:color="auto"/>
            <w:bottom w:val="none" w:sz="0" w:space="0" w:color="auto"/>
            <w:right w:val="none" w:sz="0" w:space="0" w:color="auto"/>
          </w:divBdr>
        </w:div>
        <w:div w:id="1023822893">
          <w:marLeft w:val="0"/>
          <w:marRight w:val="0"/>
          <w:marTop w:val="0"/>
          <w:marBottom w:val="0"/>
          <w:divBdr>
            <w:top w:val="none" w:sz="0" w:space="0" w:color="auto"/>
            <w:left w:val="none" w:sz="0" w:space="0" w:color="auto"/>
            <w:bottom w:val="none" w:sz="0" w:space="0" w:color="auto"/>
            <w:right w:val="none" w:sz="0" w:space="0" w:color="auto"/>
          </w:divBdr>
        </w:div>
        <w:div w:id="2107923703">
          <w:marLeft w:val="0"/>
          <w:marRight w:val="0"/>
          <w:marTop w:val="0"/>
          <w:marBottom w:val="0"/>
          <w:divBdr>
            <w:top w:val="none" w:sz="0" w:space="0" w:color="auto"/>
            <w:left w:val="none" w:sz="0" w:space="0" w:color="auto"/>
            <w:bottom w:val="none" w:sz="0" w:space="0" w:color="auto"/>
            <w:right w:val="none" w:sz="0" w:space="0" w:color="auto"/>
          </w:divBdr>
        </w:div>
        <w:div w:id="31736663">
          <w:marLeft w:val="0"/>
          <w:marRight w:val="0"/>
          <w:marTop w:val="0"/>
          <w:marBottom w:val="0"/>
          <w:divBdr>
            <w:top w:val="none" w:sz="0" w:space="0" w:color="auto"/>
            <w:left w:val="none" w:sz="0" w:space="0" w:color="auto"/>
            <w:bottom w:val="none" w:sz="0" w:space="0" w:color="auto"/>
            <w:right w:val="none" w:sz="0" w:space="0" w:color="auto"/>
          </w:divBdr>
        </w:div>
      </w:divsChild>
    </w:div>
    <w:div w:id="109862000">
      <w:bodyDiv w:val="1"/>
      <w:marLeft w:val="0"/>
      <w:marRight w:val="0"/>
      <w:marTop w:val="0"/>
      <w:marBottom w:val="0"/>
      <w:divBdr>
        <w:top w:val="none" w:sz="0" w:space="0" w:color="auto"/>
        <w:left w:val="none" w:sz="0" w:space="0" w:color="auto"/>
        <w:bottom w:val="none" w:sz="0" w:space="0" w:color="auto"/>
        <w:right w:val="none" w:sz="0" w:space="0" w:color="auto"/>
      </w:divBdr>
      <w:divsChild>
        <w:div w:id="559757091">
          <w:marLeft w:val="0"/>
          <w:marRight w:val="0"/>
          <w:marTop w:val="0"/>
          <w:marBottom w:val="0"/>
          <w:divBdr>
            <w:top w:val="none" w:sz="0" w:space="0" w:color="auto"/>
            <w:left w:val="none" w:sz="0" w:space="0" w:color="auto"/>
            <w:bottom w:val="none" w:sz="0" w:space="0" w:color="auto"/>
            <w:right w:val="none" w:sz="0" w:space="0" w:color="auto"/>
          </w:divBdr>
        </w:div>
        <w:div w:id="1579365398">
          <w:marLeft w:val="0"/>
          <w:marRight w:val="0"/>
          <w:marTop w:val="0"/>
          <w:marBottom w:val="0"/>
          <w:divBdr>
            <w:top w:val="none" w:sz="0" w:space="0" w:color="auto"/>
            <w:left w:val="none" w:sz="0" w:space="0" w:color="auto"/>
            <w:bottom w:val="none" w:sz="0" w:space="0" w:color="auto"/>
            <w:right w:val="none" w:sz="0" w:space="0" w:color="auto"/>
          </w:divBdr>
        </w:div>
        <w:div w:id="918708327">
          <w:marLeft w:val="0"/>
          <w:marRight w:val="0"/>
          <w:marTop w:val="0"/>
          <w:marBottom w:val="0"/>
          <w:divBdr>
            <w:top w:val="none" w:sz="0" w:space="0" w:color="auto"/>
            <w:left w:val="none" w:sz="0" w:space="0" w:color="auto"/>
            <w:bottom w:val="none" w:sz="0" w:space="0" w:color="auto"/>
            <w:right w:val="none" w:sz="0" w:space="0" w:color="auto"/>
          </w:divBdr>
        </w:div>
        <w:div w:id="2038725911">
          <w:marLeft w:val="0"/>
          <w:marRight w:val="0"/>
          <w:marTop w:val="0"/>
          <w:marBottom w:val="0"/>
          <w:divBdr>
            <w:top w:val="none" w:sz="0" w:space="0" w:color="auto"/>
            <w:left w:val="none" w:sz="0" w:space="0" w:color="auto"/>
            <w:bottom w:val="none" w:sz="0" w:space="0" w:color="auto"/>
            <w:right w:val="none" w:sz="0" w:space="0" w:color="auto"/>
          </w:divBdr>
        </w:div>
        <w:div w:id="344409735">
          <w:marLeft w:val="0"/>
          <w:marRight w:val="0"/>
          <w:marTop w:val="0"/>
          <w:marBottom w:val="0"/>
          <w:divBdr>
            <w:top w:val="none" w:sz="0" w:space="0" w:color="auto"/>
            <w:left w:val="none" w:sz="0" w:space="0" w:color="auto"/>
            <w:bottom w:val="none" w:sz="0" w:space="0" w:color="auto"/>
            <w:right w:val="none" w:sz="0" w:space="0" w:color="auto"/>
          </w:divBdr>
        </w:div>
        <w:div w:id="1441101829">
          <w:marLeft w:val="0"/>
          <w:marRight w:val="0"/>
          <w:marTop w:val="0"/>
          <w:marBottom w:val="0"/>
          <w:divBdr>
            <w:top w:val="none" w:sz="0" w:space="0" w:color="auto"/>
            <w:left w:val="none" w:sz="0" w:space="0" w:color="auto"/>
            <w:bottom w:val="none" w:sz="0" w:space="0" w:color="auto"/>
            <w:right w:val="none" w:sz="0" w:space="0" w:color="auto"/>
          </w:divBdr>
        </w:div>
        <w:div w:id="70933311">
          <w:marLeft w:val="0"/>
          <w:marRight w:val="0"/>
          <w:marTop w:val="0"/>
          <w:marBottom w:val="0"/>
          <w:divBdr>
            <w:top w:val="none" w:sz="0" w:space="0" w:color="auto"/>
            <w:left w:val="none" w:sz="0" w:space="0" w:color="auto"/>
            <w:bottom w:val="none" w:sz="0" w:space="0" w:color="auto"/>
            <w:right w:val="none" w:sz="0" w:space="0" w:color="auto"/>
          </w:divBdr>
        </w:div>
        <w:div w:id="416094918">
          <w:marLeft w:val="0"/>
          <w:marRight w:val="0"/>
          <w:marTop w:val="0"/>
          <w:marBottom w:val="0"/>
          <w:divBdr>
            <w:top w:val="none" w:sz="0" w:space="0" w:color="auto"/>
            <w:left w:val="none" w:sz="0" w:space="0" w:color="auto"/>
            <w:bottom w:val="none" w:sz="0" w:space="0" w:color="auto"/>
            <w:right w:val="none" w:sz="0" w:space="0" w:color="auto"/>
          </w:divBdr>
        </w:div>
        <w:div w:id="744375789">
          <w:marLeft w:val="0"/>
          <w:marRight w:val="0"/>
          <w:marTop w:val="0"/>
          <w:marBottom w:val="0"/>
          <w:divBdr>
            <w:top w:val="none" w:sz="0" w:space="0" w:color="auto"/>
            <w:left w:val="none" w:sz="0" w:space="0" w:color="auto"/>
            <w:bottom w:val="none" w:sz="0" w:space="0" w:color="auto"/>
            <w:right w:val="none" w:sz="0" w:space="0" w:color="auto"/>
          </w:divBdr>
        </w:div>
        <w:div w:id="881290872">
          <w:marLeft w:val="0"/>
          <w:marRight w:val="0"/>
          <w:marTop w:val="0"/>
          <w:marBottom w:val="0"/>
          <w:divBdr>
            <w:top w:val="none" w:sz="0" w:space="0" w:color="auto"/>
            <w:left w:val="none" w:sz="0" w:space="0" w:color="auto"/>
            <w:bottom w:val="none" w:sz="0" w:space="0" w:color="auto"/>
            <w:right w:val="none" w:sz="0" w:space="0" w:color="auto"/>
          </w:divBdr>
        </w:div>
        <w:div w:id="560096704">
          <w:marLeft w:val="0"/>
          <w:marRight w:val="0"/>
          <w:marTop w:val="0"/>
          <w:marBottom w:val="0"/>
          <w:divBdr>
            <w:top w:val="none" w:sz="0" w:space="0" w:color="auto"/>
            <w:left w:val="none" w:sz="0" w:space="0" w:color="auto"/>
            <w:bottom w:val="none" w:sz="0" w:space="0" w:color="auto"/>
            <w:right w:val="none" w:sz="0" w:space="0" w:color="auto"/>
          </w:divBdr>
        </w:div>
        <w:div w:id="185825182">
          <w:marLeft w:val="0"/>
          <w:marRight w:val="0"/>
          <w:marTop w:val="0"/>
          <w:marBottom w:val="0"/>
          <w:divBdr>
            <w:top w:val="none" w:sz="0" w:space="0" w:color="auto"/>
            <w:left w:val="none" w:sz="0" w:space="0" w:color="auto"/>
            <w:bottom w:val="none" w:sz="0" w:space="0" w:color="auto"/>
            <w:right w:val="none" w:sz="0" w:space="0" w:color="auto"/>
          </w:divBdr>
        </w:div>
        <w:div w:id="181432326">
          <w:marLeft w:val="0"/>
          <w:marRight w:val="0"/>
          <w:marTop w:val="0"/>
          <w:marBottom w:val="0"/>
          <w:divBdr>
            <w:top w:val="none" w:sz="0" w:space="0" w:color="auto"/>
            <w:left w:val="none" w:sz="0" w:space="0" w:color="auto"/>
            <w:bottom w:val="none" w:sz="0" w:space="0" w:color="auto"/>
            <w:right w:val="none" w:sz="0" w:space="0" w:color="auto"/>
          </w:divBdr>
        </w:div>
        <w:div w:id="924606615">
          <w:marLeft w:val="0"/>
          <w:marRight w:val="0"/>
          <w:marTop w:val="0"/>
          <w:marBottom w:val="0"/>
          <w:divBdr>
            <w:top w:val="none" w:sz="0" w:space="0" w:color="auto"/>
            <w:left w:val="none" w:sz="0" w:space="0" w:color="auto"/>
            <w:bottom w:val="none" w:sz="0" w:space="0" w:color="auto"/>
            <w:right w:val="none" w:sz="0" w:space="0" w:color="auto"/>
          </w:divBdr>
        </w:div>
        <w:div w:id="480541215">
          <w:marLeft w:val="0"/>
          <w:marRight w:val="0"/>
          <w:marTop w:val="0"/>
          <w:marBottom w:val="0"/>
          <w:divBdr>
            <w:top w:val="none" w:sz="0" w:space="0" w:color="auto"/>
            <w:left w:val="none" w:sz="0" w:space="0" w:color="auto"/>
            <w:bottom w:val="none" w:sz="0" w:space="0" w:color="auto"/>
            <w:right w:val="none" w:sz="0" w:space="0" w:color="auto"/>
          </w:divBdr>
        </w:div>
        <w:div w:id="522091549">
          <w:marLeft w:val="0"/>
          <w:marRight w:val="0"/>
          <w:marTop w:val="0"/>
          <w:marBottom w:val="0"/>
          <w:divBdr>
            <w:top w:val="none" w:sz="0" w:space="0" w:color="auto"/>
            <w:left w:val="none" w:sz="0" w:space="0" w:color="auto"/>
            <w:bottom w:val="none" w:sz="0" w:space="0" w:color="auto"/>
            <w:right w:val="none" w:sz="0" w:space="0" w:color="auto"/>
          </w:divBdr>
        </w:div>
        <w:div w:id="490563185">
          <w:marLeft w:val="0"/>
          <w:marRight w:val="0"/>
          <w:marTop w:val="0"/>
          <w:marBottom w:val="0"/>
          <w:divBdr>
            <w:top w:val="none" w:sz="0" w:space="0" w:color="auto"/>
            <w:left w:val="none" w:sz="0" w:space="0" w:color="auto"/>
            <w:bottom w:val="none" w:sz="0" w:space="0" w:color="auto"/>
            <w:right w:val="none" w:sz="0" w:space="0" w:color="auto"/>
          </w:divBdr>
        </w:div>
        <w:div w:id="628241914">
          <w:marLeft w:val="0"/>
          <w:marRight w:val="0"/>
          <w:marTop w:val="0"/>
          <w:marBottom w:val="0"/>
          <w:divBdr>
            <w:top w:val="none" w:sz="0" w:space="0" w:color="auto"/>
            <w:left w:val="none" w:sz="0" w:space="0" w:color="auto"/>
            <w:bottom w:val="none" w:sz="0" w:space="0" w:color="auto"/>
            <w:right w:val="none" w:sz="0" w:space="0" w:color="auto"/>
          </w:divBdr>
        </w:div>
        <w:div w:id="1593010532">
          <w:marLeft w:val="0"/>
          <w:marRight w:val="0"/>
          <w:marTop w:val="0"/>
          <w:marBottom w:val="0"/>
          <w:divBdr>
            <w:top w:val="none" w:sz="0" w:space="0" w:color="auto"/>
            <w:left w:val="none" w:sz="0" w:space="0" w:color="auto"/>
            <w:bottom w:val="none" w:sz="0" w:space="0" w:color="auto"/>
            <w:right w:val="none" w:sz="0" w:space="0" w:color="auto"/>
          </w:divBdr>
        </w:div>
        <w:div w:id="1282029413">
          <w:marLeft w:val="0"/>
          <w:marRight w:val="0"/>
          <w:marTop w:val="0"/>
          <w:marBottom w:val="0"/>
          <w:divBdr>
            <w:top w:val="none" w:sz="0" w:space="0" w:color="auto"/>
            <w:left w:val="none" w:sz="0" w:space="0" w:color="auto"/>
            <w:bottom w:val="none" w:sz="0" w:space="0" w:color="auto"/>
            <w:right w:val="none" w:sz="0" w:space="0" w:color="auto"/>
          </w:divBdr>
        </w:div>
        <w:div w:id="1070813721">
          <w:marLeft w:val="0"/>
          <w:marRight w:val="0"/>
          <w:marTop w:val="0"/>
          <w:marBottom w:val="0"/>
          <w:divBdr>
            <w:top w:val="none" w:sz="0" w:space="0" w:color="auto"/>
            <w:left w:val="none" w:sz="0" w:space="0" w:color="auto"/>
            <w:bottom w:val="none" w:sz="0" w:space="0" w:color="auto"/>
            <w:right w:val="none" w:sz="0" w:space="0" w:color="auto"/>
          </w:divBdr>
        </w:div>
        <w:div w:id="513544437">
          <w:marLeft w:val="0"/>
          <w:marRight w:val="0"/>
          <w:marTop w:val="0"/>
          <w:marBottom w:val="0"/>
          <w:divBdr>
            <w:top w:val="none" w:sz="0" w:space="0" w:color="auto"/>
            <w:left w:val="none" w:sz="0" w:space="0" w:color="auto"/>
            <w:bottom w:val="none" w:sz="0" w:space="0" w:color="auto"/>
            <w:right w:val="none" w:sz="0" w:space="0" w:color="auto"/>
          </w:divBdr>
        </w:div>
        <w:div w:id="359084804">
          <w:marLeft w:val="0"/>
          <w:marRight w:val="0"/>
          <w:marTop w:val="0"/>
          <w:marBottom w:val="0"/>
          <w:divBdr>
            <w:top w:val="none" w:sz="0" w:space="0" w:color="auto"/>
            <w:left w:val="none" w:sz="0" w:space="0" w:color="auto"/>
            <w:bottom w:val="none" w:sz="0" w:space="0" w:color="auto"/>
            <w:right w:val="none" w:sz="0" w:space="0" w:color="auto"/>
          </w:divBdr>
        </w:div>
        <w:div w:id="1092973288">
          <w:marLeft w:val="0"/>
          <w:marRight w:val="0"/>
          <w:marTop w:val="0"/>
          <w:marBottom w:val="0"/>
          <w:divBdr>
            <w:top w:val="none" w:sz="0" w:space="0" w:color="auto"/>
            <w:left w:val="none" w:sz="0" w:space="0" w:color="auto"/>
            <w:bottom w:val="none" w:sz="0" w:space="0" w:color="auto"/>
            <w:right w:val="none" w:sz="0" w:space="0" w:color="auto"/>
          </w:divBdr>
        </w:div>
        <w:div w:id="1402367301">
          <w:marLeft w:val="0"/>
          <w:marRight w:val="0"/>
          <w:marTop w:val="0"/>
          <w:marBottom w:val="0"/>
          <w:divBdr>
            <w:top w:val="none" w:sz="0" w:space="0" w:color="auto"/>
            <w:left w:val="none" w:sz="0" w:space="0" w:color="auto"/>
            <w:bottom w:val="none" w:sz="0" w:space="0" w:color="auto"/>
            <w:right w:val="none" w:sz="0" w:space="0" w:color="auto"/>
          </w:divBdr>
        </w:div>
        <w:div w:id="545528174">
          <w:marLeft w:val="0"/>
          <w:marRight w:val="0"/>
          <w:marTop w:val="0"/>
          <w:marBottom w:val="0"/>
          <w:divBdr>
            <w:top w:val="none" w:sz="0" w:space="0" w:color="auto"/>
            <w:left w:val="none" w:sz="0" w:space="0" w:color="auto"/>
            <w:bottom w:val="none" w:sz="0" w:space="0" w:color="auto"/>
            <w:right w:val="none" w:sz="0" w:space="0" w:color="auto"/>
          </w:divBdr>
        </w:div>
        <w:div w:id="241064618">
          <w:marLeft w:val="0"/>
          <w:marRight w:val="0"/>
          <w:marTop w:val="0"/>
          <w:marBottom w:val="0"/>
          <w:divBdr>
            <w:top w:val="none" w:sz="0" w:space="0" w:color="auto"/>
            <w:left w:val="none" w:sz="0" w:space="0" w:color="auto"/>
            <w:bottom w:val="none" w:sz="0" w:space="0" w:color="auto"/>
            <w:right w:val="none" w:sz="0" w:space="0" w:color="auto"/>
          </w:divBdr>
        </w:div>
        <w:div w:id="1471440833">
          <w:marLeft w:val="0"/>
          <w:marRight w:val="0"/>
          <w:marTop w:val="0"/>
          <w:marBottom w:val="0"/>
          <w:divBdr>
            <w:top w:val="none" w:sz="0" w:space="0" w:color="auto"/>
            <w:left w:val="none" w:sz="0" w:space="0" w:color="auto"/>
            <w:bottom w:val="none" w:sz="0" w:space="0" w:color="auto"/>
            <w:right w:val="none" w:sz="0" w:space="0" w:color="auto"/>
          </w:divBdr>
        </w:div>
        <w:div w:id="1931085241">
          <w:marLeft w:val="0"/>
          <w:marRight w:val="0"/>
          <w:marTop w:val="0"/>
          <w:marBottom w:val="0"/>
          <w:divBdr>
            <w:top w:val="none" w:sz="0" w:space="0" w:color="auto"/>
            <w:left w:val="none" w:sz="0" w:space="0" w:color="auto"/>
            <w:bottom w:val="none" w:sz="0" w:space="0" w:color="auto"/>
            <w:right w:val="none" w:sz="0" w:space="0" w:color="auto"/>
          </w:divBdr>
        </w:div>
      </w:divsChild>
    </w:div>
    <w:div w:id="122044179">
      <w:bodyDiv w:val="1"/>
      <w:marLeft w:val="0"/>
      <w:marRight w:val="0"/>
      <w:marTop w:val="0"/>
      <w:marBottom w:val="0"/>
      <w:divBdr>
        <w:top w:val="none" w:sz="0" w:space="0" w:color="auto"/>
        <w:left w:val="none" w:sz="0" w:space="0" w:color="auto"/>
        <w:bottom w:val="none" w:sz="0" w:space="0" w:color="auto"/>
        <w:right w:val="none" w:sz="0" w:space="0" w:color="auto"/>
      </w:divBdr>
      <w:divsChild>
        <w:div w:id="2115592216">
          <w:marLeft w:val="0"/>
          <w:marRight w:val="0"/>
          <w:marTop w:val="0"/>
          <w:marBottom w:val="0"/>
          <w:divBdr>
            <w:top w:val="none" w:sz="0" w:space="0" w:color="auto"/>
            <w:left w:val="none" w:sz="0" w:space="0" w:color="auto"/>
            <w:bottom w:val="none" w:sz="0" w:space="0" w:color="auto"/>
            <w:right w:val="none" w:sz="0" w:space="0" w:color="auto"/>
          </w:divBdr>
        </w:div>
        <w:div w:id="663125336">
          <w:marLeft w:val="0"/>
          <w:marRight w:val="0"/>
          <w:marTop w:val="0"/>
          <w:marBottom w:val="0"/>
          <w:divBdr>
            <w:top w:val="none" w:sz="0" w:space="0" w:color="auto"/>
            <w:left w:val="none" w:sz="0" w:space="0" w:color="auto"/>
            <w:bottom w:val="none" w:sz="0" w:space="0" w:color="auto"/>
            <w:right w:val="none" w:sz="0" w:space="0" w:color="auto"/>
          </w:divBdr>
        </w:div>
        <w:div w:id="999625237">
          <w:marLeft w:val="0"/>
          <w:marRight w:val="0"/>
          <w:marTop w:val="0"/>
          <w:marBottom w:val="0"/>
          <w:divBdr>
            <w:top w:val="none" w:sz="0" w:space="0" w:color="auto"/>
            <w:left w:val="none" w:sz="0" w:space="0" w:color="auto"/>
            <w:bottom w:val="none" w:sz="0" w:space="0" w:color="auto"/>
            <w:right w:val="none" w:sz="0" w:space="0" w:color="auto"/>
          </w:divBdr>
        </w:div>
        <w:div w:id="1253587099">
          <w:marLeft w:val="0"/>
          <w:marRight w:val="0"/>
          <w:marTop w:val="0"/>
          <w:marBottom w:val="0"/>
          <w:divBdr>
            <w:top w:val="none" w:sz="0" w:space="0" w:color="auto"/>
            <w:left w:val="none" w:sz="0" w:space="0" w:color="auto"/>
            <w:bottom w:val="none" w:sz="0" w:space="0" w:color="auto"/>
            <w:right w:val="none" w:sz="0" w:space="0" w:color="auto"/>
          </w:divBdr>
        </w:div>
        <w:div w:id="694234739">
          <w:marLeft w:val="0"/>
          <w:marRight w:val="0"/>
          <w:marTop w:val="0"/>
          <w:marBottom w:val="0"/>
          <w:divBdr>
            <w:top w:val="none" w:sz="0" w:space="0" w:color="auto"/>
            <w:left w:val="none" w:sz="0" w:space="0" w:color="auto"/>
            <w:bottom w:val="none" w:sz="0" w:space="0" w:color="auto"/>
            <w:right w:val="none" w:sz="0" w:space="0" w:color="auto"/>
          </w:divBdr>
        </w:div>
      </w:divsChild>
    </w:div>
    <w:div w:id="143013685">
      <w:bodyDiv w:val="1"/>
      <w:marLeft w:val="0"/>
      <w:marRight w:val="0"/>
      <w:marTop w:val="0"/>
      <w:marBottom w:val="0"/>
      <w:divBdr>
        <w:top w:val="none" w:sz="0" w:space="0" w:color="auto"/>
        <w:left w:val="none" w:sz="0" w:space="0" w:color="auto"/>
        <w:bottom w:val="none" w:sz="0" w:space="0" w:color="auto"/>
        <w:right w:val="none" w:sz="0" w:space="0" w:color="auto"/>
      </w:divBdr>
      <w:divsChild>
        <w:div w:id="334308088">
          <w:marLeft w:val="0"/>
          <w:marRight w:val="0"/>
          <w:marTop w:val="0"/>
          <w:marBottom w:val="0"/>
          <w:divBdr>
            <w:top w:val="none" w:sz="0" w:space="0" w:color="auto"/>
            <w:left w:val="none" w:sz="0" w:space="0" w:color="auto"/>
            <w:bottom w:val="none" w:sz="0" w:space="0" w:color="auto"/>
            <w:right w:val="none" w:sz="0" w:space="0" w:color="auto"/>
          </w:divBdr>
        </w:div>
        <w:div w:id="167063771">
          <w:marLeft w:val="0"/>
          <w:marRight w:val="0"/>
          <w:marTop w:val="0"/>
          <w:marBottom w:val="0"/>
          <w:divBdr>
            <w:top w:val="none" w:sz="0" w:space="0" w:color="auto"/>
            <w:left w:val="none" w:sz="0" w:space="0" w:color="auto"/>
            <w:bottom w:val="none" w:sz="0" w:space="0" w:color="auto"/>
            <w:right w:val="none" w:sz="0" w:space="0" w:color="auto"/>
          </w:divBdr>
        </w:div>
        <w:div w:id="1795439222">
          <w:marLeft w:val="0"/>
          <w:marRight w:val="0"/>
          <w:marTop w:val="0"/>
          <w:marBottom w:val="0"/>
          <w:divBdr>
            <w:top w:val="none" w:sz="0" w:space="0" w:color="auto"/>
            <w:left w:val="none" w:sz="0" w:space="0" w:color="auto"/>
            <w:bottom w:val="none" w:sz="0" w:space="0" w:color="auto"/>
            <w:right w:val="none" w:sz="0" w:space="0" w:color="auto"/>
          </w:divBdr>
        </w:div>
        <w:div w:id="1712260967">
          <w:marLeft w:val="0"/>
          <w:marRight w:val="0"/>
          <w:marTop w:val="0"/>
          <w:marBottom w:val="0"/>
          <w:divBdr>
            <w:top w:val="none" w:sz="0" w:space="0" w:color="auto"/>
            <w:left w:val="none" w:sz="0" w:space="0" w:color="auto"/>
            <w:bottom w:val="none" w:sz="0" w:space="0" w:color="auto"/>
            <w:right w:val="none" w:sz="0" w:space="0" w:color="auto"/>
          </w:divBdr>
        </w:div>
        <w:div w:id="385103373">
          <w:marLeft w:val="0"/>
          <w:marRight w:val="0"/>
          <w:marTop w:val="0"/>
          <w:marBottom w:val="0"/>
          <w:divBdr>
            <w:top w:val="none" w:sz="0" w:space="0" w:color="auto"/>
            <w:left w:val="none" w:sz="0" w:space="0" w:color="auto"/>
            <w:bottom w:val="none" w:sz="0" w:space="0" w:color="auto"/>
            <w:right w:val="none" w:sz="0" w:space="0" w:color="auto"/>
          </w:divBdr>
        </w:div>
        <w:div w:id="366681576">
          <w:marLeft w:val="0"/>
          <w:marRight w:val="0"/>
          <w:marTop w:val="0"/>
          <w:marBottom w:val="0"/>
          <w:divBdr>
            <w:top w:val="none" w:sz="0" w:space="0" w:color="auto"/>
            <w:left w:val="none" w:sz="0" w:space="0" w:color="auto"/>
            <w:bottom w:val="none" w:sz="0" w:space="0" w:color="auto"/>
            <w:right w:val="none" w:sz="0" w:space="0" w:color="auto"/>
          </w:divBdr>
        </w:div>
        <w:div w:id="1389574042">
          <w:marLeft w:val="0"/>
          <w:marRight w:val="0"/>
          <w:marTop w:val="0"/>
          <w:marBottom w:val="0"/>
          <w:divBdr>
            <w:top w:val="none" w:sz="0" w:space="0" w:color="auto"/>
            <w:left w:val="none" w:sz="0" w:space="0" w:color="auto"/>
            <w:bottom w:val="none" w:sz="0" w:space="0" w:color="auto"/>
            <w:right w:val="none" w:sz="0" w:space="0" w:color="auto"/>
          </w:divBdr>
        </w:div>
        <w:div w:id="935017094">
          <w:marLeft w:val="0"/>
          <w:marRight w:val="0"/>
          <w:marTop w:val="0"/>
          <w:marBottom w:val="0"/>
          <w:divBdr>
            <w:top w:val="none" w:sz="0" w:space="0" w:color="auto"/>
            <w:left w:val="none" w:sz="0" w:space="0" w:color="auto"/>
            <w:bottom w:val="none" w:sz="0" w:space="0" w:color="auto"/>
            <w:right w:val="none" w:sz="0" w:space="0" w:color="auto"/>
          </w:divBdr>
        </w:div>
        <w:div w:id="1192450176">
          <w:marLeft w:val="0"/>
          <w:marRight w:val="0"/>
          <w:marTop w:val="0"/>
          <w:marBottom w:val="0"/>
          <w:divBdr>
            <w:top w:val="none" w:sz="0" w:space="0" w:color="auto"/>
            <w:left w:val="none" w:sz="0" w:space="0" w:color="auto"/>
            <w:bottom w:val="none" w:sz="0" w:space="0" w:color="auto"/>
            <w:right w:val="none" w:sz="0" w:space="0" w:color="auto"/>
          </w:divBdr>
        </w:div>
        <w:div w:id="1454833684">
          <w:marLeft w:val="0"/>
          <w:marRight w:val="0"/>
          <w:marTop w:val="0"/>
          <w:marBottom w:val="0"/>
          <w:divBdr>
            <w:top w:val="none" w:sz="0" w:space="0" w:color="auto"/>
            <w:left w:val="none" w:sz="0" w:space="0" w:color="auto"/>
            <w:bottom w:val="none" w:sz="0" w:space="0" w:color="auto"/>
            <w:right w:val="none" w:sz="0" w:space="0" w:color="auto"/>
          </w:divBdr>
        </w:div>
      </w:divsChild>
    </w:div>
    <w:div w:id="217589098">
      <w:bodyDiv w:val="1"/>
      <w:marLeft w:val="0"/>
      <w:marRight w:val="0"/>
      <w:marTop w:val="0"/>
      <w:marBottom w:val="0"/>
      <w:divBdr>
        <w:top w:val="none" w:sz="0" w:space="0" w:color="auto"/>
        <w:left w:val="none" w:sz="0" w:space="0" w:color="auto"/>
        <w:bottom w:val="none" w:sz="0" w:space="0" w:color="auto"/>
        <w:right w:val="none" w:sz="0" w:space="0" w:color="auto"/>
      </w:divBdr>
      <w:divsChild>
        <w:div w:id="1990665522">
          <w:marLeft w:val="0"/>
          <w:marRight w:val="0"/>
          <w:marTop w:val="0"/>
          <w:marBottom w:val="0"/>
          <w:divBdr>
            <w:top w:val="none" w:sz="0" w:space="0" w:color="auto"/>
            <w:left w:val="none" w:sz="0" w:space="0" w:color="auto"/>
            <w:bottom w:val="none" w:sz="0" w:space="0" w:color="auto"/>
            <w:right w:val="none" w:sz="0" w:space="0" w:color="auto"/>
          </w:divBdr>
        </w:div>
        <w:div w:id="1907370551">
          <w:marLeft w:val="0"/>
          <w:marRight w:val="0"/>
          <w:marTop w:val="0"/>
          <w:marBottom w:val="0"/>
          <w:divBdr>
            <w:top w:val="none" w:sz="0" w:space="0" w:color="auto"/>
            <w:left w:val="none" w:sz="0" w:space="0" w:color="auto"/>
            <w:bottom w:val="none" w:sz="0" w:space="0" w:color="auto"/>
            <w:right w:val="none" w:sz="0" w:space="0" w:color="auto"/>
          </w:divBdr>
        </w:div>
        <w:div w:id="516308042">
          <w:marLeft w:val="0"/>
          <w:marRight w:val="0"/>
          <w:marTop w:val="0"/>
          <w:marBottom w:val="0"/>
          <w:divBdr>
            <w:top w:val="none" w:sz="0" w:space="0" w:color="auto"/>
            <w:left w:val="none" w:sz="0" w:space="0" w:color="auto"/>
            <w:bottom w:val="none" w:sz="0" w:space="0" w:color="auto"/>
            <w:right w:val="none" w:sz="0" w:space="0" w:color="auto"/>
          </w:divBdr>
        </w:div>
        <w:div w:id="236014113">
          <w:marLeft w:val="0"/>
          <w:marRight w:val="0"/>
          <w:marTop w:val="0"/>
          <w:marBottom w:val="0"/>
          <w:divBdr>
            <w:top w:val="none" w:sz="0" w:space="0" w:color="auto"/>
            <w:left w:val="none" w:sz="0" w:space="0" w:color="auto"/>
            <w:bottom w:val="none" w:sz="0" w:space="0" w:color="auto"/>
            <w:right w:val="none" w:sz="0" w:space="0" w:color="auto"/>
          </w:divBdr>
        </w:div>
        <w:div w:id="2134247283">
          <w:marLeft w:val="0"/>
          <w:marRight w:val="0"/>
          <w:marTop w:val="0"/>
          <w:marBottom w:val="0"/>
          <w:divBdr>
            <w:top w:val="none" w:sz="0" w:space="0" w:color="auto"/>
            <w:left w:val="none" w:sz="0" w:space="0" w:color="auto"/>
            <w:bottom w:val="none" w:sz="0" w:space="0" w:color="auto"/>
            <w:right w:val="none" w:sz="0" w:space="0" w:color="auto"/>
          </w:divBdr>
        </w:div>
        <w:div w:id="1160269516">
          <w:marLeft w:val="0"/>
          <w:marRight w:val="0"/>
          <w:marTop w:val="0"/>
          <w:marBottom w:val="0"/>
          <w:divBdr>
            <w:top w:val="none" w:sz="0" w:space="0" w:color="auto"/>
            <w:left w:val="none" w:sz="0" w:space="0" w:color="auto"/>
            <w:bottom w:val="none" w:sz="0" w:space="0" w:color="auto"/>
            <w:right w:val="none" w:sz="0" w:space="0" w:color="auto"/>
          </w:divBdr>
        </w:div>
        <w:div w:id="2064719638">
          <w:marLeft w:val="0"/>
          <w:marRight w:val="0"/>
          <w:marTop w:val="0"/>
          <w:marBottom w:val="0"/>
          <w:divBdr>
            <w:top w:val="none" w:sz="0" w:space="0" w:color="auto"/>
            <w:left w:val="none" w:sz="0" w:space="0" w:color="auto"/>
            <w:bottom w:val="none" w:sz="0" w:space="0" w:color="auto"/>
            <w:right w:val="none" w:sz="0" w:space="0" w:color="auto"/>
          </w:divBdr>
        </w:div>
        <w:div w:id="285239463">
          <w:marLeft w:val="0"/>
          <w:marRight w:val="0"/>
          <w:marTop w:val="0"/>
          <w:marBottom w:val="0"/>
          <w:divBdr>
            <w:top w:val="none" w:sz="0" w:space="0" w:color="auto"/>
            <w:left w:val="none" w:sz="0" w:space="0" w:color="auto"/>
            <w:bottom w:val="none" w:sz="0" w:space="0" w:color="auto"/>
            <w:right w:val="none" w:sz="0" w:space="0" w:color="auto"/>
          </w:divBdr>
        </w:div>
        <w:div w:id="1774938191">
          <w:marLeft w:val="0"/>
          <w:marRight w:val="0"/>
          <w:marTop w:val="0"/>
          <w:marBottom w:val="0"/>
          <w:divBdr>
            <w:top w:val="none" w:sz="0" w:space="0" w:color="auto"/>
            <w:left w:val="none" w:sz="0" w:space="0" w:color="auto"/>
            <w:bottom w:val="none" w:sz="0" w:space="0" w:color="auto"/>
            <w:right w:val="none" w:sz="0" w:space="0" w:color="auto"/>
          </w:divBdr>
        </w:div>
        <w:div w:id="1191803066">
          <w:marLeft w:val="0"/>
          <w:marRight w:val="0"/>
          <w:marTop w:val="0"/>
          <w:marBottom w:val="0"/>
          <w:divBdr>
            <w:top w:val="none" w:sz="0" w:space="0" w:color="auto"/>
            <w:left w:val="none" w:sz="0" w:space="0" w:color="auto"/>
            <w:bottom w:val="none" w:sz="0" w:space="0" w:color="auto"/>
            <w:right w:val="none" w:sz="0" w:space="0" w:color="auto"/>
          </w:divBdr>
        </w:div>
        <w:div w:id="904484588">
          <w:marLeft w:val="0"/>
          <w:marRight w:val="0"/>
          <w:marTop w:val="0"/>
          <w:marBottom w:val="0"/>
          <w:divBdr>
            <w:top w:val="none" w:sz="0" w:space="0" w:color="auto"/>
            <w:left w:val="none" w:sz="0" w:space="0" w:color="auto"/>
            <w:bottom w:val="none" w:sz="0" w:space="0" w:color="auto"/>
            <w:right w:val="none" w:sz="0" w:space="0" w:color="auto"/>
          </w:divBdr>
        </w:div>
        <w:div w:id="913589536">
          <w:marLeft w:val="0"/>
          <w:marRight w:val="0"/>
          <w:marTop w:val="0"/>
          <w:marBottom w:val="0"/>
          <w:divBdr>
            <w:top w:val="none" w:sz="0" w:space="0" w:color="auto"/>
            <w:left w:val="none" w:sz="0" w:space="0" w:color="auto"/>
            <w:bottom w:val="none" w:sz="0" w:space="0" w:color="auto"/>
            <w:right w:val="none" w:sz="0" w:space="0" w:color="auto"/>
          </w:divBdr>
        </w:div>
        <w:div w:id="60371829">
          <w:marLeft w:val="0"/>
          <w:marRight w:val="0"/>
          <w:marTop w:val="0"/>
          <w:marBottom w:val="0"/>
          <w:divBdr>
            <w:top w:val="none" w:sz="0" w:space="0" w:color="auto"/>
            <w:left w:val="none" w:sz="0" w:space="0" w:color="auto"/>
            <w:bottom w:val="none" w:sz="0" w:space="0" w:color="auto"/>
            <w:right w:val="none" w:sz="0" w:space="0" w:color="auto"/>
          </w:divBdr>
        </w:div>
        <w:div w:id="461847705">
          <w:marLeft w:val="0"/>
          <w:marRight w:val="0"/>
          <w:marTop w:val="0"/>
          <w:marBottom w:val="0"/>
          <w:divBdr>
            <w:top w:val="none" w:sz="0" w:space="0" w:color="auto"/>
            <w:left w:val="none" w:sz="0" w:space="0" w:color="auto"/>
            <w:bottom w:val="none" w:sz="0" w:space="0" w:color="auto"/>
            <w:right w:val="none" w:sz="0" w:space="0" w:color="auto"/>
          </w:divBdr>
        </w:div>
        <w:div w:id="1313291894">
          <w:marLeft w:val="0"/>
          <w:marRight w:val="0"/>
          <w:marTop w:val="0"/>
          <w:marBottom w:val="0"/>
          <w:divBdr>
            <w:top w:val="none" w:sz="0" w:space="0" w:color="auto"/>
            <w:left w:val="none" w:sz="0" w:space="0" w:color="auto"/>
            <w:bottom w:val="none" w:sz="0" w:space="0" w:color="auto"/>
            <w:right w:val="none" w:sz="0" w:space="0" w:color="auto"/>
          </w:divBdr>
        </w:div>
        <w:div w:id="1379279678">
          <w:marLeft w:val="0"/>
          <w:marRight w:val="0"/>
          <w:marTop w:val="0"/>
          <w:marBottom w:val="0"/>
          <w:divBdr>
            <w:top w:val="none" w:sz="0" w:space="0" w:color="auto"/>
            <w:left w:val="none" w:sz="0" w:space="0" w:color="auto"/>
            <w:bottom w:val="none" w:sz="0" w:space="0" w:color="auto"/>
            <w:right w:val="none" w:sz="0" w:space="0" w:color="auto"/>
          </w:divBdr>
        </w:div>
      </w:divsChild>
    </w:div>
    <w:div w:id="225146691">
      <w:bodyDiv w:val="1"/>
      <w:marLeft w:val="0"/>
      <w:marRight w:val="0"/>
      <w:marTop w:val="0"/>
      <w:marBottom w:val="0"/>
      <w:divBdr>
        <w:top w:val="none" w:sz="0" w:space="0" w:color="auto"/>
        <w:left w:val="none" w:sz="0" w:space="0" w:color="auto"/>
        <w:bottom w:val="none" w:sz="0" w:space="0" w:color="auto"/>
        <w:right w:val="none" w:sz="0" w:space="0" w:color="auto"/>
      </w:divBdr>
      <w:divsChild>
        <w:div w:id="2008946766">
          <w:marLeft w:val="0"/>
          <w:marRight w:val="0"/>
          <w:marTop w:val="0"/>
          <w:marBottom w:val="0"/>
          <w:divBdr>
            <w:top w:val="none" w:sz="0" w:space="0" w:color="auto"/>
            <w:left w:val="none" w:sz="0" w:space="0" w:color="auto"/>
            <w:bottom w:val="none" w:sz="0" w:space="0" w:color="auto"/>
            <w:right w:val="none" w:sz="0" w:space="0" w:color="auto"/>
          </w:divBdr>
        </w:div>
        <w:div w:id="15351517">
          <w:marLeft w:val="0"/>
          <w:marRight w:val="0"/>
          <w:marTop w:val="0"/>
          <w:marBottom w:val="0"/>
          <w:divBdr>
            <w:top w:val="none" w:sz="0" w:space="0" w:color="auto"/>
            <w:left w:val="none" w:sz="0" w:space="0" w:color="auto"/>
            <w:bottom w:val="none" w:sz="0" w:space="0" w:color="auto"/>
            <w:right w:val="none" w:sz="0" w:space="0" w:color="auto"/>
          </w:divBdr>
        </w:div>
        <w:div w:id="947932133">
          <w:marLeft w:val="0"/>
          <w:marRight w:val="0"/>
          <w:marTop w:val="0"/>
          <w:marBottom w:val="0"/>
          <w:divBdr>
            <w:top w:val="none" w:sz="0" w:space="0" w:color="auto"/>
            <w:left w:val="none" w:sz="0" w:space="0" w:color="auto"/>
            <w:bottom w:val="none" w:sz="0" w:space="0" w:color="auto"/>
            <w:right w:val="none" w:sz="0" w:space="0" w:color="auto"/>
          </w:divBdr>
        </w:div>
        <w:div w:id="1043597205">
          <w:marLeft w:val="0"/>
          <w:marRight w:val="0"/>
          <w:marTop w:val="0"/>
          <w:marBottom w:val="0"/>
          <w:divBdr>
            <w:top w:val="none" w:sz="0" w:space="0" w:color="auto"/>
            <w:left w:val="none" w:sz="0" w:space="0" w:color="auto"/>
            <w:bottom w:val="none" w:sz="0" w:space="0" w:color="auto"/>
            <w:right w:val="none" w:sz="0" w:space="0" w:color="auto"/>
          </w:divBdr>
        </w:div>
        <w:div w:id="1897277682">
          <w:marLeft w:val="0"/>
          <w:marRight w:val="0"/>
          <w:marTop w:val="0"/>
          <w:marBottom w:val="0"/>
          <w:divBdr>
            <w:top w:val="none" w:sz="0" w:space="0" w:color="auto"/>
            <w:left w:val="none" w:sz="0" w:space="0" w:color="auto"/>
            <w:bottom w:val="none" w:sz="0" w:space="0" w:color="auto"/>
            <w:right w:val="none" w:sz="0" w:space="0" w:color="auto"/>
          </w:divBdr>
        </w:div>
        <w:div w:id="1389458669">
          <w:marLeft w:val="0"/>
          <w:marRight w:val="0"/>
          <w:marTop w:val="0"/>
          <w:marBottom w:val="0"/>
          <w:divBdr>
            <w:top w:val="none" w:sz="0" w:space="0" w:color="auto"/>
            <w:left w:val="none" w:sz="0" w:space="0" w:color="auto"/>
            <w:bottom w:val="none" w:sz="0" w:space="0" w:color="auto"/>
            <w:right w:val="none" w:sz="0" w:space="0" w:color="auto"/>
          </w:divBdr>
        </w:div>
        <w:div w:id="1293557530">
          <w:marLeft w:val="0"/>
          <w:marRight w:val="0"/>
          <w:marTop w:val="0"/>
          <w:marBottom w:val="0"/>
          <w:divBdr>
            <w:top w:val="none" w:sz="0" w:space="0" w:color="auto"/>
            <w:left w:val="none" w:sz="0" w:space="0" w:color="auto"/>
            <w:bottom w:val="none" w:sz="0" w:space="0" w:color="auto"/>
            <w:right w:val="none" w:sz="0" w:space="0" w:color="auto"/>
          </w:divBdr>
        </w:div>
        <w:div w:id="865411874">
          <w:marLeft w:val="0"/>
          <w:marRight w:val="0"/>
          <w:marTop w:val="0"/>
          <w:marBottom w:val="0"/>
          <w:divBdr>
            <w:top w:val="none" w:sz="0" w:space="0" w:color="auto"/>
            <w:left w:val="none" w:sz="0" w:space="0" w:color="auto"/>
            <w:bottom w:val="none" w:sz="0" w:space="0" w:color="auto"/>
            <w:right w:val="none" w:sz="0" w:space="0" w:color="auto"/>
          </w:divBdr>
        </w:div>
        <w:div w:id="1733776038">
          <w:marLeft w:val="0"/>
          <w:marRight w:val="0"/>
          <w:marTop w:val="0"/>
          <w:marBottom w:val="0"/>
          <w:divBdr>
            <w:top w:val="none" w:sz="0" w:space="0" w:color="auto"/>
            <w:left w:val="none" w:sz="0" w:space="0" w:color="auto"/>
            <w:bottom w:val="none" w:sz="0" w:space="0" w:color="auto"/>
            <w:right w:val="none" w:sz="0" w:space="0" w:color="auto"/>
          </w:divBdr>
        </w:div>
        <w:div w:id="1262760489">
          <w:marLeft w:val="0"/>
          <w:marRight w:val="0"/>
          <w:marTop w:val="0"/>
          <w:marBottom w:val="0"/>
          <w:divBdr>
            <w:top w:val="none" w:sz="0" w:space="0" w:color="auto"/>
            <w:left w:val="none" w:sz="0" w:space="0" w:color="auto"/>
            <w:bottom w:val="none" w:sz="0" w:space="0" w:color="auto"/>
            <w:right w:val="none" w:sz="0" w:space="0" w:color="auto"/>
          </w:divBdr>
        </w:div>
        <w:div w:id="1477600585">
          <w:marLeft w:val="0"/>
          <w:marRight w:val="0"/>
          <w:marTop w:val="0"/>
          <w:marBottom w:val="0"/>
          <w:divBdr>
            <w:top w:val="none" w:sz="0" w:space="0" w:color="auto"/>
            <w:left w:val="none" w:sz="0" w:space="0" w:color="auto"/>
            <w:bottom w:val="none" w:sz="0" w:space="0" w:color="auto"/>
            <w:right w:val="none" w:sz="0" w:space="0" w:color="auto"/>
          </w:divBdr>
        </w:div>
        <w:div w:id="1155419586">
          <w:marLeft w:val="0"/>
          <w:marRight w:val="0"/>
          <w:marTop w:val="0"/>
          <w:marBottom w:val="0"/>
          <w:divBdr>
            <w:top w:val="none" w:sz="0" w:space="0" w:color="auto"/>
            <w:left w:val="none" w:sz="0" w:space="0" w:color="auto"/>
            <w:bottom w:val="none" w:sz="0" w:space="0" w:color="auto"/>
            <w:right w:val="none" w:sz="0" w:space="0" w:color="auto"/>
          </w:divBdr>
        </w:div>
        <w:div w:id="396513935">
          <w:marLeft w:val="0"/>
          <w:marRight w:val="0"/>
          <w:marTop w:val="0"/>
          <w:marBottom w:val="0"/>
          <w:divBdr>
            <w:top w:val="none" w:sz="0" w:space="0" w:color="auto"/>
            <w:left w:val="none" w:sz="0" w:space="0" w:color="auto"/>
            <w:bottom w:val="none" w:sz="0" w:space="0" w:color="auto"/>
            <w:right w:val="none" w:sz="0" w:space="0" w:color="auto"/>
          </w:divBdr>
        </w:div>
        <w:div w:id="1542858185">
          <w:marLeft w:val="0"/>
          <w:marRight w:val="0"/>
          <w:marTop w:val="0"/>
          <w:marBottom w:val="0"/>
          <w:divBdr>
            <w:top w:val="none" w:sz="0" w:space="0" w:color="auto"/>
            <w:left w:val="none" w:sz="0" w:space="0" w:color="auto"/>
            <w:bottom w:val="none" w:sz="0" w:space="0" w:color="auto"/>
            <w:right w:val="none" w:sz="0" w:space="0" w:color="auto"/>
          </w:divBdr>
        </w:div>
        <w:div w:id="682903024">
          <w:marLeft w:val="0"/>
          <w:marRight w:val="0"/>
          <w:marTop w:val="0"/>
          <w:marBottom w:val="0"/>
          <w:divBdr>
            <w:top w:val="none" w:sz="0" w:space="0" w:color="auto"/>
            <w:left w:val="none" w:sz="0" w:space="0" w:color="auto"/>
            <w:bottom w:val="none" w:sz="0" w:space="0" w:color="auto"/>
            <w:right w:val="none" w:sz="0" w:space="0" w:color="auto"/>
          </w:divBdr>
        </w:div>
        <w:div w:id="317081290">
          <w:marLeft w:val="0"/>
          <w:marRight w:val="0"/>
          <w:marTop w:val="0"/>
          <w:marBottom w:val="0"/>
          <w:divBdr>
            <w:top w:val="none" w:sz="0" w:space="0" w:color="auto"/>
            <w:left w:val="none" w:sz="0" w:space="0" w:color="auto"/>
            <w:bottom w:val="none" w:sz="0" w:space="0" w:color="auto"/>
            <w:right w:val="none" w:sz="0" w:space="0" w:color="auto"/>
          </w:divBdr>
        </w:div>
        <w:div w:id="1430659342">
          <w:marLeft w:val="0"/>
          <w:marRight w:val="0"/>
          <w:marTop w:val="0"/>
          <w:marBottom w:val="0"/>
          <w:divBdr>
            <w:top w:val="none" w:sz="0" w:space="0" w:color="auto"/>
            <w:left w:val="none" w:sz="0" w:space="0" w:color="auto"/>
            <w:bottom w:val="none" w:sz="0" w:space="0" w:color="auto"/>
            <w:right w:val="none" w:sz="0" w:space="0" w:color="auto"/>
          </w:divBdr>
        </w:div>
        <w:div w:id="817651835">
          <w:marLeft w:val="0"/>
          <w:marRight w:val="0"/>
          <w:marTop w:val="0"/>
          <w:marBottom w:val="0"/>
          <w:divBdr>
            <w:top w:val="none" w:sz="0" w:space="0" w:color="auto"/>
            <w:left w:val="none" w:sz="0" w:space="0" w:color="auto"/>
            <w:bottom w:val="none" w:sz="0" w:space="0" w:color="auto"/>
            <w:right w:val="none" w:sz="0" w:space="0" w:color="auto"/>
          </w:divBdr>
        </w:div>
        <w:div w:id="54210373">
          <w:marLeft w:val="0"/>
          <w:marRight w:val="0"/>
          <w:marTop w:val="0"/>
          <w:marBottom w:val="0"/>
          <w:divBdr>
            <w:top w:val="none" w:sz="0" w:space="0" w:color="auto"/>
            <w:left w:val="none" w:sz="0" w:space="0" w:color="auto"/>
            <w:bottom w:val="none" w:sz="0" w:space="0" w:color="auto"/>
            <w:right w:val="none" w:sz="0" w:space="0" w:color="auto"/>
          </w:divBdr>
        </w:div>
      </w:divsChild>
    </w:div>
    <w:div w:id="270213125">
      <w:bodyDiv w:val="1"/>
      <w:marLeft w:val="0"/>
      <w:marRight w:val="0"/>
      <w:marTop w:val="0"/>
      <w:marBottom w:val="0"/>
      <w:divBdr>
        <w:top w:val="none" w:sz="0" w:space="0" w:color="auto"/>
        <w:left w:val="none" w:sz="0" w:space="0" w:color="auto"/>
        <w:bottom w:val="none" w:sz="0" w:space="0" w:color="auto"/>
        <w:right w:val="none" w:sz="0" w:space="0" w:color="auto"/>
      </w:divBdr>
      <w:divsChild>
        <w:div w:id="295648122">
          <w:marLeft w:val="0"/>
          <w:marRight w:val="0"/>
          <w:marTop w:val="0"/>
          <w:marBottom w:val="0"/>
          <w:divBdr>
            <w:top w:val="none" w:sz="0" w:space="0" w:color="auto"/>
            <w:left w:val="none" w:sz="0" w:space="0" w:color="auto"/>
            <w:bottom w:val="none" w:sz="0" w:space="0" w:color="auto"/>
            <w:right w:val="none" w:sz="0" w:space="0" w:color="auto"/>
          </w:divBdr>
        </w:div>
        <w:div w:id="1084109659">
          <w:marLeft w:val="0"/>
          <w:marRight w:val="0"/>
          <w:marTop w:val="0"/>
          <w:marBottom w:val="0"/>
          <w:divBdr>
            <w:top w:val="none" w:sz="0" w:space="0" w:color="auto"/>
            <w:left w:val="none" w:sz="0" w:space="0" w:color="auto"/>
            <w:bottom w:val="none" w:sz="0" w:space="0" w:color="auto"/>
            <w:right w:val="none" w:sz="0" w:space="0" w:color="auto"/>
          </w:divBdr>
        </w:div>
        <w:div w:id="1211654533">
          <w:marLeft w:val="0"/>
          <w:marRight w:val="0"/>
          <w:marTop w:val="0"/>
          <w:marBottom w:val="0"/>
          <w:divBdr>
            <w:top w:val="none" w:sz="0" w:space="0" w:color="auto"/>
            <w:left w:val="none" w:sz="0" w:space="0" w:color="auto"/>
            <w:bottom w:val="none" w:sz="0" w:space="0" w:color="auto"/>
            <w:right w:val="none" w:sz="0" w:space="0" w:color="auto"/>
          </w:divBdr>
        </w:div>
        <w:div w:id="1570186948">
          <w:marLeft w:val="0"/>
          <w:marRight w:val="0"/>
          <w:marTop w:val="0"/>
          <w:marBottom w:val="0"/>
          <w:divBdr>
            <w:top w:val="none" w:sz="0" w:space="0" w:color="auto"/>
            <w:left w:val="none" w:sz="0" w:space="0" w:color="auto"/>
            <w:bottom w:val="none" w:sz="0" w:space="0" w:color="auto"/>
            <w:right w:val="none" w:sz="0" w:space="0" w:color="auto"/>
          </w:divBdr>
        </w:div>
        <w:div w:id="1403524931">
          <w:marLeft w:val="0"/>
          <w:marRight w:val="0"/>
          <w:marTop w:val="0"/>
          <w:marBottom w:val="0"/>
          <w:divBdr>
            <w:top w:val="none" w:sz="0" w:space="0" w:color="auto"/>
            <w:left w:val="none" w:sz="0" w:space="0" w:color="auto"/>
            <w:bottom w:val="none" w:sz="0" w:space="0" w:color="auto"/>
            <w:right w:val="none" w:sz="0" w:space="0" w:color="auto"/>
          </w:divBdr>
        </w:div>
        <w:div w:id="1912541303">
          <w:marLeft w:val="0"/>
          <w:marRight w:val="0"/>
          <w:marTop w:val="0"/>
          <w:marBottom w:val="0"/>
          <w:divBdr>
            <w:top w:val="none" w:sz="0" w:space="0" w:color="auto"/>
            <w:left w:val="none" w:sz="0" w:space="0" w:color="auto"/>
            <w:bottom w:val="none" w:sz="0" w:space="0" w:color="auto"/>
            <w:right w:val="none" w:sz="0" w:space="0" w:color="auto"/>
          </w:divBdr>
        </w:div>
        <w:div w:id="702707352">
          <w:marLeft w:val="0"/>
          <w:marRight w:val="0"/>
          <w:marTop w:val="0"/>
          <w:marBottom w:val="0"/>
          <w:divBdr>
            <w:top w:val="none" w:sz="0" w:space="0" w:color="auto"/>
            <w:left w:val="none" w:sz="0" w:space="0" w:color="auto"/>
            <w:bottom w:val="none" w:sz="0" w:space="0" w:color="auto"/>
            <w:right w:val="none" w:sz="0" w:space="0" w:color="auto"/>
          </w:divBdr>
        </w:div>
        <w:div w:id="1638299885">
          <w:marLeft w:val="0"/>
          <w:marRight w:val="0"/>
          <w:marTop w:val="0"/>
          <w:marBottom w:val="0"/>
          <w:divBdr>
            <w:top w:val="none" w:sz="0" w:space="0" w:color="auto"/>
            <w:left w:val="none" w:sz="0" w:space="0" w:color="auto"/>
            <w:bottom w:val="none" w:sz="0" w:space="0" w:color="auto"/>
            <w:right w:val="none" w:sz="0" w:space="0" w:color="auto"/>
          </w:divBdr>
        </w:div>
        <w:div w:id="1136337397">
          <w:marLeft w:val="0"/>
          <w:marRight w:val="0"/>
          <w:marTop w:val="0"/>
          <w:marBottom w:val="0"/>
          <w:divBdr>
            <w:top w:val="none" w:sz="0" w:space="0" w:color="auto"/>
            <w:left w:val="none" w:sz="0" w:space="0" w:color="auto"/>
            <w:bottom w:val="none" w:sz="0" w:space="0" w:color="auto"/>
            <w:right w:val="none" w:sz="0" w:space="0" w:color="auto"/>
          </w:divBdr>
        </w:div>
        <w:div w:id="1113014232">
          <w:marLeft w:val="0"/>
          <w:marRight w:val="0"/>
          <w:marTop w:val="0"/>
          <w:marBottom w:val="0"/>
          <w:divBdr>
            <w:top w:val="none" w:sz="0" w:space="0" w:color="auto"/>
            <w:left w:val="none" w:sz="0" w:space="0" w:color="auto"/>
            <w:bottom w:val="none" w:sz="0" w:space="0" w:color="auto"/>
            <w:right w:val="none" w:sz="0" w:space="0" w:color="auto"/>
          </w:divBdr>
        </w:div>
        <w:div w:id="1783528165">
          <w:marLeft w:val="0"/>
          <w:marRight w:val="0"/>
          <w:marTop w:val="0"/>
          <w:marBottom w:val="0"/>
          <w:divBdr>
            <w:top w:val="none" w:sz="0" w:space="0" w:color="auto"/>
            <w:left w:val="none" w:sz="0" w:space="0" w:color="auto"/>
            <w:bottom w:val="none" w:sz="0" w:space="0" w:color="auto"/>
            <w:right w:val="none" w:sz="0" w:space="0" w:color="auto"/>
          </w:divBdr>
        </w:div>
        <w:div w:id="1303538135">
          <w:marLeft w:val="0"/>
          <w:marRight w:val="0"/>
          <w:marTop w:val="0"/>
          <w:marBottom w:val="0"/>
          <w:divBdr>
            <w:top w:val="none" w:sz="0" w:space="0" w:color="auto"/>
            <w:left w:val="none" w:sz="0" w:space="0" w:color="auto"/>
            <w:bottom w:val="none" w:sz="0" w:space="0" w:color="auto"/>
            <w:right w:val="none" w:sz="0" w:space="0" w:color="auto"/>
          </w:divBdr>
        </w:div>
        <w:div w:id="94131585">
          <w:marLeft w:val="0"/>
          <w:marRight w:val="0"/>
          <w:marTop w:val="0"/>
          <w:marBottom w:val="0"/>
          <w:divBdr>
            <w:top w:val="none" w:sz="0" w:space="0" w:color="auto"/>
            <w:left w:val="none" w:sz="0" w:space="0" w:color="auto"/>
            <w:bottom w:val="none" w:sz="0" w:space="0" w:color="auto"/>
            <w:right w:val="none" w:sz="0" w:space="0" w:color="auto"/>
          </w:divBdr>
        </w:div>
        <w:div w:id="1367096262">
          <w:marLeft w:val="0"/>
          <w:marRight w:val="0"/>
          <w:marTop w:val="0"/>
          <w:marBottom w:val="0"/>
          <w:divBdr>
            <w:top w:val="none" w:sz="0" w:space="0" w:color="auto"/>
            <w:left w:val="none" w:sz="0" w:space="0" w:color="auto"/>
            <w:bottom w:val="none" w:sz="0" w:space="0" w:color="auto"/>
            <w:right w:val="none" w:sz="0" w:space="0" w:color="auto"/>
          </w:divBdr>
        </w:div>
        <w:div w:id="977957148">
          <w:marLeft w:val="0"/>
          <w:marRight w:val="0"/>
          <w:marTop w:val="0"/>
          <w:marBottom w:val="0"/>
          <w:divBdr>
            <w:top w:val="none" w:sz="0" w:space="0" w:color="auto"/>
            <w:left w:val="none" w:sz="0" w:space="0" w:color="auto"/>
            <w:bottom w:val="none" w:sz="0" w:space="0" w:color="auto"/>
            <w:right w:val="none" w:sz="0" w:space="0" w:color="auto"/>
          </w:divBdr>
        </w:div>
        <w:div w:id="1791974157">
          <w:marLeft w:val="0"/>
          <w:marRight w:val="0"/>
          <w:marTop w:val="0"/>
          <w:marBottom w:val="0"/>
          <w:divBdr>
            <w:top w:val="none" w:sz="0" w:space="0" w:color="auto"/>
            <w:left w:val="none" w:sz="0" w:space="0" w:color="auto"/>
            <w:bottom w:val="none" w:sz="0" w:space="0" w:color="auto"/>
            <w:right w:val="none" w:sz="0" w:space="0" w:color="auto"/>
          </w:divBdr>
        </w:div>
        <w:div w:id="390230905">
          <w:marLeft w:val="0"/>
          <w:marRight w:val="0"/>
          <w:marTop w:val="0"/>
          <w:marBottom w:val="0"/>
          <w:divBdr>
            <w:top w:val="none" w:sz="0" w:space="0" w:color="auto"/>
            <w:left w:val="none" w:sz="0" w:space="0" w:color="auto"/>
            <w:bottom w:val="none" w:sz="0" w:space="0" w:color="auto"/>
            <w:right w:val="none" w:sz="0" w:space="0" w:color="auto"/>
          </w:divBdr>
        </w:div>
        <w:div w:id="436221905">
          <w:marLeft w:val="0"/>
          <w:marRight w:val="0"/>
          <w:marTop w:val="0"/>
          <w:marBottom w:val="0"/>
          <w:divBdr>
            <w:top w:val="none" w:sz="0" w:space="0" w:color="auto"/>
            <w:left w:val="none" w:sz="0" w:space="0" w:color="auto"/>
            <w:bottom w:val="none" w:sz="0" w:space="0" w:color="auto"/>
            <w:right w:val="none" w:sz="0" w:space="0" w:color="auto"/>
          </w:divBdr>
        </w:div>
        <w:div w:id="1799375759">
          <w:marLeft w:val="0"/>
          <w:marRight w:val="0"/>
          <w:marTop w:val="0"/>
          <w:marBottom w:val="0"/>
          <w:divBdr>
            <w:top w:val="none" w:sz="0" w:space="0" w:color="auto"/>
            <w:left w:val="none" w:sz="0" w:space="0" w:color="auto"/>
            <w:bottom w:val="none" w:sz="0" w:space="0" w:color="auto"/>
            <w:right w:val="none" w:sz="0" w:space="0" w:color="auto"/>
          </w:divBdr>
        </w:div>
        <w:div w:id="1518542842">
          <w:marLeft w:val="0"/>
          <w:marRight w:val="0"/>
          <w:marTop w:val="0"/>
          <w:marBottom w:val="0"/>
          <w:divBdr>
            <w:top w:val="none" w:sz="0" w:space="0" w:color="auto"/>
            <w:left w:val="none" w:sz="0" w:space="0" w:color="auto"/>
            <w:bottom w:val="none" w:sz="0" w:space="0" w:color="auto"/>
            <w:right w:val="none" w:sz="0" w:space="0" w:color="auto"/>
          </w:divBdr>
        </w:div>
        <w:div w:id="1038630901">
          <w:marLeft w:val="0"/>
          <w:marRight w:val="0"/>
          <w:marTop w:val="0"/>
          <w:marBottom w:val="0"/>
          <w:divBdr>
            <w:top w:val="none" w:sz="0" w:space="0" w:color="auto"/>
            <w:left w:val="none" w:sz="0" w:space="0" w:color="auto"/>
            <w:bottom w:val="none" w:sz="0" w:space="0" w:color="auto"/>
            <w:right w:val="none" w:sz="0" w:space="0" w:color="auto"/>
          </w:divBdr>
        </w:div>
        <w:div w:id="1203253623">
          <w:marLeft w:val="0"/>
          <w:marRight w:val="0"/>
          <w:marTop w:val="0"/>
          <w:marBottom w:val="0"/>
          <w:divBdr>
            <w:top w:val="none" w:sz="0" w:space="0" w:color="auto"/>
            <w:left w:val="none" w:sz="0" w:space="0" w:color="auto"/>
            <w:bottom w:val="none" w:sz="0" w:space="0" w:color="auto"/>
            <w:right w:val="none" w:sz="0" w:space="0" w:color="auto"/>
          </w:divBdr>
        </w:div>
        <w:div w:id="1196770887">
          <w:marLeft w:val="0"/>
          <w:marRight w:val="0"/>
          <w:marTop w:val="0"/>
          <w:marBottom w:val="0"/>
          <w:divBdr>
            <w:top w:val="none" w:sz="0" w:space="0" w:color="auto"/>
            <w:left w:val="none" w:sz="0" w:space="0" w:color="auto"/>
            <w:bottom w:val="none" w:sz="0" w:space="0" w:color="auto"/>
            <w:right w:val="none" w:sz="0" w:space="0" w:color="auto"/>
          </w:divBdr>
        </w:div>
        <w:div w:id="615021494">
          <w:marLeft w:val="0"/>
          <w:marRight w:val="0"/>
          <w:marTop w:val="0"/>
          <w:marBottom w:val="0"/>
          <w:divBdr>
            <w:top w:val="none" w:sz="0" w:space="0" w:color="auto"/>
            <w:left w:val="none" w:sz="0" w:space="0" w:color="auto"/>
            <w:bottom w:val="none" w:sz="0" w:space="0" w:color="auto"/>
            <w:right w:val="none" w:sz="0" w:space="0" w:color="auto"/>
          </w:divBdr>
        </w:div>
        <w:div w:id="513228018">
          <w:marLeft w:val="0"/>
          <w:marRight w:val="0"/>
          <w:marTop w:val="0"/>
          <w:marBottom w:val="0"/>
          <w:divBdr>
            <w:top w:val="none" w:sz="0" w:space="0" w:color="auto"/>
            <w:left w:val="none" w:sz="0" w:space="0" w:color="auto"/>
            <w:bottom w:val="none" w:sz="0" w:space="0" w:color="auto"/>
            <w:right w:val="none" w:sz="0" w:space="0" w:color="auto"/>
          </w:divBdr>
        </w:div>
        <w:div w:id="895816703">
          <w:marLeft w:val="0"/>
          <w:marRight w:val="0"/>
          <w:marTop w:val="0"/>
          <w:marBottom w:val="0"/>
          <w:divBdr>
            <w:top w:val="none" w:sz="0" w:space="0" w:color="auto"/>
            <w:left w:val="none" w:sz="0" w:space="0" w:color="auto"/>
            <w:bottom w:val="none" w:sz="0" w:space="0" w:color="auto"/>
            <w:right w:val="none" w:sz="0" w:space="0" w:color="auto"/>
          </w:divBdr>
        </w:div>
        <w:div w:id="709184496">
          <w:marLeft w:val="0"/>
          <w:marRight w:val="0"/>
          <w:marTop w:val="0"/>
          <w:marBottom w:val="0"/>
          <w:divBdr>
            <w:top w:val="none" w:sz="0" w:space="0" w:color="auto"/>
            <w:left w:val="none" w:sz="0" w:space="0" w:color="auto"/>
            <w:bottom w:val="none" w:sz="0" w:space="0" w:color="auto"/>
            <w:right w:val="none" w:sz="0" w:space="0" w:color="auto"/>
          </w:divBdr>
        </w:div>
        <w:div w:id="1565527847">
          <w:marLeft w:val="0"/>
          <w:marRight w:val="0"/>
          <w:marTop w:val="0"/>
          <w:marBottom w:val="0"/>
          <w:divBdr>
            <w:top w:val="none" w:sz="0" w:space="0" w:color="auto"/>
            <w:left w:val="none" w:sz="0" w:space="0" w:color="auto"/>
            <w:bottom w:val="none" w:sz="0" w:space="0" w:color="auto"/>
            <w:right w:val="none" w:sz="0" w:space="0" w:color="auto"/>
          </w:divBdr>
        </w:div>
        <w:div w:id="1306277694">
          <w:marLeft w:val="0"/>
          <w:marRight w:val="0"/>
          <w:marTop w:val="0"/>
          <w:marBottom w:val="0"/>
          <w:divBdr>
            <w:top w:val="none" w:sz="0" w:space="0" w:color="auto"/>
            <w:left w:val="none" w:sz="0" w:space="0" w:color="auto"/>
            <w:bottom w:val="none" w:sz="0" w:space="0" w:color="auto"/>
            <w:right w:val="none" w:sz="0" w:space="0" w:color="auto"/>
          </w:divBdr>
        </w:div>
        <w:div w:id="1361471525">
          <w:marLeft w:val="0"/>
          <w:marRight w:val="0"/>
          <w:marTop w:val="0"/>
          <w:marBottom w:val="0"/>
          <w:divBdr>
            <w:top w:val="none" w:sz="0" w:space="0" w:color="auto"/>
            <w:left w:val="none" w:sz="0" w:space="0" w:color="auto"/>
            <w:bottom w:val="none" w:sz="0" w:space="0" w:color="auto"/>
            <w:right w:val="none" w:sz="0" w:space="0" w:color="auto"/>
          </w:divBdr>
        </w:div>
        <w:div w:id="1764107279">
          <w:marLeft w:val="0"/>
          <w:marRight w:val="0"/>
          <w:marTop w:val="0"/>
          <w:marBottom w:val="0"/>
          <w:divBdr>
            <w:top w:val="none" w:sz="0" w:space="0" w:color="auto"/>
            <w:left w:val="none" w:sz="0" w:space="0" w:color="auto"/>
            <w:bottom w:val="none" w:sz="0" w:space="0" w:color="auto"/>
            <w:right w:val="none" w:sz="0" w:space="0" w:color="auto"/>
          </w:divBdr>
        </w:div>
        <w:div w:id="1622684649">
          <w:marLeft w:val="0"/>
          <w:marRight w:val="0"/>
          <w:marTop w:val="0"/>
          <w:marBottom w:val="0"/>
          <w:divBdr>
            <w:top w:val="none" w:sz="0" w:space="0" w:color="auto"/>
            <w:left w:val="none" w:sz="0" w:space="0" w:color="auto"/>
            <w:bottom w:val="none" w:sz="0" w:space="0" w:color="auto"/>
            <w:right w:val="none" w:sz="0" w:space="0" w:color="auto"/>
          </w:divBdr>
        </w:div>
      </w:divsChild>
    </w:div>
    <w:div w:id="294335810">
      <w:bodyDiv w:val="1"/>
      <w:marLeft w:val="0"/>
      <w:marRight w:val="0"/>
      <w:marTop w:val="0"/>
      <w:marBottom w:val="0"/>
      <w:divBdr>
        <w:top w:val="none" w:sz="0" w:space="0" w:color="auto"/>
        <w:left w:val="none" w:sz="0" w:space="0" w:color="auto"/>
        <w:bottom w:val="none" w:sz="0" w:space="0" w:color="auto"/>
        <w:right w:val="none" w:sz="0" w:space="0" w:color="auto"/>
      </w:divBdr>
      <w:divsChild>
        <w:div w:id="457646408">
          <w:marLeft w:val="0"/>
          <w:marRight w:val="0"/>
          <w:marTop w:val="0"/>
          <w:marBottom w:val="0"/>
          <w:divBdr>
            <w:top w:val="none" w:sz="0" w:space="0" w:color="auto"/>
            <w:left w:val="none" w:sz="0" w:space="0" w:color="auto"/>
            <w:bottom w:val="none" w:sz="0" w:space="0" w:color="auto"/>
            <w:right w:val="none" w:sz="0" w:space="0" w:color="auto"/>
          </w:divBdr>
        </w:div>
        <w:div w:id="1780223370">
          <w:marLeft w:val="0"/>
          <w:marRight w:val="0"/>
          <w:marTop w:val="0"/>
          <w:marBottom w:val="0"/>
          <w:divBdr>
            <w:top w:val="none" w:sz="0" w:space="0" w:color="auto"/>
            <w:left w:val="none" w:sz="0" w:space="0" w:color="auto"/>
            <w:bottom w:val="none" w:sz="0" w:space="0" w:color="auto"/>
            <w:right w:val="none" w:sz="0" w:space="0" w:color="auto"/>
          </w:divBdr>
        </w:div>
        <w:div w:id="1819301972">
          <w:marLeft w:val="0"/>
          <w:marRight w:val="0"/>
          <w:marTop w:val="0"/>
          <w:marBottom w:val="0"/>
          <w:divBdr>
            <w:top w:val="none" w:sz="0" w:space="0" w:color="auto"/>
            <w:left w:val="none" w:sz="0" w:space="0" w:color="auto"/>
            <w:bottom w:val="none" w:sz="0" w:space="0" w:color="auto"/>
            <w:right w:val="none" w:sz="0" w:space="0" w:color="auto"/>
          </w:divBdr>
        </w:div>
        <w:div w:id="573663164">
          <w:marLeft w:val="0"/>
          <w:marRight w:val="0"/>
          <w:marTop w:val="0"/>
          <w:marBottom w:val="0"/>
          <w:divBdr>
            <w:top w:val="none" w:sz="0" w:space="0" w:color="auto"/>
            <w:left w:val="none" w:sz="0" w:space="0" w:color="auto"/>
            <w:bottom w:val="none" w:sz="0" w:space="0" w:color="auto"/>
            <w:right w:val="none" w:sz="0" w:space="0" w:color="auto"/>
          </w:divBdr>
        </w:div>
        <w:div w:id="736902469">
          <w:marLeft w:val="0"/>
          <w:marRight w:val="0"/>
          <w:marTop w:val="0"/>
          <w:marBottom w:val="0"/>
          <w:divBdr>
            <w:top w:val="none" w:sz="0" w:space="0" w:color="auto"/>
            <w:left w:val="none" w:sz="0" w:space="0" w:color="auto"/>
            <w:bottom w:val="none" w:sz="0" w:space="0" w:color="auto"/>
            <w:right w:val="none" w:sz="0" w:space="0" w:color="auto"/>
          </w:divBdr>
        </w:div>
        <w:div w:id="254633046">
          <w:marLeft w:val="0"/>
          <w:marRight w:val="0"/>
          <w:marTop w:val="0"/>
          <w:marBottom w:val="0"/>
          <w:divBdr>
            <w:top w:val="none" w:sz="0" w:space="0" w:color="auto"/>
            <w:left w:val="none" w:sz="0" w:space="0" w:color="auto"/>
            <w:bottom w:val="none" w:sz="0" w:space="0" w:color="auto"/>
            <w:right w:val="none" w:sz="0" w:space="0" w:color="auto"/>
          </w:divBdr>
        </w:div>
        <w:div w:id="1479420553">
          <w:marLeft w:val="0"/>
          <w:marRight w:val="0"/>
          <w:marTop w:val="0"/>
          <w:marBottom w:val="0"/>
          <w:divBdr>
            <w:top w:val="none" w:sz="0" w:space="0" w:color="auto"/>
            <w:left w:val="none" w:sz="0" w:space="0" w:color="auto"/>
            <w:bottom w:val="none" w:sz="0" w:space="0" w:color="auto"/>
            <w:right w:val="none" w:sz="0" w:space="0" w:color="auto"/>
          </w:divBdr>
        </w:div>
        <w:div w:id="1854609388">
          <w:marLeft w:val="0"/>
          <w:marRight w:val="0"/>
          <w:marTop w:val="0"/>
          <w:marBottom w:val="0"/>
          <w:divBdr>
            <w:top w:val="none" w:sz="0" w:space="0" w:color="auto"/>
            <w:left w:val="none" w:sz="0" w:space="0" w:color="auto"/>
            <w:bottom w:val="none" w:sz="0" w:space="0" w:color="auto"/>
            <w:right w:val="none" w:sz="0" w:space="0" w:color="auto"/>
          </w:divBdr>
        </w:div>
        <w:div w:id="1466197938">
          <w:marLeft w:val="0"/>
          <w:marRight w:val="0"/>
          <w:marTop w:val="0"/>
          <w:marBottom w:val="0"/>
          <w:divBdr>
            <w:top w:val="none" w:sz="0" w:space="0" w:color="auto"/>
            <w:left w:val="none" w:sz="0" w:space="0" w:color="auto"/>
            <w:bottom w:val="none" w:sz="0" w:space="0" w:color="auto"/>
            <w:right w:val="none" w:sz="0" w:space="0" w:color="auto"/>
          </w:divBdr>
        </w:div>
        <w:div w:id="1250046979">
          <w:marLeft w:val="0"/>
          <w:marRight w:val="0"/>
          <w:marTop w:val="0"/>
          <w:marBottom w:val="0"/>
          <w:divBdr>
            <w:top w:val="none" w:sz="0" w:space="0" w:color="auto"/>
            <w:left w:val="none" w:sz="0" w:space="0" w:color="auto"/>
            <w:bottom w:val="none" w:sz="0" w:space="0" w:color="auto"/>
            <w:right w:val="none" w:sz="0" w:space="0" w:color="auto"/>
          </w:divBdr>
        </w:div>
        <w:div w:id="2003656359">
          <w:marLeft w:val="0"/>
          <w:marRight w:val="0"/>
          <w:marTop w:val="0"/>
          <w:marBottom w:val="0"/>
          <w:divBdr>
            <w:top w:val="none" w:sz="0" w:space="0" w:color="auto"/>
            <w:left w:val="none" w:sz="0" w:space="0" w:color="auto"/>
            <w:bottom w:val="none" w:sz="0" w:space="0" w:color="auto"/>
            <w:right w:val="none" w:sz="0" w:space="0" w:color="auto"/>
          </w:divBdr>
        </w:div>
        <w:div w:id="1233153708">
          <w:marLeft w:val="0"/>
          <w:marRight w:val="0"/>
          <w:marTop w:val="0"/>
          <w:marBottom w:val="0"/>
          <w:divBdr>
            <w:top w:val="none" w:sz="0" w:space="0" w:color="auto"/>
            <w:left w:val="none" w:sz="0" w:space="0" w:color="auto"/>
            <w:bottom w:val="none" w:sz="0" w:space="0" w:color="auto"/>
            <w:right w:val="none" w:sz="0" w:space="0" w:color="auto"/>
          </w:divBdr>
        </w:div>
        <w:div w:id="1863519421">
          <w:marLeft w:val="0"/>
          <w:marRight w:val="0"/>
          <w:marTop w:val="0"/>
          <w:marBottom w:val="0"/>
          <w:divBdr>
            <w:top w:val="none" w:sz="0" w:space="0" w:color="auto"/>
            <w:left w:val="none" w:sz="0" w:space="0" w:color="auto"/>
            <w:bottom w:val="none" w:sz="0" w:space="0" w:color="auto"/>
            <w:right w:val="none" w:sz="0" w:space="0" w:color="auto"/>
          </w:divBdr>
        </w:div>
        <w:div w:id="1156646492">
          <w:marLeft w:val="0"/>
          <w:marRight w:val="0"/>
          <w:marTop w:val="0"/>
          <w:marBottom w:val="0"/>
          <w:divBdr>
            <w:top w:val="none" w:sz="0" w:space="0" w:color="auto"/>
            <w:left w:val="none" w:sz="0" w:space="0" w:color="auto"/>
            <w:bottom w:val="none" w:sz="0" w:space="0" w:color="auto"/>
            <w:right w:val="none" w:sz="0" w:space="0" w:color="auto"/>
          </w:divBdr>
        </w:div>
        <w:div w:id="1906648367">
          <w:marLeft w:val="0"/>
          <w:marRight w:val="0"/>
          <w:marTop w:val="0"/>
          <w:marBottom w:val="0"/>
          <w:divBdr>
            <w:top w:val="none" w:sz="0" w:space="0" w:color="auto"/>
            <w:left w:val="none" w:sz="0" w:space="0" w:color="auto"/>
            <w:bottom w:val="none" w:sz="0" w:space="0" w:color="auto"/>
            <w:right w:val="none" w:sz="0" w:space="0" w:color="auto"/>
          </w:divBdr>
        </w:div>
      </w:divsChild>
    </w:div>
    <w:div w:id="358972651">
      <w:bodyDiv w:val="1"/>
      <w:marLeft w:val="0"/>
      <w:marRight w:val="0"/>
      <w:marTop w:val="0"/>
      <w:marBottom w:val="0"/>
      <w:divBdr>
        <w:top w:val="none" w:sz="0" w:space="0" w:color="auto"/>
        <w:left w:val="none" w:sz="0" w:space="0" w:color="auto"/>
        <w:bottom w:val="none" w:sz="0" w:space="0" w:color="auto"/>
        <w:right w:val="none" w:sz="0" w:space="0" w:color="auto"/>
      </w:divBdr>
      <w:divsChild>
        <w:div w:id="1084036226">
          <w:marLeft w:val="0"/>
          <w:marRight w:val="0"/>
          <w:marTop w:val="0"/>
          <w:marBottom w:val="0"/>
          <w:divBdr>
            <w:top w:val="none" w:sz="0" w:space="0" w:color="auto"/>
            <w:left w:val="none" w:sz="0" w:space="0" w:color="auto"/>
            <w:bottom w:val="none" w:sz="0" w:space="0" w:color="auto"/>
            <w:right w:val="none" w:sz="0" w:space="0" w:color="auto"/>
          </w:divBdr>
        </w:div>
        <w:div w:id="1353534847">
          <w:marLeft w:val="0"/>
          <w:marRight w:val="0"/>
          <w:marTop w:val="0"/>
          <w:marBottom w:val="0"/>
          <w:divBdr>
            <w:top w:val="none" w:sz="0" w:space="0" w:color="auto"/>
            <w:left w:val="none" w:sz="0" w:space="0" w:color="auto"/>
            <w:bottom w:val="none" w:sz="0" w:space="0" w:color="auto"/>
            <w:right w:val="none" w:sz="0" w:space="0" w:color="auto"/>
          </w:divBdr>
        </w:div>
      </w:divsChild>
    </w:div>
    <w:div w:id="363018373">
      <w:bodyDiv w:val="1"/>
      <w:marLeft w:val="0"/>
      <w:marRight w:val="0"/>
      <w:marTop w:val="0"/>
      <w:marBottom w:val="0"/>
      <w:divBdr>
        <w:top w:val="none" w:sz="0" w:space="0" w:color="auto"/>
        <w:left w:val="none" w:sz="0" w:space="0" w:color="auto"/>
        <w:bottom w:val="none" w:sz="0" w:space="0" w:color="auto"/>
        <w:right w:val="none" w:sz="0" w:space="0" w:color="auto"/>
      </w:divBdr>
      <w:divsChild>
        <w:div w:id="1287811361">
          <w:marLeft w:val="0"/>
          <w:marRight w:val="0"/>
          <w:marTop w:val="0"/>
          <w:marBottom w:val="0"/>
          <w:divBdr>
            <w:top w:val="none" w:sz="0" w:space="0" w:color="auto"/>
            <w:left w:val="none" w:sz="0" w:space="0" w:color="auto"/>
            <w:bottom w:val="none" w:sz="0" w:space="0" w:color="auto"/>
            <w:right w:val="none" w:sz="0" w:space="0" w:color="auto"/>
          </w:divBdr>
        </w:div>
        <w:div w:id="903683984">
          <w:marLeft w:val="0"/>
          <w:marRight w:val="0"/>
          <w:marTop w:val="0"/>
          <w:marBottom w:val="0"/>
          <w:divBdr>
            <w:top w:val="none" w:sz="0" w:space="0" w:color="auto"/>
            <w:left w:val="none" w:sz="0" w:space="0" w:color="auto"/>
            <w:bottom w:val="none" w:sz="0" w:space="0" w:color="auto"/>
            <w:right w:val="none" w:sz="0" w:space="0" w:color="auto"/>
          </w:divBdr>
        </w:div>
        <w:div w:id="1949773485">
          <w:marLeft w:val="0"/>
          <w:marRight w:val="0"/>
          <w:marTop w:val="0"/>
          <w:marBottom w:val="0"/>
          <w:divBdr>
            <w:top w:val="none" w:sz="0" w:space="0" w:color="auto"/>
            <w:left w:val="none" w:sz="0" w:space="0" w:color="auto"/>
            <w:bottom w:val="none" w:sz="0" w:space="0" w:color="auto"/>
            <w:right w:val="none" w:sz="0" w:space="0" w:color="auto"/>
          </w:divBdr>
        </w:div>
        <w:div w:id="641085641">
          <w:marLeft w:val="0"/>
          <w:marRight w:val="0"/>
          <w:marTop w:val="0"/>
          <w:marBottom w:val="0"/>
          <w:divBdr>
            <w:top w:val="none" w:sz="0" w:space="0" w:color="auto"/>
            <w:left w:val="none" w:sz="0" w:space="0" w:color="auto"/>
            <w:bottom w:val="none" w:sz="0" w:space="0" w:color="auto"/>
            <w:right w:val="none" w:sz="0" w:space="0" w:color="auto"/>
          </w:divBdr>
        </w:div>
        <w:div w:id="470056849">
          <w:marLeft w:val="0"/>
          <w:marRight w:val="0"/>
          <w:marTop w:val="0"/>
          <w:marBottom w:val="0"/>
          <w:divBdr>
            <w:top w:val="none" w:sz="0" w:space="0" w:color="auto"/>
            <w:left w:val="none" w:sz="0" w:space="0" w:color="auto"/>
            <w:bottom w:val="none" w:sz="0" w:space="0" w:color="auto"/>
            <w:right w:val="none" w:sz="0" w:space="0" w:color="auto"/>
          </w:divBdr>
        </w:div>
        <w:div w:id="422655089">
          <w:marLeft w:val="0"/>
          <w:marRight w:val="0"/>
          <w:marTop w:val="0"/>
          <w:marBottom w:val="0"/>
          <w:divBdr>
            <w:top w:val="none" w:sz="0" w:space="0" w:color="auto"/>
            <w:left w:val="none" w:sz="0" w:space="0" w:color="auto"/>
            <w:bottom w:val="none" w:sz="0" w:space="0" w:color="auto"/>
            <w:right w:val="none" w:sz="0" w:space="0" w:color="auto"/>
          </w:divBdr>
        </w:div>
        <w:div w:id="1917930600">
          <w:marLeft w:val="0"/>
          <w:marRight w:val="0"/>
          <w:marTop w:val="0"/>
          <w:marBottom w:val="0"/>
          <w:divBdr>
            <w:top w:val="none" w:sz="0" w:space="0" w:color="auto"/>
            <w:left w:val="none" w:sz="0" w:space="0" w:color="auto"/>
            <w:bottom w:val="none" w:sz="0" w:space="0" w:color="auto"/>
            <w:right w:val="none" w:sz="0" w:space="0" w:color="auto"/>
          </w:divBdr>
        </w:div>
        <w:div w:id="1303390343">
          <w:marLeft w:val="0"/>
          <w:marRight w:val="0"/>
          <w:marTop w:val="0"/>
          <w:marBottom w:val="0"/>
          <w:divBdr>
            <w:top w:val="none" w:sz="0" w:space="0" w:color="auto"/>
            <w:left w:val="none" w:sz="0" w:space="0" w:color="auto"/>
            <w:bottom w:val="none" w:sz="0" w:space="0" w:color="auto"/>
            <w:right w:val="none" w:sz="0" w:space="0" w:color="auto"/>
          </w:divBdr>
        </w:div>
        <w:div w:id="1743405956">
          <w:marLeft w:val="0"/>
          <w:marRight w:val="0"/>
          <w:marTop w:val="0"/>
          <w:marBottom w:val="0"/>
          <w:divBdr>
            <w:top w:val="none" w:sz="0" w:space="0" w:color="auto"/>
            <w:left w:val="none" w:sz="0" w:space="0" w:color="auto"/>
            <w:bottom w:val="none" w:sz="0" w:space="0" w:color="auto"/>
            <w:right w:val="none" w:sz="0" w:space="0" w:color="auto"/>
          </w:divBdr>
        </w:div>
        <w:div w:id="1108547348">
          <w:marLeft w:val="0"/>
          <w:marRight w:val="0"/>
          <w:marTop w:val="0"/>
          <w:marBottom w:val="0"/>
          <w:divBdr>
            <w:top w:val="none" w:sz="0" w:space="0" w:color="auto"/>
            <w:left w:val="none" w:sz="0" w:space="0" w:color="auto"/>
            <w:bottom w:val="none" w:sz="0" w:space="0" w:color="auto"/>
            <w:right w:val="none" w:sz="0" w:space="0" w:color="auto"/>
          </w:divBdr>
        </w:div>
        <w:div w:id="1553929995">
          <w:marLeft w:val="0"/>
          <w:marRight w:val="0"/>
          <w:marTop w:val="0"/>
          <w:marBottom w:val="0"/>
          <w:divBdr>
            <w:top w:val="none" w:sz="0" w:space="0" w:color="auto"/>
            <w:left w:val="none" w:sz="0" w:space="0" w:color="auto"/>
            <w:bottom w:val="none" w:sz="0" w:space="0" w:color="auto"/>
            <w:right w:val="none" w:sz="0" w:space="0" w:color="auto"/>
          </w:divBdr>
        </w:div>
        <w:div w:id="403259721">
          <w:marLeft w:val="0"/>
          <w:marRight w:val="0"/>
          <w:marTop w:val="0"/>
          <w:marBottom w:val="0"/>
          <w:divBdr>
            <w:top w:val="none" w:sz="0" w:space="0" w:color="auto"/>
            <w:left w:val="none" w:sz="0" w:space="0" w:color="auto"/>
            <w:bottom w:val="none" w:sz="0" w:space="0" w:color="auto"/>
            <w:right w:val="none" w:sz="0" w:space="0" w:color="auto"/>
          </w:divBdr>
        </w:div>
        <w:div w:id="852308408">
          <w:marLeft w:val="0"/>
          <w:marRight w:val="0"/>
          <w:marTop w:val="0"/>
          <w:marBottom w:val="0"/>
          <w:divBdr>
            <w:top w:val="none" w:sz="0" w:space="0" w:color="auto"/>
            <w:left w:val="none" w:sz="0" w:space="0" w:color="auto"/>
            <w:bottom w:val="none" w:sz="0" w:space="0" w:color="auto"/>
            <w:right w:val="none" w:sz="0" w:space="0" w:color="auto"/>
          </w:divBdr>
        </w:div>
        <w:div w:id="1825537460">
          <w:marLeft w:val="0"/>
          <w:marRight w:val="0"/>
          <w:marTop w:val="0"/>
          <w:marBottom w:val="0"/>
          <w:divBdr>
            <w:top w:val="none" w:sz="0" w:space="0" w:color="auto"/>
            <w:left w:val="none" w:sz="0" w:space="0" w:color="auto"/>
            <w:bottom w:val="none" w:sz="0" w:space="0" w:color="auto"/>
            <w:right w:val="none" w:sz="0" w:space="0" w:color="auto"/>
          </w:divBdr>
        </w:div>
        <w:div w:id="309017637">
          <w:marLeft w:val="0"/>
          <w:marRight w:val="0"/>
          <w:marTop w:val="0"/>
          <w:marBottom w:val="0"/>
          <w:divBdr>
            <w:top w:val="none" w:sz="0" w:space="0" w:color="auto"/>
            <w:left w:val="none" w:sz="0" w:space="0" w:color="auto"/>
            <w:bottom w:val="none" w:sz="0" w:space="0" w:color="auto"/>
            <w:right w:val="none" w:sz="0" w:space="0" w:color="auto"/>
          </w:divBdr>
        </w:div>
        <w:div w:id="16926984">
          <w:marLeft w:val="0"/>
          <w:marRight w:val="0"/>
          <w:marTop w:val="0"/>
          <w:marBottom w:val="0"/>
          <w:divBdr>
            <w:top w:val="none" w:sz="0" w:space="0" w:color="auto"/>
            <w:left w:val="none" w:sz="0" w:space="0" w:color="auto"/>
            <w:bottom w:val="none" w:sz="0" w:space="0" w:color="auto"/>
            <w:right w:val="none" w:sz="0" w:space="0" w:color="auto"/>
          </w:divBdr>
        </w:div>
        <w:div w:id="1229531905">
          <w:marLeft w:val="0"/>
          <w:marRight w:val="0"/>
          <w:marTop w:val="0"/>
          <w:marBottom w:val="0"/>
          <w:divBdr>
            <w:top w:val="none" w:sz="0" w:space="0" w:color="auto"/>
            <w:left w:val="none" w:sz="0" w:space="0" w:color="auto"/>
            <w:bottom w:val="none" w:sz="0" w:space="0" w:color="auto"/>
            <w:right w:val="none" w:sz="0" w:space="0" w:color="auto"/>
          </w:divBdr>
        </w:div>
        <w:div w:id="1558198406">
          <w:marLeft w:val="0"/>
          <w:marRight w:val="0"/>
          <w:marTop w:val="0"/>
          <w:marBottom w:val="0"/>
          <w:divBdr>
            <w:top w:val="none" w:sz="0" w:space="0" w:color="auto"/>
            <w:left w:val="none" w:sz="0" w:space="0" w:color="auto"/>
            <w:bottom w:val="none" w:sz="0" w:space="0" w:color="auto"/>
            <w:right w:val="none" w:sz="0" w:space="0" w:color="auto"/>
          </w:divBdr>
        </w:div>
        <w:div w:id="78529458">
          <w:marLeft w:val="0"/>
          <w:marRight w:val="0"/>
          <w:marTop w:val="0"/>
          <w:marBottom w:val="0"/>
          <w:divBdr>
            <w:top w:val="none" w:sz="0" w:space="0" w:color="auto"/>
            <w:left w:val="none" w:sz="0" w:space="0" w:color="auto"/>
            <w:bottom w:val="none" w:sz="0" w:space="0" w:color="auto"/>
            <w:right w:val="none" w:sz="0" w:space="0" w:color="auto"/>
          </w:divBdr>
        </w:div>
        <w:div w:id="425881675">
          <w:marLeft w:val="0"/>
          <w:marRight w:val="0"/>
          <w:marTop w:val="0"/>
          <w:marBottom w:val="0"/>
          <w:divBdr>
            <w:top w:val="none" w:sz="0" w:space="0" w:color="auto"/>
            <w:left w:val="none" w:sz="0" w:space="0" w:color="auto"/>
            <w:bottom w:val="none" w:sz="0" w:space="0" w:color="auto"/>
            <w:right w:val="none" w:sz="0" w:space="0" w:color="auto"/>
          </w:divBdr>
        </w:div>
      </w:divsChild>
    </w:div>
    <w:div w:id="420874974">
      <w:bodyDiv w:val="1"/>
      <w:marLeft w:val="0"/>
      <w:marRight w:val="0"/>
      <w:marTop w:val="0"/>
      <w:marBottom w:val="0"/>
      <w:divBdr>
        <w:top w:val="none" w:sz="0" w:space="0" w:color="auto"/>
        <w:left w:val="none" w:sz="0" w:space="0" w:color="auto"/>
        <w:bottom w:val="none" w:sz="0" w:space="0" w:color="auto"/>
        <w:right w:val="none" w:sz="0" w:space="0" w:color="auto"/>
      </w:divBdr>
      <w:divsChild>
        <w:div w:id="357896021">
          <w:marLeft w:val="0"/>
          <w:marRight w:val="0"/>
          <w:marTop w:val="0"/>
          <w:marBottom w:val="0"/>
          <w:divBdr>
            <w:top w:val="none" w:sz="0" w:space="0" w:color="auto"/>
            <w:left w:val="none" w:sz="0" w:space="0" w:color="auto"/>
            <w:bottom w:val="none" w:sz="0" w:space="0" w:color="auto"/>
            <w:right w:val="none" w:sz="0" w:space="0" w:color="auto"/>
          </w:divBdr>
        </w:div>
        <w:div w:id="1227303418">
          <w:marLeft w:val="0"/>
          <w:marRight w:val="0"/>
          <w:marTop w:val="0"/>
          <w:marBottom w:val="0"/>
          <w:divBdr>
            <w:top w:val="none" w:sz="0" w:space="0" w:color="auto"/>
            <w:left w:val="none" w:sz="0" w:space="0" w:color="auto"/>
            <w:bottom w:val="none" w:sz="0" w:space="0" w:color="auto"/>
            <w:right w:val="none" w:sz="0" w:space="0" w:color="auto"/>
          </w:divBdr>
        </w:div>
        <w:div w:id="1842743319">
          <w:marLeft w:val="0"/>
          <w:marRight w:val="0"/>
          <w:marTop w:val="0"/>
          <w:marBottom w:val="0"/>
          <w:divBdr>
            <w:top w:val="none" w:sz="0" w:space="0" w:color="auto"/>
            <w:left w:val="none" w:sz="0" w:space="0" w:color="auto"/>
            <w:bottom w:val="none" w:sz="0" w:space="0" w:color="auto"/>
            <w:right w:val="none" w:sz="0" w:space="0" w:color="auto"/>
          </w:divBdr>
        </w:div>
        <w:div w:id="1797409608">
          <w:marLeft w:val="0"/>
          <w:marRight w:val="0"/>
          <w:marTop w:val="0"/>
          <w:marBottom w:val="0"/>
          <w:divBdr>
            <w:top w:val="none" w:sz="0" w:space="0" w:color="auto"/>
            <w:left w:val="none" w:sz="0" w:space="0" w:color="auto"/>
            <w:bottom w:val="none" w:sz="0" w:space="0" w:color="auto"/>
            <w:right w:val="none" w:sz="0" w:space="0" w:color="auto"/>
          </w:divBdr>
        </w:div>
        <w:div w:id="556937058">
          <w:marLeft w:val="0"/>
          <w:marRight w:val="0"/>
          <w:marTop w:val="0"/>
          <w:marBottom w:val="0"/>
          <w:divBdr>
            <w:top w:val="none" w:sz="0" w:space="0" w:color="auto"/>
            <w:left w:val="none" w:sz="0" w:space="0" w:color="auto"/>
            <w:bottom w:val="none" w:sz="0" w:space="0" w:color="auto"/>
            <w:right w:val="none" w:sz="0" w:space="0" w:color="auto"/>
          </w:divBdr>
        </w:div>
        <w:div w:id="1714650654">
          <w:marLeft w:val="0"/>
          <w:marRight w:val="0"/>
          <w:marTop w:val="0"/>
          <w:marBottom w:val="0"/>
          <w:divBdr>
            <w:top w:val="none" w:sz="0" w:space="0" w:color="auto"/>
            <w:left w:val="none" w:sz="0" w:space="0" w:color="auto"/>
            <w:bottom w:val="none" w:sz="0" w:space="0" w:color="auto"/>
            <w:right w:val="none" w:sz="0" w:space="0" w:color="auto"/>
          </w:divBdr>
        </w:div>
        <w:div w:id="2060978012">
          <w:marLeft w:val="0"/>
          <w:marRight w:val="0"/>
          <w:marTop w:val="0"/>
          <w:marBottom w:val="0"/>
          <w:divBdr>
            <w:top w:val="none" w:sz="0" w:space="0" w:color="auto"/>
            <w:left w:val="none" w:sz="0" w:space="0" w:color="auto"/>
            <w:bottom w:val="none" w:sz="0" w:space="0" w:color="auto"/>
            <w:right w:val="none" w:sz="0" w:space="0" w:color="auto"/>
          </w:divBdr>
        </w:div>
        <w:div w:id="1833597067">
          <w:marLeft w:val="0"/>
          <w:marRight w:val="0"/>
          <w:marTop w:val="0"/>
          <w:marBottom w:val="0"/>
          <w:divBdr>
            <w:top w:val="none" w:sz="0" w:space="0" w:color="auto"/>
            <w:left w:val="none" w:sz="0" w:space="0" w:color="auto"/>
            <w:bottom w:val="none" w:sz="0" w:space="0" w:color="auto"/>
            <w:right w:val="none" w:sz="0" w:space="0" w:color="auto"/>
          </w:divBdr>
        </w:div>
        <w:div w:id="700782575">
          <w:marLeft w:val="0"/>
          <w:marRight w:val="0"/>
          <w:marTop w:val="0"/>
          <w:marBottom w:val="0"/>
          <w:divBdr>
            <w:top w:val="none" w:sz="0" w:space="0" w:color="auto"/>
            <w:left w:val="none" w:sz="0" w:space="0" w:color="auto"/>
            <w:bottom w:val="none" w:sz="0" w:space="0" w:color="auto"/>
            <w:right w:val="none" w:sz="0" w:space="0" w:color="auto"/>
          </w:divBdr>
        </w:div>
        <w:div w:id="766970090">
          <w:marLeft w:val="0"/>
          <w:marRight w:val="0"/>
          <w:marTop w:val="0"/>
          <w:marBottom w:val="0"/>
          <w:divBdr>
            <w:top w:val="none" w:sz="0" w:space="0" w:color="auto"/>
            <w:left w:val="none" w:sz="0" w:space="0" w:color="auto"/>
            <w:bottom w:val="none" w:sz="0" w:space="0" w:color="auto"/>
            <w:right w:val="none" w:sz="0" w:space="0" w:color="auto"/>
          </w:divBdr>
        </w:div>
        <w:div w:id="373116294">
          <w:marLeft w:val="0"/>
          <w:marRight w:val="0"/>
          <w:marTop w:val="0"/>
          <w:marBottom w:val="0"/>
          <w:divBdr>
            <w:top w:val="none" w:sz="0" w:space="0" w:color="auto"/>
            <w:left w:val="none" w:sz="0" w:space="0" w:color="auto"/>
            <w:bottom w:val="none" w:sz="0" w:space="0" w:color="auto"/>
            <w:right w:val="none" w:sz="0" w:space="0" w:color="auto"/>
          </w:divBdr>
        </w:div>
        <w:div w:id="457184015">
          <w:marLeft w:val="0"/>
          <w:marRight w:val="0"/>
          <w:marTop w:val="0"/>
          <w:marBottom w:val="0"/>
          <w:divBdr>
            <w:top w:val="none" w:sz="0" w:space="0" w:color="auto"/>
            <w:left w:val="none" w:sz="0" w:space="0" w:color="auto"/>
            <w:bottom w:val="none" w:sz="0" w:space="0" w:color="auto"/>
            <w:right w:val="none" w:sz="0" w:space="0" w:color="auto"/>
          </w:divBdr>
        </w:div>
        <w:div w:id="1001547426">
          <w:marLeft w:val="0"/>
          <w:marRight w:val="0"/>
          <w:marTop w:val="0"/>
          <w:marBottom w:val="0"/>
          <w:divBdr>
            <w:top w:val="none" w:sz="0" w:space="0" w:color="auto"/>
            <w:left w:val="none" w:sz="0" w:space="0" w:color="auto"/>
            <w:bottom w:val="none" w:sz="0" w:space="0" w:color="auto"/>
            <w:right w:val="none" w:sz="0" w:space="0" w:color="auto"/>
          </w:divBdr>
        </w:div>
        <w:div w:id="155339577">
          <w:marLeft w:val="0"/>
          <w:marRight w:val="0"/>
          <w:marTop w:val="0"/>
          <w:marBottom w:val="0"/>
          <w:divBdr>
            <w:top w:val="none" w:sz="0" w:space="0" w:color="auto"/>
            <w:left w:val="none" w:sz="0" w:space="0" w:color="auto"/>
            <w:bottom w:val="none" w:sz="0" w:space="0" w:color="auto"/>
            <w:right w:val="none" w:sz="0" w:space="0" w:color="auto"/>
          </w:divBdr>
        </w:div>
        <w:div w:id="1676573318">
          <w:marLeft w:val="0"/>
          <w:marRight w:val="0"/>
          <w:marTop w:val="0"/>
          <w:marBottom w:val="0"/>
          <w:divBdr>
            <w:top w:val="none" w:sz="0" w:space="0" w:color="auto"/>
            <w:left w:val="none" w:sz="0" w:space="0" w:color="auto"/>
            <w:bottom w:val="none" w:sz="0" w:space="0" w:color="auto"/>
            <w:right w:val="none" w:sz="0" w:space="0" w:color="auto"/>
          </w:divBdr>
        </w:div>
      </w:divsChild>
    </w:div>
    <w:div w:id="457769789">
      <w:bodyDiv w:val="1"/>
      <w:marLeft w:val="0"/>
      <w:marRight w:val="0"/>
      <w:marTop w:val="0"/>
      <w:marBottom w:val="0"/>
      <w:divBdr>
        <w:top w:val="none" w:sz="0" w:space="0" w:color="auto"/>
        <w:left w:val="none" w:sz="0" w:space="0" w:color="auto"/>
        <w:bottom w:val="none" w:sz="0" w:space="0" w:color="auto"/>
        <w:right w:val="none" w:sz="0" w:space="0" w:color="auto"/>
      </w:divBdr>
      <w:divsChild>
        <w:div w:id="449477144">
          <w:marLeft w:val="0"/>
          <w:marRight w:val="0"/>
          <w:marTop w:val="0"/>
          <w:marBottom w:val="0"/>
          <w:divBdr>
            <w:top w:val="none" w:sz="0" w:space="0" w:color="auto"/>
            <w:left w:val="none" w:sz="0" w:space="0" w:color="auto"/>
            <w:bottom w:val="none" w:sz="0" w:space="0" w:color="auto"/>
            <w:right w:val="none" w:sz="0" w:space="0" w:color="auto"/>
          </w:divBdr>
        </w:div>
        <w:div w:id="576793390">
          <w:marLeft w:val="0"/>
          <w:marRight w:val="0"/>
          <w:marTop w:val="0"/>
          <w:marBottom w:val="0"/>
          <w:divBdr>
            <w:top w:val="none" w:sz="0" w:space="0" w:color="auto"/>
            <w:left w:val="none" w:sz="0" w:space="0" w:color="auto"/>
            <w:bottom w:val="none" w:sz="0" w:space="0" w:color="auto"/>
            <w:right w:val="none" w:sz="0" w:space="0" w:color="auto"/>
          </w:divBdr>
        </w:div>
        <w:div w:id="132413280">
          <w:marLeft w:val="0"/>
          <w:marRight w:val="0"/>
          <w:marTop w:val="0"/>
          <w:marBottom w:val="0"/>
          <w:divBdr>
            <w:top w:val="none" w:sz="0" w:space="0" w:color="auto"/>
            <w:left w:val="none" w:sz="0" w:space="0" w:color="auto"/>
            <w:bottom w:val="none" w:sz="0" w:space="0" w:color="auto"/>
            <w:right w:val="none" w:sz="0" w:space="0" w:color="auto"/>
          </w:divBdr>
        </w:div>
        <w:div w:id="1410925267">
          <w:marLeft w:val="0"/>
          <w:marRight w:val="0"/>
          <w:marTop w:val="0"/>
          <w:marBottom w:val="0"/>
          <w:divBdr>
            <w:top w:val="none" w:sz="0" w:space="0" w:color="auto"/>
            <w:left w:val="none" w:sz="0" w:space="0" w:color="auto"/>
            <w:bottom w:val="none" w:sz="0" w:space="0" w:color="auto"/>
            <w:right w:val="none" w:sz="0" w:space="0" w:color="auto"/>
          </w:divBdr>
        </w:div>
        <w:div w:id="1821194233">
          <w:marLeft w:val="0"/>
          <w:marRight w:val="0"/>
          <w:marTop w:val="0"/>
          <w:marBottom w:val="0"/>
          <w:divBdr>
            <w:top w:val="none" w:sz="0" w:space="0" w:color="auto"/>
            <w:left w:val="none" w:sz="0" w:space="0" w:color="auto"/>
            <w:bottom w:val="none" w:sz="0" w:space="0" w:color="auto"/>
            <w:right w:val="none" w:sz="0" w:space="0" w:color="auto"/>
          </w:divBdr>
        </w:div>
        <w:div w:id="1507016042">
          <w:marLeft w:val="0"/>
          <w:marRight w:val="0"/>
          <w:marTop w:val="0"/>
          <w:marBottom w:val="0"/>
          <w:divBdr>
            <w:top w:val="none" w:sz="0" w:space="0" w:color="auto"/>
            <w:left w:val="none" w:sz="0" w:space="0" w:color="auto"/>
            <w:bottom w:val="none" w:sz="0" w:space="0" w:color="auto"/>
            <w:right w:val="none" w:sz="0" w:space="0" w:color="auto"/>
          </w:divBdr>
        </w:div>
        <w:div w:id="529806850">
          <w:marLeft w:val="0"/>
          <w:marRight w:val="0"/>
          <w:marTop w:val="0"/>
          <w:marBottom w:val="0"/>
          <w:divBdr>
            <w:top w:val="none" w:sz="0" w:space="0" w:color="auto"/>
            <w:left w:val="none" w:sz="0" w:space="0" w:color="auto"/>
            <w:bottom w:val="none" w:sz="0" w:space="0" w:color="auto"/>
            <w:right w:val="none" w:sz="0" w:space="0" w:color="auto"/>
          </w:divBdr>
        </w:div>
        <w:div w:id="2127388563">
          <w:marLeft w:val="0"/>
          <w:marRight w:val="0"/>
          <w:marTop w:val="0"/>
          <w:marBottom w:val="0"/>
          <w:divBdr>
            <w:top w:val="none" w:sz="0" w:space="0" w:color="auto"/>
            <w:left w:val="none" w:sz="0" w:space="0" w:color="auto"/>
            <w:bottom w:val="none" w:sz="0" w:space="0" w:color="auto"/>
            <w:right w:val="none" w:sz="0" w:space="0" w:color="auto"/>
          </w:divBdr>
        </w:div>
        <w:div w:id="1007253473">
          <w:marLeft w:val="0"/>
          <w:marRight w:val="0"/>
          <w:marTop w:val="0"/>
          <w:marBottom w:val="0"/>
          <w:divBdr>
            <w:top w:val="none" w:sz="0" w:space="0" w:color="auto"/>
            <w:left w:val="none" w:sz="0" w:space="0" w:color="auto"/>
            <w:bottom w:val="none" w:sz="0" w:space="0" w:color="auto"/>
            <w:right w:val="none" w:sz="0" w:space="0" w:color="auto"/>
          </w:divBdr>
        </w:div>
        <w:div w:id="317802829">
          <w:marLeft w:val="0"/>
          <w:marRight w:val="0"/>
          <w:marTop w:val="0"/>
          <w:marBottom w:val="0"/>
          <w:divBdr>
            <w:top w:val="none" w:sz="0" w:space="0" w:color="auto"/>
            <w:left w:val="none" w:sz="0" w:space="0" w:color="auto"/>
            <w:bottom w:val="none" w:sz="0" w:space="0" w:color="auto"/>
            <w:right w:val="none" w:sz="0" w:space="0" w:color="auto"/>
          </w:divBdr>
        </w:div>
        <w:div w:id="1009987718">
          <w:marLeft w:val="0"/>
          <w:marRight w:val="0"/>
          <w:marTop w:val="0"/>
          <w:marBottom w:val="0"/>
          <w:divBdr>
            <w:top w:val="none" w:sz="0" w:space="0" w:color="auto"/>
            <w:left w:val="none" w:sz="0" w:space="0" w:color="auto"/>
            <w:bottom w:val="none" w:sz="0" w:space="0" w:color="auto"/>
            <w:right w:val="none" w:sz="0" w:space="0" w:color="auto"/>
          </w:divBdr>
        </w:div>
        <w:div w:id="383988352">
          <w:marLeft w:val="0"/>
          <w:marRight w:val="0"/>
          <w:marTop w:val="0"/>
          <w:marBottom w:val="0"/>
          <w:divBdr>
            <w:top w:val="none" w:sz="0" w:space="0" w:color="auto"/>
            <w:left w:val="none" w:sz="0" w:space="0" w:color="auto"/>
            <w:bottom w:val="none" w:sz="0" w:space="0" w:color="auto"/>
            <w:right w:val="none" w:sz="0" w:space="0" w:color="auto"/>
          </w:divBdr>
        </w:div>
        <w:div w:id="1904561242">
          <w:marLeft w:val="0"/>
          <w:marRight w:val="0"/>
          <w:marTop w:val="0"/>
          <w:marBottom w:val="0"/>
          <w:divBdr>
            <w:top w:val="none" w:sz="0" w:space="0" w:color="auto"/>
            <w:left w:val="none" w:sz="0" w:space="0" w:color="auto"/>
            <w:bottom w:val="none" w:sz="0" w:space="0" w:color="auto"/>
            <w:right w:val="none" w:sz="0" w:space="0" w:color="auto"/>
          </w:divBdr>
        </w:div>
        <w:div w:id="917442167">
          <w:marLeft w:val="0"/>
          <w:marRight w:val="0"/>
          <w:marTop w:val="0"/>
          <w:marBottom w:val="0"/>
          <w:divBdr>
            <w:top w:val="none" w:sz="0" w:space="0" w:color="auto"/>
            <w:left w:val="none" w:sz="0" w:space="0" w:color="auto"/>
            <w:bottom w:val="none" w:sz="0" w:space="0" w:color="auto"/>
            <w:right w:val="none" w:sz="0" w:space="0" w:color="auto"/>
          </w:divBdr>
        </w:div>
        <w:div w:id="1874340477">
          <w:marLeft w:val="0"/>
          <w:marRight w:val="0"/>
          <w:marTop w:val="0"/>
          <w:marBottom w:val="0"/>
          <w:divBdr>
            <w:top w:val="none" w:sz="0" w:space="0" w:color="auto"/>
            <w:left w:val="none" w:sz="0" w:space="0" w:color="auto"/>
            <w:bottom w:val="none" w:sz="0" w:space="0" w:color="auto"/>
            <w:right w:val="none" w:sz="0" w:space="0" w:color="auto"/>
          </w:divBdr>
        </w:div>
        <w:div w:id="307711959">
          <w:marLeft w:val="0"/>
          <w:marRight w:val="0"/>
          <w:marTop w:val="0"/>
          <w:marBottom w:val="0"/>
          <w:divBdr>
            <w:top w:val="none" w:sz="0" w:space="0" w:color="auto"/>
            <w:left w:val="none" w:sz="0" w:space="0" w:color="auto"/>
            <w:bottom w:val="none" w:sz="0" w:space="0" w:color="auto"/>
            <w:right w:val="none" w:sz="0" w:space="0" w:color="auto"/>
          </w:divBdr>
        </w:div>
        <w:div w:id="267086482">
          <w:marLeft w:val="0"/>
          <w:marRight w:val="0"/>
          <w:marTop w:val="0"/>
          <w:marBottom w:val="0"/>
          <w:divBdr>
            <w:top w:val="none" w:sz="0" w:space="0" w:color="auto"/>
            <w:left w:val="none" w:sz="0" w:space="0" w:color="auto"/>
            <w:bottom w:val="none" w:sz="0" w:space="0" w:color="auto"/>
            <w:right w:val="none" w:sz="0" w:space="0" w:color="auto"/>
          </w:divBdr>
        </w:div>
        <w:div w:id="2069838864">
          <w:marLeft w:val="0"/>
          <w:marRight w:val="0"/>
          <w:marTop w:val="0"/>
          <w:marBottom w:val="0"/>
          <w:divBdr>
            <w:top w:val="none" w:sz="0" w:space="0" w:color="auto"/>
            <w:left w:val="none" w:sz="0" w:space="0" w:color="auto"/>
            <w:bottom w:val="none" w:sz="0" w:space="0" w:color="auto"/>
            <w:right w:val="none" w:sz="0" w:space="0" w:color="auto"/>
          </w:divBdr>
        </w:div>
        <w:div w:id="966857213">
          <w:marLeft w:val="0"/>
          <w:marRight w:val="0"/>
          <w:marTop w:val="0"/>
          <w:marBottom w:val="0"/>
          <w:divBdr>
            <w:top w:val="none" w:sz="0" w:space="0" w:color="auto"/>
            <w:left w:val="none" w:sz="0" w:space="0" w:color="auto"/>
            <w:bottom w:val="none" w:sz="0" w:space="0" w:color="auto"/>
            <w:right w:val="none" w:sz="0" w:space="0" w:color="auto"/>
          </w:divBdr>
        </w:div>
      </w:divsChild>
    </w:div>
    <w:div w:id="475952012">
      <w:bodyDiv w:val="1"/>
      <w:marLeft w:val="0"/>
      <w:marRight w:val="0"/>
      <w:marTop w:val="0"/>
      <w:marBottom w:val="0"/>
      <w:divBdr>
        <w:top w:val="none" w:sz="0" w:space="0" w:color="auto"/>
        <w:left w:val="none" w:sz="0" w:space="0" w:color="auto"/>
        <w:bottom w:val="none" w:sz="0" w:space="0" w:color="auto"/>
        <w:right w:val="none" w:sz="0" w:space="0" w:color="auto"/>
      </w:divBdr>
      <w:divsChild>
        <w:div w:id="1739742737">
          <w:marLeft w:val="0"/>
          <w:marRight w:val="0"/>
          <w:marTop w:val="0"/>
          <w:marBottom w:val="0"/>
          <w:divBdr>
            <w:top w:val="none" w:sz="0" w:space="0" w:color="auto"/>
            <w:left w:val="none" w:sz="0" w:space="0" w:color="auto"/>
            <w:bottom w:val="none" w:sz="0" w:space="0" w:color="auto"/>
            <w:right w:val="none" w:sz="0" w:space="0" w:color="auto"/>
          </w:divBdr>
        </w:div>
        <w:div w:id="1759399667">
          <w:marLeft w:val="0"/>
          <w:marRight w:val="0"/>
          <w:marTop w:val="0"/>
          <w:marBottom w:val="0"/>
          <w:divBdr>
            <w:top w:val="none" w:sz="0" w:space="0" w:color="auto"/>
            <w:left w:val="none" w:sz="0" w:space="0" w:color="auto"/>
            <w:bottom w:val="none" w:sz="0" w:space="0" w:color="auto"/>
            <w:right w:val="none" w:sz="0" w:space="0" w:color="auto"/>
          </w:divBdr>
        </w:div>
        <w:div w:id="1583101840">
          <w:marLeft w:val="0"/>
          <w:marRight w:val="0"/>
          <w:marTop w:val="0"/>
          <w:marBottom w:val="0"/>
          <w:divBdr>
            <w:top w:val="none" w:sz="0" w:space="0" w:color="auto"/>
            <w:left w:val="none" w:sz="0" w:space="0" w:color="auto"/>
            <w:bottom w:val="none" w:sz="0" w:space="0" w:color="auto"/>
            <w:right w:val="none" w:sz="0" w:space="0" w:color="auto"/>
          </w:divBdr>
        </w:div>
        <w:div w:id="927468309">
          <w:marLeft w:val="0"/>
          <w:marRight w:val="0"/>
          <w:marTop w:val="0"/>
          <w:marBottom w:val="0"/>
          <w:divBdr>
            <w:top w:val="none" w:sz="0" w:space="0" w:color="auto"/>
            <w:left w:val="none" w:sz="0" w:space="0" w:color="auto"/>
            <w:bottom w:val="none" w:sz="0" w:space="0" w:color="auto"/>
            <w:right w:val="none" w:sz="0" w:space="0" w:color="auto"/>
          </w:divBdr>
        </w:div>
        <w:div w:id="870412682">
          <w:marLeft w:val="0"/>
          <w:marRight w:val="0"/>
          <w:marTop w:val="0"/>
          <w:marBottom w:val="0"/>
          <w:divBdr>
            <w:top w:val="none" w:sz="0" w:space="0" w:color="auto"/>
            <w:left w:val="none" w:sz="0" w:space="0" w:color="auto"/>
            <w:bottom w:val="none" w:sz="0" w:space="0" w:color="auto"/>
            <w:right w:val="none" w:sz="0" w:space="0" w:color="auto"/>
          </w:divBdr>
        </w:div>
        <w:div w:id="1704019158">
          <w:marLeft w:val="0"/>
          <w:marRight w:val="0"/>
          <w:marTop w:val="0"/>
          <w:marBottom w:val="0"/>
          <w:divBdr>
            <w:top w:val="none" w:sz="0" w:space="0" w:color="auto"/>
            <w:left w:val="none" w:sz="0" w:space="0" w:color="auto"/>
            <w:bottom w:val="none" w:sz="0" w:space="0" w:color="auto"/>
            <w:right w:val="none" w:sz="0" w:space="0" w:color="auto"/>
          </w:divBdr>
        </w:div>
        <w:div w:id="1767997191">
          <w:marLeft w:val="0"/>
          <w:marRight w:val="0"/>
          <w:marTop w:val="0"/>
          <w:marBottom w:val="0"/>
          <w:divBdr>
            <w:top w:val="none" w:sz="0" w:space="0" w:color="auto"/>
            <w:left w:val="none" w:sz="0" w:space="0" w:color="auto"/>
            <w:bottom w:val="none" w:sz="0" w:space="0" w:color="auto"/>
            <w:right w:val="none" w:sz="0" w:space="0" w:color="auto"/>
          </w:divBdr>
        </w:div>
        <w:div w:id="1626233069">
          <w:marLeft w:val="0"/>
          <w:marRight w:val="0"/>
          <w:marTop w:val="0"/>
          <w:marBottom w:val="0"/>
          <w:divBdr>
            <w:top w:val="none" w:sz="0" w:space="0" w:color="auto"/>
            <w:left w:val="none" w:sz="0" w:space="0" w:color="auto"/>
            <w:bottom w:val="none" w:sz="0" w:space="0" w:color="auto"/>
            <w:right w:val="none" w:sz="0" w:space="0" w:color="auto"/>
          </w:divBdr>
        </w:div>
        <w:div w:id="345592687">
          <w:marLeft w:val="0"/>
          <w:marRight w:val="0"/>
          <w:marTop w:val="0"/>
          <w:marBottom w:val="0"/>
          <w:divBdr>
            <w:top w:val="none" w:sz="0" w:space="0" w:color="auto"/>
            <w:left w:val="none" w:sz="0" w:space="0" w:color="auto"/>
            <w:bottom w:val="none" w:sz="0" w:space="0" w:color="auto"/>
            <w:right w:val="none" w:sz="0" w:space="0" w:color="auto"/>
          </w:divBdr>
        </w:div>
        <w:div w:id="1688365913">
          <w:marLeft w:val="0"/>
          <w:marRight w:val="0"/>
          <w:marTop w:val="0"/>
          <w:marBottom w:val="0"/>
          <w:divBdr>
            <w:top w:val="none" w:sz="0" w:space="0" w:color="auto"/>
            <w:left w:val="none" w:sz="0" w:space="0" w:color="auto"/>
            <w:bottom w:val="none" w:sz="0" w:space="0" w:color="auto"/>
            <w:right w:val="none" w:sz="0" w:space="0" w:color="auto"/>
          </w:divBdr>
        </w:div>
        <w:div w:id="1778207798">
          <w:marLeft w:val="0"/>
          <w:marRight w:val="0"/>
          <w:marTop w:val="0"/>
          <w:marBottom w:val="0"/>
          <w:divBdr>
            <w:top w:val="none" w:sz="0" w:space="0" w:color="auto"/>
            <w:left w:val="none" w:sz="0" w:space="0" w:color="auto"/>
            <w:bottom w:val="none" w:sz="0" w:space="0" w:color="auto"/>
            <w:right w:val="none" w:sz="0" w:space="0" w:color="auto"/>
          </w:divBdr>
        </w:div>
        <w:div w:id="1511681734">
          <w:marLeft w:val="0"/>
          <w:marRight w:val="0"/>
          <w:marTop w:val="0"/>
          <w:marBottom w:val="0"/>
          <w:divBdr>
            <w:top w:val="none" w:sz="0" w:space="0" w:color="auto"/>
            <w:left w:val="none" w:sz="0" w:space="0" w:color="auto"/>
            <w:bottom w:val="none" w:sz="0" w:space="0" w:color="auto"/>
            <w:right w:val="none" w:sz="0" w:space="0" w:color="auto"/>
          </w:divBdr>
        </w:div>
        <w:div w:id="1368994577">
          <w:marLeft w:val="0"/>
          <w:marRight w:val="0"/>
          <w:marTop w:val="0"/>
          <w:marBottom w:val="0"/>
          <w:divBdr>
            <w:top w:val="none" w:sz="0" w:space="0" w:color="auto"/>
            <w:left w:val="none" w:sz="0" w:space="0" w:color="auto"/>
            <w:bottom w:val="none" w:sz="0" w:space="0" w:color="auto"/>
            <w:right w:val="none" w:sz="0" w:space="0" w:color="auto"/>
          </w:divBdr>
        </w:div>
        <w:div w:id="402720809">
          <w:marLeft w:val="0"/>
          <w:marRight w:val="0"/>
          <w:marTop w:val="0"/>
          <w:marBottom w:val="0"/>
          <w:divBdr>
            <w:top w:val="none" w:sz="0" w:space="0" w:color="auto"/>
            <w:left w:val="none" w:sz="0" w:space="0" w:color="auto"/>
            <w:bottom w:val="none" w:sz="0" w:space="0" w:color="auto"/>
            <w:right w:val="none" w:sz="0" w:space="0" w:color="auto"/>
          </w:divBdr>
        </w:div>
        <w:div w:id="195120612">
          <w:marLeft w:val="0"/>
          <w:marRight w:val="0"/>
          <w:marTop w:val="0"/>
          <w:marBottom w:val="0"/>
          <w:divBdr>
            <w:top w:val="none" w:sz="0" w:space="0" w:color="auto"/>
            <w:left w:val="none" w:sz="0" w:space="0" w:color="auto"/>
            <w:bottom w:val="none" w:sz="0" w:space="0" w:color="auto"/>
            <w:right w:val="none" w:sz="0" w:space="0" w:color="auto"/>
          </w:divBdr>
        </w:div>
        <w:div w:id="1284774687">
          <w:marLeft w:val="0"/>
          <w:marRight w:val="0"/>
          <w:marTop w:val="0"/>
          <w:marBottom w:val="0"/>
          <w:divBdr>
            <w:top w:val="none" w:sz="0" w:space="0" w:color="auto"/>
            <w:left w:val="none" w:sz="0" w:space="0" w:color="auto"/>
            <w:bottom w:val="none" w:sz="0" w:space="0" w:color="auto"/>
            <w:right w:val="none" w:sz="0" w:space="0" w:color="auto"/>
          </w:divBdr>
        </w:div>
        <w:div w:id="82603636">
          <w:marLeft w:val="0"/>
          <w:marRight w:val="0"/>
          <w:marTop w:val="0"/>
          <w:marBottom w:val="0"/>
          <w:divBdr>
            <w:top w:val="none" w:sz="0" w:space="0" w:color="auto"/>
            <w:left w:val="none" w:sz="0" w:space="0" w:color="auto"/>
            <w:bottom w:val="none" w:sz="0" w:space="0" w:color="auto"/>
            <w:right w:val="none" w:sz="0" w:space="0" w:color="auto"/>
          </w:divBdr>
        </w:div>
        <w:div w:id="1971394461">
          <w:marLeft w:val="0"/>
          <w:marRight w:val="0"/>
          <w:marTop w:val="0"/>
          <w:marBottom w:val="0"/>
          <w:divBdr>
            <w:top w:val="none" w:sz="0" w:space="0" w:color="auto"/>
            <w:left w:val="none" w:sz="0" w:space="0" w:color="auto"/>
            <w:bottom w:val="none" w:sz="0" w:space="0" w:color="auto"/>
            <w:right w:val="none" w:sz="0" w:space="0" w:color="auto"/>
          </w:divBdr>
        </w:div>
        <w:div w:id="1588927499">
          <w:marLeft w:val="0"/>
          <w:marRight w:val="0"/>
          <w:marTop w:val="0"/>
          <w:marBottom w:val="0"/>
          <w:divBdr>
            <w:top w:val="none" w:sz="0" w:space="0" w:color="auto"/>
            <w:left w:val="none" w:sz="0" w:space="0" w:color="auto"/>
            <w:bottom w:val="none" w:sz="0" w:space="0" w:color="auto"/>
            <w:right w:val="none" w:sz="0" w:space="0" w:color="auto"/>
          </w:divBdr>
        </w:div>
        <w:div w:id="1516261600">
          <w:marLeft w:val="0"/>
          <w:marRight w:val="0"/>
          <w:marTop w:val="0"/>
          <w:marBottom w:val="0"/>
          <w:divBdr>
            <w:top w:val="none" w:sz="0" w:space="0" w:color="auto"/>
            <w:left w:val="none" w:sz="0" w:space="0" w:color="auto"/>
            <w:bottom w:val="none" w:sz="0" w:space="0" w:color="auto"/>
            <w:right w:val="none" w:sz="0" w:space="0" w:color="auto"/>
          </w:divBdr>
        </w:div>
        <w:div w:id="780808874">
          <w:marLeft w:val="0"/>
          <w:marRight w:val="0"/>
          <w:marTop w:val="0"/>
          <w:marBottom w:val="0"/>
          <w:divBdr>
            <w:top w:val="none" w:sz="0" w:space="0" w:color="auto"/>
            <w:left w:val="none" w:sz="0" w:space="0" w:color="auto"/>
            <w:bottom w:val="none" w:sz="0" w:space="0" w:color="auto"/>
            <w:right w:val="none" w:sz="0" w:space="0" w:color="auto"/>
          </w:divBdr>
        </w:div>
        <w:div w:id="1188908301">
          <w:marLeft w:val="0"/>
          <w:marRight w:val="0"/>
          <w:marTop w:val="0"/>
          <w:marBottom w:val="0"/>
          <w:divBdr>
            <w:top w:val="none" w:sz="0" w:space="0" w:color="auto"/>
            <w:left w:val="none" w:sz="0" w:space="0" w:color="auto"/>
            <w:bottom w:val="none" w:sz="0" w:space="0" w:color="auto"/>
            <w:right w:val="none" w:sz="0" w:space="0" w:color="auto"/>
          </w:divBdr>
        </w:div>
        <w:div w:id="2044667040">
          <w:marLeft w:val="0"/>
          <w:marRight w:val="0"/>
          <w:marTop w:val="0"/>
          <w:marBottom w:val="0"/>
          <w:divBdr>
            <w:top w:val="none" w:sz="0" w:space="0" w:color="auto"/>
            <w:left w:val="none" w:sz="0" w:space="0" w:color="auto"/>
            <w:bottom w:val="none" w:sz="0" w:space="0" w:color="auto"/>
            <w:right w:val="none" w:sz="0" w:space="0" w:color="auto"/>
          </w:divBdr>
        </w:div>
        <w:div w:id="823009174">
          <w:marLeft w:val="0"/>
          <w:marRight w:val="0"/>
          <w:marTop w:val="0"/>
          <w:marBottom w:val="0"/>
          <w:divBdr>
            <w:top w:val="none" w:sz="0" w:space="0" w:color="auto"/>
            <w:left w:val="none" w:sz="0" w:space="0" w:color="auto"/>
            <w:bottom w:val="none" w:sz="0" w:space="0" w:color="auto"/>
            <w:right w:val="none" w:sz="0" w:space="0" w:color="auto"/>
          </w:divBdr>
        </w:div>
        <w:div w:id="1427771852">
          <w:marLeft w:val="0"/>
          <w:marRight w:val="0"/>
          <w:marTop w:val="0"/>
          <w:marBottom w:val="0"/>
          <w:divBdr>
            <w:top w:val="none" w:sz="0" w:space="0" w:color="auto"/>
            <w:left w:val="none" w:sz="0" w:space="0" w:color="auto"/>
            <w:bottom w:val="none" w:sz="0" w:space="0" w:color="auto"/>
            <w:right w:val="none" w:sz="0" w:space="0" w:color="auto"/>
          </w:divBdr>
        </w:div>
        <w:div w:id="1378510490">
          <w:marLeft w:val="0"/>
          <w:marRight w:val="0"/>
          <w:marTop w:val="0"/>
          <w:marBottom w:val="0"/>
          <w:divBdr>
            <w:top w:val="none" w:sz="0" w:space="0" w:color="auto"/>
            <w:left w:val="none" w:sz="0" w:space="0" w:color="auto"/>
            <w:bottom w:val="none" w:sz="0" w:space="0" w:color="auto"/>
            <w:right w:val="none" w:sz="0" w:space="0" w:color="auto"/>
          </w:divBdr>
        </w:div>
        <w:div w:id="1526938369">
          <w:marLeft w:val="0"/>
          <w:marRight w:val="0"/>
          <w:marTop w:val="0"/>
          <w:marBottom w:val="0"/>
          <w:divBdr>
            <w:top w:val="none" w:sz="0" w:space="0" w:color="auto"/>
            <w:left w:val="none" w:sz="0" w:space="0" w:color="auto"/>
            <w:bottom w:val="none" w:sz="0" w:space="0" w:color="auto"/>
            <w:right w:val="none" w:sz="0" w:space="0" w:color="auto"/>
          </w:divBdr>
        </w:div>
        <w:div w:id="793720511">
          <w:marLeft w:val="0"/>
          <w:marRight w:val="0"/>
          <w:marTop w:val="0"/>
          <w:marBottom w:val="0"/>
          <w:divBdr>
            <w:top w:val="none" w:sz="0" w:space="0" w:color="auto"/>
            <w:left w:val="none" w:sz="0" w:space="0" w:color="auto"/>
            <w:bottom w:val="none" w:sz="0" w:space="0" w:color="auto"/>
            <w:right w:val="none" w:sz="0" w:space="0" w:color="auto"/>
          </w:divBdr>
        </w:div>
        <w:div w:id="1367952044">
          <w:marLeft w:val="0"/>
          <w:marRight w:val="0"/>
          <w:marTop w:val="0"/>
          <w:marBottom w:val="0"/>
          <w:divBdr>
            <w:top w:val="none" w:sz="0" w:space="0" w:color="auto"/>
            <w:left w:val="none" w:sz="0" w:space="0" w:color="auto"/>
            <w:bottom w:val="none" w:sz="0" w:space="0" w:color="auto"/>
            <w:right w:val="none" w:sz="0" w:space="0" w:color="auto"/>
          </w:divBdr>
        </w:div>
        <w:div w:id="1486165258">
          <w:marLeft w:val="0"/>
          <w:marRight w:val="0"/>
          <w:marTop w:val="0"/>
          <w:marBottom w:val="0"/>
          <w:divBdr>
            <w:top w:val="none" w:sz="0" w:space="0" w:color="auto"/>
            <w:left w:val="none" w:sz="0" w:space="0" w:color="auto"/>
            <w:bottom w:val="none" w:sz="0" w:space="0" w:color="auto"/>
            <w:right w:val="none" w:sz="0" w:space="0" w:color="auto"/>
          </w:divBdr>
        </w:div>
        <w:div w:id="606736831">
          <w:marLeft w:val="0"/>
          <w:marRight w:val="0"/>
          <w:marTop w:val="0"/>
          <w:marBottom w:val="0"/>
          <w:divBdr>
            <w:top w:val="none" w:sz="0" w:space="0" w:color="auto"/>
            <w:left w:val="none" w:sz="0" w:space="0" w:color="auto"/>
            <w:bottom w:val="none" w:sz="0" w:space="0" w:color="auto"/>
            <w:right w:val="none" w:sz="0" w:space="0" w:color="auto"/>
          </w:divBdr>
        </w:div>
        <w:div w:id="1752196137">
          <w:marLeft w:val="0"/>
          <w:marRight w:val="0"/>
          <w:marTop w:val="0"/>
          <w:marBottom w:val="0"/>
          <w:divBdr>
            <w:top w:val="none" w:sz="0" w:space="0" w:color="auto"/>
            <w:left w:val="none" w:sz="0" w:space="0" w:color="auto"/>
            <w:bottom w:val="none" w:sz="0" w:space="0" w:color="auto"/>
            <w:right w:val="none" w:sz="0" w:space="0" w:color="auto"/>
          </w:divBdr>
        </w:div>
      </w:divsChild>
    </w:div>
    <w:div w:id="501433001">
      <w:bodyDiv w:val="1"/>
      <w:marLeft w:val="0"/>
      <w:marRight w:val="0"/>
      <w:marTop w:val="0"/>
      <w:marBottom w:val="0"/>
      <w:divBdr>
        <w:top w:val="none" w:sz="0" w:space="0" w:color="auto"/>
        <w:left w:val="none" w:sz="0" w:space="0" w:color="auto"/>
        <w:bottom w:val="none" w:sz="0" w:space="0" w:color="auto"/>
        <w:right w:val="none" w:sz="0" w:space="0" w:color="auto"/>
      </w:divBdr>
      <w:divsChild>
        <w:div w:id="912157488">
          <w:marLeft w:val="0"/>
          <w:marRight w:val="0"/>
          <w:marTop w:val="0"/>
          <w:marBottom w:val="0"/>
          <w:divBdr>
            <w:top w:val="none" w:sz="0" w:space="0" w:color="auto"/>
            <w:left w:val="none" w:sz="0" w:space="0" w:color="auto"/>
            <w:bottom w:val="none" w:sz="0" w:space="0" w:color="auto"/>
            <w:right w:val="none" w:sz="0" w:space="0" w:color="auto"/>
          </w:divBdr>
        </w:div>
        <w:div w:id="808134816">
          <w:marLeft w:val="0"/>
          <w:marRight w:val="0"/>
          <w:marTop w:val="0"/>
          <w:marBottom w:val="0"/>
          <w:divBdr>
            <w:top w:val="none" w:sz="0" w:space="0" w:color="auto"/>
            <w:left w:val="none" w:sz="0" w:space="0" w:color="auto"/>
            <w:bottom w:val="none" w:sz="0" w:space="0" w:color="auto"/>
            <w:right w:val="none" w:sz="0" w:space="0" w:color="auto"/>
          </w:divBdr>
        </w:div>
      </w:divsChild>
    </w:div>
    <w:div w:id="604270648">
      <w:bodyDiv w:val="1"/>
      <w:marLeft w:val="0"/>
      <w:marRight w:val="0"/>
      <w:marTop w:val="0"/>
      <w:marBottom w:val="0"/>
      <w:divBdr>
        <w:top w:val="none" w:sz="0" w:space="0" w:color="auto"/>
        <w:left w:val="none" w:sz="0" w:space="0" w:color="auto"/>
        <w:bottom w:val="none" w:sz="0" w:space="0" w:color="auto"/>
        <w:right w:val="none" w:sz="0" w:space="0" w:color="auto"/>
      </w:divBdr>
      <w:divsChild>
        <w:div w:id="1639803390">
          <w:marLeft w:val="0"/>
          <w:marRight w:val="0"/>
          <w:marTop w:val="0"/>
          <w:marBottom w:val="0"/>
          <w:divBdr>
            <w:top w:val="none" w:sz="0" w:space="0" w:color="auto"/>
            <w:left w:val="none" w:sz="0" w:space="0" w:color="auto"/>
            <w:bottom w:val="none" w:sz="0" w:space="0" w:color="auto"/>
            <w:right w:val="none" w:sz="0" w:space="0" w:color="auto"/>
          </w:divBdr>
        </w:div>
        <w:div w:id="1389763886">
          <w:marLeft w:val="0"/>
          <w:marRight w:val="0"/>
          <w:marTop w:val="0"/>
          <w:marBottom w:val="0"/>
          <w:divBdr>
            <w:top w:val="none" w:sz="0" w:space="0" w:color="auto"/>
            <w:left w:val="none" w:sz="0" w:space="0" w:color="auto"/>
            <w:bottom w:val="none" w:sz="0" w:space="0" w:color="auto"/>
            <w:right w:val="none" w:sz="0" w:space="0" w:color="auto"/>
          </w:divBdr>
        </w:div>
        <w:div w:id="31662238">
          <w:marLeft w:val="0"/>
          <w:marRight w:val="0"/>
          <w:marTop w:val="0"/>
          <w:marBottom w:val="0"/>
          <w:divBdr>
            <w:top w:val="none" w:sz="0" w:space="0" w:color="auto"/>
            <w:left w:val="none" w:sz="0" w:space="0" w:color="auto"/>
            <w:bottom w:val="none" w:sz="0" w:space="0" w:color="auto"/>
            <w:right w:val="none" w:sz="0" w:space="0" w:color="auto"/>
          </w:divBdr>
        </w:div>
        <w:div w:id="1906991626">
          <w:marLeft w:val="0"/>
          <w:marRight w:val="0"/>
          <w:marTop w:val="0"/>
          <w:marBottom w:val="0"/>
          <w:divBdr>
            <w:top w:val="none" w:sz="0" w:space="0" w:color="auto"/>
            <w:left w:val="none" w:sz="0" w:space="0" w:color="auto"/>
            <w:bottom w:val="none" w:sz="0" w:space="0" w:color="auto"/>
            <w:right w:val="none" w:sz="0" w:space="0" w:color="auto"/>
          </w:divBdr>
        </w:div>
        <w:div w:id="1167014191">
          <w:marLeft w:val="0"/>
          <w:marRight w:val="0"/>
          <w:marTop w:val="0"/>
          <w:marBottom w:val="0"/>
          <w:divBdr>
            <w:top w:val="none" w:sz="0" w:space="0" w:color="auto"/>
            <w:left w:val="none" w:sz="0" w:space="0" w:color="auto"/>
            <w:bottom w:val="none" w:sz="0" w:space="0" w:color="auto"/>
            <w:right w:val="none" w:sz="0" w:space="0" w:color="auto"/>
          </w:divBdr>
        </w:div>
        <w:div w:id="1470972039">
          <w:marLeft w:val="0"/>
          <w:marRight w:val="0"/>
          <w:marTop w:val="0"/>
          <w:marBottom w:val="0"/>
          <w:divBdr>
            <w:top w:val="none" w:sz="0" w:space="0" w:color="auto"/>
            <w:left w:val="none" w:sz="0" w:space="0" w:color="auto"/>
            <w:bottom w:val="none" w:sz="0" w:space="0" w:color="auto"/>
            <w:right w:val="none" w:sz="0" w:space="0" w:color="auto"/>
          </w:divBdr>
        </w:div>
        <w:div w:id="424503006">
          <w:marLeft w:val="0"/>
          <w:marRight w:val="0"/>
          <w:marTop w:val="0"/>
          <w:marBottom w:val="0"/>
          <w:divBdr>
            <w:top w:val="none" w:sz="0" w:space="0" w:color="auto"/>
            <w:left w:val="none" w:sz="0" w:space="0" w:color="auto"/>
            <w:bottom w:val="none" w:sz="0" w:space="0" w:color="auto"/>
            <w:right w:val="none" w:sz="0" w:space="0" w:color="auto"/>
          </w:divBdr>
        </w:div>
        <w:div w:id="1874610469">
          <w:marLeft w:val="0"/>
          <w:marRight w:val="0"/>
          <w:marTop w:val="0"/>
          <w:marBottom w:val="0"/>
          <w:divBdr>
            <w:top w:val="none" w:sz="0" w:space="0" w:color="auto"/>
            <w:left w:val="none" w:sz="0" w:space="0" w:color="auto"/>
            <w:bottom w:val="none" w:sz="0" w:space="0" w:color="auto"/>
            <w:right w:val="none" w:sz="0" w:space="0" w:color="auto"/>
          </w:divBdr>
        </w:div>
        <w:div w:id="1060327357">
          <w:marLeft w:val="0"/>
          <w:marRight w:val="0"/>
          <w:marTop w:val="0"/>
          <w:marBottom w:val="0"/>
          <w:divBdr>
            <w:top w:val="none" w:sz="0" w:space="0" w:color="auto"/>
            <w:left w:val="none" w:sz="0" w:space="0" w:color="auto"/>
            <w:bottom w:val="none" w:sz="0" w:space="0" w:color="auto"/>
            <w:right w:val="none" w:sz="0" w:space="0" w:color="auto"/>
          </w:divBdr>
        </w:div>
        <w:div w:id="506754779">
          <w:marLeft w:val="0"/>
          <w:marRight w:val="0"/>
          <w:marTop w:val="0"/>
          <w:marBottom w:val="0"/>
          <w:divBdr>
            <w:top w:val="none" w:sz="0" w:space="0" w:color="auto"/>
            <w:left w:val="none" w:sz="0" w:space="0" w:color="auto"/>
            <w:bottom w:val="none" w:sz="0" w:space="0" w:color="auto"/>
            <w:right w:val="none" w:sz="0" w:space="0" w:color="auto"/>
          </w:divBdr>
        </w:div>
        <w:div w:id="1587034700">
          <w:marLeft w:val="0"/>
          <w:marRight w:val="0"/>
          <w:marTop w:val="0"/>
          <w:marBottom w:val="0"/>
          <w:divBdr>
            <w:top w:val="none" w:sz="0" w:space="0" w:color="auto"/>
            <w:left w:val="none" w:sz="0" w:space="0" w:color="auto"/>
            <w:bottom w:val="none" w:sz="0" w:space="0" w:color="auto"/>
            <w:right w:val="none" w:sz="0" w:space="0" w:color="auto"/>
          </w:divBdr>
        </w:div>
        <w:div w:id="67384910">
          <w:marLeft w:val="0"/>
          <w:marRight w:val="0"/>
          <w:marTop w:val="0"/>
          <w:marBottom w:val="0"/>
          <w:divBdr>
            <w:top w:val="none" w:sz="0" w:space="0" w:color="auto"/>
            <w:left w:val="none" w:sz="0" w:space="0" w:color="auto"/>
            <w:bottom w:val="none" w:sz="0" w:space="0" w:color="auto"/>
            <w:right w:val="none" w:sz="0" w:space="0" w:color="auto"/>
          </w:divBdr>
        </w:div>
        <w:div w:id="1551722722">
          <w:marLeft w:val="0"/>
          <w:marRight w:val="0"/>
          <w:marTop w:val="0"/>
          <w:marBottom w:val="0"/>
          <w:divBdr>
            <w:top w:val="none" w:sz="0" w:space="0" w:color="auto"/>
            <w:left w:val="none" w:sz="0" w:space="0" w:color="auto"/>
            <w:bottom w:val="none" w:sz="0" w:space="0" w:color="auto"/>
            <w:right w:val="none" w:sz="0" w:space="0" w:color="auto"/>
          </w:divBdr>
        </w:div>
        <w:div w:id="1412046532">
          <w:marLeft w:val="0"/>
          <w:marRight w:val="0"/>
          <w:marTop w:val="0"/>
          <w:marBottom w:val="0"/>
          <w:divBdr>
            <w:top w:val="none" w:sz="0" w:space="0" w:color="auto"/>
            <w:left w:val="none" w:sz="0" w:space="0" w:color="auto"/>
            <w:bottom w:val="none" w:sz="0" w:space="0" w:color="auto"/>
            <w:right w:val="none" w:sz="0" w:space="0" w:color="auto"/>
          </w:divBdr>
        </w:div>
        <w:div w:id="1588154278">
          <w:marLeft w:val="0"/>
          <w:marRight w:val="0"/>
          <w:marTop w:val="0"/>
          <w:marBottom w:val="0"/>
          <w:divBdr>
            <w:top w:val="none" w:sz="0" w:space="0" w:color="auto"/>
            <w:left w:val="none" w:sz="0" w:space="0" w:color="auto"/>
            <w:bottom w:val="none" w:sz="0" w:space="0" w:color="auto"/>
            <w:right w:val="none" w:sz="0" w:space="0" w:color="auto"/>
          </w:divBdr>
        </w:div>
        <w:div w:id="797256389">
          <w:marLeft w:val="0"/>
          <w:marRight w:val="0"/>
          <w:marTop w:val="0"/>
          <w:marBottom w:val="0"/>
          <w:divBdr>
            <w:top w:val="none" w:sz="0" w:space="0" w:color="auto"/>
            <w:left w:val="none" w:sz="0" w:space="0" w:color="auto"/>
            <w:bottom w:val="none" w:sz="0" w:space="0" w:color="auto"/>
            <w:right w:val="none" w:sz="0" w:space="0" w:color="auto"/>
          </w:divBdr>
        </w:div>
        <w:div w:id="1811049455">
          <w:marLeft w:val="0"/>
          <w:marRight w:val="0"/>
          <w:marTop w:val="0"/>
          <w:marBottom w:val="0"/>
          <w:divBdr>
            <w:top w:val="none" w:sz="0" w:space="0" w:color="auto"/>
            <w:left w:val="none" w:sz="0" w:space="0" w:color="auto"/>
            <w:bottom w:val="none" w:sz="0" w:space="0" w:color="auto"/>
            <w:right w:val="none" w:sz="0" w:space="0" w:color="auto"/>
          </w:divBdr>
        </w:div>
        <w:div w:id="1412464076">
          <w:marLeft w:val="0"/>
          <w:marRight w:val="0"/>
          <w:marTop w:val="0"/>
          <w:marBottom w:val="0"/>
          <w:divBdr>
            <w:top w:val="none" w:sz="0" w:space="0" w:color="auto"/>
            <w:left w:val="none" w:sz="0" w:space="0" w:color="auto"/>
            <w:bottom w:val="none" w:sz="0" w:space="0" w:color="auto"/>
            <w:right w:val="none" w:sz="0" w:space="0" w:color="auto"/>
          </w:divBdr>
        </w:div>
        <w:div w:id="887763699">
          <w:marLeft w:val="0"/>
          <w:marRight w:val="0"/>
          <w:marTop w:val="0"/>
          <w:marBottom w:val="0"/>
          <w:divBdr>
            <w:top w:val="none" w:sz="0" w:space="0" w:color="auto"/>
            <w:left w:val="none" w:sz="0" w:space="0" w:color="auto"/>
            <w:bottom w:val="none" w:sz="0" w:space="0" w:color="auto"/>
            <w:right w:val="none" w:sz="0" w:space="0" w:color="auto"/>
          </w:divBdr>
        </w:div>
        <w:div w:id="412749591">
          <w:marLeft w:val="0"/>
          <w:marRight w:val="0"/>
          <w:marTop w:val="0"/>
          <w:marBottom w:val="0"/>
          <w:divBdr>
            <w:top w:val="none" w:sz="0" w:space="0" w:color="auto"/>
            <w:left w:val="none" w:sz="0" w:space="0" w:color="auto"/>
            <w:bottom w:val="none" w:sz="0" w:space="0" w:color="auto"/>
            <w:right w:val="none" w:sz="0" w:space="0" w:color="auto"/>
          </w:divBdr>
        </w:div>
        <w:div w:id="1687556057">
          <w:marLeft w:val="0"/>
          <w:marRight w:val="0"/>
          <w:marTop w:val="0"/>
          <w:marBottom w:val="0"/>
          <w:divBdr>
            <w:top w:val="none" w:sz="0" w:space="0" w:color="auto"/>
            <w:left w:val="none" w:sz="0" w:space="0" w:color="auto"/>
            <w:bottom w:val="none" w:sz="0" w:space="0" w:color="auto"/>
            <w:right w:val="none" w:sz="0" w:space="0" w:color="auto"/>
          </w:divBdr>
        </w:div>
        <w:div w:id="190145553">
          <w:marLeft w:val="0"/>
          <w:marRight w:val="0"/>
          <w:marTop w:val="0"/>
          <w:marBottom w:val="0"/>
          <w:divBdr>
            <w:top w:val="none" w:sz="0" w:space="0" w:color="auto"/>
            <w:left w:val="none" w:sz="0" w:space="0" w:color="auto"/>
            <w:bottom w:val="none" w:sz="0" w:space="0" w:color="auto"/>
            <w:right w:val="none" w:sz="0" w:space="0" w:color="auto"/>
          </w:divBdr>
        </w:div>
        <w:div w:id="238947887">
          <w:marLeft w:val="0"/>
          <w:marRight w:val="0"/>
          <w:marTop w:val="0"/>
          <w:marBottom w:val="0"/>
          <w:divBdr>
            <w:top w:val="none" w:sz="0" w:space="0" w:color="auto"/>
            <w:left w:val="none" w:sz="0" w:space="0" w:color="auto"/>
            <w:bottom w:val="none" w:sz="0" w:space="0" w:color="auto"/>
            <w:right w:val="none" w:sz="0" w:space="0" w:color="auto"/>
          </w:divBdr>
        </w:div>
        <w:div w:id="690452443">
          <w:marLeft w:val="0"/>
          <w:marRight w:val="0"/>
          <w:marTop w:val="0"/>
          <w:marBottom w:val="0"/>
          <w:divBdr>
            <w:top w:val="none" w:sz="0" w:space="0" w:color="auto"/>
            <w:left w:val="none" w:sz="0" w:space="0" w:color="auto"/>
            <w:bottom w:val="none" w:sz="0" w:space="0" w:color="auto"/>
            <w:right w:val="none" w:sz="0" w:space="0" w:color="auto"/>
          </w:divBdr>
        </w:div>
        <w:div w:id="647631602">
          <w:marLeft w:val="0"/>
          <w:marRight w:val="0"/>
          <w:marTop w:val="0"/>
          <w:marBottom w:val="0"/>
          <w:divBdr>
            <w:top w:val="none" w:sz="0" w:space="0" w:color="auto"/>
            <w:left w:val="none" w:sz="0" w:space="0" w:color="auto"/>
            <w:bottom w:val="none" w:sz="0" w:space="0" w:color="auto"/>
            <w:right w:val="none" w:sz="0" w:space="0" w:color="auto"/>
          </w:divBdr>
        </w:div>
        <w:div w:id="1315138331">
          <w:marLeft w:val="0"/>
          <w:marRight w:val="0"/>
          <w:marTop w:val="0"/>
          <w:marBottom w:val="0"/>
          <w:divBdr>
            <w:top w:val="none" w:sz="0" w:space="0" w:color="auto"/>
            <w:left w:val="none" w:sz="0" w:space="0" w:color="auto"/>
            <w:bottom w:val="none" w:sz="0" w:space="0" w:color="auto"/>
            <w:right w:val="none" w:sz="0" w:space="0" w:color="auto"/>
          </w:divBdr>
        </w:div>
      </w:divsChild>
    </w:div>
    <w:div w:id="624115071">
      <w:bodyDiv w:val="1"/>
      <w:marLeft w:val="0"/>
      <w:marRight w:val="0"/>
      <w:marTop w:val="0"/>
      <w:marBottom w:val="0"/>
      <w:divBdr>
        <w:top w:val="none" w:sz="0" w:space="0" w:color="auto"/>
        <w:left w:val="none" w:sz="0" w:space="0" w:color="auto"/>
        <w:bottom w:val="none" w:sz="0" w:space="0" w:color="auto"/>
        <w:right w:val="none" w:sz="0" w:space="0" w:color="auto"/>
      </w:divBdr>
      <w:divsChild>
        <w:div w:id="1321345105">
          <w:marLeft w:val="0"/>
          <w:marRight w:val="0"/>
          <w:marTop w:val="0"/>
          <w:marBottom w:val="0"/>
          <w:divBdr>
            <w:top w:val="none" w:sz="0" w:space="0" w:color="auto"/>
            <w:left w:val="none" w:sz="0" w:space="0" w:color="auto"/>
            <w:bottom w:val="none" w:sz="0" w:space="0" w:color="auto"/>
            <w:right w:val="none" w:sz="0" w:space="0" w:color="auto"/>
          </w:divBdr>
        </w:div>
        <w:div w:id="1535269734">
          <w:marLeft w:val="0"/>
          <w:marRight w:val="0"/>
          <w:marTop w:val="0"/>
          <w:marBottom w:val="0"/>
          <w:divBdr>
            <w:top w:val="none" w:sz="0" w:space="0" w:color="auto"/>
            <w:left w:val="none" w:sz="0" w:space="0" w:color="auto"/>
            <w:bottom w:val="none" w:sz="0" w:space="0" w:color="auto"/>
            <w:right w:val="none" w:sz="0" w:space="0" w:color="auto"/>
          </w:divBdr>
        </w:div>
        <w:div w:id="1808429161">
          <w:marLeft w:val="0"/>
          <w:marRight w:val="0"/>
          <w:marTop w:val="0"/>
          <w:marBottom w:val="0"/>
          <w:divBdr>
            <w:top w:val="none" w:sz="0" w:space="0" w:color="auto"/>
            <w:left w:val="none" w:sz="0" w:space="0" w:color="auto"/>
            <w:bottom w:val="none" w:sz="0" w:space="0" w:color="auto"/>
            <w:right w:val="none" w:sz="0" w:space="0" w:color="auto"/>
          </w:divBdr>
        </w:div>
        <w:div w:id="650713062">
          <w:marLeft w:val="0"/>
          <w:marRight w:val="0"/>
          <w:marTop w:val="0"/>
          <w:marBottom w:val="0"/>
          <w:divBdr>
            <w:top w:val="none" w:sz="0" w:space="0" w:color="auto"/>
            <w:left w:val="none" w:sz="0" w:space="0" w:color="auto"/>
            <w:bottom w:val="none" w:sz="0" w:space="0" w:color="auto"/>
            <w:right w:val="none" w:sz="0" w:space="0" w:color="auto"/>
          </w:divBdr>
        </w:div>
        <w:div w:id="1856115878">
          <w:marLeft w:val="0"/>
          <w:marRight w:val="0"/>
          <w:marTop w:val="0"/>
          <w:marBottom w:val="0"/>
          <w:divBdr>
            <w:top w:val="none" w:sz="0" w:space="0" w:color="auto"/>
            <w:left w:val="none" w:sz="0" w:space="0" w:color="auto"/>
            <w:bottom w:val="none" w:sz="0" w:space="0" w:color="auto"/>
            <w:right w:val="none" w:sz="0" w:space="0" w:color="auto"/>
          </w:divBdr>
        </w:div>
      </w:divsChild>
    </w:div>
    <w:div w:id="635720123">
      <w:bodyDiv w:val="1"/>
      <w:marLeft w:val="0"/>
      <w:marRight w:val="0"/>
      <w:marTop w:val="0"/>
      <w:marBottom w:val="0"/>
      <w:divBdr>
        <w:top w:val="none" w:sz="0" w:space="0" w:color="auto"/>
        <w:left w:val="none" w:sz="0" w:space="0" w:color="auto"/>
        <w:bottom w:val="none" w:sz="0" w:space="0" w:color="auto"/>
        <w:right w:val="none" w:sz="0" w:space="0" w:color="auto"/>
      </w:divBdr>
      <w:divsChild>
        <w:div w:id="192890602">
          <w:marLeft w:val="0"/>
          <w:marRight w:val="0"/>
          <w:marTop w:val="0"/>
          <w:marBottom w:val="0"/>
          <w:divBdr>
            <w:top w:val="none" w:sz="0" w:space="0" w:color="auto"/>
            <w:left w:val="none" w:sz="0" w:space="0" w:color="auto"/>
            <w:bottom w:val="none" w:sz="0" w:space="0" w:color="auto"/>
            <w:right w:val="none" w:sz="0" w:space="0" w:color="auto"/>
          </w:divBdr>
          <w:divsChild>
            <w:div w:id="270823042">
              <w:marLeft w:val="0"/>
              <w:marRight w:val="0"/>
              <w:marTop w:val="0"/>
              <w:marBottom w:val="0"/>
              <w:divBdr>
                <w:top w:val="none" w:sz="0" w:space="0" w:color="auto"/>
                <w:left w:val="none" w:sz="0" w:space="0" w:color="auto"/>
                <w:bottom w:val="none" w:sz="0" w:space="0" w:color="auto"/>
                <w:right w:val="none" w:sz="0" w:space="0" w:color="auto"/>
              </w:divBdr>
              <w:divsChild>
                <w:div w:id="442265534">
                  <w:marLeft w:val="0"/>
                  <w:marRight w:val="0"/>
                  <w:marTop w:val="0"/>
                  <w:marBottom w:val="0"/>
                  <w:divBdr>
                    <w:top w:val="none" w:sz="0" w:space="0" w:color="auto"/>
                    <w:left w:val="none" w:sz="0" w:space="0" w:color="auto"/>
                    <w:bottom w:val="none" w:sz="0" w:space="0" w:color="auto"/>
                    <w:right w:val="none" w:sz="0" w:space="0" w:color="auto"/>
                  </w:divBdr>
                </w:div>
                <w:div w:id="1707946701">
                  <w:marLeft w:val="0"/>
                  <w:marRight w:val="0"/>
                  <w:marTop w:val="0"/>
                  <w:marBottom w:val="0"/>
                  <w:divBdr>
                    <w:top w:val="none" w:sz="0" w:space="0" w:color="auto"/>
                    <w:left w:val="none" w:sz="0" w:space="0" w:color="auto"/>
                    <w:bottom w:val="none" w:sz="0" w:space="0" w:color="auto"/>
                    <w:right w:val="none" w:sz="0" w:space="0" w:color="auto"/>
                  </w:divBdr>
                </w:div>
                <w:div w:id="199703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322476">
          <w:marLeft w:val="0"/>
          <w:marRight w:val="0"/>
          <w:marTop w:val="0"/>
          <w:marBottom w:val="0"/>
          <w:divBdr>
            <w:top w:val="none" w:sz="0" w:space="0" w:color="auto"/>
            <w:left w:val="none" w:sz="0" w:space="0" w:color="auto"/>
            <w:bottom w:val="none" w:sz="0" w:space="0" w:color="auto"/>
            <w:right w:val="none" w:sz="0" w:space="0" w:color="auto"/>
          </w:divBdr>
        </w:div>
        <w:div w:id="2144762040">
          <w:marLeft w:val="0"/>
          <w:marRight w:val="0"/>
          <w:marTop w:val="0"/>
          <w:marBottom w:val="0"/>
          <w:divBdr>
            <w:top w:val="none" w:sz="0" w:space="0" w:color="auto"/>
            <w:left w:val="none" w:sz="0" w:space="0" w:color="auto"/>
            <w:bottom w:val="none" w:sz="0" w:space="0" w:color="auto"/>
            <w:right w:val="none" w:sz="0" w:space="0" w:color="auto"/>
          </w:divBdr>
        </w:div>
        <w:div w:id="1398016189">
          <w:marLeft w:val="0"/>
          <w:marRight w:val="0"/>
          <w:marTop w:val="0"/>
          <w:marBottom w:val="0"/>
          <w:divBdr>
            <w:top w:val="none" w:sz="0" w:space="0" w:color="auto"/>
            <w:left w:val="none" w:sz="0" w:space="0" w:color="auto"/>
            <w:bottom w:val="none" w:sz="0" w:space="0" w:color="auto"/>
            <w:right w:val="none" w:sz="0" w:space="0" w:color="auto"/>
          </w:divBdr>
        </w:div>
        <w:div w:id="1275753228">
          <w:marLeft w:val="0"/>
          <w:marRight w:val="0"/>
          <w:marTop w:val="0"/>
          <w:marBottom w:val="0"/>
          <w:divBdr>
            <w:top w:val="none" w:sz="0" w:space="0" w:color="auto"/>
            <w:left w:val="none" w:sz="0" w:space="0" w:color="auto"/>
            <w:bottom w:val="none" w:sz="0" w:space="0" w:color="auto"/>
            <w:right w:val="none" w:sz="0" w:space="0" w:color="auto"/>
          </w:divBdr>
        </w:div>
        <w:div w:id="1155994897">
          <w:marLeft w:val="0"/>
          <w:marRight w:val="0"/>
          <w:marTop w:val="0"/>
          <w:marBottom w:val="0"/>
          <w:divBdr>
            <w:top w:val="none" w:sz="0" w:space="0" w:color="auto"/>
            <w:left w:val="none" w:sz="0" w:space="0" w:color="auto"/>
            <w:bottom w:val="none" w:sz="0" w:space="0" w:color="auto"/>
            <w:right w:val="none" w:sz="0" w:space="0" w:color="auto"/>
          </w:divBdr>
        </w:div>
        <w:div w:id="827407720">
          <w:marLeft w:val="0"/>
          <w:marRight w:val="0"/>
          <w:marTop w:val="0"/>
          <w:marBottom w:val="0"/>
          <w:divBdr>
            <w:top w:val="none" w:sz="0" w:space="0" w:color="auto"/>
            <w:left w:val="none" w:sz="0" w:space="0" w:color="auto"/>
            <w:bottom w:val="none" w:sz="0" w:space="0" w:color="auto"/>
            <w:right w:val="none" w:sz="0" w:space="0" w:color="auto"/>
          </w:divBdr>
        </w:div>
        <w:div w:id="1477524677">
          <w:marLeft w:val="0"/>
          <w:marRight w:val="0"/>
          <w:marTop w:val="0"/>
          <w:marBottom w:val="0"/>
          <w:divBdr>
            <w:top w:val="none" w:sz="0" w:space="0" w:color="auto"/>
            <w:left w:val="none" w:sz="0" w:space="0" w:color="auto"/>
            <w:bottom w:val="none" w:sz="0" w:space="0" w:color="auto"/>
            <w:right w:val="none" w:sz="0" w:space="0" w:color="auto"/>
          </w:divBdr>
        </w:div>
        <w:div w:id="1699046884">
          <w:marLeft w:val="0"/>
          <w:marRight w:val="0"/>
          <w:marTop w:val="0"/>
          <w:marBottom w:val="0"/>
          <w:divBdr>
            <w:top w:val="none" w:sz="0" w:space="0" w:color="auto"/>
            <w:left w:val="none" w:sz="0" w:space="0" w:color="auto"/>
            <w:bottom w:val="none" w:sz="0" w:space="0" w:color="auto"/>
            <w:right w:val="none" w:sz="0" w:space="0" w:color="auto"/>
          </w:divBdr>
        </w:div>
        <w:div w:id="59906048">
          <w:marLeft w:val="0"/>
          <w:marRight w:val="0"/>
          <w:marTop w:val="0"/>
          <w:marBottom w:val="0"/>
          <w:divBdr>
            <w:top w:val="none" w:sz="0" w:space="0" w:color="auto"/>
            <w:left w:val="none" w:sz="0" w:space="0" w:color="auto"/>
            <w:bottom w:val="none" w:sz="0" w:space="0" w:color="auto"/>
            <w:right w:val="none" w:sz="0" w:space="0" w:color="auto"/>
          </w:divBdr>
        </w:div>
        <w:div w:id="1076824089">
          <w:marLeft w:val="0"/>
          <w:marRight w:val="0"/>
          <w:marTop w:val="0"/>
          <w:marBottom w:val="0"/>
          <w:divBdr>
            <w:top w:val="none" w:sz="0" w:space="0" w:color="auto"/>
            <w:left w:val="none" w:sz="0" w:space="0" w:color="auto"/>
            <w:bottom w:val="none" w:sz="0" w:space="0" w:color="auto"/>
            <w:right w:val="none" w:sz="0" w:space="0" w:color="auto"/>
          </w:divBdr>
        </w:div>
        <w:div w:id="637685400">
          <w:marLeft w:val="0"/>
          <w:marRight w:val="0"/>
          <w:marTop w:val="0"/>
          <w:marBottom w:val="0"/>
          <w:divBdr>
            <w:top w:val="none" w:sz="0" w:space="0" w:color="auto"/>
            <w:left w:val="none" w:sz="0" w:space="0" w:color="auto"/>
            <w:bottom w:val="none" w:sz="0" w:space="0" w:color="auto"/>
            <w:right w:val="none" w:sz="0" w:space="0" w:color="auto"/>
          </w:divBdr>
        </w:div>
        <w:div w:id="968242393">
          <w:marLeft w:val="0"/>
          <w:marRight w:val="0"/>
          <w:marTop w:val="0"/>
          <w:marBottom w:val="0"/>
          <w:divBdr>
            <w:top w:val="none" w:sz="0" w:space="0" w:color="auto"/>
            <w:left w:val="none" w:sz="0" w:space="0" w:color="auto"/>
            <w:bottom w:val="none" w:sz="0" w:space="0" w:color="auto"/>
            <w:right w:val="none" w:sz="0" w:space="0" w:color="auto"/>
          </w:divBdr>
        </w:div>
        <w:div w:id="1868450293">
          <w:marLeft w:val="0"/>
          <w:marRight w:val="0"/>
          <w:marTop w:val="0"/>
          <w:marBottom w:val="0"/>
          <w:divBdr>
            <w:top w:val="none" w:sz="0" w:space="0" w:color="auto"/>
            <w:left w:val="none" w:sz="0" w:space="0" w:color="auto"/>
            <w:bottom w:val="none" w:sz="0" w:space="0" w:color="auto"/>
            <w:right w:val="none" w:sz="0" w:space="0" w:color="auto"/>
          </w:divBdr>
        </w:div>
        <w:div w:id="1638607480">
          <w:marLeft w:val="0"/>
          <w:marRight w:val="0"/>
          <w:marTop w:val="0"/>
          <w:marBottom w:val="0"/>
          <w:divBdr>
            <w:top w:val="none" w:sz="0" w:space="0" w:color="auto"/>
            <w:left w:val="none" w:sz="0" w:space="0" w:color="auto"/>
            <w:bottom w:val="none" w:sz="0" w:space="0" w:color="auto"/>
            <w:right w:val="none" w:sz="0" w:space="0" w:color="auto"/>
          </w:divBdr>
        </w:div>
        <w:div w:id="1693531462">
          <w:marLeft w:val="0"/>
          <w:marRight w:val="0"/>
          <w:marTop w:val="0"/>
          <w:marBottom w:val="0"/>
          <w:divBdr>
            <w:top w:val="none" w:sz="0" w:space="0" w:color="auto"/>
            <w:left w:val="none" w:sz="0" w:space="0" w:color="auto"/>
            <w:bottom w:val="none" w:sz="0" w:space="0" w:color="auto"/>
            <w:right w:val="none" w:sz="0" w:space="0" w:color="auto"/>
          </w:divBdr>
        </w:div>
        <w:div w:id="1252857568">
          <w:marLeft w:val="0"/>
          <w:marRight w:val="0"/>
          <w:marTop w:val="0"/>
          <w:marBottom w:val="0"/>
          <w:divBdr>
            <w:top w:val="none" w:sz="0" w:space="0" w:color="auto"/>
            <w:left w:val="none" w:sz="0" w:space="0" w:color="auto"/>
            <w:bottom w:val="none" w:sz="0" w:space="0" w:color="auto"/>
            <w:right w:val="none" w:sz="0" w:space="0" w:color="auto"/>
          </w:divBdr>
        </w:div>
        <w:div w:id="452020794">
          <w:marLeft w:val="0"/>
          <w:marRight w:val="0"/>
          <w:marTop w:val="0"/>
          <w:marBottom w:val="0"/>
          <w:divBdr>
            <w:top w:val="none" w:sz="0" w:space="0" w:color="auto"/>
            <w:left w:val="none" w:sz="0" w:space="0" w:color="auto"/>
            <w:bottom w:val="none" w:sz="0" w:space="0" w:color="auto"/>
            <w:right w:val="none" w:sz="0" w:space="0" w:color="auto"/>
          </w:divBdr>
        </w:div>
      </w:divsChild>
    </w:div>
    <w:div w:id="675615252">
      <w:bodyDiv w:val="1"/>
      <w:marLeft w:val="0"/>
      <w:marRight w:val="0"/>
      <w:marTop w:val="0"/>
      <w:marBottom w:val="0"/>
      <w:divBdr>
        <w:top w:val="none" w:sz="0" w:space="0" w:color="auto"/>
        <w:left w:val="none" w:sz="0" w:space="0" w:color="auto"/>
        <w:bottom w:val="none" w:sz="0" w:space="0" w:color="auto"/>
        <w:right w:val="none" w:sz="0" w:space="0" w:color="auto"/>
      </w:divBdr>
      <w:divsChild>
        <w:div w:id="666061209">
          <w:marLeft w:val="0"/>
          <w:marRight w:val="0"/>
          <w:marTop w:val="0"/>
          <w:marBottom w:val="0"/>
          <w:divBdr>
            <w:top w:val="none" w:sz="0" w:space="0" w:color="auto"/>
            <w:left w:val="none" w:sz="0" w:space="0" w:color="auto"/>
            <w:bottom w:val="none" w:sz="0" w:space="0" w:color="auto"/>
            <w:right w:val="none" w:sz="0" w:space="0" w:color="auto"/>
          </w:divBdr>
        </w:div>
        <w:div w:id="294409495">
          <w:marLeft w:val="0"/>
          <w:marRight w:val="0"/>
          <w:marTop w:val="0"/>
          <w:marBottom w:val="0"/>
          <w:divBdr>
            <w:top w:val="none" w:sz="0" w:space="0" w:color="auto"/>
            <w:left w:val="none" w:sz="0" w:space="0" w:color="auto"/>
            <w:bottom w:val="none" w:sz="0" w:space="0" w:color="auto"/>
            <w:right w:val="none" w:sz="0" w:space="0" w:color="auto"/>
          </w:divBdr>
        </w:div>
        <w:div w:id="1915117221">
          <w:marLeft w:val="0"/>
          <w:marRight w:val="0"/>
          <w:marTop w:val="0"/>
          <w:marBottom w:val="0"/>
          <w:divBdr>
            <w:top w:val="none" w:sz="0" w:space="0" w:color="auto"/>
            <w:left w:val="none" w:sz="0" w:space="0" w:color="auto"/>
            <w:bottom w:val="none" w:sz="0" w:space="0" w:color="auto"/>
            <w:right w:val="none" w:sz="0" w:space="0" w:color="auto"/>
          </w:divBdr>
        </w:div>
        <w:div w:id="1947074787">
          <w:marLeft w:val="0"/>
          <w:marRight w:val="0"/>
          <w:marTop w:val="0"/>
          <w:marBottom w:val="0"/>
          <w:divBdr>
            <w:top w:val="none" w:sz="0" w:space="0" w:color="auto"/>
            <w:left w:val="none" w:sz="0" w:space="0" w:color="auto"/>
            <w:bottom w:val="none" w:sz="0" w:space="0" w:color="auto"/>
            <w:right w:val="none" w:sz="0" w:space="0" w:color="auto"/>
          </w:divBdr>
        </w:div>
        <w:div w:id="2127381698">
          <w:marLeft w:val="0"/>
          <w:marRight w:val="0"/>
          <w:marTop w:val="0"/>
          <w:marBottom w:val="0"/>
          <w:divBdr>
            <w:top w:val="none" w:sz="0" w:space="0" w:color="auto"/>
            <w:left w:val="none" w:sz="0" w:space="0" w:color="auto"/>
            <w:bottom w:val="none" w:sz="0" w:space="0" w:color="auto"/>
            <w:right w:val="none" w:sz="0" w:space="0" w:color="auto"/>
          </w:divBdr>
        </w:div>
        <w:div w:id="1879707715">
          <w:marLeft w:val="0"/>
          <w:marRight w:val="0"/>
          <w:marTop w:val="0"/>
          <w:marBottom w:val="0"/>
          <w:divBdr>
            <w:top w:val="none" w:sz="0" w:space="0" w:color="auto"/>
            <w:left w:val="none" w:sz="0" w:space="0" w:color="auto"/>
            <w:bottom w:val="none" w:sz="0" w:space="0" w:color="auto"/>
            <w:right w:val="none" w:sz="0" w:space="0" w:color="auto"/>
          </w:divBdr>
        </w:div>
        <w:div w:id="1589726448">
          <w:marLeft w:val="0"/>
          <w:marRight w:val="0"/>
          <w:marTop w:val="0"/>
          <w:marBottom w:val="0"/>
          <w:divBdr>
            <w:top w:val="none" w:sz="0" w:space="0" w:color="auto"/>
            <w:left w:val="none" w:sz="0" w:space="0" w:color="auto"/>
            <w:bottom w:val="none" w:sz="0" w:space="0" w:color="auto"/>
            <w:right w:val="none" w:sz="0" w:space="0" w:color="auto"/>
          </w:divBdr>
        </w:div>
        <w:div w:id="663897464">
          <w:marLeft w:val="0"/>
          <w:marRight w:val="0"/>
          <w:marTop w:val="0"/>
          <w:marBottom w:val="0"/>
          <w:divBdr>
            <w:top w:val="none" w:sz="0" w:space="0" w:color="auto"/>
            <w:left w:val="none" w:sz="0" w:space="0" w:color="auto"/>
            <w:bottom w:val="none" w:sz="0" w:space="0" w:color="auto"/>
            <w:right w:val="none" w:sz="0" w:space="0" w:color="auto"/>
          </w:divBdr>
        </w:div>
        <w:div w:id="517160736">
          <w:marLeft w:val="0"/>
          <w:marRight w:val="0"/>
          <w:marTop w:val="0"/>
          <w:marBottom w:val="0"/>
          <w:divBdr>
            <w:top w:val="none" w:sz="0" w:space="0" w:color="auto"/>
            <w:left w:val="none" w:sz="0" w:space="0" w:color="auto"/>
            <w:bottom w:val="none" w:sz="0" w:space="0" w:color="auto"/>
            <w:right w:val="none" w:sz="0" w:space="0" w:color="auto"/>
          </w:divBdr>
        </w:div>
        <w:div w:id="912086753">
          <w:marLeft w:val="0"/>
          <w:marRight w:val="0"/>
          <w:marTop w:val="0"/>
          <w:marBottom w:val="0"/>
          <w:divBdr>
            <w:top w:val="none" w:sz="0" w:space="0" w:color="auto"/>
            <w:left w:val="none" w:sz="0" w:space="0" w:color="auto"/>
            <w:bottom w:val="none" w:sz="0" w:space="0" w:color="auto"/>
            <w:right w:val="none" w:sz="0" w:space="0" w:color="auto"/>
          </w:divBdr>
        </w:div>
      </w:divsChild>
    </w:div>
    <w:div w:id="745229516">
      <w:bodyDiv w:val="1"/>
      <w:marLeft w:val="0"/>
      <w:marRight w:val="0"/>
      <w:marTop w:val="0"/>
      <w:marBottom w:val="0"/>
      <w:divBdr>
        <w:top w:val="none" w:sz="0" w:space="0" w:color="auto"/>
        <w:left w:val="none" w:sz="0" w:space="0" w:color="auto"/>
        <w:bottom w:val="none" w:sz="0" w:space="0" w:color="auto"/>
        <w:right w:val="none" w:sz="0" w:space="0" w:color="auto"/>
      </w:divBdr>
      <w:divsChild>
        <w:div w:id="1523468940">
          <w:marLeft w:val="0"/>
          <w:marRight w:val="0"/>
          <w:marTop w:val="0"/>
          <w:marBottom w:val="0"/>
          <w:divBdr>
            <w:top w:val="none" w:sz="0" w:space="0" w:color="auto"/>
            <w:left w:val="none" w:sz="0" w:space="0" w:color="auto"/>
            <w:bottom w:val="none" w:sz="0" w:space="0" w:color="auto"/>
            <w:right w:val="none" w:sz="0" w:space="0" w:color="auto"/>
          </w:divBdr>
        </w:div>
        <w:div w:id="53892075">
          <w:marLeft w:val="0"/>
          <w:marRight w:val="0"/>
          <w:marTop w:val="0"/>
          <w:marBottom w:val="0"/>
          <w:divBdr>
            <w:top w:val="none" w:sz="0" w:space="0" w:color="auto"/>
            <w:left w:val="none" w:sz="0" w:space="0" w:color="auto"/>
            <w:bottom w:val="none" w:sz="0" w:space="0" w:color="auto"/>
            <w:right w:val="none" w:sz="0" w:space="0" w:color="auto"/>
          </w:divBdr>
        </w:div>
        <w:div w:id="2019195033">
          <w:marLeft w:val="0"/>
          <w:marRight w:val="0"/>
          <w:marTop w:val="0"/>
          <w:marBottom w:val="0"/>
          <w:divBdr>
            <w:top w:val="none" w:sz="0" w:space="0" w:color="auto"/>
            <w:left w:val="none" w:sz="0" w:space="0" w:color="auto"/>
            <w:bottom w:val="none" w:sz="0" w:space="0" w:color="auto"/>
            <w:right w:val="none" w:sz="0" w:space="0" w:color="auto"/>
          </w:divBdr>
        </w:div>
        <w:div w:id="690841176">
          <w:marLeft w:val="0"/>
          <w:marRight w:val="0"/>
          <w:marTop w:val="0"/>
          <w:marBottom w:val="0"/>
          <w:divBdr>
            <w:top w:val="none" w:sz="0" w:space="0" w:color="auto"/>
            <w:left w:val="none" w:sz="0" w:space="0" w:color="auto"/>
            <w:bottom w:val="none" w:sz="0" w:space="0" w:color="auto"/>
            <w:right w:val="none" w:sz="0" w:space="0" w:color="auto"/>
          </w:divBdr>
        </w:div>
        <w:div w:id="1856535523">
          <w:marLeft w:val="0"/>
          <w:marRight w:val="0"/>
          <w:marTop w:val="0"/>
          <w:marBottom w:val="0"/>
          <w:divBdr>
            <w:top w:val="none" w:sz="0" w:space="0" w:color="auto"/>
            <w:left w:val="none" w:sz="0" w:space="0" w:color="auto"/>
            <w:bottom w:val="none" w:sz="0" w:space="0" w:color="auto"/>
            <w:right w:val="none" w:sz="0" w:space="0" w:color="auto"/>
          </w:divBdr>
        </w:div>
        <w:div w:id="1426075836">
          <w:marLeft w:val="0"/>
          <w:marRight w:val="0"/>
          <w:marTop w:val="0"/>
          <w:marBottom w:val="0"/>
          <w:divBdr>
            <w:top w:val="none" w:sz="0" w:space="0" w:color="auto"/>
            <w:left w:val="none" w:sz="0" w:space="0" w:color="auto"/>
            <w:bottom w:val="none" w:sz="0" w:space="0" w:color="auto"/>
            <w:right w:val="none" w:sz="0" w:space="0" w:color="auto"/>
          </w:divBdr>
        </w:div>
        <w:div w:id="1147747367">
          <w:marLeft w:val="0"/>
          <w:marRight w:val="0"/>
          <w:marTop w:val="0"/>
          <w:marBottom w:val="0"/>
          <w:divBdr>
            <w:top w:val="none" w:sz="0" w:space="0" w:color="auto"/>
            <w:left w:val="none" w:sz="0" w:space="0" w:color="auto"/>
            <w:bottom w:val="none" w:sz="0" w:space="0" w:color="auto"/>
            <w:right w:val="none" w:sz="0" w:space="0" w:color="auto"/>
          </w:divBdr>
        </w:div>
        <w:div w:id="1097214949">
          <w:marLeft w:val="0"/>
          <w:marRight w:val="0"/>
          <w:marTop w:val="0"/>
          <w:marBottom w:val="0"/>
          <w:divBdr>
            <w:top w:val="none" w:sz="0" w:space="0" w:color="auto"/>
            <w:left w:val="none" w:sz="0" w:space="0" w:color="auto"/>
            <w:bottom w:val="none" w:sz="0" w:space="0" w:color="auto"/>
            <w:right w:val="none" w:sz="0" w:space="0" w:color="auto"/>
          </w:divBdr>
        </w:div>
        <w:div w:id="283590">
          <w:marLeft w:val="0"/>
          <w:marRight w:val="0"/>
          <w:marTop w:val="0"/>
          <w:marBottom w:val="0"/>
          <w:divBdr>
            <w:top w:val="none" w:sz="0" w:space="0" w:color="auto"/>
            <w:left w:val="none" w:sz="0" w:space="0" w:color="auto"/>
            <w:bottom w:val="none" w:sz="0" w:space="0" w:color="auto"/>
            <w:right w:val="none" w:sz="0" w:space="0" w:color="auto"/>
          </w:divBdr>
        </w:div>
        <w:div w:id="78337412">
          <w:marLeft w:val="0"/>
          <w:marRight w:val="0"/>
          <w:marTop w:val="0"/>
          <w:marBottom w:val="0"/>
          <w:divBdr>
            <w:top w:val="none" w:sz="0" w:space="0" w:color="auto"/>
            <w:left w:val="none" w:sz="0" w:space="0" w:color="auto"/>
            <w:bottom w:val="none" w:sz="0" w:space="0" w:color="auto"/>
            <w:right w:val="none" w:sz="0" w:space="0" w:color="auto"/>
          </w:divBdr>
        </w:div>
        <w:div w:id="1131941852">
          <w:marLeft w:val="0"/>
          <w:marRight w:val="0"/>
          <w:marTop w:val="0"/>
          <w:marBottom w:val="0"/>
          <w:divBdr>
            <w:top w:val="none" w:sz="0" w:space="0" w:color="auto"/>
            <w:left w:val="none" w:sz="0" w:space="0" w:color="auto"/>
            <w:bottom w:val="none" w:sz="0" w:space="0" w:color="auto"/>
            <w:right w:val="none" w:sz="0" w:space="0" w:color="auto"/>
          </w:divBdr>
        </w:div>
        <w:div w:id="1787460180">
          <w:marLeft w:val="0"/>
          <w:marRight w:val="0"/>
          <w:marTop w:val="0"/>
          <w:marBottom w:val="0"/>
          <w:divBdr>
            <w:top w:val="none" w:sz="0" w:space="0" w:color="auto"/>
            <w:left w:val="none" w:sz="0" w:space="0" w:color="auto"/>
            <w:bottom w:val="none" w:sz="0" w:space="0" w:color="auto"/>
            <w:right w:val="none" w:sz="0" w:space="0" w:color="auto"/>
          </w:divBdr>
        </w:div>
        <w:div w:id="482547107">
          <w:marLeft w:val="0"/>
          <w:marRight w:val="0"/>
          <w:marTop w:val="0"/>
          <w:marBottom w:val="0"/>
          <w:divBdr>
            <w:top w:val="none" w:sz="0" w:space="0" w:color="auto"/>
            <w:left w:val="none" w:sz="0" w:space="0" w:color="auto"/>
            <w:bottom w:val="none" w:sz="0" w:space="0" w:color="auto"/>
            <w:right w:val="none" w:sz="0" w:space="0" w:color="auto"/>
          </w:divBdr>
        </w:div>
        <w:div w:id="187178107">
          <w:marLeft w:val="0"/>
          <w:marRight w:val="0"/>
          <w:marTop w:val="0"/>
          <w:marBottom w:val="0"/>
          <w:divBdr>
            <w:top w:val="none" w:sz="0" w:space="0" w:color="auto"/>
            <w:left w:val="none" w:sz="0" w:space="0" w:color="auto"/>
            <w:bottom w:val="none" w:sz="0" w:space="0" w:color="auto"/>
            <w:right w:val="none" w:sz="0" w:space="0" w:color="auto"/>
          </w:divBdr>
        </w:div>
        <w:div w:id="762726155">
          <w:marLeft w:val="0"/>
          <w:marRight w:val="0"/>
          <w:marTop w:val="0"/>
          <w:marBottom w:val="0"/>
          <w:divBdr>
            <w:top w:val="none" w:sz="0" w:space="0" w:color="auto"/>
            <w:left w:val="none" w:sz="0" w:space="0" w:color="auto"/>
            <w:bottom w:val="none" w:sz="0" w:space="0" w:color="auto"/>
            <w:right w:val="none" w:sz="0" w:space="0" w:color="auto"/>
          </w:divBdr>
        </w:div>
        <w:div w:id="54547211">
          <w:marLeft w:val="0"/>
          <w:marRight w:val="0"/>
          <w:marTop w:val="0"/>
          <w:marBottom w:val="0"/>
          <w:divBdr>
            <w:top w:val="none" w:sz="0" w:space="0" w:color="auto"/>
            <w:left w:val="none" w:sz="0" w:space="0" w:color="auto"/>
            <w:bottom w:val="none" w:sz="0" w:space="0" w:color="auto"/>
            <w:right w:val="none" w:sz="0" w:space="0" w:color="auto"/>
          </w:divBdr>
        </w:div>
        <w:div w:id="1739816778">
          <w:marLeft w:val="0"/>
          <w:marRight w:val="0"/>
          <w:marTop w:val="0"/>
          <w:marBottom w:val="0"/>
          <w:divBdr>
            <w:top w:val="none" w:sz="0" w:space="0" w:color="auto"/>
            <w:left w:val="none" w:sz="0" w:space="0" w:color="auto"/>
            <w:bottom w:val="none" w:sz="0" w:space="0" w:color="auto"/>
            <w:right w:val="none" w:sz="0" w:space="0" w:color="auto"/>
          </w:divBdr>
        </w:div>
        <w:div w:id="1567910251">
          <w:marLeft w:val="0"/>
          <w:marRight w:val="0"/>
          <w:marTop w:val="0"/>
          <w:marBottom w:val="0"/>
          <w:divBdr>
            <w:top w:val="none" w:sz="0" w:space="0" w:color="auto"/>
            <w:left w:val="none" w:sz="0" w:space="0" w:color="auto"/>
            <w:bottom w:val="none" w:sz="0" w:space="0" w:color="auto"/>
            <w:right w:val="none" w:sz="0" w:space="0" w:color="auto"/>
          </w:divBdr>
        </w:div>
        <w:div w:id="1308632362">
          <w:marLeft w:val="0"/>
          <w:marRight w:val="0"/>
          <w:marTop w:val="0"/>
          <w:marBottom w:val="0"/>
          <w:divBdr>
            <w:top w:val="none" w:sz="0" w:space="0" w:color="auto"/>
            <w:left w:val="none" w:sz="0" w:space="0" w:color="auto"/>
            <w:bottom w:val="none" w:sz="0" w:space="0" w:color="auto"/>
            <w:right w:val="none" w:sz="0" w:space="0" w:color="auto"/>
          </w:divBdr>
        </w:div>
        <w:div w:id="1528644439">
          <w:marLeft w:val="0"/>
          <w:marRight w:val="0"/>
          <w:marTop w:val="0"/>
          <w:marBottom w:val="0"/>
          <w:divBdr>
            <w:top w:val="none" w:sz="0" w:space="0" w:color="auto"/>
            <w:left w:val="none" w:sz="0" w:space="0" w:color="auto"/>
            <w:bottom w:val="none" w:sz="0" w:space="0" w:color="auto"/>
            <w:right w:val="none" w:sz="0" w:space="0" w:color="auto"/>
          </w:divBdr>
        </w:div>
        <w:div w:id="2045669098">
          <w:marLeft w:val="0"/>
          <w:marRight w:val="0"/>
          <w:marTop w:val="0"/>
          <w:marBottom w:val="0"/>
          <w:divBdr>
            <w:top w:val="none" w:sz="0" w:space="0" w:color="auto"/>
            <w:left w:val="none" w:sz="0" w:space="0" w:color="auto"/>
            <w:bottom w:val="none" w:sz="0" w:space="0" w:color="auto"/>
            <w:right w:val="none" w:sz="0" w:space="0" w:color="auto"/>
          </w:divBdr>
        </w:div>
      </w:divsChild>
    </w:div>
    <w:div w:id="836379979">
      <w:bodyDiv w:val="1"/>
      <w:marLeft w:val="0"/>
      <w:marRight w:val="0"/>
      <w:marTop w:val="0"/>
      <w:marBottom w:val="0"/>
      <w:divBdr>
        <w:top w:val="none" w:sz="0" w:space="0" w:color="auto"/>
        <w:left w:val="none" w:sz="0" w:space="0" w:color="auto"/>
        <w:bottom w:val="none" w:sz="0" w:space="0" w:color="auto"/>
        <w:right w:val="none" w:sz="0" w:space="0" w:color="auto"/>
      </w:divBdr>
      <w:divsChild>
        <w:div w:id="1930773734">
          <w:marLeft w:val="0"/>
          <w:marRight w:val="0"/>
          <w:marTop w:val="0"/>
          <w:marBottom w:val="0"/>
          <w:divBdr>
            <w:top w:val="none" w:sz="0" w:space="0" w:color="auto"/>
            <w:left w:val="none" w:sz="0" w:space="0" w:color="auto"/>
            <w:bottom w:val="none" w:sz="0" w:space="0" w:color="auto"/>
            <w:right w:val="none" w:sz="0" w:space="0" w:color="auto"/>
          </w:divBdr>
        </w:div>
        <w:div w:id="1297179073">
          <w:marLeft w:val="0"/>
          <w:marRight w:val="0"/>
          <w:marTop w:val="0"/>
          <w:marBottom w:val="0"/>
          <w:divBdr>
            <w:top w:val="none" w:sz="0" w:space="0" w:color="auto"/>
            <w:left w:val="none" w:sz="0" w:space="0" w:color="auto"/>
            <w:bottom w:val="none" w:sz="0" w:space="0" w:color="auto"/>
            <w:right w:val="none" w:sz="0" w:space="0" w:color="auto"/>
          </w:divBdr>
        </w:div>
        <w:div w:id="1272784420">
          <w:marLeft w:val="0"/>
          <w:marRight w:val="0"/>
          <w:marTop w:val="0"/>
          <w:marBottom w:val="0"/>
          <w:divBdr>
            <w:top w:val="none" w:sz="0" w:space="0" w:color="auto"/>
            <w:left w:val="none" w:sz="0" w:space="0" w:color="auto"/>
            <w:bottom w:val="none" w:sz="0" w:space="0" w:color="auto"/>
            <w:right w:val="none" w:sz="0" w:space="0" w:color="auto"/>
          </w:divBdr>
        </w:div>
        <w:div w:id="1384913443">
          <w:marLeft w:val="0"/>
          <w:marRight w:val="0"/>
          <w:marTop w:val="0"/>
          <w:marBottom w:val="0"/>
          <w:divBdr>
            <w:top w:val="none" w:sz="0" w:space="0" w:color="auto"/>
            <w:left w:val="none" w:sz="0" w:space="0" w:color="auto"/>
            <w:bottom w:val="none" w:sz="0" w:space="0" w:color="auto"/>
            <w:right w:val="none" w:sz="0" w:space="0" w:color="auto"/>
          </w:divBdr>
        </w:div>
        <w:div w:id="1362785486">
          <w:marLeft w:val="0"/>
          <w:marRight w:val="0"/>
          <w:marTop w:val="0"/>
          <w:marBottom w:val="0"/>
          <w:divBdr>
            <w:top w:val="none" w:sz="0" w:space="0" w:color="auto"/>
            <w:left w:val="none" w:sz="0" w:space="0" w:color="auto"/>
            <w:bottom w:val="none" w:sz="0" w:space="0" w:color="auto"/>
            <w:right w:val="none" w:sz="0" w:space="0" w:color="auto"/>
          </w:divBdr>
        </w:div>
        <w:div w:id="492528896">
          <w:marLeft w:val="0"/>
          <w:marRight w:val="0"/>
          <w:marTop w:val="0"/>
          <w:marBottom w:val="0"/>
          <w:divBdr>
            <w:top w:val="none" w:sz="0" w:space="0" w:color="auto"/>
            <w:left w:val="none" w:sz="0" w:space="0" w:color="auto"/>
            <w:bottom w:val="none" w:sz="0" w:space="0" w:color="auto"/>
            <w:right w:val="none" w:sz="0" w:space="0" w:color="auto"/>
          </w:divBdr>
        </w:div>
        <w:div w:id="1760905691">
          <w:marLeft w:val="0"/>
          <w:marRight w:val="0"/>
          <w:marTop w:val="0"/>
          <w:marBottom w:val="0"/>
          <w:divBdr>
            <w:top w:val="none" w:sz="0" w:space="0" w:color="auto"/>
            <w:left w:val="none" w:sz="0" w:space="0" w:color="auto"/>
            <w:bottom w:val="none" w:sz="0" w:space="0" w:color="auto"/>
            <w:right w:val="none" w:sz="0" w:space="0" w:color="auto"/>
          </w:divBdr>
        </w:div>
        <w:div w:id="1887913381">
          <w:marLeft w:val="0"/>
          <w:marRight w:val="0"/>
          <w:marTop w:val="0"/>
          <w:marBottom w:val="0"/>
          <w:divBdr>
            <w:top w:val="none" w:sz="0" w:space="0" w:color="auto"/>
            <w:left w:val="none" w:sz="0" w:space="0" w:color="auto"/>
            <w:bottom w:val="none" w:sz="0" w:space="0" w:color="auto"/>
            <w:right w:val="none" w:sz="0" w:space="0" w:color="auto"/>
          </w:divBdr>
        </w:div>
        <w:div w:id="2019575934">
          <w:marLeft w:val="0"/>
          <w:marRight w:val="0"/>
          <w:marTop w:val="0"/>
          <w:marBottom w:val="0"/>
          <w:divBdr>
            <w:top w:val="none" w:sz="0" w:space="0" w:color="auto"/>
            <w:left w:val="none" w:sz="0" w:space="0" w:color="auto"/>
            <w:bottom w:val="none" w:sz="0" w:space="0" w:color="auto"/>
            <w:right w:val="none" w:sz="0" w:space="0" w:color="auto"/>
          </w:divBdr>
        </w:div>
        <w:div w:id="652485291">
          <w:marLeft w:val="0"/>
          <w:marRight w:val="0"/>
          <w:marTop w:val="0"/>
          <w:marBottom w:val="0"/>
          <w:divBdr>
            <w:top w:val="none" w:sz="0" w:space="0" w:color="auto"/>
            <w:left w:val="none" w:sz="0" w:space="0" w:color="auto"/>
            <w:bottom w:val="none" w:sz="0" w:space="0" w:color="auto"/>
            <w:right w:val="none" w:sz="0" w:space="0" w:color="auto"/>
          </w:divBdr>
        </w:div>
        <w:div w:id="288246635">
          <w:marLeft w:val="0"/>
          <w:marRight w:val="0"/>
          <w:marTop w:val="0"/>
          <w:marBottom w:val="0"/>
          <w:divBdr>
            <w:top w:val="none" w:sz="0" w:space="0" w:color="auto"/>
            <w:left w:val="none" w:sz="0" w:space="0" w:color="auto"/>
            <w:bottom w:val="none" w:sz="0" w:space="0" w:color="auto"/>
            <w:right w:val="none" w:sz="0" w:space="0" w:color="auto"/>
          </w:divBdr>
        </w:div>
        <w:div w:id="1627931398">
          <w:marLeft w:val="0"/>
          <w:marRight w:val="0"/>
          <w:marTop w:val="0"/>
          <w:marBottom w:val="0"/>
          <w:divBdr>
            <w:top w:val="none" w:sz="0" w:space="0" w:color="auto"/>
            <w:left w:val="none" w:sz="0" w:space="0" w:color="auto"/>
            <w:bottom w:val="none" w:sz="0" w:space="0" w:color="auto"/>
            <w:right w:val="none" w:sz="0" w:space="0" w:color="auto"/>
          </w:divBdr>
        </w:div>
        <w:div w:id="1462268162">
          <w:marLeft w:val="0"/>
          <w:marRight w:val="0"/>
          <w:marTop w:val="0"/>
          <w:marBottom w:val="0"/>
          <w:divBdr>
            <w:top w:val="none" w:sz="0" w:space="0" w:color="auto"/>
            <w:left w:val="none" w:sz="0" w:space="0" w:color="auto"/>
            <w:bottom w:val="none" w:sz="0" w:space="0" w:color="auto"/>
            <w:right w:val="none" w:sz="0" w:space="0" w:color="auto"/>
          </w:divBdr>
        </w:div>
        <w:div w:id="322008223">
          <w:marLeft w:val="0"/>
          <w:marRight w:val="0"/>
          <w:marTop w:val="0"/>
          <w:marBottom w:val="0"/>
          <w:divBdr>
            <w:top w:val="none" w:sz="0" w:space="0" w:color="auto"/>
            <w:left w:val="none" w:sz="0" w:space="0" w:color="auto"/>
            <w:bottom w:val="none" w:sz="0" w:space="0" w:color="auto"/>
            <w:right w:val="none" w:sz="0" w:space="0" w:color="auto"/>
          </w:divBdr>
        </w:div>
      </w:divsChild>
    </w:div>
    <w:div w:id="883560417">
      <w:bodyDiv w:val="1"/>
      <w:marLeft w:val="0"/>
      <w:marRight w:val="0"/>
      <w:marTop w:val="0"/>
      <w:marBottom w:val="0"/>
      <w:divBdr>
        <w:top w:val="none" w:sz="0" w:space="0" w:color="auto"/>
        <w:left w:val="none" w:sz="0" w:space="0" w:color="auto"/>
        <w:bottom w:val="none" w:sz="0" w:space="0" w:color="auto"/>
        <w:right w:val="none" w:sz="0" w:space="0" w:color="auto"/>
      </w:divBdr>
      <w:divsChild>
        <w:div w:id="1894074963">
          <w:marLeft w:val="0"/>
          <w:marRight w:val="0"/>
          <w:marTop w:val="0"/>
          <w:marBottom w:val="0"/>
          <w:divBdr>
            <w:top w:val="none" w:sz="0" w:space="0" w:color="auto"/>
            <w:left w:val="none" w:sz="0" w:space="0" w:color="auto"/>
            <w:bottom w:val="none" w:sz="0" w:space="0" w:color="auto"/>
            <w:right w:val="none" w:sz="0" w:space="0" w:color="auto"/>
          </w:divBdr>
        </w:div>
        <w:div w:id="1638487123">
          <w:marLeft w:val="0"/>
          <w:marRight w:val="0"/>
          <w:marTop w:val="0"/>
          <w:marBottom w:val="0"/>
          <w:divBdr>
            <w:top w:val="none" w:sz="0" w:space="0" w:color="auto"/>
            <w:left w:val="none" w:sz="0" w:space="0" w:color="auto"/>
            <w:bottom w:val="none" w:sz="0" w:space="0" w:color="auto"/>
            <w:right w:val="none" w:sz="0" w:space="0" w:color="auto"/>
          </w:divBdr>
        </w:div>
        <w:div w:id="312875556">
          <w:marLeft w:val="0"/>
          <w:marRight w:val="0"/>
          <w:marTop w:val="0"/>
          <w:marBottom w:val="0"/>
          <w:divBdr>
            <w:top w:val="none" w:sz="0" w:space="0" w:color="auto"/>
            <w:left w:val="none" w:sz="0" w:space="0" w:color="auto"/>
            <w:bottom w:val="none" w:sz="0" w:space="0" w:color="auto"/>
            <w:right w:val="none" w:sz="0" w:space="0" w:color="auto"/>
          </w:divBdr>
        </w:div>
        <w:div w:id="1978954120">
          <w:marLeft w:val="0"/>
          <w:marRight w:val="0"/>
          <w:marTop w:val="0"/>
          <w:marBottom w:val="0"/>
          <w:divBdr>
            <w:top w:val="none" w:sz="0" w:space="0" w:color="auto"/>
            <w:left w:val="none" w:sz="0" w:space="0" w:color="auto"/>
            <w:bottom w:val="none" w:sz="0" w:space="0" w:color="auto"/>
            <w:right w:val="none" w:sz="0" w:space="0" w:color="auto"/>
          </w:divBdr>
        </w:div>
        <w:div w:id="329992952">
          <w:marLeft w:val="0"/>
          <w:marRight w:val="0"/>
          <w:marTop w:val="0"/>
          <w:marBottom w:val="0"/>
          <w:divBdr>
            <w:top w:val="none" w:sz="0" w:space="0" w:color="auto"/>
            <w:left w:val="none" w:sz="0" w:space="0" w:color="auto"/>
            <w:bottom w:val="none" w:sz="0" w:space="0" w:color="auto"/>
            <w:right w:val="none" w:sz="0" w:space="0" w:color="auto"/>
          </w:divBdr>
        </w:div>
        <w:div w:id="673415020">
          <w:marLeft w:val="0"/>
          <w:marRight w:val="0"/>
          <w:marTop w:val="0"/>
          <w:marBottom w:val="0"/>
          <w:divBdr>
            <w:top w:val="none" w:sz="0" w:space="0" w:color="auto"/>
            <w:left w:val="none" w:sz="0" w:space="0" w:color="auto"/>
            <w:bottom w:val="none" w:sz="0" w:space="0" w:color="auto"/>
            <w:right w:val="none" w:sz="0" w:space="0" w:color="auto"/>
          </w:divBdr>
        </w:div>
        <w:div w:id="1833982849">
          <w:marLeft w:val="0"/>
          <w:marRight w:val="0"/>
          <w:marTop w:val="0"/>
          <w:marBottom w:val="0"/>
          <w:divBdr>
            <w:top w:val="none" w:sz="0" w:space="0" w:color="auto"/>
            <w:left w:val="none" w:sz="0" w:space="0" w:color="auto"/>
            <w:bottom w:val="none" w:sz="0" w:space="0" w:color="auto"/>
            <w:right w:val="none" w:sz="0" w:space="0" w:color="auto"/>
          </w:divBdr>
        </w:div>
        <w:div w:id="302732464">
          <w:marLeft w:val="0"/>
          <w:marRight w:val="0"/>
          <w:marTop w:val="0"/>
          <w:marBottom w:val="0"/>
          <w:divBdr>
            <w:top w:val="none" w:sz="0" w:space="0" w:color="auto"/>
            <w:left w:val="none" w:sz="0" w:space="0" w:color="auto"/>
            <w:bottom w:val="none" w:sz="0" w:space="0" w:color="auto"/>
            <w:right w:val="none" w:sz="0" w:space="0" w:color="auto"/>
          </w:divBdr>
        </w:div>
        <w:div w:id="291978582">
          <w:marLeft w:val="0"/>
          <w:marRight w:val="0"/>
          <w:marTop w:val="0"/>
          <w:marBottom w:val="0"/>
          <w:divBdr>
            <w:top w:val="none" w:sz="0" w:space="0" w:color="auto"/>
            <w:left w:val="none" w:sz="0" w:space="0" w:color="auto"/>
            <w:bottom w:val="none" w:sz="0" w:space="0" w:color="auto"/>
            <w:right w:val="none" w:sz="0" w:space="0" w:color="auto"/>
          </w:divBdr>
        </w:div>
        <w:div w:id="824586458">
          <w:marLeft w:val="0"/>
          <w:marRight w:val="0"/>
          <w:marTop w:val="0"/>
          <w:marBottom w:val="0"/>
          <w:divBdr>
            <w:top w:val="none" w:sz="0" w:space="0" w:color="auto"/>
            <w:left w:val="none" w:sz="0" w:space="0" w:color="auto"/>
            <w:bottom w:val="none" w:sz="0" w:space="0" w:color="auto"/>
            <w:right w:val="none" w:sz="0" w:space="0" w:color="auto"/>
          </w:divBdr>
        </w:div>
        <w:div w:id="840655781">
          <w:marLeft w:val="0"/>
          <w:marRight w:val="0"/>
          <w:marTop w:val="0"/>
          <w:marBottom w:val="0"/>
          <w:divBdr>
            <w:top w:val="none" w:sz="0" w:space="0" w:color="auto"/>
            <w:left w:val="none" w:sz="0" w:space="0" w:color="auto"/>
            <w:bottom w:val="none" w:sz="0" w:space="0" w:color="auto"/>
            <w:right w:val="none" w:sz="0" w:space="0" w:color="auto"/>
          </w:divBdr>
        </w:div>
        <w:div w:id="1321696982">
          <w:marLeft w:val="0"/>
          <w:marRight w:val="0"/>
          <w:marTop w:val="0"/>
          <w:marBottom w:val="0"/>
          <w:divBdr>
            <w:top w:val="none" w:sz="0" w:space="0" w:color="auto"/>
            <w:left w:val="none" w:sz="0" w:space="0" w:color="auto"/>
            <w:bottom w:val="none" w:sz="0" w:space="0" w:color="auto"/>
            <w:right w:val="none" w:sz="0" w:space="0" w:color="auto"/>
          </w:divBdr>
        </w:div>
        <w:div w:id="294258506">
          <w:marLeft w:val="0"/>
          <w:marRight w:val="0"/>
          <w:marTop w:val="0"/>
          <w:marBottom w:val="0"/>
          <w:divBdr>
            <w:top w:val="none" w:sz="0" w:space="0" w:color="auto"/>
            <w:left w:val="none" w:sz="0" w:space="0" w:color="auto"/>
            <w:bottom w:val="none" w:sz="0" w:space="0" w:color="auto"/>
            <w:right w:val="none" w:sz="0" w:space="0" w:color="auto"/>
          </w:divBdr>
        </w:div>
      </w:divsChild>
    </w:div>
    <w:div w:id="892928959">
      <w:bodyDiv w:val="1"/>
      <w:marLeft w:val="0"/>
      <w:marRight w:val="0"/>
      <w:marTop w:val="0"/>
      <w:marBottom w:val="0"/>
      <w:divBdr>
        <w:top w:val="none" w:sz="0" w:space="0" w:color="auto"/>
        <w:left w:val="none" w:sz="0" w:space="0" w:color="auto"/>
        <w:bottom w:val="none" w:sz="0" w:space="0" w:color="auto"/>
        <w:right w:val="none" w:sz="0" w:space="0" w:color="auto"/>
      </w:divBdr>
      <w:divsChild>
        <w:div w:id="1834056300">
          <w:marLeft w:val="0"/>
          <w:marRight w:val="0"/>
          <w:marTop w:val="0"/>
          <w:marBottom w:val="0"/>
          <w:divBdr>
            <w:top w:val="none" w:sz="0" w:space="0" w:color="auto"/>
            <w:left w:val="none" w:sz="0" w:space="0" w:color="auto"/>
            <w:bottom w:val="none" w:sz="0" w:space="0" w:color="auto"/>
            <w:right w:val="none" w:sz="0" w:space="0" w:color="auto"/>
          </w:divBdr>
        </w:div>
        <w:div w:id="971860046">
          <w:marLeft w:val="0"/>
          <w:marRight w:val="0"/>
          <w:marTop w:val="0"/>
          <w:marBottom w:val="0"/>
          <w:divBdr>
            <w:top w:val="none" w:sz="0" w:space="0" w:color="auto"/>
            <w:left w:val="none" w:sz="0" w:space="0" w:color="auto"/>
            <w:bottom w:val="none" w:sz="0" w:space="0" w:color="auto"/>
            <w:right w:val="none" w:sz="0" w:space="0" w:color="auto"/>
          </w:divBdr>
        </w:div>
        <w:div w:id="552932171">
          <w:marLeft w:val="0"/>
          <w:marRight w:val="0"/>
          <w:marTop w:val="0"/>
          <w:marBottom w:val="0"/>
          <w:divBdr>
            <w:top w:val="none" w:sz="0" w:space="0" w:color="auto"/>
            <w:left w:val="none" w:sz="0" w:space="0" w:color="auto"/>
            <w:bottom w:val="none" w:sz="0" w:space="0" w:color="auto"/>
            <w:right w:val="none" w:sz="0" w:space="0" w:color="auto"/>
          </w:divBdr>
        </w:div>
        <w:div w:id="826895287">
          <w:marLeft w:val="0"/>
          <w:marRight w:val="0"/>
          <w:marTop w:val="0"/>
          <w:marBottom w:val="0"/>
          <w:divBdr>
            <w:top w:val="none" w:sz="0" w:space="0" w:color="auto"/>
            <w:left w:val="none" w:sz="0" w:space="0" w:color="auto"/>
            <w:bottom w:val="none" w:sz="0" w:space="0" w:color="auto"/>
            <w:right w:val="none" w:sz="0" w:space="0" w:color="auto"/>
          </w:divBdr>
        </w:div>
        <w:div w:id="1895002224">
          <w:marLeft w:val="0"/>
          <w:marRight w:val="0"/>
          <w:marTop w:val="0"/>
          <w:marBottom w:val="0"/>
          <w:divBdr>
            <w:top w:val="none" w:sz="0" w:space="0" w:color="auto"/>
            <w:left w:val="none" w:sz="0" w:space="0" w:color="auto"/>
            <w:bottom w:val="none" w:sz="0" w:space="0" w:color="auto"/>
            <w:right w:val="none" w:sz="0" w:space="0" w:color="auto"/>
          </w:divBdr>
        </w:div>
        <w:div w:id="877821442">
          <w:marLeft w:val="0"/>
          <w:marRight w:val="0"/>
          <w:marTop w:val="0"/>
          <w:marBottom w:val="0"/>
          <w:divBdr>
            <w:top w:val="none" w:sz="0" w:space="0" w:color="auto"/>
            <w:left w:val="none" w:sz="0" w:space="0" w:color="auto"/>
            <w:bottom w:val="none" w:sz="0" w:space="0" w:color="auto"/>
            <w:right w:val="none" w:sz="0" w:space="0" w:color="auto"/>
          </w:divBdr>
        </w:div>
      </w:divsChild>
    </w:div>
    <w:div w:id="993945438">
      <w:bodyDiv w:val="1"/>
      <w:marLeft w:val="0"/>
      <w:marRight w:val="0"/>
      <w:marTop w:val="0"/>
      <w:marBottom w:val="0"/>
      <w:divBdr>
        <w:top w:val="none" w:sz="0" w:space="0" w:color="auto"/>
        <w:left w:val="none" w:sz="0" w:space="0" w:color="auto"/>
        <w:bottom w:val="none" w:sz="0" w:space="0" w:color="auto"/>
        <w:right w:val="none" w:sz="0" w:space="0" w:color="auto"/>
      </w:divBdr>
      <w:divsChild>
        <w:div w:id="694233664">
          <w:marLeft w:val="0"/>
          <w:marRight w:val="0"/>
          <w:marTop w:val="0"/>
          <w:marBottom w:val="0"/>
          <w:divBdr>
            <w:top w:val="none" w:sz="0" w:space="0" w:color="auto"/>
            <w:left w:val="none" w:sz="0" w:space="0" w:color="auto"/>
            <w:bottom w:val="none" w:sz="0" w:space="0" w:color="auto"/>
            <w:right w:val="none" w:sz="0" w:space="0" w:color="auto"/>
          </w:divBdr>
        </w:div>
        <w:div w:id="1921331581">
          <w:marLeft w:val="0"/>
          <w:marRight w:val="0"/>
          <w:marTop w:val="0"/>
          <w:marBottom w:val="0"/>
          <w:divBdr>
            <w:top w:val="none" w:sz="0" w:space="0" w:color="auto"/>
            <w:left w:val="none" w:sz="0" w:space="0" w:color="auto"/>
            <w:bottom w:val="none" w:sz="0" w:space="0" w:color="auto"/>
            <w:right w:val="none" w:sz="0" w:space="0" w:color="auto"/>
          </w:divBdr>
        </w:div>
        <w:div w:id="512457273">
          <w:marLeft w:val="0"/>
          <w:marRight w:val="0"/>
          <w:marTop w:val="0"/>
          <w:marBottom w:val="0"/>
          <w:divBdr>
            <w:top w:val="none" w:sz="0" w:space="0" w:color="auto"/>
            <w:left w:val="none" w:sz="0" w:space="0" w:color="auto"/>
            <w:bottom w:val="none" w:sz="0" w:space="0" w:color="auto"/>
            <w:right w:val="none" w:sz="0" w:space="0" w:color="auto"/>
          </w:divBdr>
        </w:div>
        <w:div w:id="177621893">
          <w:marLeft w:val="0"/>
          <w:marRight w:val="0"/>
          <w:marTop w:val="0"/>
          <w:marBottom w:val="0"/>
          <w:divBdr>
            <w:top w:val="none" w:sz="0" w:space="0" w:color="auto"/>
            <w:left w:val="none" w:sz="0" w:space="0" w:color="auto"/>
            <w:bottom w:val="none" w:sz="0" w:space="0" w:color="auto"/>
            <w:right w:val="none" w:sz="0" w:space="0" w:color="auto"/>
          </w:divBdr>
        </w:div>
        <w:div w:id="999774424">
          <w:marLeft w:val="0"/>
          <w:marRight w:val="0"/>
          <w:marTop w:val="0"/>
          <w:marBottom w:val="0"/>
          <w:divBdr>
            <w:top w:val="none" w:sz="0" w:space="0" w:color="auto"/>
            <w:left w:val="none" w:sz="0" w:space="0" w:color="auto"/>
            <w:bottom w:val="none" w:sz="0" w:space="0" w:color="auto"/>
            <w:right w:val="none" w:sz="0" w:space="0" w:color="auto"/>
          </w:divBdr>
        </w:div>
        <w:div w:id="176502331">
          <w:marLeft w:val="0"/>
          <w:marRight w:val="0"/>
          <w:marTop w:val="0"/>
          <w:marBottom w:val="0"/>
          <w:divBdr>
            <w:top w:val="none" w:sz="0" w:space="0" w:color="auto"/>
            <w:left w:val="none" w:sz="0" w:space="0" w:color="auto"/>
            <w:bottom w:val="none" w:sz="0" w:space="0" w:color="auto"/>
            <w:right w:val="none" w:sz="0" w:space="0" w:color="auto"/>
          </w:divBdr>
        </w:div>
        <w:div w:id="198713829">
          <w:marLeft w:val="0"/>
          <w:marRight w:val="0"/>
          <w:marTop w:val="0"/>
          <w:marBottom w:val="0"/>
          <w:divBdr>
            <w:top w:val="none" w:sz="0" w:space="0" w:color="auto"/>
            <w:left w:val="none" w:sz="0" w:space="0" w:color="auto"/>
            <w:bottom w:val="none" w:sz="0" w:space="0" w:color="auto"/>
            <w:right w:val="none" w:sz="0" w:space="0" w:color="auto"/>
          </w:divBdr>
        </w:div>
        <w:div w:id="1835610304">
          <w:marLeft w:val="0"/>
          <w:marRight w:val="0"/>
          <w:marTop w:val="0"/>
          <w:marBottom w:val="0"/>
          <w:divBdr>
            <w:top w:val="none" w:sz="0" w:space="0" w:color="auto"/>
            <w:left w:val="none" w:sz="0" w:space="0" w:color="auto"/>
            <w:bottom w:val="none" w:sz="0" w:space="0" w:color="auto"/>
            <w:right w:val="none" w:sz="0" w:space="0" w:color="auto"/>
          </w:divBdr>
        </w:div>
        <w:div w:id="1160270933">
          <w:marLeft w:val="0"/>
          <w:marRight w:val="0"/>
          <w:marTop w:val="0"/>
          <w:marBottom w:val="0"/>
          <w:divBdr>
            <w:top w:val="none" w:sz="0" w:space="0" w:color="auto"/>
            <w:left w:val="none" w:sz="0" w:space="0" w:color="auto"/>
            <w:bottom w:val="none" w:sz="0" w:space="0" w:color="auto"/>
            <w:right w:val="none" w:sz="0" w:space="0" w:color="auto"/>
          </w:divBdr>
        </w:div>
        <w:div w:id="1655841963">
          <w:marLeft w:val="0"/>
          <w:marRight w:val="0"/>
          <w:marTop w:val="0"/>
          <w:marBottom w:val="0"/>
          <w:divBdr>
            <w:top w:val="none" w:sz="0" w:space="0" w:color="auto"/>
            <w:left w:val="none" w:sz="0" w:space="0" w:color="auto"/>
            <w:bottom w:val="none" w:sz="0" w:space="0" w:color="auto"/>
            <w:right w:val="none" w:sz="0" w:space="0" w:color="auto"/>
          </w:divBdr>
        </w:div>
        <w:div w:id="1441952933">
          <w:marLeft w:val="0"/>
          <w:marRight w:val="0"/>
          <w:marTop w:val="0"/>
          <w:marBottom w:val="0"/>
          <w:divBdr>
            <w:top w:val="none" w:sz="0" w:space="0" w:color="auto"/>
            <w:left w:val="none" w:sz="0" w:space="0" w:color="auto"/>
            <w:bottom w:val="none" w:sz="0" w:space="0" w:color="auto"/>
            <w:right w:val="none" w:sz="0" w:space="0" w:color="auto"/>
          </w:divBdr>
        </w:div>
        <w:div w:id="2105101538">
          <w:marLeft w:val="0"/>
          <w:marRight w:val="0"/>
          <w:marTop w:val="0"/>
          <w:marBottom w:val="0"/>
          <w:divBdr>
            <w:top w:val="none" w:sz="0" w:space="0" w:color="auto"/>
            <w:left w:val="none" w:sz="0" w:space="0" w:color="auto"/>
            <w:bottom w:val="none" w:sz="0" w:space="0" w:color="auto"/>
            <w:right w:val="none" w:sz="0" w:space="0" w:color="auto"/>
          </w:divBdr>
        </w:div>
        <w:div w:id="128086362">
          <w:marLeft w:val="0"/>
          <w:marRight w:val="0"/>
          <w:marTop w:val="0"/>
          <w:marBottom w:val="0"/>
          <w:divBdr>
            <w:top w:val="none" w:sz="0" w:space="0" w:color="auto"/>
            <w:left w:val="none" w:sz="0" w:space="0" w:color="auto"/>
            <w:bottom w:val="none" w:sz="0" w:space="0" w:color="auto"/>
            <w:right w:val="none" w:sz="0" w:space="0" w:color="auto"/>
          </w:divBdr>
        </w:div>
        <w:div w:id="991327655">
          <w:marLeft w:val="0"/>
          <w:marRight w:val="0"/>
          <w:marTop w:val="0"/>
          <w:marBottom w:val="0"/>
          <w:divBdr>
            <w:top w:val="none" w:sz="0" w:space="0" w:color="auto"/>
            <w:left w:val="none" w:sz="0" w:space="0" w:color="auto"/>
            <w:bottom w:val="none" w:sz="0" w:space="0" w:color="auto"/>
            <w:right w:val="none" w:sz="0" w:space="0" w:color="auto"/>
          </w:divBdr>
        </w:div>
        <w:div w:id="887375930">
          <w:marLeft w:val="0"/>
          <w:marRight w:val="0"/>
          <w:marTop w:val="0"/>
          <w:marBottom w:val="0"/>
          <w:divBdr>
            <w:top w:val="none" w:sz="0" w:space="0" w:color="auto"/>
            <w:left w:val="none" w:sz="0" w:space="0" w:color="auto"/>
            <w:bottom w:val="none" w:sz="0" w:space="0" w:color="auto"/>
            <w:right w:val="none" w:sz="0" w:space="0" w:color="auto"/>
          </w:divBdr>
        </w:div>
        <w:div w:id="2136213604">
          <w:marLeft w:val="0"/>
          <w:marRight w:val="0"/>
          <w:marTop w:val="0"/>
          <w:marBottom w:val="0"/>
          <w:divBdr>
            <w:top w:val="none" w:sz="0" w:space="0" w:color="auto"/>
            <w:left w:val="none" w:sz="0" w:space="0" w:color="auto"/>
            <w:bottom w:val="none" w:sz="0" w:space="0" w:color="auto"/>
            <w:right w:val="none" w:sz="0" w:space="0" w:color="auto"/>
          </w:divBdr>
        </w:div>
        <w:div w:id="1831821752">
          <w:marLeft w:val="0"/>
          <w:marRight w:val="0"/>
          <w:marTop w:val="0"/>
          <w:marBottom w:val="0"/>
          <w:divBdr>
            <w:top w:val="none" w:sz="0" w:space="0" w:color="auto"/>
            <w:left w:val="none" w:sz="0" w:space="0" w:color="auto"/>
            <w:bottom w:val="none" w:sz="0" w:space="0" w:color="auto"/>
            <w:right w:val="none" w:sz="0" w:space="0" w:color="auto"/>
          </w:divBdr>
        </w:div>
        <w:div w:id="2110350637">
          <w:marLeft w:val="0"/>
          <w:marRight w:val="0"/>
          <w:marTop w:val="0"/>
          <w:marBottom w:val="0"/>
          <w:divBdr>
            <w:top w:val="none" w:sz="0" w:space="0" w:color="auto"/>
            <w:left w:val="none" w:sz="0" w:space="0" w:color="auto"/>
            <w:bottom w:val="none" w:sz="0" w:space="0" w:color="auto"/>
            <w:right w:val="none" w:sz="0" w:space="0" w:color="auto"/>
          </w:divBdr>
        </w:div>
        <w:div w:id="319501501">
          <w:marLeft w:val="0"/>
          <w:marRight w:val="0"/>
          <w:marTop w:val="0"/>
          <w:marBottom w:val="0"/>
          <w:divBdr>
            <w:top w:val="none" w:sz="0" w:space="0" w:color="auto"/>
            <w:left w:val="none" w:sz="0" w:space="0" w:color="auto"/>
            <w:bottom w:val="none" w:sz="0" w:space="0" w:color="auto"/>
            <w:right w:val="none" w:sz="0" w:space="0" w:color="auto"/>
          </w:divBdr>
        </w:div>
      </w:divsChild>
    </w:div>
    <w:div w:id="1006710976">
      <w:bodyDiv w:val="1"/>
      <w:marLeft w:val="0"/>
      <w:marRight w:val="0"/>
      <w:marTop w:val="0"/>
      <w:marBottom w:val="0"/>
      <w:divBdr>
        <w:top w:val="none" w:sz="0" w:space="0" w:color="auto"/>
        <w:left w:val="none" w:sz="0" w:space="0" w:color="auto"/>
        <w:bottom w:val="none" w:sz="0" w:space="0" w:color="auto"/>
        <w:right w:val="none" w:sz="0" w:space="0" w:color="auto"/>
      </w:divBdr>
      <w:divsChild>
        <w:div w:id="984897994">
          <w:marLeft w:val="0"/>
          <w:marRight w:val="0"/>
          <w:marTop w:val="0"/>
          <w:marBottom w:val="0"/>
          <w:divBdr>
            <w:top w:val="none" w:sz="0" w:space="0" w:color="auto"/>
            <w:left w:val="none" w:sz="0" w:space="0" w:color="auto"/>
            <w:bottom w:val="none" w:sz="0" w:space="0" w:color="auto"/>
            <w:right w:val="none" w:sz="0" w:space="0" w:color="auto"/>
          </w:divBdr>
        </w:div>
        <w:div w:id="758335867">
          <w:marLeft w:val="0"/>
          <w:marRight w:val="0"/>
          <w:marTop w:val="0"/>
          <w:marBottom w:val="0"/>
          <w:divBdr>
            <w:top w:val="none" w:sz="0" w:space="0" w:color="auto"/>
            <w:left w:val="none" w:sz="0" w:space="0" w:color="auto"/>
            <w:bottom w:val="none" w:sz="0" w:space="0" w:color="auto"/>
            <w:right w:val="none" w:sz="0" w:space="0" w:color="auto"/>
          </w:divBdr>
        </w:div>
        <w:div w:id="205946270">
          <w:marLeft w:val="0"/>
          <w:marRight w:val="0"/>
          <w:marTop w:val="0"/>
          <w:marBottom w:val="0"/>
          <w:divBdr>
            <w:top w:val="none" w:sz="0" w:space="0" w:color="auto"/>
            <w:left w:val="none" w:sz="0" w:space="0" w:color="auto"/>
            <w:bottom w:val="none" w:sz="0" w:space="0" w:color="auto"/>
            <w:right w:val="none" w:sz="0" w:space="0" w:color="auto"/>
          </w:divBdr>
        </w:div>
        <w:div w:id="1121649276">
          <w:marLeft w:val="0"/>
          <w:marRight w:val="0"/>
          <w:marTop w:val="0"/>
          <w:marBottom w:val="0"/>
          <w:divBdr>
            <w:top w:val="none" w:sz="0" w:space="0" w:color="auto"/>
            <w:left w:val="none" w:sz="0" w:space="0" w:color="auto"/>
            <w:bottom w:val="none" w:sz="0" w:space="0" w:color="auto"/>
            <w:right w:val="none" w:sz="0" w:space="0" w:color="auto"/>
          </w:divBdr>
        </w:div>
        <w:div w:id="1747265525">
          <w:marLeft w:val="0"/>
          <w:marRight w:val="0"/>
          <w:marTop w:val="0"/>
          <w:marBottom w:val="0"/>
          <w:divBdr>
            <w:top w:val="none" w:sz="0" w:space="0" w:color="auto"/>
            <w:left w:val="none" w:sz="0" w:space="0" w:color="auto"/>
            <w:bottom w:val="none" w:sz="0" w:space="0" w:color="auto"/>
            <w:right w:val="none" w:sz="0" w:space="0" w:color="auto"/>
          </w:divBdr>
        </w:div>
        <w:div w:id="47191739">
          <w:marLeft w:val="0"/>
          <w:marRight w:val="0"/>
          <w:marTop w:val="0"/>
          <w:marBottom w:val="0"/>
          <w:divBdr>
            <w:top w:val="none" w:sz="0" w:space="0" w:color="auto"/>
            <w:left w:val="none" w:sz="0" w:space="0" w:color="auto"/>
            <w:bottom w:val="none" w:sz="0" w:space="0" w:color="auto"/>
            <w:right w:val="none" w:sz="0" w:space="0" w:color="auto"/>
          </w:divBdr>
        </w:div>
        <w:div w:id="520247024">
          <w:marLeft w:val="0"/>
          <w:marRight w:val="0"/>
          <w:marTop w:val="0"/>
          <w:marBottom w:val="0"/>
          <w:divBdr>
            <w:top w:val="none" w:sz="0" w:space="0" w:color="auto"/>
            <w:left w:val="none" w:sz="0" w:space="0" w:color="auto"/>
            <w:bottom w:val="none" w:sz="0" w:space="0" w:color="auto"/>
            <w:right w:val="none" w:sz="0" w:space="0" w:color="auto"/>
          </w:divBdr>
        </w:div>
        <w:div w:id="1738630940">
          <w:marLeft w:val="0"/>
          <w:marRight w:val="0"/>
          <w:marTop w:val="0"/>
          <w:marBottom w:val="0"/>
          <w:divBdr>
            <w:top w:val="none" w:sz="0" w:space="0" w:color="auto"/>
            <w:left w:val="none" w:sz="0" w:space="0" w:color="auto"/>
            <w:bottom w:val="none" w:sz="0" w:space="0" w:color="auto"/>
            <w:right w:val="none" w:sz="0" w:space="0" w:color="auto"/>
          </w:divBdr>
        </w:div>
        <w:div w:id="1311864269">
          <w:marLeft w:val="0"/>
          <w:marRight w:val="0"/>
          <w:marTop w:val="0"/>
          <w:marBottom w:val="0"/>
          <w:divBdr>
            <w:top w:val="none" w:sz="0" w:space="0" w:color="auto"/>
            <w:left w:val="none" w:sz="0" w:space="0" w:color="auto"/>
            <w:bottom w:val="none" w:sz="0" w:space="0" w:color="auto"/>
            <w:right w:val="none" w:sz="0" w:space="0" w:color="auto"/>
          </w:divBdr>
        </w:div>
        <w:div w:id="1719091831">
          <w:marLeft w:val="0"/>
          <w:marRight w:val="0"/>
          <w:marTop w:val="0"/>
          <w:marBottom w:val="0"/>
          <w:divBdr>
            <w:top w:val="none" w:sz="0" w:space="0" w:color="auto"/>
            <w:left w:val="none" w:sz="0" w:space="0" w:color="auto"/>
            <w:bottom w:val="none" w:sz="0" w:space="0" w:color="auto"/>
            <w:right w:val="none" w:sz="0" w:space="0" w:color="auto"/>
          </w:divBdr>
        </w:div>
        <w:div w:id="1573468621">
          <w:marLeft w:val="0"/>
          <w:marRight w:val="0"/>
          <w:marTop w:val="0"/>
          <w:marBottom w:val="0"/>
          <w:divBdr>
            <w:top w:val="none" w:sz="0" w:space="0" w:color="auto"/>
            <w:left w:val="none" w:sz="0" w:space="0" w:color="auto"/>
            <w:bottom w:val="none" w:sz="0" w:space="0" w:color="auto"/>
            <w:right w:val="none" w:sz="0" w:space="0" w:color="auto"/>
          </w:divBdr>
        </w:div>
        <w:div w:id="2119596550">
          <w:marLeft w:val="0"/>
          <w:marRight w:val="0"/>
          <w:marTop w:val="0"/>
          <w:marBottom w:val="0"/>
          <w:divBdr>
            <w:top w:val="none" w:sz="0" w:space="0" w:color="auto"/>
            <w:left w:val="none" w:sz="0" w:space="0" w:color="auto"/>
            <w:bottom w:val="none" w:sz="0" w:space="0" w:color="auto"/>
            <w:right w:val="none" w:sz="0" w:space="0" w:color="auto"/>
          </w:divBdr>
        </w:div>
        <w:div w:id="1696350486">
          <w:marLeft w:val="0"/>
          <w:marRight w:val="0"/>
          <w:marTop w:val="0"/>
          <w:marBottom w:val="0"/>
          <w:divBdr>
            <w:top w:val="none" w:sz="0" w:space="0" w:color="auto"/>
            <w:left w:val="none" w:sz="0" w:space="0" w:color="auto"/>
            <w:bottom w:val="none" w:sz="0" w:space="0" w:color="auto"/>
            <w:right w:val="none" w:sz="0" w:space="0" w:color="auto"/>
          </w:divBdr>
        </w:div>
        <w:div w:id="212231504">
          <w:marLeft w:val="0"/>
          <w:marRight w:val="0"/>
          <w:marTop w:val="0"/>
          <w:marBottom w:val="0"/>
          <w:divBdr>
            <w:top w:val="none" w:sz="0" w:space="0" w:color="auto"/>
            <w:left w:val="none" w:sz="0" w:space="0" w:color="auto"/>
            <w:bottom w:val="none" w:sz="0" w:space="0" w:color="auto"/>
            <w:right w:val="none" w:sz="0" w:space="0" w:color="auto"/>
          </w:divBdr>
        </w:div>
        <w:div w:id="1382513006">
          <w:marLeft w:val="0"/>
          <w:marRight w:val="0"/>
          <w:marTop w:val="0"/>
          <w:marBottom w:val="0"/>
          <w:divBdr>
            <w:top w:val="none" w:sz="0" w:space="0" w:color="auto"/>
            <w:left w:val="none" w:sz="0" w:space="0" w:color="auto"/>
            <w:bottom w:val="none" w:sz="0" w:space="0" w:color="auto"/>
            <w:right w:val="none" w:sz="0" w:space="0" w:color="auto"/>
          </w:divBdr>
        </w:div>
        <w:div w:id="785856090">
          <w:marLeft w:val="0"/>
          <w:marRight w:val="0"/>
          <w:marTop w:val="0"/>
          <w:marBottom w:val="0"/>
          <w:divBdr>
            <w:top w:val="none" w:sz="0" w:space="0" w:color="auto"/>
            <w:left w:val="none" w:sz="0" w:space="0" w:color="auto"/>
            <w:bottom w:val="none" w:sz="0" w:space="0" w:color="auto"/>
            <w:right w:val="none" w:sz="0" w:space="0" w:color="auto"/>
          </w:divBdr>
        </w:div>
        <w:div w:id="728462652">
          <w:marLeft w:val="0"/>
          <w:marRight w:val="0"/>
          <w:marTop w:val="0"/>
          <w:marBottom w:val="0"/>
          <w:divBdr>
            <w:top w:val="none" w:sz="0" w:space="0" w:color="auto"/>
            <w:left w:val="none" w:sz="0" w:space="0" w:color="auto"/>
            <w:bottom w:val="none" w:sz="0" w:space="0" w:color="auto"/>
            <w:right w:val="none" w:sz="0" w:space="0" w:color="auto"/>
          </w:divBdr>
        </w:div>
        <w:div w:id="759178499">
          <w:marLeft w:val="0"/>
          <w:marRight w:val="0"/>
          <w:marTop w:val="0"/>
          <w:marBottom w:val="0"/>
          <w:divBdr>
            <w:top w:val="none" w:sz="0" w:space="0" w:color="auto"/>
            <w:left w:val="none" w:sz="0" w:space="0" w:color="auto"/>
            <w:bottom w:val="none" w:sz="0" w:space="0" w:color="auto"/>
            <w:right w:val="none" w:sz="0" w:space="0" w:color="auto"/>
          </w:divBdr>
        </w:div>
        <w:div w:id="2012223357">
          <w:marLeft w:val="0"/>
          <w:marRight w:val="0"/>
          <w:marTop w:val="0"/>
          <w:marBottom w:val="0"/>
          <w:divBdr>
            <w:top w:val="none" w:sz="0" w:space="0" w:color="auto"/>
            <w:left w:val="none" w:sz="0" w:space="0" w:color="auto"/>
            <w:bottom w:val="none" w:sz="0" w:space="0" w:color="auto"/>
            <w:right w:val="none" w:sz="0" w:space="0" w:color="auto"/>
          </w:divBdr>
        </w:div>
        <w:div w:id="915166981">
          <w:marLeft w:val="0"/>
          <w:marRight w:val="0"/>
          <w:marTop w:val="0"/>
          <w:marBottom w:val="0"/>
          <w:divBdr>
            <w:top w:val="none" w:sz="0" w:space="0" w:color="auto"/>
            <w:left w:val="none" w:sz="0" w:space="0" w:color="auto"/>
            <w:bottom w:val="none" w:sz="0" w:space="0" w:color="auto"/>
            <w:right w:val="none" w:sz="0" w:space="0" w:color="auto"/>
          </w:divBdr>
        </w:div>
        <w:div w:id="175776928">
          <w:marLeft w:val="0"/>
          <w:marRight w:val="0"/>
          <w:marTop w:val="0"/>
          <w:marBottom w:val="0"/>
          <w:divBdr>
            <w:top w:val="none" w:sz="0" w:space="0" w:color="auto"/>
            <w:left w:val="none" w:sz="0" w:space="0" w:color="auto"/>
            <w:bottom w:val="none" w:sz="0" w:space="0" w:color="auto"/>
            <w:right w:val="none" w:sz="0" w:space="0" w:color="auto"/>
          </w:divBdr>
        </w:div>
        <w:div w:id="276058980">
          <w:marLeft w:val="0"/>
          <w:marRight w:val="0"/>
          <w:marTop w:val="0"/>
          <w:marBottom w:val="0"/>
          <w:divBdr>
            <w:top w:val="none" w:sz="0" w:space="0" w:color="auto"/>
            <w:left w:val="none" w:sz="0" w:space="0" w:color="auto"/>
            <w:bottom w:val="none" w:sz="0" w:space="0" w:color="auto"/>
            <w:right w:val="none" w:sz="0" w:space="0" w:color="auto"/>
          </w:divBdr>
        </w:div>
        <w:div w:id="1309280461">
          <w:marLeft w:val="0"/>
          <w:marRight w:val="0"/>
          <w:marTop w:val="0"/>
          <w:marBottom w:val="0"/>
          <w:divBdr>
            <w:top w:val="none" w:sz="0" w:space="0" w:color="auto"/>
            <w:left w:val="none" w:sz="0" w:space="0" w:color="auto"/>
            <w:bottom w:val="none" w:sz="0" w:space="0" w:color="auto"/>
            <w:right w:val="none" w:sz="0" w:space="0" w:color="auto"/>
          </w:divBdr>
        </w:div>
      </w:divsChild>
    </w:div>
    <w:div w:id="1007905939">
      <w:bodyDiv w:val="1"/>
      <w:marLeft w:val="0"/>
      <w:marRight w:val="0"/>
      <w:marTop w:val="0"/>
      <w:marBottom w:val="0"/>
      <w:divBdr>
        <w:top w:val="none" w:sz="0" w:space="0" w:color="auto"/>
        <w:left w:val="none" w:sz="0" w:space="0" w:color="auto"/>
        <w:bottom w:val="none" w:sz="0" w:space="0" w:color="auto"/>
        <w:right w:val="none" w:sz="0" w:space="0" w:color="auto"/>
      </w:divBdr>
      <w:divsChild>
        <w:div w:id="1873030834">
          <w:marLeft w:val="0"/>
          <w:marRight w:val="0"/>
          <w:marTop w:val="0"/>
          <w:marBottom w:val="0"/>
          <w:divBdr>
            <w:top w:val="none" w:sz="0" w:space="0" w:color="auto"/>
            <w:left w:val="none" w:sz="0" w:space="0" w:color="auto"/>
            <w:bottom w:val="none" w:sz="0" w:space="0" w:color="auto"/>
            <w:right w:val="none" w:sz="0" w:space="0" w:color="auto"/>
          </w:divBdr>
        </w:div>
        <w:div w:id="16739049">
          <w:marLeft w:val="0"/>
          <w:marRight w:val="0"/>
          <w:marTop w:val="0"/>
          <w:marBottom w:val="0"/>
          <w:divBdr>
            <w:top w:val="none" w:sz="0" w:space="0" w:color="auto"/>
            <w:left w:val="none" w:sz="0" w:space="0" w:color="auto"/>
            <w:bottom w:val="none" w:sz="0" w:space="0" w:color="auto"/>
            <w:right w:val="none" w:sz="0" w:space="0" w:color="auto"/>
          </w:divBdr>
        </w:div>
        <w:div w:id="220485006">
          <w:marLeft w:val="0"/>
          <w:marRight w:val="0"/>
          <w:marTop w:val="0"/>
          <w:marBottom w:val="0"/>
          <w:divBdr>
            <w:top w:val="none" w:sz="0" w:space="0" w:color="auto"/>
            <w:left w:val="none" w:sz="0" w:space="0" w:color="auto"/>
            <w:bottom w:val="none" w:sz="0" w:space="0" w:color="auto"/>
            <w:right w:val="none" w:sz="0" w:space="0" w:color="auto"/>
          </w:divBdr>
        </w:div>
        <w:div w:id="1515607951">
          <w:marLeft w:val="0"/>
          <w:marRight w:val="0"/>
          <w:marTop w:val="0"/>
          <w:marBottom w:val="0"/>
          <w:divBdr>
            <w:top w:val="none" w:sz="0" w:space="0" w:color="auto"/>
            <w:left w:val="none" w:sz="0" w:space="0" w:color="auto"/>
            <w:bottom w:val="none" w:sz="0" w:space="0" w:color="auto"/>
            <w:right w:val="none" w:sz="0" w:space="0" w:color="auto"/>
          </w:divBdr>
        </w:div>
        <w:div w:id="740714293">
          <w:marLeft w:val="0"/>
          <w:marRight w:val="0"/>
          <w:marTop w:val="0"/>
          <w:marBottom w:val="0"/>
          <w:divBdr>
            <w:top w:val="none" w:sz="0" w:space="0" w:color="auto"/>
            <w:left w:val="none" w:sz="0" w:space="0" w:color="auto"/>
            <w:bottom w:val="none" w:sz="0" w:space="0" w:color="auto"/>
            <w:right w:val="none" w:sz="0" w:space="0" w:color="auto"/>
          </w:divBdr>
        </w:div>
        <w:div w:id="302078933">
          <w:marLeft w:val="0"/>
          <w:marRight w:val="0"/>
          <w:marTop w:val="0"/>
          <w:marBottom w:val="0"/>
          <w:divBdr>
            <w:top w:val="none" w:sz="0" w:space="0" w:color="auto"/>
            <w:left w:val="none" w:sz="0" w:space="0" w:color="auto"/>
            <w:bottom w:val="none" w:sz="0" w:space="0" w:color="auto"/>
            <w:right w:val="none" w:sz="0" w:space="0" w:color="auto"/>
          </w:divBdr>
        </w:div>
        <w:div w:id="566259474">
          <w:marLeft w:val="0"/>
          <w:marRight w:val="0"/>
          <w:marTop w:val="0"/>
          <w:marBottom w:val="0"/>
          <w:divBdr>
            <w:top w:val="none" w:sz="0" w:space="0" w:color="auto"/>
            <w:left w:val="none" w:sz="0" w:space="0" w:color="auto"/>
            <w:bottom w:val="none" w:sz="0" w:space="0" w:color="auto"/>
            <w:right w:val="none" w:sz="0" w:space="0" w:color="auto"/>
          </w:divBdr>
        </w:div>
        <w:div w:id="818110731">
          <w:marLeft w:val="0"/>
          <w:marRight w:val="0"/>
          <w:marTop w:val="0"/>
          <w:marBottom w:val="0"/>
          <w:divBdr>
            <w:top w:val="none" w:sz="0" w:space="0" w:color="auto"/>
            <w:left w:val="none" w:sz="0" w:space="0" w:color="auto"/>
            <w:bottom w:val="none" w:sz="0" w:space="0" w:color="auto"/>
            <w:right w:val="none" w:sz="0" w:space="0" w:color="auto"/>
          </w:divBdr>
        </w:div>
        <w:div w:id="1989943417">
          <w:marLeft w:val="0"/>
          <w:marRight w:val="0"/>
          <w:marTop w:val="0"/>
          <w:marBottom w:val="0"/>
          <w:divBdr>
            <w:top w:val="none" w:sz="0" w:space="0" w:color="auto"/>
            <w:left w:val="none" w:sz="0" w:space="0" w:color="auto"/>
            <w:bottom w:val="none" w:sz="0" w:space="0" w:color="auto"/>
            <w:right w:val="none" w:sz="0" w:space="0" w:color="auto"/>
          </w:divBdr>
        </w:div>
        <w:div w:id="1141967741">
          <w:marLeft w:val="0"/>
          <w:marRight w:val="0"/>
          <w:marTop w:val="0"/>
          <w:marBottom w:val="0"/>
          <w:divBdr>
            <w:top w:val="none" w:sz="0" w:space="0" w:color="auto"/>
            <w:left w:val="none" w:sz="0" w:space="0" w:color="auto"/>
            <w:bottom w:val="none" w:sz="0" w:space="0" w:color="auto"/>
            <w:right w:val="none" w:sz="0" w:space="0" w:color="auto"/>
          </w:divBdr>
        </w:div>
        <w:div w:id="900679013">
          <w:marLeft w:val="0"/>
          <w:marRight w:val="0"/>
          <w:marTop w:val="0"/>
          <w:marBottom w:val="0"/>
          <w:divBdr>
            <w:top w:val="none" w:sz="0" w:space="0" w:color="auto"/>
            <w:left w:val="none" w:sz="0" w:space="0" w:color="auto"/>
            <w:bottom w:val="none" w:sz="0" w:space="0" w:color="auto"/>
            <w:right w:val="none" w:sz="0" w:space="0" w:color="auto"/>
          </w:divBdr>
        </w:div>
        <w:div w:id="1601332462">
          <w:marLeft w:val="0"/>
          <w:marRight w:val="0"/>
          <w:marTop w:val="0"/>
          <w:marBottom w:val="0"/>
          <w:divBdr>
            <w:top w:val="none" w:sz="0" w:space="0" w:color="auto"/>
            <w:left w:val="none" w:sz="0" w:space="0" w:color="auto"/>
            <w:bottom w:val="none" w:sz="0" w:space="0" w:color="auto"/>
            <w:right w:val="none" w:sz="0" w:space="0" w:color="auto"/>
          </w:divBdr>
        </w:div>
        <w:div w:id="930822383">
          <w:marLeft w:val="0"/>
          <w:marRight w:val="0"/>
          <w:marTop w:val="0"/>
          <w:marBottom w:val="0"/>
          <w:divBdr>
            <w:top w:val="none" w:sz="0" w:space="0" w:color="auto"/>
            <w:left w:val="none" w:sz="0" w:space="0" w:color="auto"/>
            <w:bottom w:val="none" w:sz="0" w:space="0" w:color="auto"/>
            <w:right w:val="none" w:sz="0" w:space="0" w:color="auto"/>
          </w:divBdr>
        </w:div>
        <w:div w:id="1092555390">
          <w:marLeft w:val="0"/>
          <w:marRight w:val="0"/>
          <w:marTop w:val="0"/>
          <w:marBottom w:val="0"/>
          <w:divBdr>
            <w:top w:val="none" w:sz="0" w:space="0" w:color="auto"/>
            <w:left w:val="none" w:sz="0" w:space="0" w:color="auto"/>
            <w:bottom w:val="none" w:sz="0" w:space="0" w:color="auto"/>
            <w:right w:val="none" w:sz="0" w:space="0" w:color="auto"/>
          </w:divBdr>
        </w:div>
        <w:div w:id="1809543681">
          <w:marLeft w:val="0"/>
          <w:marRight w:val="0"/>
          <w:marTop w:val="0"/>
          <w:marBottom w:val="0"/>
          <w:divBdr>
            <w:top w:val="none" w:sz="0" w:space="0" w:color="auto"/>
            <w:left w:val="none" w:sz="0" w:space="0" w:color="auto"/>
            <w:bottom w:val="none" w:sz="0" w:space="0" w:color="auto"/>
            <w:right w:val="none" w:sz="0" w:space="0" w:color="auto"/>
          </w:divBdr>
        </w:div>
        <w:div w:id="829447478">
          <w:marLeft w:val="0"/>
          <w:marRight w:val="0"/>
          <w:marTop w:val="0"/>
          <w:marBottom w:val="0"/>
          <w:divBdr>
            <w:top w:val="none" w:sz="0" w:space="0" w:color="auto"/>
            <w:left w:val="none" w:sz="0" w:space="0" w:color="auto"/>
            <w:bottom w:val="none" w:sz="0" w:space="0" w:color="auto"/>
            <w:right w:val="none" w:sz="0" w:space="0" w:color="auto"/>
          </w:divBdr>
        </w:div>
        <w:div w:id="331110277">
          <w:marLeft w:val="0"/>
          <w:marRight w:val="0"/>
          <w:marTop w:val="0"/>
          <w:marBottom w:val="0"/>
          <w:divBdr>
            <w:top w:val="none" w:sz="0" w:space="0" w:color="auto"/>
            <w:left w:val="none" w:sz="0" w:space="0" w:color="auto"/>
            <w:bottom w:val="none" w:sz="0" w:space="0" w:color="auto"/>
            <w:right w:val="none" w:sz="0" w:space="0" w:color="auto"/>
          </w:divBdr>
        </w:div>
        <w:div w:id="950160273">
          <w:marLeft w:val="0"/>
          <w:marRight w:val="0"/>
          <w:marTop w:val="0"/>
          <w:marBottom w:val="0"/>
          <w:divBdr>
            <w:top w:val="none" w:sz="0" w:space="0" w:color="auto"/>
            <w:left w:val="none" w:sz="0" w:space="0" w:color="auto"/>
            <w:bottom w:val="none" w:sz="0" w:space="0" w:color="auto"/>
            <w:right w:val="none" w:sz="0" w:space="0" w:color="auto"/>
          </w:divBdr>
        </w:div>
        <w:div w:id="173616003">
          <w:marLeft w:val="0"/>
          <w:marRight w:val="0"/>
          <w:marTop w:val="0"/>
          <w:marBottom w:val="0"/>
          <w:divBdr>
            <w:top w:val="none" w:sz="0" w:space="0" w:color="auto"/>
            <w:left w:val="none" w:sz="0" w:space="0" w:color="auto"/>
            <w:bottom w:val="none" w:sz="0" w:space="0" w:color="auto"/>
            <w:right w:val="none" w:sz="0" w:space="0" w:color="auto"/>
          </w:divBdr>
        </w:div>
        <w:div w:id="1294095460">
          <w:marLeft w:val="0"/>
          <w:marRight w:val="0"/>
          <w:marTop w:val="0"/>
          <w:marBottom w:val="0"/>
          <w:divBdr>
            <w:top w:val="none" w:sz="0" w:space="0" w:color="auto"/>
            <w:left w:val="none" w:sz="0" w:space="0" w:color="auto"/>
            <w:bottom w:val="none" w:sz="0" w:space="0" w:color="auto"/>
            <w:right w:val="none" w:sz="0" w:space="0" w:color="auto"/>
          </w:divBdr>
        </w:div>
        <w:div w:id="482084859">
          <w:marLeft w:val="0"/>
          <w:marRight w:val="0"/>
          <w:marTop w:val="0"/>
          <w:marBottom w:val="0"/>
          <w:divBdr>
            <w:top w:val="none" w:sz="0" w:space="0" w:color="auto"/>
            <w:left w:val="none" w:sz="0" w:space="0" w:color="auto"/>
            <w:bottom w:val="none" w:sz="0" w:space="0" w:color="auto"/>
            <w:right w:val="none" w:sz="0" w:space="0" w:color="auto"/>
          </w:divBdr>
        </w:div>
        <w:div w:id="734934044">
          <w:marLeft w:val="0"/>
          <w:marRight w:val="0"/>
          <w:marTop w:val="0"/>
          <w:marBottom w:val="0"/>
          <w:divBdr>
            <w:top w:val="none" w:sz="0" w:space="0" w:color="auto"/>
            <w:left w:val="none" w:sz="0" w:space="0" w:color="auto"/>
            <w:bottom w:val="none" w:sz="0" w:space="0" w:color="auto"/>
            <w:right w:val="none" w:sz="0" w:space="0" w:color="auto"/>
          </w:divBdr>
        </w:div>
      </w:divsChild>
    </w:div>
    <w:div w:id="1038973601">
      <w:bodyDiv w:val="1"/>
      <w:marLeft w:val="0"/>
      <w:marRight w:val="0"/>
      <w:marTop w:val="0"/>
      <w:marBottom w:val="0"/>
      <w:divBdr>
        <w:top w:val="none" w:sz="0" w:space="0" w:color="auto"/>
        <w:left w:val="none" w:sz="0" w:space="0" w:color="auto"/>
        <w:bottom w:val="none" w:sz="0" w:space="0" w:color="auto"/>
        <w:right w:val="none" w:sz="0" w:space="0" w:color="auto"/>
      </w:divBdr>
      <w:divsChild>
        <w:div w:id="1059867386">
          <w:marLeft w:val="0"/>
          <w:marRight w:val="0"/>
          <w:marTop w:val="0"/>
          <w:marBottom w:val="0"/>
          <w:divBdr>
            <w:top w:val="none" w:sz="0" w:space="0" w:color="auto"/>
            <w:left w:val="none" w:sz="0" w:space="0" w:color="auto"/>
            <w:bottom w:val="none" w:sz="0" w:space="0" w:color="auto"/>
            <w:right w:val="none" w:sz="0" w:space="0" w:color="auto"/>
          </w:divBdr>
        </w:div>
        <w:div w:id="1786846430">
          <w:marLeft w:val="0"/>
          <w:marRight w:val="0"/>
          <w:marTop w:val="0"/>
          <w:marBottom w:val="0"/>
          <w:divBdr>
            <w:top w:val="none" w:sz="0" w:space="0" w:color="auto"/>
            <w:left w:val="none" w:sz="0" w:space="0" w:color="auto"/>
            <w:bottom w:val="none" w:sz="0" w:space="0" w:color="auto"/>
            <w:right w:val="none" w:sz="0" w:space="0" w:color="auto"/>
          </w:divBdr>
        </w:div>
        <w:div w:id="30345051">
          <w:marLeft w:val="0"/>
          <w:marRight w:val="0"/>
          <w:marTop w:val="0"/>
          <w:marBottom w:val="0"/>
          <w:divBdr>
            <w:top w:val="none" w:sz="0" w:space="0" w:color="auto"/>
            <w:left w:val="none" w:sz="0" w:space="0" w:color="auto"/>
            <w:bottom w:val="none" w:sz="0" w:space="0" w:color="auto"/>
            <w:right w:val="none" w:sz="0" w:space="0" w:color="auto"/>
          </w:divBdr>
        </w:div>
        <w:div w:id="746073977">
          <w:marLeft w:val="0"/>
          <w:marRight w:val="0"/>
          <w:marTop w:val="0"/>
          <w:marBottom w:val="0"/>
          <w:divBdr>
            <w:top w:val="none" w:sz="0" w:space="0" w:color="auto"/>
            <w:left w:val="none" w:sz="0" w:space="0" w:color="auto"/>
            <w:bottom w:val="none" w:sz="0" w:space="0" w:color="auto"/>
            <w:right w:val="none" w:sz="0" w:space="0" w:color="auto"/>
          </w:divBdr>
        </w:div>
        <w:div w:id="1360542959">
          <w:marLeft w:val="0"/>
          <w:marRight w:val="0"/>
          <w:marTop w:val="0"/>
          <w:marBottom w:val="0"/>
          <w:divBdr>
            <w:top w:val="none" w:sz="0" w:space="0" w:color="auto"/>
            <w:left w:val="none" w:sz="0" w:space="0" w:color="auto"/>
            <w:bottom w:val="none" w:sz="0" w:space="0" w:color="auto"/>
            <w:right w:val="none" w:sz="0" w:space="0" w:color="auto"/>
          </w:divBdr>
        </w:div>
        <w:div w:id="909459542">
          <w:marLeft w:val="0"/>
          <w:marRight w:val="0"/>
          <w:marTop w:val="0"/>
          <w:marBottom w:val="0"/>
          <w:divBdr>
            <w:top w:val="none" w:sz="0" w:space="0" w:color="auto"/>
            <w:left w:val="none" w:sz="0" w:space="0" w:color="auto"/>
            <w:bottom w:val="none" w:sz="0" w:space="0" w:color="auto"/>
            <w:right w:val="none" w:sz="0" w:space="0" w:color="auto"/>
          </w:divBdr>
        </w:div>
        <w:div w:id="882057418">
          <w:marLeft w:val="0"/>
          <w:marRight w:val="0"/>
          <w:marTop w:val="0"/>
          <w:marBottom w:val="0"/>
          <w:divBdr>
            <w:top w:val="none" w:sz="0" w:space="0" w:color="auto"/>
            <w:left w:val="none" w:sz="0" w:space="0" w:color="auto"/>
            <w:bottom w:val="none" w:sz="0" w:space="0" w:color="auto"/>
            <w:right w:val="none" w:sz="0" w:space="0" w:color="auto"/>
          </w:divBdr>
        </w:div>
        <w:div w:id="1883981999">
          <w:marLeft w:val="0"/>
          <w:marRight w:val="0"/>
          <w:marTop w:val="0"/>
          <w:marBottom w:val="0"/>
          <w:divBdr>
            <w:top w:val="none" w:sz="0" w:space="0" w:color="auto"/>
            <w:left w:val="none" w:sz="0" w:space="0" w:color="auto"/>
            <w:bottom w:val="none" w:sz="0" w:space="0" w:color="auto"/>
            <w:right w:val="none" w:sz="0" w:space="0" w:color="auto"/>
          </w:divBdr>
        </w:div>
        <w:div w:id="42293044">
          <w:marLeft w:val="0"/>
          <w:marRight w:val="0"/>
          <w:marTop w:val="0"/>
          <w:marBottom w:val="0"/>
          <w:divBdr>
            <w:top w:val="none" w:sz="0" w:space="0" w:color="auto"/>
            <w:left w:val="none" w:sz="0" w:space="0" w:color="auto"/>
            <w:bottom w:val="none" w:sz="0" w:space="0" w:color="auto"/>
            <w:right w:val="none" w:sz="0" w:space="0" w:color="auto"/>
          </w:divBdr>
        </w:div>
        <w:div w:id="301161787">
          <w:marLeft w:val="0"/>
          <w:marRight w:val="0"/>
          <w:marTop w:val="0"/>
          <w:marBottom w:val="0"/>
          <w:divBdr>
            <w:top w:val="none" w:sz="0" w:space="0" w:color="auto"/>
            <w:left w:val="none" w:sz="0" w:space="0" w:color="auto"/>
            <w:bottom w:val="none" w:sz="0" w:space="0" w:color="auto"/>
            <w:right w:val="none" w:sz="0" w:space="0" w:color="auto"/>
          </w:divBdr>
        </w:div>
        <w:div w:id="862130131">
          <w:marLeft w:val="0"/>
          <w:marRight w:val="0"/>
          <w:marTop w:val="0"/>
          <w:marBottom w:val="0"/>
          <w:divBdr>
            <w:top w:val="none" w:sz="0" w:space="0" w:color="auto"/>
            <w:left w:val="none" w:sz="0" w:space="0" w:color="auto"/>
            <w:bottom w:val="none" w:sz="0" w:space="0" w:color="auto"/>
            <w:right w:val="none" w:sz="0" w:space="0" w:color="auto"/>
          </w:divBdr>
        </w:div>
        <w:div w:id="367070867">
          <w:marLeft w:val="0"/>
          <w:marRight w:val="0"/>
          <w:marTop w:val="0"/>
          <w:marBottom w:val="0"/>
          <w:divBdr>
            <w:top w:val="none" w:sz="0" w:space="0" w:color="auto"/>
            <w:left w:val="none" w:sz="0" w:space="0" w:color="auto"/>
            <w:bottom w:val="none" w:sz="0" w:space="0" w:color="auto"/>
            <w:right w:val="none" w:sz="0" w:space="0" w:color="auto"/>
          </w:divBdr>
        </w:div>
        <w:div w:id="962155358">
          <w:marLeft w:val="0"/>
          <w:marRight w:val="0"/>
          <w:marTop w:val="0"/>
          <w:marBottom w:val="0"/>
          <w:divBdr>
            <w:top w:val="none" w:sz="0" w:space="0" w:color="auto"/>
            <w:left w:val="none" w:sz="0" w:space="0" w:color="auto"/>
            <w:bottom w:val="none" w:sz="0" w:space="0" w:color="auto"/>
            <w:right w:val="none" w:sz="0" w:space="0" w:color="auto"/>
          </w:divBdr>
        </w:div>
        <w:div w:id="1293751513">
          <w:marLeft w:val="0"/>
          <w:marRight w:val="0"/>
          <w:marTop w:val="0"/>
          <w:marBottom w:val="0"/>
          <w:divBdr>
            <w:top w:val="none" w:sz="0" w:space="0" w:color="auto"/>
            <w:left w:val="none" w:sz="0" w:space="0" w:color="auto"/>
            <w:bottom w:val="none" w:sz="0" w:space="0" w:color="auto"/>
            <w:right w:val="none" w:sz="0" w:space="0" w:color="auto"/>
          </w:divBdr>
        </w:div>
        <w:div w:id="1225992278">
          <w:marLeft w:val="0"/>
          <w:marRight w:val="0"/>
          <w:marTop w:val="0"/>
          <w:marBottom w:val="0"/>
          <w:divBdr>
            <w:top w:val="none" w:sz="0" w:space="0" w:color="auto"/>
            <w:left w:val="none" w:sz="0" w:space="0" w:color="auto"/>
            <w:bottom w:val="none" w:sz="0" w:space="0" w:color="auto"/>
            <w:right w:val="none" w:sz="0" w:space="0" w:color="auto"/>
          </w:divBdr>
        </w:div>
        <w:div w:id="16737776">
          <w:marLeft w:val="0"/>
          <w:marRight w:val="0"/>
          <w:marTop w:val="0"/>
          <w:marBottom w:val="0"/>
          <w:divBdr>
            <w:top w:val="none" w:sz="0" w:space="0" w:color="auto"/>
            <w:left w:val="none" w:sz="0" w:space="0" w:color="auto"/>
            <w:bottom w:val="none" w:sz="0" w:space="0" w:color="auto"/>
            <w:right w:val="none" w:sz="0" w:space="0" w:color="auto"/>
          </w:divBdr>
        </w:div>
        <w:div w:id="1627662755">
          <w:marLeft w:val="0"/>
          <w:marRight w:val="0"/>
          <w:marTop w:val="0"/>
          <w:marBottom w:val="0"/>
          <w:divBdr>
            <w:top w:val="none" w:sz="0" w:space="0" w:color="auto"/>
            <w:left w:val="none" w:sz="0" w:space="0" w:color="auto"/>
            <w:bottom w:val="none" w:sz="0" w:space="0" w:color="auto"/>
            <w:right w:val="none" w:sz="0" w:space="0" w:color="auto"/>
          </w:divBdr>
        </w:div>
        <w:div w:id="1990741229">
          <w:marLeft w:val="0"/>
          <w:marRight w:val="0"/>
          <w:marTop w:val="0"/>
          <w:marBottom w:val="0"/>
          <w:divBdr>
            <w:top w:val="none" w:sz="0" w:space="0" w:color="auto"/>
            <w:left w:val="none" w:sz="0" w:space="0" w:color="auto"/>
            <w:bottom w:val="none" w:sz="0" w:space="0" w:color="auto"/>
            <w:right w:val="none" w:sz="0" w:space="0" w:color="auto"/>
          </w:divBdr>
        </w:div>
      </w:divsChild>
    </w:div>
    <w:div w:id="1066957244">
      <w:bodyDiv w:val="1"/>
      <w:marLeft w:val="0"/>
      <w:marRight w:val="0"/>
      <w:marTop w:val="0"/>
      <w:marBottom w:val="0"/>
      <w:divBdr>
        <w:top w:val="none" w:sz="0" w:space="0" w:color="auto"/>
        <w:left w:val="none" w:sz="0" w:space="0" w:color="auto"/>
        <w:bottom w:val="none" w:sz="0" w:space="0" w:color="auto"/>
        <w:right w:val="none" w:sz="0" w:space="0" w:color="auto"/>
      </w:divBdr>
      <w:divsChild>
        <w:div w:id="53432774">
          <w:marLeft w:val="0"/>
          <w:marRight w:val="0"/>
          <w:marTop w:val="0"/>
          <w:marBottom w:val="0"/>
          <w:divBdr>
            <w:top w:val="none" w:sz="0" w:space="0" w:color="auto"/>
            <w:left w:val="none" w:sz="0" w:space="0" w:color="auto"/>
            <w:bottom w:val="none" w:sz="0" w:space="0" w:color="auto"/>
            <w:right w:val="none" w:sz="0" w:space="0" w:color="auto"/>
          </w:divBdr>
        </w:div>
        <w:div w:id="946278309">
          <w:marLeft w:val="0"/>
          <w:marRight w:val="0"/>
          <w:marTop w:val="0"/>
          <w:marBottom w:val="0"/>
          <w:divBdr>
            <w:top w:val="none" w:sz="0" w:space="0" w:color="auto"/>
            <w:left w:val="none" w:sz="0" w:space="0" w:color="auto"/>
            <w:bottom w:val="none" w:sz="0" w:space="0" w:color="auto"/>
            <w:right w:val="none" w:sz="0" w:space="0" w:color="auto"/>
          </w:divBdr>
        </w:div>
        <w:div w:id="785320556">
          <w:marLeft w:val="0"/>
          <w:marRight w:val="0"/>
          <w:marTop w:val="0"/>
          <w:marBottom w:val="0"/>
          <w:divBdr>
            <w:top w:val="none" w:sz="0" w:space="0" w:color="auto"/>
            <w:left w:val="none" w:sz="0" w:space="0" w:color="auto"/>
            <w:bottom w:val="none" w:sz="0" w:space="0" w:color="auto"/>
            <w:right w:val="none" w:sz="0" w:space="0" w:color="auto"/>
          </w:divBdr>
        </w:div>
        <w:div w:id="1258368790">
          <w:marLeft w:val="0"/>
          <w:marRight w:val="0"/>
          <w:marTop w:val="0"/>
          <w:marBottom w:val="0"/>
          <w:divBdr>
            <w:top w:val="none" w:sz="0" w:space="0" w:color="auto"/>
            <w:left w:val="none" w:sz="0" w:space="0" w:color="auto"/>
            <w:bottom w:val="none" w:sz="0" w:space="0" w:color="auto"/>
            <w:right w:val="none" w:sz="0" w:space="0" w:color="auto"/>
          </w:divBdr>
        </w:div>
        <w:div w:id="2123528797">
          <w:marLeft w:val="0"/>
          <w:marRight w:val="0"/>
          <w:marTop w:val="0"/>
          <w:marBottom w:val="0"/>
          <w:divBdr>
            <w:top w:val="none" w:sz="0" w:space="0" w:color="auto"/>
            <w:left w:val="none" w:sz="0" w:space="0" w:color="auto"/>
            <w:bottom w:val="none" w:sz="0" w:space="0" w:color="auto"/>
            <w:right w:val="none" w:sz="0" w:space="0" w:color="auto"/>
          </w:divBdr>
        </w:div>
        <w:div w:id="1896962851">
          <w:marLeft w:val="0"/>
          <w:marRight w:val="0"/>
          <w:marTop w:val="0"/>
          <w:marBottom w:val="0"/>
          <w:divBdr>
            <w:top w:val="none" w:sz="0" w:space="0" w:color="auto"/>
            <w:left w:val="none" w:sz="0" w:space="0" w:color="auto"/>
            <w:bottom w:val="none" w:sz="0" w:space="0" w:color="auto"/>
            <w:right w:val="none" w:sz="0" w:space="0" w:color="auto"/>
          </w:divBdr>
        </w:div>
        <w:div w:id="2036149991">
          <w:marLeft w:val="0"/>
          <w:marRight w:val="0"/>
          <w:marTop w:val="0"/>
          <w:marBottom w:val="0"/>
          <w:divBdr>
            <w:top w:val="none" w:sz="0" w:space="0" w:color="auto"/>
            <w:left w:val="none" w:sz="0" w:space="0" w:color="auto"/>
            <w:bottom w:val="none" w:sz="0" w:space="0" w:color="auto"/>
            <w:right w:val="none" w:sz="0" w:space="0" w:color="auto"/>
          </w:divBdr>
        </w:div>
        <w:div w:id="2016884291">
          <w:marLeft w:val="0"/>
          <w:marRight w:val="0"/>
          <w:marTop w:val="0"/>
          <w:marBottom w:val="0"/>
          <w:divBdr>
            <w:top w:val="none" w:sz="0" w:space="0" w:color="auto"/>
            <w:left w:val="none" w:sz="0" w:space="0" w:color="auto"/>
            <w:bottom w:val="none" w:sz="0" w:space="0" w:color="auto"/>
            <w:right w:val="none" w:sz="0" w:space="0" w:color="auto"/>
          </w:divBdr>
        </w:div>
        <w:div w:id="1173840368">
          <w:marLeft w:val="0"/>
          <w:marRight w:val="0"/>
          <w:marTop w:val="0"/>
          <w:marBottom w:val="0"/>
          <w:divBdr>
            <w:top w:val="none" w:sz="0" w:space="0" w:color="auto"/>
            <w:left w:val="none" w:sz="0" w:space="0" w:color="auto"/>
            <w:bottom w:val="none" w:sz="0" w:space="0" w:color="auto"/>
            <w:right w:val="none" w:sz="0" w:space="0" w:color="auto"/>
          </w:divBdr>
        </w:div>
        <w:div w:id="1603104314">
          <w:marLeft w:val="0"/>
          <w:marRight w:val="0"/>
          <w:marTop w:val="0"/>
          <w:marBottom w:val="0"/>
          <w:divBdr>
            <w:top w:val="none" w:sz="0" w:space="0" w:color="auto"/>
            <w:left w:val="none" w:sz="0" w:space="0" w:color="auto"/>
            <w:bottom w:val="none" w:sz="0" w:space="0" w:color="auto"/>
            <w:right w:val="none" w:sz="0" w:space="0" w:color="auto"/>
          </w:divBdr>
        </w:div>
        <w:div w:id="1105421364">
          <w:marLeft w:val="0"/>
          <w:marRight w:val="0"/>
          <w:marTop w:val="0"/>
          <w:marBottom w:val="0"/>
          <w:divBdr>
            <w:top w:val="none" w:sz="0" w:space="0" w:color="auto"/>
            <w:left w:val="none" w:sz="0" w:space="0" w:color="auto"/>
            <w:bottom w:val="none" w:sz="0" w:space="0" w:color="auto"/>
            <w:right w:val="none" w:sz="0" w:space="0" w:color="auto"/>
          </w:divBdr>
        </w:div>
        <w:div w:id="1221288422">
          <w:marLeft w:val="0"/>
          <w:marRight w:val="0"/>
          <w:marTop w:val="0"/>
          <w:marBottom w:val="0"/>
          <w:divBdr>
            <w:top w:val="none" w:sz="0" w:space="0" w:color="auto"/>
            <w:left w:val="none" w:sz="0" w:space="0" w:color="auto"/>
            <w:bottom w:val="none" w:sz="0" w:space="0" w:color="auto"/>
            <w:right w:val="none" w:sz="0" w:space="0" w:color="auto"/>
          </w:divBdr>
        </w:div>
        <w:div w:id="1467161009">
          <w:marLeft w:val="0"/>
          <w:marRight w:val="0"/>
          <w:marTop w:val="0"/>
          <w:marBottom w:val="0"/>
          <w:divBdr>
            <w:top w:val="none" w:sz="0" w:space="0" w:color="auto"/>
            <w:left w:val="none" w:sz="0" w:space="0" w:color="auto"/>
            <w:bottom w:val="none" w:sz="0" w:space="0" w:color="auto"/>
            <w:right w:val="none" w:sz="0" w:space="0" w:color="auto"/>
          </w:divBdr>
        </w:div>
        <w:div w:id="844785795">
          <w:marLeft w:val="0"/>
          <w:marRight w:val="0"/>
          <w:marTop w:val="0"/>
          <w:marBottom w:val="0"/>
          <w:divBdr>
            <w:top w:val="none" w:sz="0" w:space="0" w:color="auto"/>
            <w:left w:val="none" w:sz="0" w:space="0" w:color="auto"/>
            <w:bottom w:val="none" w:sz="0" w:space="0" w:color="auto"/>
            <w:right w:val="none" w:sz="0" w:space="0" w:color="auto"/>
          </w:divBdr>
        </w:div>
        <w:div w:id="21831230">
          <w:marLeft w:val="0"/>
          <w:marRight w:val="0"/>
          <w:marTop w:val="0"/>
          <w:marBottom w:val="0"/>
          <w:divBdr>
            <w:top w:val="none" w:sz="0" w:space="0" w:color="auto"/>
            <w:left w:val="none" w:sz="0" w:space="0" w:color="auto"/>
            <w:bottom w:val="none" w:sz="0" w:space="0" w:color="auto"/>
            <w:right w:val="none" w:sz="0" w:space="0" w:color="auto"/>
          </w:divBdr>
        </w:div>
        <w:div w:id="910307202">
          <w:marLeft w:val="0"/>
          <w:marRight w:val="0"/>
          <w:marTop w:val="0"/>
          <w:marBottom w:val="0"/>
          <w:divBdr>
            <w:top w:val="none" w:sz="0" w:space="0" w:color="auto"/>
            <w:left w:val="none" w:sz="0" w:space="0" w:color="auto"/>
            <w:bottom w:val="none" w:sz="0" w:space="0" w:color="auto"/>
            <w:right w:val="none" w:sz="0" w:space="0" w:color="auto"/>
          </w:divBdr>
        </w:div>
        <w:div w:id="504443759">
          <w:marLeft w:val="0"/>
          <w:marRight w:val="0"/>
          <w:marTop w:val="0"/>
          <w:marBottom w:val="0"/>
          <w:divBdr>
            <w:top w:val="none" w:sz="0" w:space="0" w:color="auto"/>
            <w:left w:val="none" w:sz="0" w:space="0" w:color="auto"/>
            <w:bottom w:val="none" w:sz="0" w:space="0" w:color="auto"/>
            <w:right w:val="none" w:sz="0" w:space="0" w:color="auto"/>
          </w:divBdr>
        </w:div>
      </w:divsChild>
    </w:div>
    <w:div w:id="1112438981">
      <w:bodyDiv w:val="1"/>
      <w:marLeft w:val="0"/>
      <w:marRight w:val="0"/>
      <w:marTop w:val="0"/>
      <w:marBottom w:val="0"/>
      <w:divBdr>
        <w:top w:val="none" w:sz="0" w:space="0" w:color="auto"/>
        <w:left w:val="none" w:sz="0" w:space="0" w:color="auto"/>
        <w:bottom w:val="none" w:sz="0" w:space="0" w:color="auto"/>
        <w:right w:val="none" w:sz="0" w:space="0" w:color="auto"/>
      </w:divBdr>
      <w:divsChild>
        <w:div w:id="174685645">
          <w:marLeft w:val="0"/>
          <w:marRight w:val="0"/>
          <w:marTop w:val="0"/>
          <w:marBottom w:val="0"/>
          <w:divBdr>
            <w:top w:val="none" w:sz="0" w:space="0" w:color="auto"/>
            <w:left w:val="none" w:sz="0" w:space="0" w:color="auto"/>
            <w:bottom w:val="none" w:sz="0" w:space="0" w:color="auto"/>
            <w:right w:val="none" w:sz="0" w:space="0" w:color="auto"/>
          </w:divBdr>
        </w:div>
        <w:div w:id="1329940839">
          <w:marLeft w:val="0"/>
          <w:marRight w:val="0"/>
          <w:marTop w:val="0"/>
          <w:marBottom w:val="0"/>
          <w:divBdr>
            <w:top w:val="none" w:sz="0" w:space="0" w:color="auto"/>
            <w:left w:val="none" w:sz="0" w:space="0" w:color="auto"/>
            <w:bottom w:val="none" w:sz="0" w:space="0" w:color="auto"/>
            <w:right w:val="none" w:sz="0" w:space="0" w:color="auto"/>
          </w:divBdr>
        </w:div>
        <w:div w:id="374812038">
          <w:marLeft w:val="0"/>
          <w:marRight w:val="0"/>
          <w:marTop w:val="0"/>
          <w:marBottom w:val="0"/>
          <w:divBdr>
            <w:top w:val="none" w:sz="0" w:space="0" w:color="auto"/>
            <w:left w:val="none" w:sz="0" w:space="0" w:color="auto"/>
            <w:bottom w:val="none" w:sz="0" w:space="0" w:color="auto"/>
            <w:right w:val="none" w:sz="0" w:space="0" w:color="auto"/>
          </w:divBdr>
        </w:div>
        <w:div w:id="1954897755">
          <w:marLeft w:val="0"/>
          <w:marRight w:val="0"/>
          <w:marTop w:val="0"/>
          <w:marBottom w:val="0"/>
          <w:divBdr>
            <w:top w:val="none" w:sz="0" w:space="0" w:color="auto"/>
            <w:left w:val="none" w:sz="0" w:space="0" w:color="auto"/>
            <w:bottom w:val="none" w:sz="0" w:space="0" w:color="auto"/>
            <w:right w:val="none" w:sz="0" w:space="0" w:color="auto"/>
          </w:divBdr>
        </w:div>
        <w:div w:id="956328344">
          <w:marLeft w:val="0"/>
          <w:marRight w:val="0"/>
          <w:marTop w:val="0"/>
          <w:marBottom w:val="0"/>
          <w:divBdr>
            <w:top w:val="none" w:sz="0" w:space="0" w:color="auto"/>
            <w:left w:val="none" w:sz="0" w:space="0" w:color="auto"/>
            <w:bottom w:val="none" w:sz="0" w:space="0" w:color="auto"/>
            <w:right w:val="none" w:sz="0" w:space="0" w:color="auto"/>
          </w:divBdr>
        </w:div>
        <w:div w:id="366419045">
          <w:marLeft w:val="0"/>
          <w:marRight w:val="0"/>
          <w:marTop w:val="0"/>
          <w:marBottom w:val="0"/>
          <w:divBdr>
            <w:top w:val="none" w:sz="0" w:space="0" w:color="auto"/>
            <w:left w:val="none" w:sz="0" w:space="0" w:color="auto"/>
            <w:bottom w:val="none" w:sz="0" w:space="0" w:color="auto"/>
            <w:right w:val="none" w:sz="0" w:space="0" w:color="auto"/>
          </w:divBdr>
        </w:div>
        <w:div w:id="1349259254">
          <w:marLeft w:val="0"/>
          <w:marRight w:val="0"/>
          <w:marTop w:val="0"/>
          <w:marBottom w:val="0"/>
          <w:divBdr>
            <w:top w:val="none" w:sz="0" w:space="0" w:color="auto"/>
            <w:left w:val="none" w:sz="0" w:space="0" w:color="auto"/>
            <w:bottom w:val="none" w:sz="0" w:space="0" w:color="auto"/>
            <w:right w:val="none" w:sz="0" w:space="0" w:color="auto"/>
          </w:divBdr>
        </w:div>
        <w:div w:id="1383627732">
          <w:marLeft w:val="0"/>
          <w:marRight w:val="0"/>
          <w:marTop w:val="0"/>
          <w:marBottom w:val="0"/>
          <w:divBdr>
            <w:top w:val="none" w:sz="0" w:space="0" w:color="auto"/>
            <w:left w:val="none" w:sz="0" w:space="0" w:color="auto"/>
            <w:bottom w:val="none" w:sz="0" w:space="0" w:color="auto"/>
            <w:right w:val="none" w:sz="0" w:space="0" w:color="auto"/>
          </w:divBdr>
        </w:div>
        <w:div w:id="459955969">
          <w:marLeft w:val="0"/>
          <w:marRight w:val="0"/>
          <w:marTop w:val="0"/>
          <w:marBottom w:val="0"/>
          <w:divBdr>
            <w:top w:val="none" w:sz="0" w:space="0" w:color="auto"/>
            <w:left w:val="none" w:sz="0" w:space="0" w:color="auto"/>
            <w:bottom w:val="none" w:sz="0" w:space="0" w:color="auto"/>
            <w:right w:val="none" w:sz="0" w:space="0" w:color="auto"/>
          </w:divBdr>
        </w:div>
        <w:div w:id="1573814049">
          <w:marLeft w:val="0"/>
          <w:marRight w:val="0"/>
          <w:marTop w:val="0"/>
          <w:marBottom w:val="0"/>
          <w:divBdr>
            <w:top w:val="none" w:sz="0" w:space="0" w:color="auto"/>
            <w:left w:val="none" w:sz="0" w:space="0" w:color="auto"/>
            <w:bottom w:val="none" w:sz="0" w:space="0" w:color="auto"/>
            <w:right w:val="none" w:sz="0" w:space="0" w:color="auto"/>
          </w:divBdr>
        </w:div>
        <w:div w:id="1325891031">
          <w:marLeft w:val="0"/>
          <w:marRight w:val="0"/>
          <w:marTop w:val="0"/>
          <w:marBottom w:val="0"/>
          <w:divBdr>
            <w:top w:val="none" w:sz="0" w:space="0" w:color="auto"/>
            <w:left w:val="none" w:sz="0" w:space="0" w:color="auto"/>
            <w:bottom w:val="none" w:sz="0" w:space="0" w:color="auto"/>
            <w:right w:val="none" w:sz="0" w:space="0" w:color="auto"/>
          </w:divBdr>
        </w:div>
        <w:div w:id="1222787861">
          <w:marLeft w:val="0"/>
          <w:marRight w:val="0"/>
          <w:marTop w:val="0"/>
          <w:marBottom w:val="0"/>
          <w:divBdr>
            <w:top w:val="none" w:sz="0" w:space="0" w:color="auto"/>
            <w:left w:val="none" w:sz="0" w:space="0" w:color="auto"/>
            <w:bottom w:val="none" w:sz="0" w:space="0" w:color="auto"/>
            <w:right w:val="none" w:sz="0" w:space="0" w:color="auto"/>
          </w:divBdr>
        </w:div>
        <w:div w:id="345254364">
          <w:marLeft w:val="0"/>
          <w:marRight w:val="0"/>
          <w:marTop w:val="0"/>
          <w:marBottom w:val="0"/>
          <w:divBdr>
            <w:top w:val="none" w:sz="0" w:space="0" w:color="auto"/>
            <w:left w:val="none" w:sz="0" w:space="0" w:color="auto"/>
            <w:bottom w:val="none" w:sz="0" w:space="0" w:color="auto"/>
            <w:right w:val="none" w:sz="0" w:space="0" w:color="auto"/>
          </w:divBdr>
        </w:div>
        <w:div w:id="1608275488">
          <w:marLeft w:val="0"/>
          <w:marRight w:val="0"/>
          <w:marTop w:val="0"/>
          <w:marBottom w:val="0"/>
          <w:divBdr>
            <w:top w:val="none" w:sz="0" w:space="0" w:color="auto"/>
            <w:left w:val="none" w:sz="0" w:space="0" w:color="auto"/>
            <w:bottom w:val="none" w:sz="0" w:space="0" w:color="auto"/>
            <w:right w:val="none" w:sz="0" w:space="0" w:color="auto"/>
          </w:divBdr>
        </w:div>
        <w:div w:id="1046875636">
          <w:marLeft w:val="0"/>
          <w:marRight w:val="0"/>
          <w:marTop w:val="0"/>
          <w:marBottom w:val="0"/>
          <w:divBdr>
            <w:top w:val="none" w:sz="0" w:space="0" w:color="auto"/>
            <w:left w:val="none" w:sz="0" w:space="0" w:color="auto"/>
            <w:bottom w:val="none" w:sz="0" w:space="0" w:color="auto"/>
            <w:right w:val="none" w:sz="0" w:space="0" w:color="auto"/>
          </w:divBdr>
        </w:div>
        <w:div w:id="1332683917">
          <w:marLeft w:val="0"/>
          <w:marRight w:val="0"/>
          <w:marTop w:val="0"/>
          <w:marBottom w:val="0"/>
          <w:divBdr>
            <w:top w:val="none" w:sz="0" w:space="0" w:color="auto"/>
            <w:left w:val="none" w:sz="0" w:space="0" w:color="auto"/>
            <w:bottom w:val="none" w:sz="0" w:space="0" w:color="auto"/>
            <w:right w:val="none" w:sz="0" w:space="0" w:color="auto"/>
          </w:divBdr>
        </w:div>
        <w:div w:id="1351183271">
          <w:marLeft w:val="0"/>
          <w:marRight w:val="0"/>
          <w:marTop w:val="0"/>
          <w:marBottom w:val="0"/>
          <w:divBdr>
            <w:top w:val="none" w:sz="0" w:space="0" w:color="auto"/>
            <w:left w:val="none" w:sz="0" w:space="0" w:color="auto"/>
            <w:bottom w:val="none" w:sz="0" w:space="0" w:color="auto"/>
            <w:right w:val="none" w:sz="0" w:space="0" w:color="auto"/>
          </w:divBdr>
        </w:div>
        <w:div w:id="37322249">
          <w:marLeft w:val="0"/>
          <w:marRight w:val="0"/>
          <w:marTop w:val="0"/>
          <w:marBottom w:val="0"/>
          <w:divBdr>
            <w:top w:val="none" w:sz="0" w:space="0" w:color="auto"/>
            <w:left w:val="none" w:sz="0" w:space="0" w:color="auto"/>
            <w:bottom w:val="none" w:sz="0" w:space="0" w:color="auto"/>
            <w:right w:val="none" w:sz="0" w:space="0" w:color="auto"/>
          </w:divBdr>
        </w:div>
        <w:div w:id="1054038871">
          <w:marLeft w:val="0"/>
          <w:marRight w:val="0"/>
          <w:marTop w:val="0"/>
          <w:marBottom w:val="0"/>
          <w:divBdr>
            <w:top w:val="none" w:sz="0" w:space="0" w:color="auto"/>
            <w:left w:val="none" w:sz="0" w:space="0" w:color="auto"/>
            <w:bottom w:val="none" w:sz="0" w:space="0" w:color="auto"/>
            <w:right w:val="none" w:sz="0" w:space="0" w:color="auto"/>
          </w:divBdr>
        </w:div>
        <w:div w:id="1196117005">
          <w:marLeft w:val="0"/>
          <w:marRight w:val="0"/>
          <w:marTop w:val="0"/>
          <w:marBottom w:val="0"/>
          <w:divBdr>
            <w:top w:val="none" w:sz="0" w:space="0" w:color="auto"/>
            <w:left w:val="none" w:sz="0" w:space="0" w:color="auto"/>
            <w:bottom w:val="none" w:sz="0" w:space="0" w:color="auto"/>
            <w:right w:val="none" w:sz="0" w:space="0" w:color="auto"/>
          </w:divBdr>
        </w:div>
        <w:div w:id="1071387916">
          <w:marLeft w:val="0"/>
          <w:marRight w:val="0"/>
          <w:marTop w:val="0"/>
          <w:marBottom w:val="0"/>
          <w:divBdr>
            <w:top w:val="none" w:sz="0" w:space="0" w:color="auto"/>
            <w:left w:val="none" w:sz="0" w:space="0" w:color="auto"/>
            <w:bottom w:val="none" w:sz="0" w:space="0" w:color="auto"/>
            <w:right w:val="none" w:sz="0" w:space="0" w:color="auto"/>
          </w:divBdr>
        </w:div>
        <w:div w:id="2006857292">
          <w:marLeft w:val="0"/>
          <w:marRight w:val="0"/>
          <w:marTop w:val="0"/>
          <w:marBottom w:val="0"/>
          <w:divBdr>
            <w:top w:val="none" w:sz="0" w:space="0" w:color="auto"/>
            <w:left w:val="none" w:sz="0" w:space="0" w:color="auto"/>
            <w:bottom w:val="none" w:sz="0" w:space="0" w:color="auto"/>
            <w:right w:val="none" w:sz="0" w:space="0" w:color="auto"/>
          </w:divBdr>
        </w:div>
        <w:div w:id="644315840">
          <w:marLeft w:val="0"/>
          <w:marRight w:val="0"/>
          <w:marTop w:val="0"/>
          <w:marBottom w:val="0"/>
          <w:divBdr>
            <w:top w:val="none" w:sz="0" w:space="0" w:color="auto"/>
            <w:left w:val="none" w:sz="0" w:space="0" w:color="auto"/>
            <w:bottom w:val="none" w:sz="0" w:space="0" w:color="auto"/>
            <w:right w:val="none" w:sz="0" w:space="0" w:color="auto"/>
          </w:divBdr>
        </w:div>
        <w:div w:id="1456018981">
          <w:marLeft w:val="0"/>
          <w:marRight w:val="0"/>
          <w:marTop w:val="0"/>
          <w:marBottom w:val="0"/>
          <w:divBdr>
            <w:top w:val="none" w:sz="0" w:space="0" w:color="auto"/>
            <w:left w:val="none" w:sz="0" w:space="0" w:color="auto"/>
            <w:bottom w:val="none" w:sz="0" w:space="0" w:color="auto"/>
            <w:right w:val="none" w:sz="0" w:space="0" w:color="auto"/>
          </w:divBdr>
        </w:div>
        <w:div w:id="381367259">
          <w:marLeft w:val="0"/>
          <w:marRight w:val="0"/>
          <w:marTop w:val="0"/>
          <w:marBottom w:val="0"/>
          <w:divBdr>
            <w:top w:val="none" w:sz="0" w:space="0" w:color="auto"/>
            <w:left w:val="none" w:sz="0" w:space="0" w:color="auto"/>
            <w:bottom w:val="none" w:sz="0" w:space="0" w:color="auto"/>
            <w:right w:val="none" w:sz="0" w:space="0" w:color="auto"/>
          </w:divBdr>
        </w:div>
        <w:div w:id="1766000437">
          <w:marLeft w:val="0"/>
          <w:marRight w:val="0"/>
          <w:marTop w:val="0"/>
          <w:marBottom w:val="0"/>
          <w:divBdr>
            <w:top w:val="none" w:sz="0" w:space="0" w:color="auto"/>
            <w:left w:val="none" w:sz="0" w:space="0" w:color="auto"/>
            <w:bottom w:val="none" w:sz="0" w:space="0" w:color="auto"/>
            <w:right w:val="none" w:sz="0" w:space="0" w:color="auto"/>
          </w:divBdr>
        </w:div>
        <w:div w:id="1999992992">
          <w:marLeft w:val="0"/>
          <w:marRight w:val="0"/>
          <w:marTop w:val="0"/>
          <w:marBottom w:val="0"/>
          <w:divBdr>
            <w:top w:val="none" w:sz="0" w:space="0" w:color="auto"/>
            <w:left w:val="none" w:sz="0" w:space="0" w:color="auto"/>
            <w:bottom w:val="none" w:sz="0" w:space="0" w:color="auto"/>
            <w:right w:val="none" w:sz="0" w:space="0" w:color="auto"/>
          </w:divBdr>
        </w:div>
        <w:div w:id="1254971044">
          <w:marLeft w:val="0"/>
          <w:marRight w:val="0"/>
          <w:marTop w:val="0"/>
          <w:marBottom w:val="0"/>
          <w:divBdr>
            <w:top w:val="none" w:sz="0" w:space="0" w:color="auto"/>
            <w:left w:val="none" w:sz="0" w:space="0" w:color="auto"/>
            <w:bottom w:val="none" w:sz="0" w:space="0" w:color="auto"/>
            <w:right w:val="none" w:sz="0" w:space="0" w:color="auto"/>
          </w:divBdr>
        </w:div>
        <w:div w:id="109204975">
          <w:marLeft w:val="0"/>
          <w:marRight w:val="0"/>
          <w:marTop w:val="0"/>
          <w:marBottom w:val="0"/>
          <w:divBdr>
            <w:top w:val="none" w:sz="0" w:space="0" w:color="auto"/>
            <w:left w:val="none" w:sz="0" w:space="0" w:color="auto"/>
            <w:bottom w:val="none" w:sz="0" w:space="0" w:color="auto"/>
            <w:right w:val="none" w:sz="0" w:space="0" w:color="auto"/>
          </w:divBdr>
        </w:div>
      </w:divsChild>
    </w:div>
    <w:div w:id="1137530519">
      <w:bodyDiv w:val="1"/>
      <w:marLeft w:val="0"/>
      <w:marRight w:val="0"/>
      <w:marTop w:val="0"/>
      <w:marBottom w:val="0"/>
      <w:divBdr>
        <w:top w:val="none" w:sz="0" w:space="0" w:color="auto"/>
        <w:left w:val="none" w:sz="0" w:space="0" w:color="auto"/>
        <w:bottom w:val="none" w:sz="0" w:space="0" w:color="auto"/>
        <w:right w:val="none" w:sz="0" w:space="0" w:color="auto"/>
      </w:divBdr>
      <w:divsChild>
        <w:div w:id="3361280">
          <w:marLeft w:val="0"/>
          <w:marRight w:val="0"/>
          <w:marTop w:val="0"/>
          <w:marBottom w:val="0"/>
          <w:divBdr>
            <w:top w:val="none" w:sz="0" w:space="0" w:color="auto"/>
            <w:left w:val="none" w:sz="0" w:space="0" w:color="auto"/>
            <w:bottom w:val="none" w:sz="0" w:space="0" w:color="auto"/>
            <w:right w:val="none" w:sz="0" w:space="0" w:color="auto"/>
          </w:divBdr>
        </w:div>
        <w:div w:id="2058160740">
          <w:marLeft w:val="0"/>
          <w:marRight w:val="0"/>
          <w:marTop w:val="0"/>
          <w:marBottom w:val="0"/>
          <w:divBdr>
            <w:top w:val="none" w:sz="0" w:space="0" w:color="auto"/>
            <w:left w:val="none" w:sz="0" w:space="0" w:color="auto"/>
            <w:bottom w:val="none" w:sz="0" w:space="0" w:color="auto"/>
            <w:right w:val="none" w:sz="0" w:space="0" w:color="auto"/>
          </w:divBdr>
        </w:div>
        <w:div w:id="973876306">
          <w:marLeft w:val="0"/>
          <w:marRight w:val="0"/>
          <w:marTop w:val="0"/>
          <w:marBottom w:val="0"/>
          <w:divBdr>
            <w:top w:val="none" w:sz="0" w:space="0" w:color="auto"/>
            <w:left w:val="none" w:sz="0" w:space="0" w:color="auto"/>
            <w:bottom w:val="none" w:sz="0" w:space="0" w:color="auto"/>
            <w:right w:val="none" w:sz="0" w:space="0" w:color="auto"/>
          </w:divBdr>
        </w:div>
        <w:div w:id="1577784760">
          <w:marLeft w:val="0"/>
          <w:marRight w:val="0"/>
          <w:marTop w:val="0"/>
          <w:marBottom w:val="0"/>
          <w:divBdr>
            <w:top w:val="none" w:sz="0" w:space="0" w:color="auto"/>
            <w:left w:val="none" w:sz="0" w:space="0" w:color="auto"/>
            <w:bottom w:val="none" w:sz="0" w:space="0" w:color="auto"/>
            <w:right w:val="none" w:sz="0" w:space="0" w:color="auto"/>
          </w:divBdr>
        </w:div>
        <w:div w:id="1211454664">
          <w:marLeft w:val="0"/>
          <w:marRight w:val="0"/>
          <w:marTop w:val="0"/>
          <w:marBottom w:val="0"/>
          <w:divBdr>
            <w:top w:val="none" w:sz="0" w:space="0" w:color="auto"/>
            <w:left w:val="none" w:sz="0" w:space="0" w:color="auto"/>
            <w:bottom w:val="none" w:sz="0" w:space="0" w:color="auto"/>
            <w:right w:val="none" w:sz="0" w:space="0" w:color="auto"/>
          </w:divBdr>
        </w:div>
        <w:div w:id="594441658">
          <w:marLeft w:val="0"/>
          <w:marRight w:val="0"/>
          <w:marTop w:val="0"/>
          <w:marBottom w:val="0"/>
          <w:divBdr>
            <w:top w:val="none" w:sz="0" w:space="0" w:color="auto"/>
            <w:left w:val="none" w:sz="0" w:space="0" w:color="auto"/>
            <w:bottom w:val="none" w:sz="0" w:space="0" w:color="auto"/>
            <w:right w:val="none" w:sz="0" w:space="0" w:color="auto"/>
          </w:divBdr>
        </w:div>
        <w:div w:id="2147357994">
          <w:marLeft w:val="0"/>
          <w:marRight w:val="0"/>
          <w:marTop w:val="0"/>
          <w:marBottom w:val="0"/>
          <w:divBdr>
            <w:top w:val="none" w:sz="0" w:space="0" w:color="auto"/>
            <w:left w:val="none" w:sz="0" w:space="0" w:color="auto"/>
            <w:bottom w:val="none" w:sz="0" w:space="0" w:color="auto"/>
            <w:right w:val="none" w:sz="0" w:space="0" w:color="auto"/>
          </w:divBdr>
        </w:div>
        <w:div w:id="2133162896">
          <w:marLeft w:val="0"/>
          <w:marRight w:val="0"/>
          <w:marTop w:val="0"/>
          <w:marBottom w:val="0"/>
          <w:divBdr>
            <w:top w:val="none" w:sz="0" w:space="0" w:color="auto"/>
            <w:left w:val="none" w:sz="0" w:space="0" w:color="auto"/>
            <w:bottom w:val="none" w:sz="0" w:space="0" w:color="auto"/>
            <w:right w:val="none" w:sz="0" w:space="0" w:color="auto"/>
          </w:divBdr>
        </w:div>
        <w:div w:id="1866480582">
          <w:marLeft w:val="0"/>
          <w:marRight w:val="0"/>
          <w:marTop w:val="0"/>
          <w:marBottom w:val="0"/>
          <w:divBdr>
            <w:top w:val="none" w:sz="0" w:space="0" w:color="auto"/>
            <w:left w:val="none" w:sz="0" w:space="0" w:color="auto"/>
            <w:bottom w:val="none" w:sz="0" w:space="0" w:color="auto"/>
            <w:right w:val="none" w:sz="0" w:space="0" w:color="auto"/>
          </w:divBdr>
        </w:div>
        <w:div w:id="1024406779">
          <w:marLeft w:val="0"/>
          <w:marRight w:val="0"/>
          <w:marTop w:val="0"/>
          <w:marBottom w:val="0"/>
          <w:divBdr>
            <w:top w:val="none" w:sz="0" w:space="0" w:color="auto"/>
            <w:left w:val="none" w:sz="0" w:space="0" w:color="auto"/>
            <w:bottom w:val="none" w:sz="0" w:space="0" w:color="auto"/>
            <w:right w:val="none" w:sz="0" w:space="0" w:color="auto"/>
          </w:divBdr>
        </w:div>
        <w:div w:id="720251342">
          <w:marLeft w:val="0"/>
          <w:marRight w:val="0"/>
          <w:marTop w:val="0"/>
          <w:marBottom w:val="0"/>
          <w:divBdr>
            <w:top w:val="none" w:sz="0" w:space="0" w:color="auto"/>
            <w:left w:val="none" w:sz="0" w:space="0" w:color="auto"/>
            <w:bottom w:val="none" w:sz="0" w:space="0" w:color="auto"/>
            <w:right w:val="none" w:sz="0" w:space="0" w:color="auto"/>
          </w:divBdr>
        </w:div>
        <w:div w:id="1672685703">
          <w:marLeft w:val="0"/>
          <w:marRight w:val="0"/>
          <w:marTop w:val="0"/>
          <w:marBottom w:val="0"/>
          <w:divBdr>
            <w:top w:val="none" w:sz="0" w:space="0" w:color="auto"/>
            <w:left w:val="none" w:sz="0" w:space="0" w:color="auto"/>
            <w:bottom w:val="none" w:sz="0" w:space="0" w:color="auto"/>
            <w:right w:val="none" w:sz="0" w:space="0" w:color="auto"/>
          </w:divBdr>
        </w:div>
        <w:div w:id="1676418655">
          <w:marLeft w:val="0"/>
          <w:marRight w:val="0"/>
          <w:marTop w:val="0"/>
          <w:marBottom w:val="0"/>
          <w:divBdr>
            <w:top w:val="none" w:sz="0" w:space="0" w:color="auto"/>
            <w:left w:val="none" w:sz="0" w:space="0" w:color="auto"/>
            <w:bottom w:val="none" w:sz="0" w:space="0" w:color="auto"/>
            <w:right w:val="none" w:sz="0" w:space="0" w:color="auto"/>
          </w:divBdr>
        </w:div>
        <w:div w:id="1085566072">
          <w:marLeft w:val="0"/>
          <w:marRight w:val="0"/>
          <w:marTop w:val="0"/>
          <w:marBottom w:val="0"/>
          <w:divBdr>
            <w:top w:val="none" w:sz="0" w:space="0" w:color="auto"/>
            <w:left w:val="none" w:sz="0" w:space="0" w:color="auto"/>
            <w:bottom w:val="none" w:sz="0" w:space="0" w:color="auto"/>
            <w:right w:val="none" w:sz="0" w:space="0" w:color="auto"/>
          </w:divBdr>
        </w:div>
        <w:div w:id="1599873956">
          <w:marLeft w:val="0"/>
          <w:marRight w:val="0"/>
          <w:marTop w:val="0"/>
          <w:marBottom w:val="0"/>
          <w:divBdr>
            <w:top w:val="none" w:sz="0" w:space="0" w:color="auto"/>
            <w:left w:val="none" w:sz="0" w:space="0" w:color="auto"/>
            <w:bottom w:val="none" w:sz="0" w:space="0" w:color="auto"/>
            <w:right w:val="none" w:sz="0" w:space="0" w:color="auto"/>
          </w:divBdr>
        </w:div>
        <w:div w:id="1731617323">
          <w:marLeft w:val="0"/>
          <w:marRight w:val="0"/>
          <w:marTop w:val="0"/>
          <w:marBottom w:val="0"/>
          <w:divBdr>
            <w:top w:val="none" w:sz="0" w:space="0" w:color="auto"/>
            <w:left w:val="none" w:sz="0" w:space="0" w:color="auto"/>
            <w:bottom w:val="none" w:sz="0" w:space="0" w:color="auto"/>
            <w:right w:val="none" w:sz="0" w:space="0" w:color="auto"/>
          </w:divBdr>
        </w:div>
        <w:div w:id="570231887">
          <w:marLeft w:val="0"/>
          <w:marRight w:val="0"/>
          <w:marTop w:val="0"/>
          <w:marBottom w:val="0"/>
          <w:divBdr>
            <w:top w:val="none" w:sz="0" w:space="0" w:color="auto"/>
            <w:left w:val="none" w:sz="0" w:space="0" w:color="auto"/>
            <w:bottom w:val="none" w:sz="0" w:space="0" w:color="auto"/>
            <w:right w:val="none" w:sz="0" w:space="0" w:color="auto"/>
          </w:divBdr>
        </w:div>
      </w:divsChild>
    </w:div>
    <w:div w:id="1167095705">
      <w:bodyDiv w:val="1"/>
      <w:marLeft w:val="0"/>
      <w:marRight w:val="0"/>
      <w:marTop w:val="0"/>
      <w:marBottom w:val="0"/>
      <w:divBdr>
        <w:top w:val="none" w:sz="0" w:space="0" w:color="auto"/>
        <w:left w:val="none" w:sz="0" w:space="0" w:color="auto"/>
        <w:bottom w:val="none" w:sz="0" w:space="0" w:color="auto"/>
        <w:right w:val="none" w:sz="0" w:space="0" w:color="auto"/>
      </w:divBdr>
      <w:divsChild>
        <w:div w:id="1966618710">
          <w:marLeft w:val="0"/>
          <w:marRight w:val="0"/>
          <w:marTop w:val="0"/>
          <w:marBottom w:val="0"/>
          <w:divBdr>
            <w:top w:val="none" w:sz="0" w:space="0" w:color="auto"/>
            <w:left w:val="none" w:sz="0" w:space="0" w:color="auto"/>
            <w:bottom w:val="none" w:sz="0" w:space="0" w:color="auto"/>
            <w:right w:val="none" w:sz="0" w:space="0" w:color="auto"/>
          </w:divBdr>
        </w:div>
        <w:div w:id="1324701346">
          <w:marLeft w:val="0"/>
          <w:marRight w:val="0"/>
          <w:marTop w:val="0"/>
          <w:marBottom w:val="0"/>
          <w:divBdr>
            <w:top w:val="none" w:sz="0" w:space="0" w:color="auto"/>
            <w:left w:val="none" w:sz="0" w:space="0" w:color="auto"/>
            <w:bottom w:val="none" w:sz="0" w:space="0" w:color="auto"/>
            <w:right w:val="none" w:sz="0" w:space="0" w:color="auto"/>
          </w:divBdr>
        </w:div>
        <w:div w:id="333459612">
          <w:marLeft w:val="0"/>
          <w:marRight w:val="0"/>
          <w:marTop w:val="0"/>
          <w:marBottom w:val="0"/>
          <w:divBdr>
            <w:top w:val="none" w:sz="0" w:space="0" w:color="auto"/>
            <w:left w:val="none" w:sz="0" w:space="0" w:color="auto"/>
            <w:bottom w:val="none" w:sz="0" w:space="0" w:color="auto"/>
            <w:right w:val="none" w:sz="0" w:space="0" w:color="auto"/>
          </w:divBdr>
        </w:div>
        <w:div w:id="1896968468">
          <w:marLeft w:val="0"/>
          <w:marRight w:val="0"/>
          <w:marTop w:val="0"/>
          <w:marBottom w:val="0"/>
          <w:divBdr>
            <w:top w:val="none" w:sz="0" w:space="0" w:color="auto"/>
            <w:left w:val="none" w:sz="0" w:space="0" w:color="auto"/>
            <w:bottom w:val="none" w:sz="0" w:space="0" w:color="auto"/>
            <w:right w:val="none" w:sz="0" w:space="0" w:color="auto"/>
          </w:divBdr>
        </w:div>
        <w:div w:id="636109635">
          <w:marLeft w:val="0"/>
          <w:marRight w:val="0"/>
          <w:marTop w:val="0"/>
          <w:marBottom w:val="0"/>
          <w:divBdr>
            <w:top w:val="none" w:sz="0" w:space="0" w:color="auto"/>
            <w:left w:val="none" w:sz="0" w:space="0" w:color="auto"/>
            <w:bottom w:val="none" w:sz="0" w:space="0" w:color="auto"/>
            <w:right w:val="none" w:sz="0" w:space="0" w:color="auto"/>
          </w:divBdr>
        </w:div>
        <w:div w:id="1782265223">
          <w:marLeft w:val="0"/>
          <w:marRight w:val="0"/>
          <w:marTop w:val="0"/>
          <w:marBottom w:val="0"/>
          <w:divBdr>
            <w:top w:val="none" w:sz="0" w:space="0" w:color="auto"/>
            <w:left w:val="none" w:sz="0" w:space="0" w:color="auto"/>
            <w:bottom w:val="none" w:sz="0" w:space="0" w:color="auto"/>
            <w:right w:val="none" w:sz="0" w:space="0" w:color="auto"/>
          </w:divBdr>
        </w:div>
        <w:div w:id="364135403">
          <w:marLeft w:val="0"/>
          <w:marRight w:val="0"/>
          <w:marTop w:val="0"/>
          <w:marBottom w:val="0"/>
          <w:divBdr>
            <w:top w:val="none" w:sz="0" w:space="0" w:color="auto"/>
            <w:left w:val="none" w:sz="0" w:space="0" w:color="auto"/>
            <w:bottom w:val="none" w:sz="0" w:space="0" w:color="auto"/>
            <w:right w:val="none" w:sz="0" w:space="0" w:color="auto"/>
          </w:divBdr>
        </w:div>
        <w:div w:id="882131653">
          <w:marLeft w:val="0"/>
          <w:marRight w:val="0"/>
          <w:marTop w:val="0"/>
          <w:marBottom w:val="0"/>
          <w:divBdr>
            <w:top w:val="none" w:sz="0" w:space="0" w:color="auto"/>
            <w:left w:val="none" w:sz="0" w:space="0" w:color="auto"/>
            <w:bottom w:val="none" w:sz="0" w:space="0" w:color="auto"/>
            <w:right w:val="none" w:sz="0" w:space="0" w:color="auto"/>
          </w:divBdr>
        </w:div>
        <w:div w:id="322705130">
          <w:marLeft w:val="0"/>
          <w:marRight w:val="0"/>
          <w:marTop w:val="0"/>
          <w:marBottom w:val="0"/>
          <w:divBdr>
            <w:top w:val="none" w:sz="0" w:space="0" w:color="auto"/>
            <w:left w:val="none" w:sz="0" w:space="0" w:color="auto"/>
            <w:bottom w:val="none" w:sz="0" w:space="0" w:color="auto"/>
            <w:right w:val="none" w:sz="0" w:space="0" w:color="auto"/>
          </w:divBdr>
        </w:div>
        <w:div w:id="757870915">
          <w:marLeft w:val="0"/>
          <w:marRight w:val="0"/>
          <w:marTop w:val="0"/>
          <w:marBottom w:val="0"/>
          <w:divBdr>
            <w:top w:val="none" w:sz="0" w:space="0" w:color="auto"/>
            <w:left w:val="none" w:sz="0" w:space="0" w:color="auto"/>
            <w:bottom w:val="none" w:sz="0" w:space="0" w:color="auto"/>
            <w:right w:val="none" w:sz="0" w:space="0" w:color="auto"/>
          </w:divBdr>
        </w:div>
        <w:div w:id="1561788431">
          <w:marLeft w:val="0"/>
          <w:marRight w:val="0"/>
          <w:marTop w:val="0"/>
          <w:marBottom w:val="0"/>
          <w:divBdr>
            <w:top w:val="none" w:sz="0" w:space="0" w:color="auto"/>
            <w:left w:val="none" w:sz="0" w:space="0" w:color="auto"/>
            <w:bottom w:val="none" w:sz="0" w:space="0" w:color="auto"/>
            <w:right w:val="none" w:sz="0" w:space="0" w:color="auto"/>
          </w:divBdr>
        </w:div>
        <w:div w:id="1174881634">
          <w:marLeft w:val="0"/>
          <w:marRight w:val="0"/>
          <w:marTop w:val="0"/>
          <w:marBottom w:val="0"/>
          <w:divBdr>
            <w:top w:val="none" w:sz="0" w:space="0" w:color="auto"/>
            <w:left w:val="none" w:sz="0" w:space="0" w:color="auto"/>
            <w:bottom w:val="none" w:sz="0" w:space="0" w:color="auto"/>
            <w:right w:val="none" w:sz="0" w:space="0" w:color="auto"/>
          </w:divBdr>
        </w:div>
        <w:div w:id="1556432808">
          <w:marLeft w:val="0"/>
          <w:marRight w:val="0"/>
          <w:marTop w:val="0"/>
          <w:marBottom w:val="0"/>
          <w:divBdr>
            <w:top w:val="none" w:sz="0" w:space="0" w:color="auto"/>
            <w:left w:val="none" w:sz="0" w:space="0" w:color="auto"/>
            <w:bottom w:val="none" w:sz="0" w:space="0" w:color="auto"/>
            <w:right w:val="none" w:sz="0" w:space="0" w:color="auto"/>
          </w:divBdr>
        </w:div>
        <w:div w:id="286011804">
          <w:marLeft w:val="0"/>
          <w:marRight w:val="0"/>
          <w:marTop w:val="0"/>
          <w:marBottom w:val="0"/>
          <w:divBdr>
            <w:top w:val="none" w:sz="0" w:space="0" w:color="auto"/>
            <w:left w:val="none" w:sz="0" w:space="0" w:color="auto"/>
            <w:bottom w:val="none" w:sz="0" w:space="0" w:color="auto"/>
            <w:right w:val="none" w:sz="0" w:space="0" w:color="auto"/>
          </w:divBdr>
        </w:div>
      </w:divsChild>
    </w:div>
    <w:div w:id="1177117500">
      <w:bodyDiv w:val="1"/>
      <w:marLeft w:val="0"/>
      <w:marRight w:val="0"/>
      <w:marTop w:val="0"/>
      <w:marBottom w:val="0"/>
      <w:divBdr>
        <w:top w:val="none" w:sz="0" w:space="0" w:color="auto"/>
        <w:left w:val="none" w:sz="0" w:space="0" w:color="auto"/>
        <w:bottom w:val="none" w:sz="0" w:space="0" w:color="auto"/>
        <w:right w:val="none" w:sz="0" w:space="0" w:color="auto"/>
      </w:divBdr>
      <w:divsChild>
        <w:div w:id="530000474">
          <w:marLeft w:val="0"/>
          <w:marRight w:val="0"/>
          <w:marTop w:val="0"/>
          <w:marBottom w:val="0"/>
          <w:divBdr>
            <w:top w:val="none" w:sz="0" w:space="0" w:color="auto"/>
            <w:left w:val="none" w:sz="0" w:space="0" w:color="auto"/>
            <w:bottom w:val="none" w:sz="0" w:space="0" w:color="auto"/>
            <w:right w:val="none" w:sz="0" w:space="0" w:color="auto"/>
          </w:divBdr>
        </w:div>
        <w:div w:id="1108306168">
          <w:marLeft w:val="0"/>
          <w:marRight w:val="0"/>
          <w:marTop w:val="0"/>
          <w:marBottom w:val="0"/>
          <w:divBdr>
            <w:top w:val="none" w:sz="0" w:space="0" w:color="auto"/>
            <w:left w:val="none" w:sz="0" w:space="0" w:color="auto"/>
            <w:bottom w:val="none" w:sz="0" w:space="0" w:color="auto"/>
            <w:right w:val="none" w:sz="0" w:space="0" w:color="auto"/>
          </w:divBdr>
        </w:div>
        <w:div w:id="624384739">
          <w:marLeft w:val="0"/>
          <w:marRight w:val="0"/>
          <w:marTop w:val="0"/>
          <w:marBottom w:val="0"/>
          <w:divBdr>
            <w:top w:val="none" w:sz="0" w:space="0" w:color="auto"/>
            <w:left w:val="none" w:sz="0" w:space="0" w:color="auto"/>
            <w:bottom w:val="none" w:sz="0" w:space="0" w:color="auto"/>
            <w:right w:val="none" w:sz="0" w:space="0" w:color="auto"/>
          </w:divBdr>
        </w:div>
        <w:div w:id="1703088351">
          <w:marLeft w:val="0"/>
          <w:marRight w:val="0"/>
          <w:marTop w:val="0"/>
          <w:marBottom w:val="0"/>
          <w:divBdr>
            <w:top w:val="none" w:sz="0" w:space="0" w:color="auto"/>
            <w:left w:val="none" w:sz="0" w:space="0" w:color="auto"/>
            <w:bottom w:val="none" w:sz="0" w:space="0" w:color="auto"/>
            <w:right w:val="none" w:sz="0" w:space="0" w:color="auto"/>
          </w:divBdr>
        </w:div>
        <w:div w:id="1223638318">
          <w:marLeft w:val="0"/>
          <w:marRight w:val="0"/>
          <w:marTop w:val="0"/>
          <w:marBottom w:val="0"/>
          <w:divBdr>
            <w:top w:val="none" w:sz="0" w:space="0" w:color="auto"/>
            <w:left w:val="none" w:sz="0" w:space="0" w:color="auto"/>
            <w:bottom w:val="none" w:sz="0" w:space="0" w:color="auto"/>
            <w:right w:val="none" w:sz="0" w:space="0" w:color="auto"/>
          </w:divBdr>
        </w:div>
        <w:div w:id="410203904">
          <w:marLeft w:val="0"/>
          <w:marRight w:val="0"/>
          <w:marTop w:val="0"/>
          <w:marBottom w:val="0"/>
          <w:divBdr>
            <w:top w:val="none" w:sz="0" w:space="0" w:color="auto"/>
            <w:left w:val="none" w:sz="0" w:space="0" w:color="auto"/>
            <w:bottom w:val="none" w:sz="0" w:space="0" w:color="auto"/>
            <w:right w:val="none" w:sz="0" w:space="0" w:color="auto"/>
          </w:divBdr>
        </w:div>
        <w:div w:id="409811877">
          <w:marLeft w:val="0"/>
          <w:marRight w:val="0"/>
          <w:marTop w:val="0"/>
          <w:marBottom w:val="0"/>
          <w:divBdr>
            <w:top w:val="none" w:sz="0" w:space="0" w:color="auto"/>
            <w:left w:val="none" w:sz="0" w:space="0" w:color="auto"/>
            <w:bottom w:val="none" w:sz="0" w:space="0" w:color="auto"/>
            <w:right w:val="none" w:sz="0" w:space="0" w:color="auto"/>
          </w:divBdr>
        </w:div>
        <w:div w:id="885290875">
          <w:marLeft w:val="0"/>
          <w:marRight w:val="0"/>
          <w:marTop w:val="0"/>
          <w:marBottom w:val="0"/>
          <w:divBdr>
            <w:top w:val="none" w:sz="0" w:space="0" w:color="auto"/>
            <w:left w:val="none" w:sz="0" w:space="0" w:color="auto"/>
            <w:bottom w:val="none" w:sz="0" w:space="0" w:color="auto"/>
            <w:right w:val="none" w:sz="0" w:space="0" w:color="auto"/>
          </w:divBdr>
        </w:div>
        <w:div w:id="1415470524">
          <w:marLeft w:val="0"/>
          <w:marRight w:val="0"/>
          <w:marTop w:val="0"/>
          <w:marBottom w:val="0"/>
          <w:divBdr>
            <w:top w:val="none" w:sz="0" w:space="0" w:color="auto"/>
            <w:left w:val="none" w:sz="0" w:space="0" w:color="auto"/>
            <w:bottom w:val="none" w:sz="0" w:space="0" w:color="auto"/>
            <w:right w:val="none" w:sz="0" w:space="0" w:color="auto"/>
          </w:divBdr>
        </w:div>
        <w:div w:id="342560587">
          <w:marLeft w:val="0"/>
          <w:marRight w:val="0"/>
          <w:marTop w:val="0"/>
          <w:marBottom w:val="0"/>
          <w:divBdr>
            <w:top w:val="none" w:sz="0" w:space="0" w:color="auto"/>
            <w:left w:val="none" w:sz="0" w:space="0" w:color="auto"/>
            <w:bottom w:val="none" w:sz="0" w:space="0" w:color="auto"/>
            <w:right w:val="none" w:sz="0" w:space="0" w:color="auto"/>
          </w:divBdr>
        </w:div>
        <w:div w:id="767385371">
          <w:marLeft w:val="0"/>
          <w:marRight w:val="0"/>
          <w:marTop w:val="0"/>
          <w:marBottom w:val="0"/>
          <w:divBdr>
            <w:top w:val="none" w:sz="0" w:space="0" w:color="auto"/>
            <w:left w:val="none" w:sz="0" w:space="0" w:color="auto"/>
            <w:bottom w:val="none" w:sz="0" w:space="0" w:color="auto"/>
            <w:right w:val="none" w:sz="0" w:space="0" w:color="auto"/>
          </w:divBdr>
        </w:div>
        <w:div w:id="539365797">
          <w:marLeft w:val="0"/>
          <w:marRight w:val="0"/>
          <w:marTop w:val="0"/>
          <w:marBottom w:val="0"/>
          <w:divBdr>
            <w:top w:val="none" w:sz="0" w:space="0" w:color="auto"/>
            <w:left w:val="none" w:sz="0" w:space="0" w:color="auto"/>
            <w:bottom w:val="none" w:sz="0" w:space="0" w:color="auto"/>
            <w:right w:val="none" w:sz="0" w:space="0" w:color="auto"/>
          </w:divBdr>
        </w:div>
        <w:div w:id="1638412533">
          <w:marLeft w:val="0"/>
          <w:marRight w:val="0"/>
          <w:marTop w:val="0"/>
          <w:marBottom w:val="0"/>
          <w:divBdr>
            <w:top w:val="none" w:sz="0" w:space="0" w:color="auto"/>
            <w:left w:val="none" w:sz="0" w:space="0" w:color="auto"/>
            <w:bottom w:val="none" w:sz="0" w:space="0" w:color="auto"/>
            <w:right w:val="none" w:sz="0" w:space="0" w:color="auto"/>
          </w:divBdr>
        </w:div>
        <w:div w:id="820585940">
          <w:marLeft w:val="0"/>
          <w:marRight w:val="0"/>
          <w:marTop w:val="0"/>
          <w:marBottom w:val="0"/>
          <w:divBdr>
            <w:top w:val="none" w:sz="0" w:space="0" w:color="auto"/>
            <w:left w:val="none" w:sz="0" w:space="0" w:color="auto"/>
            <w:bottom w:val="none" w:sz="0" w:space="0" w:color="auto"/>
            <w:right w:val="none" w:sz="0" w:space="0" w:color="auto"/>
          </w:divBdr>
        </w:div>
      </w:divsChild>
    </w:div>
    <w:div w:id="1300259148">
      <w:bodyDiv w:val="1"/>
      <w:marLeft w:val="0"/>
      <w:marRight w:val="0"/>
      <w:marTop w:val="0"/>
      <w:marBottom w:val="0"/>
      <w:divBdr>
        <w:top w:val="none" w:sz="0" w:space="0" w:color="auto"/>
        <w:left w:val="none" w:sz="0" w:space="0" w:color="auto"/>
        <w:bottom w:val="none" w:sz="0" w:space="0" w:color="auto"/>
        <w:right w:val="none" w:sz="0" w:space="0" w:color="auto"/>
      </w:divBdr>
      <w:divsChild>
        <w:div w:id="2054771859">
          <w:marLeft w:val="0"/>
          <w:marRight w:val="0"/>
          <w:marTop w:val="0"/>
          <w:marBottom w:val="0"/>
          <w:divBdr>
            <w:top w:val="none" w:sz="0" w:space="0" w:color="auto"/>
            <w:left w:val="none" w:sz="0" w:space="0" w:color="auto"/>
            <w:bottom w:val="none" w:sz="0" w:space="0" w:color="auto"/>
            <w:right w:val="none" w:sz="0" w:space="0" w:color="auto"/>
          </w:divBdr>
        </w:div>
        <w:div w:id="1060832601">
          <w:marLeft w:val="0"/>
          <w:marRight w:val="0"/>
          <w:marTop w:val="0"/>
          <w:marBottom w:val="0"/>
          <w:divBdr>
            <w:top w:val="none" w:sz="0" w:space="0" w:color="auto"/>
            <w:left w:val="none" w:sz="0" w:space="0" w:color="auto"/>
            <w:bottom w:val="none" w:sz="0" w:space="0" w:color="auto"/>
            <w:right w:val="none" w:sz="0" w:space="0" w:color="auto"/>
          </w:divBdr>
        </w:div>
        <w:div w:id="1095131712">
          <w:marLeft w:val="0"/>
          <w:marRight w:val="0"/>
          <w:marTop w:val="0"/>
          <w:marBottom w:val="0"/>
          <w:divBdr>
            <w:top w:val="none" w:sz="0" w:space="0" w:color="auto"/>
            <w:left w:val="none" w:sz="0" w:space="0" w:color="auto"/>
            <w:bottom w:val="none" w:sz="0" w:space="0" w:color="auto"/>
            <w:right w:val="none" w:sz="0" w:space="0" w:color="auto"/>
          </w:divBdr>
        </w:div>
      </w:divsChild>
    </w:div>
    <w:div w:id="1316448765">
      <w:bodyDiv w:val="1"/>
      <w:marLeft w:val="0"/>
      <w:marRight w:val="0"/>
      <w:marTop w:val="0"/>
      <w:marBottom w:val="0"/>
      <w:divBdr>
        <w:top w:val="none" w:sz="0" w:space="0" w:color="auto"/>
        <w:left w:val="none" w:sz="0" w:space="0" w:color="auto"/>
        <w:bottom w:val="none" w:sz="0" w:space="0" w:color="auto"/>
        <w:right w:val="none" w:sz="0" w:space="0" w:color="auto"/>
      </w:divBdr>
      <w:divsChild>
        <w:div w:id="342442027">
          <w:marLeft w:val="0"/>
          <w:marRight w:val="0"/>
          <w:marTop w:val="0"/>
          <w:marBottom w:val="0"/>
          <w:divBdr>
            <w:top w:val="none" w:sz="0" w:space="0" w:color="auto"/>
            <w:left w:val="none" w:sz="0" w:space="0" w:color="auto"/>
            <w:bottom w:val="none" w:sz="0" w:space="0" w:color="auto"/>
            <w:right w:val="none" w:sz="0" w:space="0" w:color="auto"/>
          </w:divBdr>
        </w:div>
        <w:div w:id="1243026230">
          <w:marLeft w:val="0"/>
          <w:marRight w:val="0"/>
          <w:marTop w:val="0"/>
          <w:marBottom w:val="0"/>
          <w:divBdr>
            <w:top w:val="none" w:sz="0" w:space="0" w:color="auto"/>
            <w:left w:val="none" w:sz="0" w:space="0" w:color="auto"/>
            <w:bottom w:val="none" w:sz="0" w:space="0" w:color="auto"/>
            <w:right w:val="none" w:sz="0" w:space="0" w:color="auto"/>
          </w:divBdr>
        </w:div>
        <w:div w:id="2101758726">
          <w:marLeft w:val="0"/>
          <w:marRight w:val="0"/>
          <w:marTop w:val="0"/>
          <w:marBottom w:val="0"/>
          <w:divBdr>
            <w:top w:val="none" w:sz="0" w:space="0" w:color="auto"/>
            <w:left w:val="none" w:sz="0" w:space="0" w:color="auto"/>
            <w:bottom w:val="none" w:sz="0" w:space="0" w:color="auto"/>
            <w:right w:val="none" w:sz="0" w:space="0" w:color="auto"/>
          </w:divBdr>
        </w:div>
        <w:div w:id="877474479">
          <w:marLeft w:val="0"/>
          <w:marRight w:val="0"/>
          <w:marTop w:val="0"/>
          <w:marBottom w:val="0"/>
          <w:divBdr>
            <w:top w:val="none" w:sz="0" w:space="0" w:color="auto"/>
            <w:left w:val="none" w:sz="0" w:space="0" w:color="auto"/>
            <w:bottom w:val="none" w:sz="0" w:space="0" w:color="auto"/>
            <w:right w:val="none" w:sz="0" w:space="0" w:color="auto"/>
          </w:divBdr>
        </w:div>
        <w:div w:id="1917283844">
          <w:marLeft w:val="0"/>
          <w:marRight w:val="0"/>
          <w:marTop w:val="0"/>
          <w:marBottom w:val="0"/>
          <w:divBdr>
            <w:top w:val="none" w:sz="0" w:space="0" w:color="auto"/>
            <w:left w:val="none" w:sz="0" w:space="0" w:color="auto"/>
            <w:bottom w:val="none" w:sz="0" w:space="0" w:color="auto"/>
            <w:right w:val="none" w:sz="0" w:space="0" w:color="auto"/>
          </w:divBdr>
        </w:div>
        <w:div w:id="630674582">
          <w:marLeft w:val="0"/>
          <w:marRight w:val="0"/>
          <w:marTop w:val="0"/>
          <w:marBottom w:val="0"/>
          <w:divBdr>
            <w:top w:val="none" w:sz="0" w:space="0" w:color="auto"/>
            <w:left w:val="none" w:sz="0" w:space="0" w:color="auto"/>
            <w:bottom w:val="none" w:sz="0" w:space="0" w:color="auto"/>
            <w:right w:val="none" w:sz="0" w:space="0" w:color="auto"/>
          </w:divBdr>
        </w:div>
        <w:div w:id="512191284">
          <w:marLeft w:val="0"/>
          <w:marRight w:val="0"/>
          <w:marTop w:val="0"/>
          <w:marBottom w:val="0"/>
          <w:divBdr>
            <w:top w:val="none" w:sz="0" w:space="0" w:color="auto"/>
            <w:left w:val="none" w:sz="0" w:space="0" w:color="auto"/>
            <w:bottom w:val="none" w:sz="0" w:space="0" w:color="auto"/>
            <w:right w:val="none" w:sz="0" w:space="0" w:color="auto"/>
          </w:divBdr>
        </w:div>
      </w:divsChild>
    </w:div>
    <w:div w:id="1321540783">
      <w:bodyDiv w:val="1"/>
      <w:marLeft w:val="0"/>
      <w:marRight w:val="0"/>
      <w:marTop w:val="0"/>
      <w:marBottom w:val="0"/>
      <w:divBdr>
        <w:top w:val="none" w:sz="0" w:space="0" w:color="auto"/>
        <w:left w:val="none" w:sz="0" w:space="0" w:color="auto"/>
        <w:bottom w:val="none" w:sz="0" w:space="0" w:color="auto"/>
        <w:right w:val="none" w:sz="0" w:space="0" w:color="auto"/>
      </w:divBdr>
      <w:divsChild>
        <w:div w:id="788007230">
          <w:marLeft w:val="0"/>
          <w:marRight w:val="0"/>
          <w:marTop w:val="0"/>
          <w:marBottom w:val="0"/>
          <w:divBdr>
            <w:top w:val="none" w:sz="0" w:space="0" w:color="auto"/>
            <w:left w:val="none" w:sz="0" w:space="0" w:color="auto"/>
            <w:bottom w:val="none" w:sz="0" w:space="0" w:color="auto"/>
            <w:right w:val="none" w:sz="0" w:space="0" w:color="auto"/>
          </w:divBdr>
        </w:div>
        <w:div w:id="710812504">
          <w:marLeft w:val="0"/>
          <w:marRight w:val="0"/>
          <w:marTop w:val="0"/>
          <w:marBottom w:val="0"/>
          <w:divBdr>
            <w:top w:val="none" w:sz="0" w:space="0" w:color="auto"/>
            <w:left w:val="none" w:sz="0" w:space="0" w:color="auto"/>
            <w:bottom w:val="none" w:sz="0" w:space="0" w:color="auto"/>
            <w:right w:val="none" w:sz="0" w:space="0" w:color="auto"/>
          </w:divBdr>
        </w:div>
        <w:div w:id="1730571952">
          <w:marLeft w:val="0"/>
          <w:marRight w:val="0"/>
          <w:marTop w:val="0"/>
          <w:marBottom w:val="0"/>
          <w:divBdr>
            <w:top w:val="none" w:sz="0" w:space="0" w:color="auto"/>
            <w:left w:val="none" w:sz="0" w:space="0" w:color="auto"/>
            <w:bottom w:val="none" w:sz="0" w:space="0" w:color="auto"/>
            <w:right w:val="none" w:sz="0" w:space="0" w:color="auto"/>
          </w:divBdr>
        </w:div>
        <w:div w:id="859314">
          <w:marLeft w:val="0"/>
          <w:marRight w:val="0"/>
          <w:marTop w:val="0"/>
          <w:marBottom w:val="0"/>
          <w:divBdr>
            <w:top w:val="none" w:sz="0" w:space="0" w:color="auto"/>
            <w:left w:val="none" w:sz="0" w:space="0" w:color="auto"/>
            <w:bottom w:val="none" w:sz="0" w:space="0" w:color="auto"/>
            <w:right w:val="none" w:sz="0" w:space="0" w:color="auto"/>
          </w:divBdr>
        </w:div>
        <w:div w:id="1541435516">
          <w:marLeft w:val="0"/>
          <w:marRight w:val="0"/>
          <w:marTop w:val="0"/>
          <w:marBottom w:val="0"/>
          <w:divBdr>
            <w:top w:val="none" w:sz="0" w:space="0" w:color="auto"/>
            <w:left w:val="none" w:sz="0" w:space="0" w:color="auto"/>
            <w:bottom w:val="none" w:sz="0" w:space="0" w:color="auto"/>
            <w:right w:val="none" w:sz="0" w:space="0" w:color="auto"/>
          </w:divBdr>
        </w:div>
        <w:div w:id="2032680987">
          <w:marLeft w:val="0"/>
          <w:marRight w:val="0"/>
          <w:marTop w:val="0"/>
          <w:marBottom w:val="0"/>
          <w:divBdr>
            <w:top w:val="none" w:sz="0" w:space="0" w:color="auto"/>
            <w:left w:val="none" w:sz="0" w:space="0" w:color="auto"/>
            <w:bottom w:val="none" w:sz="0" w:space="0" w:color="auto"/>
            <w:right w:val="none" w:sz="0" w:space="0" w:color="auto"/>
          </w:divBdr>
        </w:div>
        <w:div w:id="1565025015">
          <w:marLeft w:val="0"/>
          <w:marRight w:val="0"/>
          <w:marTop w:val="0"/>
          <w:marBottom w:val="0"/>
          <w:divBdr>
            <w:top w:val="none" w:sz="0" w:space="0" w:color="auto"/>
            <w:left w:val="none" w:sz="0" w:space="0" w:color="auto"/>
            <w:bottom w:val="none" w:sz="0" w:space="0" w:color="auto"/>
            <w:right w:val="none" w:sz="0" w:space="0" w:color="auto"/>
          </w:divBdr>
        </w:div>
        <w:div w:id="1196967808">
          <w:marLeft w:val="0"/>
          <w:marRight w:val="0"/>
          <w:marTop w:val="0"/>
          <w:marBottom w:val="0"/>
          <w:divBdr>
            <w:top w:val="none" w:sz="0" w:space="0" w:color="auto"/>
            <w:left w:val="none" w:sz="0" w:space="0" w:color="auto"/>
            <w:bottom w:val="none" w:sz="0" w:space="0" w:color="auto"/>
            <w:right w:val="none" w:sz="0" w:space="0" w:color="auto"/>
          </w:divBdr>
        </w:div>
        <w:div w:id="104231409">
          <w:marLeft w:val="0"/>
          <w:marRight w:val="0"/>
          <w:marTop w:val="0"/>
          <w:marBottom w:val="0"/>
          <w:divBdr>
            <w:top w:val="none" w:sz="0" w:space="0" w:color="auto"/>
            <w:left w:val="none" w:sz="0" w:space="0" w:color="auto"/>
            <w:bottom w:val="none" w:sz="0" w:space="0" w:color="auto"/>
            <w:right w:val="none" w:sz="0" w:space="0" w:color="auto"/>
          </w:divBdr>
        </w:div>
        <w:div w:id="1466586460">
          <w:marLeft w:val="0"/>
          <w:marRight w:val="0"/>
          <w:marTop w:val="0"/>
          <w:marBottom w:val="0"/>
          <w:divBdr>
            <w:top w:val="none" w:sz="0" w:space="0" w:color="auto"/>
            <w:left w:val="none" w:sz="0" w:space="0" w:color="auto"/>
            <w:bottom w:val="none" w:sz="0" w:space="0" w:color="auto"/>
            <w:right w:val="none" w:sz="0" w:space="0" w:color="auto"/>
          </w:divBdr>
        </w:div>
        <w:div w:id="1544559622">
          <w:marLeft w:val="0"/>
          <w:marRight w:val="0"/>
          <w:marTop w:val="0"/>
          <w:marBottom w:val="0"/>
          <w:divBdr>
            <w:top w:val="none" w:sz="0" w:space="0" w:color="auto"/>
            <w:left w:val="none" w:sz="0" w:space="0" w:color="auto"/>
            <w:bottom w:val="none" w:sz="0" w:space="0" w:color="auto"/>
            <w:right w:val="none" w:sz="0" w:space="0" w:color="auto"/>
          </w:divBdr>
        </w:div>
        <w:div w:id="395327061">
          <w:marLeft w:val="0"/>
          <w:marRight w:val="0"/>
          <w:marTop w:val="0"/>
          <w:marBottom w:val="0"/>
          <w:divBdr>
            <w:top w:val="none" w:sz="0" w:space="0" w:color="auto"/>
            <w:left w:val="none" w:sz="0" w:space="0" w:color="auto"/>
            <w:bottom w:val="none" w:sz="0" w:space="0" w:color="auto"/>
            <w:right w:val="none" w:sz="0" w:space="0" w:color="auto"/>
          </w:divBdr>
        </w:div>
        <w:div w:id="1885632916">
          <w:marLeft w:val="0"/>
          <w:marRight w:val="0"/>
          <w:marTop w:val="0"/>
          <w:marBottom w:val="0"/>
          <w:divBdr>
            <w:top w:val="none" w:sz="0" w:space="0" w:color="auto"/>
            <w:left w:val="none" w:sz="0" w:space="0" w:color="auto"/>
            <w:bottom w:val="none" w:sz="0" w:space="0" w:color="auto"/>
            <w:right w:val="none" w:sz="0" w:space="0" w:color="auto"/>
          </w:divBdr>
        </w:div>
        <w:div w:id="1481507557">
          <w:marLeft w:val="0"/>
          <w:marRight w:val="0"/>
          <w:marTop w:val="0"/>
          <w:marBottom w:val="0"/>
          <w:divBdr>
            <w:top w:val="none" w:sz="0" w:space="0" w:color="auto"/>
            <w:left w:val="none" w:sz="0" w:space="0" w:color="auto"/>
            <w:bottom w:val="none" w:sz="0" w:space="0" w:color="auto"/>
            <w:right w:val="none" w:sz="0" w:space="0" w:color="auto"/>
          </w:divBdr>
        </w:div>
        <w:div w:id="179320012">
          <w:marLeft w:val="0"/>
          <w:marRight w:val="0"/>
          <w:marTop w:val="0"/>
          <w:marBottom w:val="0"/>
          <w:divBdr>
            <w:top w:val="none" w:sz="0" w:space="0" w:color="auto"/>
            <w:left w:val="none" w:sz="0" w:space="0" w:color="auto"/>
            <w:bottom w:val="none" w:sz="0" w:space="0" w:color="auto"/>
            <w:right w:val="none" w:sz="0" w:space="0" w:color="auto"/>
          </w:divBdr>
        </w:div>
        <w:div w:id="505173720">
          <w:marLeft w:val="0"/>
          <w:marRight w:val="0"/>
          <w:marTop w:val="0"/>
          <w:marBottom w:val="0"/>
          <w:divBdr>
            <w:top w:val="none" w:sz="0" w:space="0" w:color="auto"/>
            <w:left w:val="none" w:sz="0" w:space="0" w:color="auto"/>
            <w:bottom w:val="none" w:sz="0" w:space="0" w:color="auto"/>
            <w:right w:val="none" w:sz="0" w:space="0" w:color="auto"/>
          </w:divBdr>
        </w:div>
        <w:div w:id="916283714">
          <w:marLeft w:val="0"/>
          <w:marRight w:val="0"/>
          <w:marTop w:val="0"/>
          <w:marBottom w:val="0"/>
          <w:divBdr>
            <w:top w:val="none" w:sz="0" w:space="0" w:color="auto"/>
            <w:left w:val="none" w:sz="0" w:space="0" w:color="auto"/>
            <w:bottom w:val="none" w:sz="0" w:space="0" w:color="auto"/>
            <w:right w:val="none" w:sz="0" w:space="0" w:color="auto"/>
          </w:divBdr>
        </w:div>
      </w:divsChild>
    </w:div>
    <w:div w:id="1360859699">
      <w:bodyDiv w:val="1"/>
      <w:marLeft w:val="0"/>
      <w:marRight w:val="0"/>
      <w:marTop w:val="0"/>
      <w:marBottom w:val="0"/>
      <w:divBdr>
        <w:top w:val="none" w:sz="0" w:space="0" w:color="auto"/>
        <w:left w:val="none" w:sz="0" w:space="0" w:color="auto"/>
        <w:bottom w:val="none" w:sz="0" w:space="0" w:color="auto"/>
        <w:right w:val="none" w:sz="0" w:space="0" w:color="auto"/>
      </w:divBdr>
      <w:divsChild>
        <w:div w:id="873273619">
          <w:marLeft w:val="0"/>
          <w:marRight w:val="0"/>
          <w:marTop w:val="0"/>
          <w:marBottom w:val="0"/>
          <w:divBdr>
            <w:top w:val="none" w:sz="0" w:space="0" w:color="auto"/>
            <w:left w:val="none" w:sz="0" w:space="0" w:color="auto"/>
            <w:bottom w:val="none" w:sz="0" w:space="0" w:color="auto"/>
            <w:right w:val="none" w:sz="0" w:space="0" w:color="auto"/>
          </w:divBdr>
        </w:div>
        <w:div w:id="107898392">
          <w:marLeft w:val="0"/>
          <w:marRight w:val="0"/>
          <w:marTop w:val="0"/>
          <w:marBottom w:val="0"/>
          <w:divBdr>
            <w:top w:val="none" w:sz="0" w:space="0" w:color="auto"/>
            <w:left w:val="none" w:sz="0" w:space="0" w:color="auto"/>
            <w:bottom w:val="none" w:sz="0" w:space="0" w:color="auto"/>
            <w:right w:val="none" w:sz="0" w:space="0" w:color="auto"/>
          </w:divBdr>
        </w:div>
        <w:div w:id="1500732046">
          <w:marLeft w:val="0"/>
          <w:marRight w:val="0"/>
          <w:marTop w:val="0"/>
          <w:marBottom w:val="0"/>
          <w:divBdr>
            <w:top w:val="none" w:sz="0" w:space="0" w:color="auto"/>
            <w:left w:val="none" w:sz="0" w:space="0" w:color="auto"/>
            <w:bottom w:val="none" w:sz="0" w:space="0" w:color="auto"/>
            <w:right w:val="none" w:sz="0" w:space="0" w:color="auto"/>
          </w:divBdr>
        </w:div>
        <w:div w:id="202715265">
          <w:marLeft w:val="0"/>
          <w:marRight w:val="0"/>
          <w:marTop w:val="0"/>
          <w:marBottom w:val="0"/>
          <w:divBdr>
            <w:top w:val="none" w:sz="0" w:space="0" w:color="auto"/>
            <w:left w:val="none" w:sz="0" w:space="0" w:color="auto"/>
            <w:bottom w:val="none" w:sz="0" w:space="0" w:color="auto"/>
            <w:right w:val="none" w:sz="0" w:space="0" w:color="auto"/>
          </w:divBdr>
        </w:div>
        <w:div w:id="1384332519">
          <w:marLeft w:val="0"/>
          <w:marRight w:val="0"/>
          <w:marTop w:val="0"/>
          <w:marBottom w:val="0"/>
          <w:divBdr>
            <w:top w:val="none" w:sz="0" w:space="0" w:color="auto"/>
            <w:left w:val="none" w:sz="0" w:space="0" w:color="auto"/>
            <w:bottom w:val="none" w:sz="0" w:space="0" w:color="auto"/>
            <w:right w:val="none" w:sz="0" w:space="0" w:color="auto"/>
          </w:divBdr>
        </w:div>
        <w:div w:id="2109499996">
          <w:marLeft w:val="0"/>
          <w:marRight w:val="0"/>
          <w:marTop w:val="0"/>
          <w:marBottom w:val="0"/>
          <w:divBdr>
            <w:top w:val="none" w:sz="0" w:space="0" w:color="auto"/>
            <w:left w:val="none" w:sz="0" w:space="0" w:color="auto"/>
            <w:bottom w:val="none" w:sz="0" w:space="0" w:color="auto"/>
            <w:right w:val="none" w:sz="0" w:space="0" w:color="auto"/>
          </w:divBdr>
        </w:div>
        <w:div w:id="1748914224">
          <w:marLeft w:val="0"/>
          <w:marRight w:val="0"/>
          <w:marTop w:val="0"/>
          <w:marBottom w:val="0"/>
          <w:divBdr>
            <w:top w:val="none" w:sz="0" w:space="0" w:color="auto"/>
            <w:left w:val="none" w:sz="0" w:space="0" w:color="auto"/>
            <w:bottom w:val="none" w:sz="0" w:space="0" w:color="auto"/>
            <w:right w:val="none" w:sz="0" w:space="0" w:color="auto"/>
          </w:divBdr>
        </w:div>
        <w:div w:id="1667317036">
          <w:marLeft w:val="0"/>
          <w:marRight w:val="0"/>
          <w:marTop w:val="0"/>
          <w:marBottom w:val="0"/>
          <w:divBdr>
            <w:top w:val="none" w:sz="0" w:space="0" w:color="auto"/>
            <w:left w:val="none" w:sz="0" w:space="0" w:color="auto"/>
            <w:bottom w:val="none" w:sz="0" w:space="0" w:color="auto"/>
            <w:right w:val="none" w:sz="0" w:space="0" w:color="auto"/>
          </w:divBdr>
        </w:div>
        <w:div w:id="1661617914">
          <w:marLeft w:val="0"/>
          <w:marRight w:val="0"/>
          <w:marTop w:val="0"/>
          <w:marBottom w:val="0"/>
          <w:divBdr>
            <w:top w:val="none" w:sz="0" w:space="0" w:color="auto"/>
            <w:left w:val="none" w:sz="0" w:space="0" w:color="auto"/>
            <w:bottom w:val="none" w:sz="0" w:space="0" w:color="auto"/>
            <w:right w:val="none" w:sz="0" w:space="0" w:color="auto"/>
          </w:divBdr>
        </w:div>
        <w:div w:id="1402381">
          <w:marLeft w:val="0"/>
          <w:marRight w:val="0"/>
          <w:marTop w:val="0"/>
          <w:marBottom w:val="0"/>
          <w:divBdr>
            <w:top w:val="none" w:sz="0" w:space="0" w:color="auto"/>
            <w:left w:val="none" w:sz="0" w:space="0" w:color="auto"/>
            <w:bottom w:val="none" w:sz="0" w:space="0" w:color="auto"/>
            <w:right w:val="none" w:sz="0" w:space="0" w:color="auto"/>
          </w:divBdr>
        </w:div>
        <w:div w:id="451635216">
          <w:marLeft w:val="0"/>
          <w:marRight w:val="0"/>
          <w:marTop w:val="0"/>
          <w:marBottom w:val="0"/>
          <w:divBdr>
            <w:top w:val="none" w:sz="0" w:space="0" w:color="auto"/>
            <w:left w:val="none" w:sz="0" w:space="0" w:color="auto"/>
            <w:bottom w:val="none" w:sz="0" w:space="0" w:color="auto"/>
            <w:right w:val="none" w:sz="0" w:space="0" w:color="auto"/>
          </w:divBdr>
        </w:div>
        <w:div w:id="1258177392">
          <w:marLeft w:val="0"/>
          <w:marRight w:val="0"/>
          <w:marTop w:val="0"/>
          <w:marBottom w:val="0"/>
          <w:divBdr>
            <w:top w:val="none" w:sz="0" w:space="0" w:color="auto"/>
            <w:left w:val="none" w:sz="0" w:space="0" w:color="auto"/>
            <w:bottom w:val="none" w:sz="0" w:space="0" w:color="auto"/>
            <w:right w:val="none" w:sz="0" w:space="0" w:color="auto"/>
          </w:divBdr>
        </w:div>
        <w:div w:id="1314141037">
          <w:marLeft w:val="0"/>
          <w:marRight w:val="0"/>
          <w:marTop w:val="0"/>
          <w:marBottom w:val="0"/>
          <w:divBdr>
            <w:top w:val="none" w:sz="0" w:space="0" w:color="auto"/>
            <w:left w:val="none" w:sz="0" w:space="0" w:color="auto"/>
            <w:bottom w:val="none" w:sz="0" w:space="0" w:color="auto"/>
            <w:right w:val="none" w:sz="0" w:space="0" w:color="auto"/>
          </w:divBdr>
        </w:div>
        <w:div w:id="1700428794">
          <w:marLeft w:val="0"/>
          <w:marRight w:val="0"/>
          <w:marTop w:val="0"/>
          <w:marBottom w:val="0"/>
          <w:divBdr>
            <w:top w:val="none" w:sz="0" w:space="0" w:color="auto"/>
            <w:left w:val="none" w:sz="0" w:space="0" w:color="auto"/>
            <w:bottom w:val="none" w:sz="0" w:space="0" w:color="auto"/>
            <w:right w:val="none" w:sz="0" w:space="0" w:color="auto"/>
          </w:divBdr>
        </w:div>
        <w:div w:id="1326468504">
          <w:marLeft w:val="0"/>
          <w:marRight w:val="0"/>
          <w:marTop w:val="0"/>
          <w:marBottom w:val="0"/>
          <w:divBdr>
            <w:top w:val="none" w:sz="0" w:space="0" w:color="auto"/>
            <w:left w:val="none" w:sz="0" w:space="0" w:color="auto"/>
            <w:bottom w:val="none" w:sz="0" w:space="0" w:color="auto"/>
            <w:right w:val="none" w:sz="0" w:space="0" w:color="auto"/>
          </w:divBdr>
        </w:div>
        <w:div w:id="1637100077">
          <w:marLeft w:val="0"/>
          <w:marRight w:val="0"/>
          <w:marTop w:val="0"/>
          <w:marBottom w:val="0"/>
          <w:divBdr>
            <w:top w:val="none" w:sz="0" w:space="0" w:color="auto"/>
            <w:left w:val="none" w:sz="0" w:space="0" w:color="auto"/>
            <w:bottom w:val="none" w:sz="0" w:space="0" w:color="auto"/>
            <w:right w:val="none" w:sz="0" w:space="0" w:color="auto"/>
          </w:divBdr>
        </w:div>
        <w:div w:id="375740778">
          <w:marLeft w:val="0"/>
          <w:marRight w:val="0"/>
          <w:marTop w:val="0"/>
          <w:marBottom w:val="0"/>
          <w:divBdr>
            <w:top w:val="none" w:sz="0" w:space="0" w:color="auto"/>
            <w:left w:val="none" w:sz="0" w:space="0" w:color="auto"/>
            <w:bottom w:val="none" w:sz="0" w:space="0" w:color="auto"/>
            <w:right w:val="none" w:sz="0" w:space="0" w:color="auto"/>
          </w:divBdr>
        </w:div>
        <w:div w:id="1644313497">
          <w:marLeft w:val="0"/>
          <w:marRight w:val="0"/>
          <w:marTop w:val="0"/>
          <w:marBottom w:val="0"/>
          <w:divBdr>
            <w:top w:val="none" w:sz="0" w:space="0" w:color="auto"/>
            <w:left w:val="none" w:sz="0" w:space="0" w:color="auto"/>
            <w:bottom w:val="none" w:sz="0" w:space="0" w:color="auto"/>
            <w:right w:val="none" w:sz="0" w:space="0" w:color="auto"/>
          </w:divBdr>
        </w:div>
        <w:div w:id="1733577012">
          <w:marLeft w:val="0"/>
          <w:marRight w:val="0"/>
          <w:marTop w:val="0"/>
          <w:marBottom w:val="0"/>
          <w:divBdr>
            <w:top w:val="none" w:sz="0" w:space="0" w:color="auto"/>
            <w:left w:val="none" w:sz="0" w:space="0" w:color="auto"/>
            <w:bottom w:val="none" w:sz="0" w:space="0" w:color="auto"/>
            <w:right w:val="none" w:sz="0" w:space="0" w:color="auto"/>
          </w:divBdr>
        </w:div>
        <w:div w:id="2137794189">
          <w:marLeft w:val="0"/>
          <w:marRight w:val="0"/>
          <w:marTop w:val="0"/>
          <w:marBottom w:val="0"/>
          <w:divBdr>
            <w:top w:val="none" w:sz="0" w:space="0" w:color="auto"/>
            <w:left w:val="none" w:sz="0" w:space="0" w:color="auto"/>
            <w:bottom w:val="none" w:sz="0" w:space="0" w:color="auto"/>
            <w:right w:val="none" w:sz="0" w:space="0" w:color="auto"/>
          </w:divBdr>
        </w:div>
        <w:div w:id="183910509">
          <w:marLeft w:val="0"/>
          <w:marRight w:val="0"/>
          <w:marTop w:val="0"/>
          <w:marBottom w:val="0"/>
          <w:divBdr>
            <w:top w:val="none" w:sz="0" w:space="0" w:color="auto"/>
            <w:left w:val="none" w:sz="0" w:space="0" w:color="auto"/>
            <w:bottom w:val="none" w:sz="0" w:space="0" w:color="auto"/>
            <w:right w:val="none" w:sz="0" w:space="0" w:color="auto"/>
          </w:divBdr>
        </w:div>
        <w:div w:id="898325017">
          <w:marLeft w:val="0"/>
          <w:marRight w:val="0"/>
          <w:marTop w:val="0"/>
          <w:marBottom w:val="0"/>
          <w:divBdr>
            <w:top w:val="none" w:sz="0" w:space="0" w:color="auto"/>
            <w:left w:val="none" w:sz="0" w:space="0" w:color="auto"/>
            <w:bottom w:val="none" w:sz="0" w:space="0" w:color="auto"/>
            <w:right w:val="none" w:sz="0" w:space="0" w:color="auto"/>
          </w:divBdr>
        </w:div>
        <w:div w:id="88551874">
          <w:marLeft w:val="0"/>
          <w:marRight w:val="0"/>
          <w:marTop w:val="0"/>
          <w:marBottom w:val="0"/>
          <w:divBdr>
            <w:top w:val="none" w:sz="0" w:space="0" w:color="auto"/>
            <w:left w:val="none" w:sz="0" w:space="0" w:color="auto"/>
            <w:bottom w:val="none" w:sz="0" w:space="0" w:color="auto"/>
            <w:right w:val="none" w:sz="0" w:space="0" w:color="auto"/>
          </w:divBdr>
        </w:div>
        <w:div w:id="1868250416">
          <w:marLeft w:val="0"/>
          <w:marRight w:val="0"/>
          <w:marTop w:val="0"/>
          <w:marBottom w:val="0"/>
          <w:divBdr>
            <w:top w:val="none" w:sz="0" w:space="0" w:color="auto"/>
            <w:left w:val="none" w:sz="0" w:space="0" w:color="auto"/>
            <w:bottom w:val="none" w:sz="0" w:space="0" w:color="auto"/>
            <w:right w:val="none" w:sz="0" w:space="0" w:color="auto"/>
          </w:divBdr>
        </w:div>
        <w:div w:id="2116712379">
          <w:marLeft w:val="0"/>
          <w:marRight w:val="0"/>
          <w:marTop w:val="0"/>
          <w:marBottom w:val="0"/>
          <w:divBdr>
            <w:top w:val="none" w:sz="0" w:space="0" w:color="auto"/>
            <w:left w:val="none" w:sz="0" w:space="0" w:color="auto"/>
            <w:bottom w:val="none" w:sz="0" w:space="0" w:color="auto"/>
            <w:right w:val="none" w:sz="0" w:space="0" w:color="auto"/>
          </w:divBdr>
        </w:div>
        <w:div w:id="2047677505">
          <w:marLeft w:val="0"/>
          <w:marRight w:val="0"/>
          <w:marTop w:val="0"/>
          <w:marBottom w:val="0"/>
          <w:divBdr>
            <w:top w:val="none" w:sz="0" w:space="0" w:color="auto"/>
            <w:left w:val="none" w:sz="0" w:space="0" w:color="auto"/>
            <w:bottom w:val="none" w:sz="0" w:space="0" w:color="auto"/>
            <w:right w:val="none" w:sz="0" w:space="0" w:color="auto"/>
          </w:divBdr>
        </w:div>
        <w:div w:id="330371764">
          <w:marLeft w:val="0"/>
          <w:marRight w:val="0"/>
          <w:marTop w:val="0"/>
          <w:marBottom w:val="0"/>
          <w:divBdr>
            <w:top w:val="none" w:sz="0" w:space="0" w:color="auto"/>
            <w:left w:val="none" w:sz="0" w:space="0" w:color="auto"/>
            <w:bottom w:val="none" w:sz="0" w:space="0" w:color="auto"/>
            <w:right w:val="none" w:sz="0" w:space="0" w:color="auto"/>
          </w:divBdr>
        </w:div>
        <w:div w:id="33502125">
          <w:marLeft w:val="0"/>
          <w:marRight w:val="0"/>
          <w:marTop w:val="0"/>
          <w:marBottom w:val="0"/>
          <w:divBdr>
            <w:top w:val="none" w:sz="0" w:space="0" w:color="auto"/>
            <w:left w:val="none" w:sz="0" w:space="0" w:color="auto"/>
            <w:bottom w:val="none" w:sz="0" w:space="0" w:color="auto"/>
            <w:right w:val="none" w:sz="0" w:space="0" w:color="auto"/>
          </w:divBdr>
        </w:div>
        <w:div w:id="466361162">
          <w:marLeft w:val="0"/>
          <w:marRight w:val="0"/>
          <w:marTop w:val="0"/>
          <w:marBottom w:val="0"/>
          <w:divBdr>
            <w:top w:val="none" w:sz="0" w:space="0" w:color="auto"/>
            <w:left w:val="none" w:sz="0" w:space="0" w:color="auto"/>
            <w:bottom w:val="none" w:sz="0" w:space="0" w:color="auto"/>
            <w:right w:val="none" w:sz="0" w:space="0" w:color="auto"/>
          </w:divBdr>
        </w:div>
        <w:div w:id="57941869">
          <w:marLeft w:val="0"/>
          <w:marRight w:val="0"/>
          <w:marTop w:val="0"/>
          <w:marBottom w:val="0"/>
          <w:divBdr>
            <w:top w:val="none" w:sz="0" w:space="0" w:color="auto"/>
            <w:left w:val="none" w:sz="0" w:space="0" w:color="auto"/>
            <w:bottom w:val="none" w:sz="0" w:space="0" w:color="auto"/>
            <w:right w:val="none" w:sz="0" w:space="0" w:color="auto"/>
          </w:divBdr>
        </w:div>
        <w:div w:id="683365573">
          <w:marLeft w:val="0"/>
          <w:marRight w:val="0"/>
          <w:marTop w:val="0"/>
          <w:marBottom w:val="0"/>
          <w:divBdr>
            <w:top w:val="none" w:sz="0" w:space="0" w:color="auto"/>
            <w:left w:val="none" w:sz="0" w:space="0" w:color="auto"/>
            <w:bottom w:val="none" w:sz="0" w:space="0" w:color="auto"/>
            <w:right w:val="none" w:sz="0" w:space="0" w:color="auto"/>
          </w:divBdr>
        </w:div>
        <w:div w:id="887688723">
          <w:marLeft w:val="0"/>
          <w:marRight w:val="0"/>
          <w:marTop w:val="0"/>
          <w:marBottom w:val="0"/>
          <w:divBdr>
            <w:top w:val="none" w:sz="0" w:space="0" w:color="auto"/>
            <w:left w:val="none" w:sz="0" w:space="0" w:color="auto"/>
            <w:bottom w:val="none" w:sz="0" w:space="0" w:color="auto"/>
            <w:right w:val="none" w:sz="0" w:space="0" w:color="auto"/>
          </w:divBdr>
        </w:div>
        <w:div w:id="1815486175">
          <w:marLeft w:val="0"/>
          <w:marRight w:val="0"/>
          <w:marTop w:val="0"/>
          <w:marBottom w:val="0"/>
          <w:divBdr>
            <w:top w:val="none" w:sz="0" w:space="0" w:color="auto"/>
            <w:left w:val="none" w:sz="0" w:space="0" w:color="auto"/>
            <w:bottom w:val="none" w:sz="0" w:space="0" w:color="auto"/>
            <w:right w:val="none" w:sz="0" w:space="0" w:color="auto"/>
          </w:divBdr>
        </w:div>
      </w:divsChild>
    </w:div>
    <w:div w:id="1381859051">
      <w:bodyDiv w:val="1"/>
      <w:marLeft w:val="0"/>
      <w:marRight w:val="0"/>
      <w:marTop w:val="0"/>
      <w:marBottom w:val="0"/>
      <w:divBdr>
        <w:top w:val="none" w:sz="0" w:space="0" w:color="auto"/>
        <w:left w:val="none" w:sz="0" w:space="0" w:color="auto"/>
        <w:bottom w:val="none" w:sz="0" w:space="0" w:color="auto"/>
        <w:right w:val="none" w:sz="0" w:space="0" w:color="auto"/>
      </w:divBdr>
      <w:divsChild>
        <w:div w:id="2136482379">
          <w:marLeft w:val="0"/>
          <w:marRight w:val="0"/>
          <w:marTop w:val="0"/>
          <w:marBottom w:val="0"/>
          <w:divBdr>
            <w:top w:val="none" w:sz="0" w:space="0" w:color="auto"/>
            <w:left w:val="none" w:sz="0" w:space="0" w:color="auto"/>
            <w:bottom w:val="none" w:sz="0" w:space="0" w:color="auto"/>
            <w:right w:val="none" w:sz="0" w:space="0" w:color="auto"/>
          </w:divBdr>
        </w:div>
        <w:div w:id="521632239">
          <w:marLeft w:val="0"/>
          <w:marRight w:val="0"/>
          <w:marTop w:val="0"/>
          <w:marBottom w:val="0"/>
          <w:divBdr>
            <w:top w:val="none" w:sz="0" w:space="0" w:color="auto"/>
            <w:left w:val="none" w:sz="0" w:space="0" w:color="auto"/>
            <w:bottom w:val="none" w:sz="0" w:space="0" w:color="auto"/>
            <w:right w:val="none" w:sz="0" w:space="0" w:color="auto"/>
          </w:divBdr>
        </w:div>
        <w:div w:id="1923488350">
          <w:marLeft w:val="0"/>
          <w:marRight w:val="0"/>
          <w:marTop w:val="0"/>
          <w:marBottom w:val="0"/>
          <w:divBdr>
            <w:top w:val="none" w:sz="0" w:space="0" w:color="auto"/>
            <w:left w:val="none" w:sz="0" w:space="0" w:color="auto"/>
            <w:bottom w:val="none" w:sz="0" w:space="0" w:color="auto"/>
            <w:right w:val="none" w:sz="0" w:space="0" w:color="auto"/>
          </w:divBdr>
        </w:div>
        <w:div w:id="397097133">
          <w:marLeft w:val="0"/>
          <w:marRight w:val="0"/>
          <w:marTop w:val="0"/>
          <w:marBottom w:val="0"/>
          <w:divBdr>
            <w:top w:val="none" w:sz="0" w:space="0" w:color="auto"/>
            <w:left w:val="none" w:sz="0" w:space="0" w:color="auto"/>
            <w:bottom w:val="none" w:sz="0" w:space="0" w:color="auto"/>
            <w:right w:val="none" w:sz="0" w:space="0" w:color="auto"/>
          </w:divBdr>
        </w:div>
        <w:div w:id="1575820369">
          <w:marLeft w:val="0"/>
          <w:marRight w:val="0"/>
          <w:marTop w:val="0"/>
          <w:marBottom w:val="0"/>
          <w:divBdr>
            <w:top w:val="none" w:sz="0" w:space="0" w:color="auto"/>
            <w:left w:val="none" w:sz="0" w:space="0" w:color="auto"/>
            <w:bottom w:val="none" w:sz="0" w:space="0" w:color="auto"/>
            <w:right w:val="none" w:sz="0" w:space="0" w:color="auto"/>
          </w:divBdr>
        </w:div>
        <w:div w:id="1396006441">
          <w:marLeft w:val="0"/>
          <w:marRight w:val="0"/>
          <w:marTop w:val="0"/>
          <w:marBottom w:val="0"/>
          <w:divBdr>
            <w:top w:val="none" w:sz="0" w:space="0" w:color="auto"/>
            <w:left w:val="none" w:sz="0" w:space="0" w:color="auto"/>
            <w:bottom w:val="none" w:sz="0" w:space="0" w:color="auto"/>
            <w:right w:val="none" w:sz="0" w:space="0" w:color="auto"/>
          </w:divBdr>
        </w:div>
        <w:div w:id="6176951">
          <w:marLeft w:val="0"/>
          <w:marRight w:val="0"/>
          <w:marTop w:val="0"/>
          <w:marBottom w:val="0"/>
          <w:divBdr>
            <w:top w:val="none" w:sz="0" w:space="0" w:color="auto"/>
            <w:left w:val="none" w:sz="0" w:space="0" w:color="auto"/>
            <w:bottom w:val="none" w:sz="0" w:space="0" w:color="auto"/>
            <w:right w:val="none" w:sz="0" w:space="0" w:color="auto"/>
          </w:divBdr>
        </w:div>
      </w:divsChild>
    </w:div>
    <w:div w:id="1382094382">
      <w:bodyDiv w:val="1"/>
      <w:marLeft w:val="0"/>
      <w:marRight w:val="0"/>
      <w:marTop w:val="0"/>
      <w:marBottom w:val="0"/>
      <w:divBdr>
        <w:top w:val="none" w:sz="0" w:space="0" w:color="auto"/>
        <w:left w:val="none" w:sz="0" w:space="0" w:color="auto"/>
        <w:bottom w:val="none" w:sz="0" w:space="0" w:color="auto"/>
        <w:right w:val="none" w:sz="0" w:space="0" w:color="auto"/>
      </w:divBdr>
      <w:divsChild>
        <w:div w:id="1678801020">
          <w:marLeft w:val="0"/>
          <w:marRight w:val="0"/>
          <w:marTop w:val="0"/>
          <w:marBottom w:val="0"/>
          <w:divBdr>
            <w:top w:val="none" w:sz="0" w:space="0" w:color="auto"/>
            <w:left w:val="none" w:sz="0" w:space="0" w:color="auto"/>
            <w:bottom w:val="none" w:sz="0" w:space="0" w:color="auto"/>
            <w:right w:val="none" w:sz="0" w:space="0" w:color="auto"/>
          </w:divBdr>
        </w:div>
        <w:div w:id="1289817431">
          <w:marLeft w:val="0"/>
          <w:marRight w:val="0"/>
          <w:marTop w:val="0"/>
          <w:marBottom w:val="0"/>
          <w:divBdr>
            <w:top w:val="none" w:sz="0" w:space="0" w:color="auto"/>
            <w:left w:val="none" w:sz="0" w:space="0" w:color="auto"/>
            <w:bottom w:val="none" w:sz="0" w:space="0" w:color="auto"/>
            <w:right w:val="none" w:sz="0" w:space="0" w:color="auto"/>
          </w:divBdr>
        </w:div>
        <w:div w:id="1568105456">
          <w:marLeft w:val="0"/>
          <w:marRight w:val="0"/>
          <w:marTop w:val="0"/>
          <w:marBottom w:val="0"/>
          <w:divBdr>
            <w:top w:val="none" w:sz="0" w:space="0" w:color="auto"/>
            <w:left w:val="none" w:sz="0" w:space="0" w:color="auto"/>
            <w:bottom w:val="none" w:sz="0" w:space="0" w:color="auto"/>
            <w:right w:val="none" w:sz="0" w:space="0" w:color="auto"/>
          </w:divBdr>
        </w:div>
        <w:div w:id="407575666">
          <w:marLeft w:val="0"/>
          <w:marRight w:val="0"/>
          <w:marTop w:val="0"/>
          <w:marBottom w:val="0"/>
          <w:divBdr>
            <w:top w:val="none" w:sz="0" w:space="0" w:color="auto"/>
            <w:left w:val="none" w:sz="0" w:space="0" w:color="auto"/>
            <w:bottom w:val="none" w:sz="0" w:space="0" w:color="auto"/>
            <w:right w:val="none" w:sz="0" w:space="0" w:color="auto"/>
          </w:divBdr>
        </w:div>
        <w:div w:id="1522545459">
          <w:marLeft w:val="0"/>
          <w:marRight w:val="0"/>
          <w:marTop w:val="0"/>
          <w:marBottom w:val="0"/>
          <w:divBdr>
            <w:top w:val="none" w:sz="0" w:space="0" w:color="auto"/>
            <w:left w:val="none" w:sz="0" w:space="0" w:color="auto"/>
            <w:bottom w:val="none" w:sz="0" w:space="0" w:color="auto"/>
            <w:right w:val="none" w:sz="0" w:space="0" w:color="auto"/>
          </w:divBdr>
        </w:div>
        <w:div w:id="857276706">
          <w:marLeft w:val="0"/>
          <w:marRight w:val="0"/>
          <w:marTop w:val="0"/>
          <w:marBottom w:val="0"/>
          <w:divBdr>
            <w:top w:val="none" w:sz="0" w:space="0" w:color="auto"/>
            <w:left w:val="none" w:sz="0" w:space="0" w:color="auto"/>
            <w:bottom w:val="none" w:sz="0" w:space="0" w:color="auto"/>
            <w:right w:val="none" w:sz="0" w:space="0" w:color="auto"/>
          </w:divBdr>
        </w:div>
        <w:div w:id="1834951624">
          <w:marLeft w:val="0"/>
          <w:marRight w:val="0"/>
          <w:marTop w:val="0"/>
          <w:marBottom w:val="0"/>
          <w:divBdr>
            <w:top w:val="none" w:sz="0" w:space="0" w:color="auto"/>
            <w:left w:val="none" w:sz="0" w:space="0" w:color="auto"/>
            <w:bottom w:val="none" w:sz="0" w:space="0" w:color="auto"/>
            <w:right w:val="none" w:sz="0" w:space="0" w:color="auto"/>
          </w:divBdr>
        </w:div>
        <w:div w:id="1355962463">
          <w:marLeft w:val="0"/>
          <w:marRight w:val="0"/>
          <w:marTop w:val="0"/>
          <w:marBottom w:val="0"/>
          <w:divBdr>
            <w:top w:val="none" w:sz="0" w:space="0" w:color="auto"/>
            <w:left w:val="none" w:sz="0" w:space="0" w:color="auto"/>
            <w:bottom w:val="none" w:sz="0" w:space="0" w:color="auto"/>
            <w:right w:val="none" w:sz="0" w:space="0" w:color="auto"/>
          </w:divBdr>
        </w:div>
        <w:div w:id="1685017104">
          <w:marLeft w:val="0"/>
          <w:marRight w:val="0"/>
          <w:marTop w:val="0"/>
          <w:marBottom w:val="0"/>
          <w:divBdr>
            <w:top w:val="none" w:sz="0" w:space="0" w:color="auto"/>
            <w:left w:val="none" w:sz="0" w:space="0" w:color="auto"/>
            <w:bottom w:val="none" w:sz="0" w:space="0" w:color="auto"/>
            <w:right w:val="none" w:sz="0" w:space="0" w:color="auto"/>
          </w:divBdr>
        </w:div>
        <w:div w:id="1229922304">
          <w:marLeft w:val="0"/>
          <w:marRight w:val="0"/>
          <w:marTop w:val="0"/>
          <w:marBottom w:val="0"/>
          <w:divBdr>
            <w:top w:val="none" w:sz="0" w:space="0" w:color="auto"/>
            <w:left w:val="none" w:sz="0" w:space="0" w:color="auto"/>
            <w:bottom w:val="none" w:sz="0" w:space="0" w:color="auto"/>
            <w:right w:val="none" w:sz="0" w:space="0" w:color="auto"/>
          </w:divBdr>
        </w:div>
        <w:div w:id="799617280">
          <w:marLeft w:val="0"/>
          <w:marRight w:val="0"/>
          <w:marTop w:val="0"/>
          <w:marBottom w:val="0"/>
          <w:divBdr>
            <w:top w:val="none" w:sz="0" w:space="0" w:color="auto"/>
            <w:left w:val="none" w:sz="0" w:space="0" w:color="auto"/>
            <w:bottom w:val="none" w:sz="0" w:space="0" w:color="auto"/>
            <w:right w:val="none" w:sz="0" w:space="0" w:color="auto"/>
          </w:divBdr>
        </w:div>
        <w:div w:id="1890875268">
          <w:marLeft w:val="0"/>
          <w:marRight w:val="0"/>
          <w:marTop w:val="0"/>
          <w:marBottom w:val="0"/>
          <w:divBdr>
            <w:top w:val="none" w:sz="0" w:space="0" w:color="auto"/>
            <w:left w:val="none" w:sz="0" w:space="0" w:color="auto"/>
            <w:bottom w:val="none" w:sz="0" w:space="0" w:color="auto"/>
            <w:right w:val="none" w:sz="0" w:space="0" w:color="auto"/>
          </w:divBdr>
        </w:div>
        <w:div w:id="976570307">
          <w:marLeft w:val="0"/>
          <w:marRight w:val="0"/>
          <w:marTop w:val="0"/>
          <w:marBottom w:val="0"/>
          <w:divBdr>
            <w:top w:val="none" w:sz="0" w:space="0" w:color="auto"/>
            <w:left w:val="none" w:sz="0" w:space="0" w:color="auto"/>
            <w:bottom w:val="none" w:sz="0" w:space="0" w:color="auto"/>
            <w:right w:val="none" w:sz="0" w:space="0" w:color="auto"/>
          </w:divBdr>
        </w:div>
        <w:div w:id="557982484">
          <w:marLeft w:val="0"/>
          <w:marRight w:val="0"/>
          <w:marTop w:val="0"/>
          <w:marBottom w:val="0"/>
          <w:divBdr>
            <w:top w:val="none" w:sz="0" w:space="0" w:color="auto"/>
            <w:left w:val="none" w:sz="0" w:space="0" w:color="auto"/>
            <w:bottom w:val="none" w:sz="0" w:space="0" w:color="auto"/>
            <w:right w:val="none" w:sz="0" w:space="0" w:color="auto"/>
          </w:divBdr>
        </w:div>
      </w:divsChild>
    </w:div>
    <w:div w:id="1408501929">
      <w:bodyDiv w:val="1"/>
      <w:marLeft w:val="0"/>
      <w:marRight w:val="0"/>
      <w:marTop w:val="0"/>
      <w:marBottom w:val="0"/>
      <w:divBdr>
        <w:top w:val="none" w:sz="0" w:space="0" w:color="auto"/>
        <w:left w:val="none" w:sz="0" w:space="0" w:color="auto"/>
        <w:bottom w:val="none" w:sz="0" w:space="0" w:color="auto"/>
        <w:right w:val="none" w:sz="0" w:space="0" w:color="auto"/>
      </w:divBdr>
      <w:divsChild>
        <w:div w:id="1240216697">
          <w:marLeft w:val="0"/>
          <w:marRight w:val="0"/>
          <w:marTop w:val="0"/>
          <w:marBottom w:val="0"/>
          <w:divBdr>
            <w:top w:val="none" w:sz="0" w:space="0" w:color="auto"/>
            <w:left w:val="none" w:sz="0" w:space="0" w:color="auto"/>
            <w:bottom w:val="none" w:sz="0" w:space="0" w:color="auto"/>
            <w:right w:val="none" w:sz="0" w:space="0" w:color="auto"/>
          </w:divBdr>
        </w:div>
        <w:div w:id="677658583">
          <w:marLeft w:val="0"/>
          <w:marRight w:val="0"/>
          <w:marTop w:val="0"/>
          <w:marBottom w:val="0"/>
          <w:divBdr>
            <w:top w:val="none" w:sz="0" w:space="0" w:color="auto"/>
            <w:left w:val="none" w:sz="0" w:space="0" w:color="auto"/>
            <w:bottom w:val="none" w:sz="0" w:space="0" w:color="auto"/>
            <w:right w:val="none" w:sz="0" w:space="0" w:color="auto"/>
          </w:divBdr>
        </w:div>
        <w:div w:id="1002733532">
          <w:marLeft w:val="0"/>
          <w:marRight w:val="0"/>
          <w:marTop w:val="0"/>
          <w:marBottom w:val="0"/>
          <w:divBdr>
            <w:top w:val="none" w:sz="0" w:space="0" w:color="auto"/>
            <w:left w:val="none" w:sz="0" w:space="0" w:color="auto"/>
            <w:bottom w:val="none" w:sz="0" w:space="0" w:color="auto"/>
            <w:right w:val="none" w:sz="0" w:space="0" w:color="auto"/>
          </w:divBdr>
        </w:div>
        <w:div w:id="1511338521">
          <w:marLeft w:val="0"/>
          <w:marRight w:val="0"/>
          <w:marTop w:val="0"/>
          <w:marBottom w:val="0"/>
          <w:divBdr>
            <w:top w:val="none" w:sz="0" w:space="0" w:color="auto"/>
            <w:left w:val="none" w:sz="0" w:space="0" w:color="auto"/>
            <w:bottom w:val="none" w:sz="0" w:space="0" w:color="auto"/>
            <w:right w:val="none" w:sz="0" w:space="0" w:color="auto"/>
          </w:divBdr>
        </w:div>
        <w:div w:id="252403144">
          <w:marLeft w:val="0"/>
          <w:marRight w:val="0"/>
          <w:marTop w:val="0"/>
          <w:marBottom w:val="0"/>
          <w:divBdr>
            <w:top w:val="none" w:sz="0" w:space="0" w:color="auto"/>
            <w:left w:val="none" w:sz="0" w:space="0" w:color="auto"/>
            <w:bottom w:val="none" w:sz="0" w:space="0" w:color="auto"/>
            <w:right w:val="none" w:sz="0" w:space="0" w:color="auto"/>
          </w:divBdr>
        </w:div>
        <w:div w:id="1655255333">
          <w:marLeft w:val="0"/>
          <w:marRight w:val="0"/>
          <w:marTop w:val="0"/>
          <w:marBottom w:val="0"/>
          <w:divBdr>
            <w:top w:val="none" w:sz="0" w:space="0" w:color="auto"/>
            <w:left w:val="none" w:sz="0" w:space="0" w:color="auto"/>
            <w:bottom w:val="none" w:sz="0" w:space="0" w:color="auto"/>
            <w:right w:val="none" w:sz="0" w:space="0" w:color="auto"/>
          </w:divBdr>
        </w:div>
        <w:div w:id="2091996614">
          <w:marLeft w:val="0"/>
          <w:marRight w:val="0"/>
          <w:marTop w:val="0"/>
          <w:marBottom w:val="0"/>
          <w:divBdr>
            <w:top w:val="none" w:sz="0" w:space="0" w:color="auto"/>
            <w:left w:val="none" w:sz="0" w:space="0" w:color="auto"/>
            <w:bottom w:val="none" w:sz="0" w:space="0" w:color="auto"/>
            <w:right w:val="none" w:sz="0" w:space="0" w:color="auto"/>
          </w:divBdr>
        </w:div>
        <w:div w:id="477914847">
          <w:marLeft w:val="0"/>
          <w:marRight w:val="0"/>
          <w:marTop w:val="0"/>
          <w:marBottom w:val="0"/>
          <w:divBdr>
            <w:top w:val="none" w:sz="0" w:space="0" w:color="auto"/>
            <w:left w:val="none" w:sz="0" w:space="0" w:color="auto"/>
            <w:bottom w:val="none" w:sz="0" w:space="0" w:color="auto"/>
            <w:right w:val="none" w:sz="0" w:space="0" w:color="auto"/>
          </w:divBdr>
        </w:div>
        <w:div w:id="325279892">
          <w:marLeft w:val="0"/>
          <w:marRight w:val="0"/>
          <w:marTop w:val="0"/>
          <w:marBottom w:val="0"/>
          <w:divBdr>
            <w:top w:val="none" w:sz="0" w:space="0" w:color="auto"/>
            <w:left w:val="none" w:sz="0" w:space="0" w:color="auto"/>
            <w:bottom w:val="none" w:sz="0" w:space="0" w:color="auto"/>
            <w:right w:val="none" w:sz="0" w:space="0" w:color="auto"/>
          </w:divBdr>
        </w:div>
        <w:div w:id="572013110">
          <w:marLeft w:val="0"/>
          <w:marRight w:val="0"/>
          <w:marTop w:val="0"/>
          <w:marBottom w:val="0"/>
          <w:divBdr>
            <w:top w:val="none" w:sz="0" w:space="0" w:color="auto"/>
            <w:left w:val="none" w:sz="0" w:space="0" w:color="auto"/>
            <w:bottom w:val="none" w:sz="0" w:space="0" w:color="auto"/>
            <w:right w:val="none" w:sz="0" w:space="0" w:color="auto"/>
          </w:divBdr>
        </w:div>
        <w:div w:id="1024207507">
          <w:marLeft w:val="0"/>
          <w:marRight w:val="0"/>
          <w:marTop w:val="0"/>
          <w:marBottom w:val="0"/>
          <w:divBdr>
            <w:top w:val="none" w:sz="0" w:space="0" w:color="auto"/>
            <w:left w:val="none" w:sz="0" w:space="0" w:color="auto"/>
            <w:bottom w:val="none" w:sz="0" w:space="0" w:color="auto"/>
            <w:right w:val="none" w:sz="0" w:space="0" w:color="auto"/>
          </w:divBdr>
        </w:div>
        <w:div w:id="1268658976">
          <w:marLeft w:val="0"/>
          <w:marRight w:val="0"/>
          <w:marTop w:val="0"/>
          <w:marBottom w:val="0"/>
          <w:divBdr>
            <w:top w:val="none" w:sz="0" w:space="0" w:color="auto"/>
            <w:left w:val="none" w:sz="0" w:space="0" w:color="auto"/>
            <w:bottom w:val="none" w:sz="0" w:space="0" w:color="auto"/>
            <w:right w:val="none" w:sz="0" w:space="0" w:color="auto"/>
          </w:divBdr>
        </w:div>
        <w:div w:id="1695886340">
          <w:marLeft w:val="0"/>
          <w:marRight w:val="0"/>
          <w:marTop w:val="0"/>
          <w:marBottom w:val="0"/>
          <w:divBdr>
            <w:top w:val="none" w:sz="0" w:space="0" w:color="auto"/>
            <w:left w:val="none" w:sz="0" w:space="0" w:color="auto"/>
            <w:bottom w:val="none" w:sz="0" w:space="0" w:color="auto"/>
            <w:right w:val="none" w:sz="0" w:space="0" w:color="auto"/>
          </w:divBdr>
        </w:div>
        <w:div w:id="928272315">
          <w:marLeft w:val="0"/>
          <w:marRight w:val="0"/>
          <w:marTop w:val="0"/>
          <w:marBottom w:val="0"/>
          <w:divBdr>
            <w:top w:val="none" w:sz="0" w:space="0" w:color="auto"/>
            <w:left w:val="none" w:sz="0" w:space="0" w:color="auto"/>
            <w:bottom w:val="none" w:sz="0" w:space="0" w:color="auto"/>
            <w:right w:val="none" w:sz="0" w:space="0" w:color="auto"/>
          </w:divBdr>
        </w:div>
        <w:div w:id="1709456093">
          <w:marLeft w:val="0"/>
          <w:marRight w:val="0"/>
          <w:marTop w:val="0"/>
          <w:marBottom w:val="0"/>
          <w:divBdr>
            <w:top w:val="none" w:sz="0" w:space="0" w:color="auto"/>
            <w:left w:val="none" w:sz="0" w:space="0" w:color="auto"/>
            <w:bottom w:val="none" w:sz="0" w:space="0" w:color="auto"/>
            <w:right w:val="none" w:sz="0" w:space="0" w:color="auto"/>
          </w:divBdr>
        </w:div>
        <w:div w:id="1322854899">
          <w:marLeft w:val="0"/>
          <w:marRight w:val="0"/>
          <w:marTop w:val="0"/>
          <w:marBottom w:val="0"/>
          <w:divBdr>
            <w:top w:val="none" w:sz="0" w:space="0" w:color="auto"/>
            <w:left w:val="none" w:sz="0" w:space="0" w:color="auto"/>
            <w:bottom w:val="none" w:sz="0" w:space="0" w:color="auto"/>
            <w:right w:val="none" w:sz="0" w:space="0" w:color="auto"/>
          </w:divBdr>
        </w:div>
        <w:div w:id="1687706336">
          <w:marLeft w:val="0"/>
          <w:marRight w:val="0"/>
          <w:marTop w:val="0"/>
          <w:marBottom w:val="0"/>
          <w:divBdr>
            <w:top w:val="none" w:sz="0" w:space="0" w:color="auto"/>
            <w:left w:val="none" w:sz="0" w:space="0" w:color="auto"/>
            <w:bottom w:val="none" w:sz="0" w:space="0" w:color="auto"/>
            <w:right w:val="none" w:sz="0" w:space="0" w:color="auto"/>
          </w:divBdr>
        </w:div>
      </w:divsChild>
    </w:div>
    <w:div w:id="1430199328">
      <w:bodyDiv w:val="1"/>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 w:id="746683876">
          <w:marLeft w:val="0"/>
          <w:marRight w:val="0"/>
          <w:marTop w:val="0"/>
          <w:marBottom w:val="0"/>
          <w:divBdr>
            <w:top w:val="none" w:sz="0" w:space="0" w:color="auto"/>
            <w:left w:val="none" w:sz="0" w:space="0" w:color="auto"/>
            <w:bottom w:val="none" w:sz="0" w:space="0" w:color="auto"/>
            <w:right w:val="none" w:sz="0" w:space="0" w:color="auto"/>
          </w:divBdr>
        </w:div>
        <w:div w:id="1064453824">
          <w:marLeft w:val="0"/>
          <w:marRight w:val="0"/>
          <w:marTop w:val="0"/>
          <w:marBottom w:val="0"/>
          <w:divBdr>
            <w:top w:val="none" w:sz="0" w:space="0" w:color="auto"/>
            <w:left w:val="none" w:sz="0" w:space="0" w:color="auto"/>
            <w:bottom w:val="none" w:sz="0" w:space="0" w:color="auto"/>
            <w:right w:val="none" w:sz="0" w:space="0" w:color="auto"/>
          </w:divBdr>
        </w:div>
        <w:div w:id="1634094722">
          <w:marLeft w:val="0"/>
          <w:marRight w:val="0"/>
          <w:marTop w:val="0"/>
          <w:marBottom w:val="0"/>
          <w:divBdr>
            <w:top w:val="none" w:sz="0" w:space="0" w:color="auto"/>
            <w:left w:val="none" w:sz="0" w:space="0" w:color="auto"/>
            <w:bottom w:val="none" w:sz="0" w:space="0" w:color="auto"/>
            <w:right w:val="none" w:sz="0" w:space="0" w:color="auto"/>
          </w:divBdr>
        </w:div>
        <w:div w:id="1643734329">
          <w:marLeft w:val="0"/>
          <w:marRight w:val="0"/>
          <w:marTop w:val="0"/>
          <w:marBottom w:val="0"/>
          <w:divBdr>
            <w:top w:val="none" w:sz="0" w:space="0" w:color="auto"/>
            <w:left w:val="none" w:sz="0" w:space="0" w:color="auto"/>
            <w:bottom w:val="none" w:sz="0" w:space="0" w:color="auto"/>
            <w:right w:val="none" w:sz="0" w:space="0" w:color="auto"/>
          </w:divBdr>
        </w:div>
        <w:div w:id="1733459643">
          <w:marLeft w:val="0"/>
          <w:marRight w:val="0"/>
          <w:marTop w:val="0"/>
          <w:marBottom w:val="0"/>
          <w:divBdr>
            <w:top w:val="none" w:sz="0" w:space="0" w:color="auto"/>
            <w:left w:val="none" w:sz="0" w:space="0" w:color="auto"/>
            <w:bottom w:val="none" w:sz="0" w:space="0" w:color="auto"/>
            <w:right w:val="none" w:sz="0" w:space="0" w:color="auto"/>
          </w:divBdr>
        </w:div>
        <w:div w:id="1990357552">
          <w:marLeft w:val="0"/>
          <w:marRight w:val="0"/>
          <w:marTop w:val="0"/>
          <w:marBottom w:val="0"/>
          <w:divBdr>
            <w:top w:val="none" w:sz="0" w:space="0" w:color="auto"/>
            <w:left w:val="none" w:sz="0" w:space="0" w:color="auto"/>
            <w:bottom w:val="none" w:sz="0" w:space="0" w:color="auto"/>
            <w:right w:val="none" w:sz="0" w:space="0" w:color="auto"/>
          </w:divBdr>
        </w:div>
        <w:div w:id="1485704741">
          <w:marLeft w:val="0"/>
          <w:marRight w:val="0"/>
          <w:marTop w:val="0"/>
          <w:marBottom w:val="0"/>
          <w:divBdr>
            <w:top w:val="none" w:sz="0" w:space="0" w:color="auto"/>
            <w:left w:val="none" w:sz="0" w:space="0" w:color="auto"/>
            <w:bottom w:val="none" w:sz="0" w:space="0" w:color="auto"/>
            <w:right w:val="none" w:sz="0" w:space="0" w:color="auto"/>
          </w:divBdr>
        </w:div>
        <w:div w:id="622732654">
          <w:marLeft w:val="0"/>
          <w:marRight w:val="0"/>
          <w:marTop w:val="0"/>
          <w:marBottom w:val="0"/>
          <w:divBdr>
            <w:top w:val="none" w:sz="0" w:space="0" w:color="auto"/>
            <w:left w:val="none" w:sz="0" w:space="0" w:color="auto"/>
            <w:bottom w:val="none" w:sz="0" w:space="0" w:color="auto"/>
            <w:right w:val="none" w:sz="0" w:space="0" w:color="auto"/>
          </w:divBdr>
        </w:div>
        <w:div w:id="1897282522">
          <w:marLeft w:val="0"/>
          <w:marRight w:val="0"/>
          <w:marTop w:val="0"/>
          <w:marBottom w:val="0"/>
          <w:divBdr>
            <w:top w:val="none" w:sz="0" w:space="0" w:color="auto"/>
            <w:left w:val="none" w:sz="0" w:space="0" w:color="auto"/>
            <w:bottom w:val="none" w:sz="0" w:space="0" w:color="auto"/>
            <w:right w:val="none" w:sz="0" w:space="0" w:color="auto"/>
          </w:divBdr>
        </w:div>
        <w:div w:id="651103382">
          <w:marLeft w:val="0"/>
          <w:marRight w:val="0"/>
          <w:marTop w:val="0"/>
          <w:marBottom w:val="0"/>
          <w:divBdr>
            <w:top w:val="none" w:sz="0" w:space="0" w:color="auto"/>
            <w:left w:val="none" w:sz="0" w:space="0" w:color="auto"/>
            <w:bottom w:val="none" w:sz="0" w:space="0" w:color="auto"/>
            <w:right w:val="none" w:sz="0" w:space="0" w:color="auto"/>
          </w:divBdr>
        </w:div>
        <w:div w:id="1600330091">
          <w:marLeft w:val="0"/>
          <w:marRight w:val="0"/>
          <w:marTop w:val="0"/>
          <w:marBottom w:val="0"/>
          <w:divBdr>
            <w:top w:val="none" w:sz="0" w:space="0" w:color="auto"/>
            <w:left w:val="none" w:sz="0" w:space="0" w:color="auto"/>
            <w:bottom w:val="none" w:sz="0" w:space="0" w:color="auto"/>
            <w:right w:val="none" w:sz="0" w:space="0" w:color="auto"/>
          </w:divBdr>
        </w:div>
        <w:div w:id="1023365981">
          <w:marLeft w:val="0"/>
          <w:marRight w:val="0"/>
          <w:marTop w:val="0"/>
          <w:marBottom w:val="0"/>
          <w:divBdr>
            <w:top w:val="none" w:sz="0" w:space="0" w:color="auto"/>
            <w:left w:val="none" w:sz="0" w:space="0" w:color="auto"/>
            <w:bottom w:val="none" w:sz="0" w:space="0" w:color="auto"/>
            <w:right w:val="none" w:sz="0" w:space="0" w:color="auto"/>
          </w:divBdr>
        </w:div>
        <w:div w:id="1148088667">
          <w:marLeft w:val="0"/>
          <w:marRight w:val="0"/>
          <w:marTop w:val="0"/>
          <w:marBottom w:val="0"/>
          <w:divBdr>
            <w:top w:val="none" w:sz="0" w:space="0" w:color="auto"/>
            <w:left w:val="none" w:sz="0" w:space="0" w:color="auto"/>
            <w:bottom w:val="none" w:sz="0" w:space="0" w:color="auto"/>
            <w:right w:val="none" w:sz="0" w:space="0" w:color="auto"/>
          </w:divBdr>
        </w:div>
        <w:div w:id="1517502359">
          <w:marLeft w:val="0"/>
          <w:marRight w:val="0"/>
          <w:marTop w:val="0"/>
          <w:marBottom w:val="0"/>
          <w:divBdr>
            <w:top w:val="none" w:sz="0" w:space="0" w:color="auto"/>
            <w:left w:val="none" w:sz="0" w:space="0" w:color="auto"/>
            <w:bottom w:val="none" w:sz="0" w:space="0" w:color="auto"/>
            <w:right w:val="none" w:sz="0" w:space="0" w:color="auto"/>
          </w:divBdr>
        </w:div>
        <w:div w:id="625164424">
          <w:marLeft w:val="0"/>
          <w:marRight w:val="0"/>
          <w:marTop w:val="0"/>
          <w:marBottom w:val="0"/>
          <w:divBdr>
            <w:top w:val="none" w:sz="0" w:space="0" w:color="auto"/>
            <w:left w:val="none" w:sz="0" w:space="0" w:color="auto"/>
            <w:bottom w:val="none" w:sz="0" w:space="0" w:color="auto"/>
            <w:right w:val="none" w:sz="0" w:space="0" w:color="auto"/>
          </w:divBdr>
        </w:div>
        <w:div w:id="787503327">
          <w:marLeft w:val="0"/>
          <w:marRight w:val="0"/>
          <w:marTop w:val="0"/>
          <w:marBottom w:val="0"/>
          <w:divBdr>
            <w:top w:val="none" w:sz="0" w:space="0" w:color="auto"/>
            <w:left w:val="none" w:sz="0" w:space="0" w:color="auto"/>
            <w:bottom w:val="none" w:sz="0" w:space="0" w:color="auto"/>
            <w:right w:val="none" w:sz="0" w:space="0" w:color="auto"/>
          </w:divBdr>
        </w:div>
        <w:div w:id="230892702">
          <w:marLeft w:val="0"/>
          <w:marRight w:val="0"/>
          <w:marTop w:val="0"/>
          <w:marBottom w:val="0"/>
          <w:divBdr>
            <w:top w:val="none" w:sz="0" w:space="0" w:color="auto"/>
            <w:left w:val="none" w:sz="0" w:space="0" w:color="auto"/>
            <w:bottom w:val="none" w:sz="0" w:space="0" w:color="auto"/>
            <w:right w:val="none" w:sz="0" w:space="0" w:color="auto"/>
          </w:divBdr>
        </w:div>
        <w:div w:id="1161846419">
          <w:marLeft w:val="0"/>
          <w:marRight w:val="0"/>
          <w:marTop w:val="0"/>
          <w:marBottom w:val="0"/>
          <w:divBdr>
            <w:top w:val="none" w:sz="0" w:space="0" w:color="auto"/>
            <w:left w:val="none" w:sz="0" w:space="0" w:color="auto"/>
            <w:bottom w:val="none" w:sz="0" w:space="0" w:color="auto"/>
            <w:right w:val="none" w:sz="0" w:space="0" w:color="auto"/>
          </w:divBdr>
        </w:div>
        <w:div w:id="1503162008">
          <w:marLeft w:val="0"/>
          <w:marRight w:val="0"/>
          <w:marTop w:val="0"/>
          <w:marBottom w:val="0"/>
          <w:divBdr>
            <w:top w:val="none" w:sz="0" w:space="0" w:color="auto"/>
            <w:left w:val="none" w:sz="0" w:space="0" w:color="auto"/>
            <w:bottom w:val="none" w:sz="0" w:space="0" w:color="auto"/>
            <w:right w:val="none" w:sz="0" w:space="0" w:color="auto"/>
          </w:divBdr>
        </w:div>
        <w:div w:id="1854956104">
          <w:marLeft w:val="0"/>
          <w:marRight w:val="0"/>
          <w:marTop w:val="0"/>
          <w:marBottom w:val="0"/>
          <w:divBdr>
            <w:top w:val="none" w:sz="0" w:space="0" w:color="auto"/>
            <w:left w:val="none" w:sz="0" w:space="0" w:color="auto"/>
            <w:bottom w:val="none" w:sz="0" w:space="0" w:color="auto"/>
            <w:right w:val="none" w:sz="0" w:space="0" w:color="auto"/>
          </w:divBdr>
        </w:div>
        <w:div w:id="303200477">
          <w:marLeft w:val="0"/>
          <w:marRight w:val="0"/>
          <w:marTop w:val="0"/>
          <w:marBottom w:val="0"/>
          <w:divBdr>
            <w:top w:val="none" w:sz="0" w:space="0" w:color="auto"/>
            <w:left w:val="none" w:sz="0" w:space="0" w:color="auto"/>
            <w:bottom w:val="none" w:sz="0" w:space="0" w:color="auto"/>
            <w:right w:val="none" w:sz="0" w:space="0" w:color="auto"/>
          </w:divBdr>
        </w:div>
        <w:div w:id="1869369678">
          <w:marLeft w:val="0"/>
          <w:marRight w:val="0"/>
          <w:marTop w:val="0"/>
          <w:marBottom w:val="0"/>
          <w:divBdr>
            <w:top w:val="none" w:sz="0" w:space="0" w:color="auto"/>
            <w:left w:val="none" w:sz="0" w:space="0" w:color="auto"/>
            <w:bottom w:val="none" w:sz="0" w:space="0" w:color="auto"/>
            <w:right w:val="none" w:sz="0" w:space="0" w:color="auto"/>
          </w:divBdr>
        </w:div>
        <w:div w:id="886061992">
          <w:marLeft w:val="0"/>
          <w:marRight w:val="0"/>
          <w:marTop w:val="0"/>
          <w:marBottom w:val="0"/>
          <w:divBdr>
            <w:top w:val="none" w:sz="0" w:space="0" w:color="auto"/>
            <w:left w:val="none" w:sz="0" w:space="0" w:color="auto"/>
            <w:bottom w:val="none" w:sz="0" w:space="0" w:color="auto"/>
            <w:right w:val="none" w:sz="0" w:space="0" w:color="auto"/>
          </w:divBdr>
        </w:div>
        <w:div w:id="1169758098">
          <w:marLeft w:val="0"/>
          <w:marRight w:val="0"/>
          <w:marTop w:val="0"/>
          <w:marBottom w:val="0"/>
          <w:divBdr>
            <w:top w:val="none" w:sz="0" w:space="0" w:color="auto"/>
            <w:left w:val="none" w:sz="0" w:space="0" w:color="auto"/>
            <w:bottom w:val="none" w:sz="0" w:space="0" w:color="auto"/>
            <w:right w:val="none" w:sz="0" w:space="0" w:color="auto"/>
          </w:divBdr>
        </w:div>
        <w:div w:id="1022778161">
          <w:marLeft w:val="0"/>
          <w:marRight w:val="0"/>
          <w:marTop w:val="0"/>
          <w:marBottom w:val="0"/>
          <w:divBdr>
            <w:top w:val="none" w:sz="0" w:space="0" w:color="auto"/>
            <w:left w:val="none" w:sz="0" w:space="0" w:color="auto"/>
            <w:bottom w:val="none" w:sz="0" w:space="0" w:color="auto"/>
            <w:right w:val="none" w:sz="0" w:space="0" w:color="auto"/>
          </w:divBdr>
        </w:div>
        <w:div w:id="366296064">
          <w:marLeft w:val="0"/>
          <w:marRight w:val="0"/>
          <w:marTop w:val="0"/>
          <w:marBottom w:val="0"/>
          <w:divBdr>
            <w:top w:val="none" w:sz="0" w:space="0" w:color="auto"/>
            <w:left w:val="none" w:sz="0" w:space="0" w:color="auto"/>
            <w:bottom w:val="none" w:sz="0" w:space="0" w:color="auto"/>
            <w:right w:val="none" w:sz="0" w:space="0" w:color="auto"/>
          </w:divBdr>
        </w:div>
        <w:div w:id="1549564856">
          <w:marLeft w:val="0"/>
          <w:marRight w:val="0"/>
          <w:marTop w:val="0"/>
          <w:marBottom w:val="0"/>
          <w:divBdr>
            <w:top w:val="none" w:sz="0" w:space="0" w:color="auto"/>
            <w:left w:val="none" w:sz="0" w:space="0" w:color="auto"/>
            <w:bottom w:val="none" w:sz="0" w:space="0" w:color="auto"/>
            <w:right w:val="none" w:sz="0" w:space="0" w:color="auto"/>
          </w:divBdr>
        </w:div>
        <w:div w:id="32924141">
          <w:marLeft w:val="0"/>
          <w:marRight w:val="0"/>
          <w:marTop w:val="0"/>
          <w:marBottom w:val="0"/>
          <w:divBdr>
            <w:top w:val="none" w:sz="0" w:space="0" w:color="auto"/>
            <w:left w:val="none" w:sz="0" w:space="0" w:color="auto"/>
            <w:bottom w:val="none" w:sz="0" w:space="0" w:color="auto"/>
            <w:right w:val="none" w:sz="0" w:space="0" w:color="auto"/>
          </w:divBdr>
        </w:div>
        <w:div w:id="1597981236">
          <w:marLeft w:val="0"/>
          <w:marRight w:val="0"/>
          <w:marTop w:val="0"/>
          <w:marBottom w:val="0"/>
          <w:divBdr>
            <w:top w:val="none" w:sz="0" w:space="0" w:color="auto"/>
            <w:left w:val="none" w:sz="0" w:space="0" w:color="auto"/>
            <w:bottom w:val="none" w:sz="0" w:space="0" w:color="auto"/>
            <w:right w:val="none" w:sz="0" w:space="0" w:color="auto"/>
          </w:divBdr>
        </w:div>
        <w:div w:id="1485388737">
          <w:marLeft w:val="0"/>
          <w:marRight w:val="0"/>
          <w:marTop w:val="0"/>
          <w:marBottom w:val="0"/>
          <w:divBdr>
            <w:top w:val="none" w:sz="0" w:space="0" w:color="auto"/>
            <w:left w:val="none" w:sz="0" w:space="0" w:color="auto"/>
            <w:bottom w:val="none" w:sz="0" w:space="0" w:color="auto"/>
            <w:right w:val="none" w:sz="0" w:space="0" w:color="auto"/>
          </w:divBdr>
        </w:div>
        <w:div w:id="1736776675">
          <w:marLeft w:val="0"/>
          <w:marRight w:val="0"/>
          <w:marTop w:val="0"/>
          <w:marBottom w:val="0"/>
          <w:divBdr>
            <w:top w:val="none" w:sz="0" w:space="0" w:color="auto"/>
            <w:left w:val="none" w:sz="0" w:space="0" w:color="auto"/>
            <w:bottom w:val="none" w:sz="0" w:space="0" w:color="auto"/>
            <w:right w:val="none" w:sz="0" w:space="0" w:color="auto"/>
          </w:divBdr>
        </w:div>
      </w:divsChild>
    </w:div>
    <w:div w:id="1457681649">
      <w:bodyDiv w:val="1"/>
      <w:marLeft w:val="0"/>
      <w:marRight w:val="0"/>
      <w:marTop w:val="0"/>
      <w:marBottom w:val="0"/>
      <w:divBdr>
        <w:top w:val="none" w:sz="0" w:space="0" w:color="auto"/>
        <w:left w:val="none" w:sz="0" w:space="0" w:color="auto"/>
        <w:bottom w:val="none" w:sz="0" w:space="0" w:color="auto"/>
        <w:right w:val="none" w:sz="0" w:space="0" w:color="auto"/>
      </w:divBdr>
      <w:divsChild>
        <w:div w:id="288055356">
          <w:marLeft w:val="0"/>
          <w:marRight w:val="0"/>
          <w:marTop w:val="0"/>
          <w:marBottom w:val="0"/>
          <w:divBdr>
            <w:top w:val="none" w:sz="0" w:space="0" w:color="auto"/>
            <w:left w:val="none" w:sz="0" w:space="0" w:color="auto"/>
            <w:bottom w:val="none" w:sz="0" w:space="0" w:color="auto"/>
            <w:right w:val="none" w:sz="0" w:space="0" w:color="auto"/>
          </w:divBdr>
        </w:div>
        <w:div w:id="142938931">
          <w:marLeft w:val="0"/>
          <w:marRight w:val="0"/>
          <w:marTop w:val="0"/>
          <w:marBottom w:val="0"/>
          <w:divBdr>
            <w:top w:val="none" w:sz="0" w:space="0" w:color="auto"/>
            <w:left w:val="none" w:sz="0" w:space="0" w:color="auto"/>
            <w:bottom w:val="none" w:sz="0" w:space="0" w:color="auto"/>
            <w:right w:val="none" w:sz="0" w:space="0" w:color="auto"/>
          </w:divBdr>
        </w:div>
        <w:div w:id="661735286">
          <w:marLeft w:val="0"/>
          <w:marRight w:val="0"/>
          <w:marTop w:val="0"/>
          <w:marBottom w:val="0"/>
          <w:divBdr>
            <w:top w:val="none" w:sz="0" w:space="0" w:color="auto"/>
            <w:left w:val="none" w:sz="0" w:space="0" w:color="auto"/>
            <w:bottom w:val="none" w:sz="0" w:space="0" w:color="auto"/>
            <w:right w:val="none" w:sz="0" w:space="0" w:color="auto"/>
          </w:divBdr>
        </w:div>
        <w:div w:id="168758463">
          <w:marLeft w:val="0"/>
          <w:marRight w:val="0"/>
          <w:marTop w:val="0"/>
          <w:marBottom w:val="0"/>
          <w:divBdr>
            <w:top w:val="none" w:sz="0" w:space="0" w:color="auto"/>
            <w:left w:val="none" w:sz="0" w:space="0" w:color="auto"/>
            <w:bottom w:val="none" w:sz="0" w:space="0" w:color="auto"/>
            <w:right w:val="none" w:sz="0" w:space="0" w:color="auto"/>
          </w:divBdr>
        </w:div>
        <w:div w:id="2056585843">
          <w:marLeft w:val="0"/>
          <w:marRight w:val="0"/>
          <w:marTop w:val="0"/>
          <w:marBottom w:val="0"/>
          <w:divBdr>
            <w:top w:val="none" w:sz="0" w:space="0" w:color="auto"/>
            <w:left w:val="none" w:sz="0" w:space="0" w:color="auto"/>
            <w:bottom w:val="none" w:sz="0" w:space="0" w:color="auto"/>
            <w:right w:val="none" w:sz="0" w:space="0" w:color="auto"/>
          </w:divBdr>
        </w:div>
        <w:div w:id="40328123">
          <w:marLeft w:val="0"/>
          <w:marRight w:val="0"/>
          <w:marTop w:val="0"/>
          <w:marBottom w:val="0"/>
          <w:divBdr>
            <w:top w:val="none" w:sz="0" w:space="0" w:color="auto"/>
            <w:left w:val="none" w:sz="0" w:space="0" w:color="auto"/>
            <w:bottom w:val="none" w:sz="0" w:space="0" w:color="auto"/>
            <w:right w:val="none" w:sz="0" w:space="0" w:color="auto"/>
          </w:divBdr>
        </w:div>
        <w:div w:id="912473724">
          <w:marLeft w:val="0"/>
          <w:marRight w:val="0"/>
          <w:marTop w:val="0"/>
          <w:marBottom w:val="0"/>
          <w:divBdr>
            <w:top w:val="none" w:sz="0" w:space="0" w:color="auto"/>
            <w:left w:val="none" w:sz="0" w:space="0" w:color="auto"/>
            <w:bottom w:val="none" w:sz="0" w:space="0" w:color="auto"/>
            <w:right w:val="none" w:sz="0" w:space="0" w:color="auto"/>
          </w:divBdr>
        </w:div>
        <w:div w:id="1078862523">
          <w:marLeft w:val="0"/>
          <w:marRight w:val="0"/>
          <w:marTop w:val="0"/>
          <w:marBottom w:val="0"/>
          <w:divBdr>
            <w:top w:val="none" w:sz="0" w:space="0" w:color="auto"/>
            <w:left w:val="none" w:sz="0" w:space="0" w:color="auto"/>
            <w:bottom w:val="none" w:sz="0" w:space="0" w:color="auto"/>
            <w:right w:val="none" w:sz="0" w:space="0" w:color="auto"/>
          </w:divBdr>
        </w:div>
        <w:div w:id="2006517121">
          <w:marLeft w:val="0"/>
          <w:marRight w:val="0"/>
          <w:marTop w:val="0"/>
          <w:marBottom w:val="0"/>
          <w:divBdr>
            <w:top w:val="none" w:sz="0" w:space="0" w:color="auto"/>
            <w:left w:val="none" w:sz="0" w:space="0" w:color="auto"/>
            <w:bottom w:val="none" w:sz="0" w:space="0" w:color="auto"/>
            <w:right w:val="none" w:sz="0" w:space="0" w:color="auto"/>
          </w:divBdr>
        </w:div>
        <w:div w:id="582106882">
          <w:marLeft w:val="0"/>
          <w:marRight w:val="0"/>
          <w:marTop w:val="0"/>
          <w:marBottom w:val="0"/>
          <w:divBdr>
            <w:top w:val="none" w:sz="0" w:space="0" w:color="auto"/>
            <w:left w:val="none" w:sz="0" w:space="0" w:color="auto"/>
            <w:bottom w:val="none" w:sz="0" w:space="0" w:color="auto"/>
            <w:right w:val="none" w:sz="0" w:space="0" w:color="auto"/>
          </w:divBdr>
        </w:div>
        <w:div w:id="1476335863">
          <w:marLeft w:val="0"/>
          <w:marRight w:val="0"/>
          <w:marTop w:val="0"/>
          <w:marBottom w:val="0"/>
          <w:divBdr>
            <w:top w:val="none" w:sz="0" w:space="0" w:color="auto"/>
            <w:left w:val="none" w:sz="0" w:space="0" w:color="auto"/>
            <w:bottom w:val="none" w:sz="0" w:space="0" w:color="auto"/>
            <w:right w:val="none" w:sz="0" w:space="0" w:color="auto"/>
          </w:divBdr>
        </w:div>
        <w:div w:id="1039354140">
          <w:marLeft w:val="0"/>
          <w:marRight w:val="0"/>
          <w:marTop w:val="0"/>
          <w:marBottom w:val="0"/>
          <w:divBdr>
            <w:top w:val="none" w:sz="0" w:space="0" w:color="auto"/>
            <w:left w:val="none" w:sz="0" w:space="0" w:color="auto"/>
            <w:bottom w:val="none" w:sz="0" w:space="0" w:color="auto"/>
            <w:right w:val="none" w:sz="0" w:space="0" w:color="auto"/>
          </w:divBdr>
        </w:div>
        <w:div w:id="1257253279">
          <w:marLeft w:val="0"/>
          <w:marRight w:val="0"/>
          <w:marTop w:val="0"/>
          <w:marBottom w:val="0"/>
          <w:divBdr>
            <w:top w:val="none" w:sz="0" w:space="0" w:color="auto"/>
            <w:left w:val="none" w:sz="0" w:space="0" w:color="auto"/>
            <w:bottom w:val="none" w:sz="0" w:space="0" w:color="auto"/>
            <w:right w:val="none" w:sz="0" w:space="0" w:color="auto"/>
          </w:divBdr>
        </w:div>
        <w:div w:id="1529877316">
          <w:marLeft w:val="0"/>
          <w:marRight w:val="0"/>
          <w:marTop w:val="0"/>
          <w:marBottom w:val="0"/>
          <w:divBdr>
            <w:top w:val="none" w:sz="0" w:space="0" w:color="auto"/>
            <w:left w:val="none" w:sz="0" w:space="0" w:color="auto"/>
            <w:bottom w:val="none" w:sz="0" w:space="0" w:color="auto"/>
            <w:right w:val="none" w:sz="0" w:space="0" w:color="auto"/>
          </w:divBdr>
        </w:div>
        <w:div w:id="320087253">
          <w:marLeft w:val="0"/>
          <w:marRight w:val="0"/>
          <w:marTop w:val="0"/>
          <w:marBottom w:val="0"/>
          <w:divBdr>
            <w:top w:val="none" w:sz="0" w:space="0" w:color="auto"/>
            <w:left w:val="none" w:sz="0" w:space="0" w:color="auto"/>
            <w:bottom w:val="none" w:sz="0" w:space="0" w:color="auto"/>
            <w:right w:val="none" w:sz="0" w:space="0" w:color="auto"/>
          </w:divBdr>
        </w:div>
        <w:div w:id="193080982">
          <w:marLeft w:val="0"/>
          <w:marRight w:val="0"/>
          <w:marTop w:val="0"/>
          <w:marBottom w:val="0"/>
          <w:divBdr>
            <w:top w:val="none" w:sz="0" w:space="0" w:color="auto"/>
            <w:left w:val="none" w:sz="0" w:space="0" w:color="auto"/>
            <w:bottom w:val="none" w:sz="0" w:space="0" w:color="auto"/>
            <w:right w:val="none" w:sz="0" w:space="0" w:color="auto"/>
          </w:divBdr>
        </w:div>
        <w:div w:id="1284338649">
          <w:marLeft w:val="0"/>
          <w:marRight w:val="0"/>
          <w:marTop w:val="0"/>
          <w:marBottom w:val="0"/>
          <w:divBdr>
            <w:top w:val="none" w:sz="0" w:space="0" w:color="auto"/>
            <w:left w:val="none" w:sz="0" w:space="0" w:color="auto"/>
            <w:bottom w:val="none" w:sz="0" w:space="0" w:color="auto"/>
            <w:right w:val="none" w:sz="0" w:space="0" w:color="auto"/>
          </w:divBdr>
        </w:div>
        <w:div w:id="1768189739">
          <w:marLeft w:val="0"/>
          <w:marRight w:val="0"/>
          <w:marTop w:val="0"/>
          <w:marBottom w:val="0"/>
          <w:divBdr>
            <w:top w:val="none" w:sz="0" w:space="0" w:color="auto"/>
            <w:left w:val="none" w:sz="0" w:space="0" w:color="auto"/>
            <w:bottom w:val="none" w:sz="0" w:space="0" w:color="auto"/>
            <w:right w:val="none" w:sz="0" w:space="0" w:color="auto"/>
          </w:divBdr>
        </w:div>
        <w:div w:id="1598058107">
          <w:marLeft w:val="0"/>
          <w:marRight w:val="0"/>
          <w:marTop w:val="0"/>
          <w:marBottom w:val="0"/>
          <w:divBdr>
            <w:top w:val="none" w:sz="0" w:space="0" w:color="auto"/>
            <w:left w:val="none" w:sz="0" w:space="0" w:color="auto"/>
            <w:bottom w:val="none" w:sz="0" w:space="0" w:color="auto"/>
            <w:right w:val="none" w:sz="0" w:space="0" w:color="auto"/>
          </w:divBdr>
        </w:div>
        <w:div w:id="203256706">
          <w:marLeft w:val="0"/>
          <w:marRight w:val="0"/>
          <w:marTop w:val="0"/>
          <w:marBottom w:val="0"/>
          <w:divBdr>
            <w:top w:val="none" w:sz="0" w:space="0" w:color="auto"/>
            <w:left w:val="none" w:sz="0" w:space="0" w:color="auto"/>
            <w:bottom w:val="none" w:sz="0" w:space="0" w:color="auto"/>
            <w:right w:val="none" w:sz="0" w:space="0" w:color="auto"/>
          </w:divBdr>
        </w:div>
        <w:div w:id="1528326022">
          <w:marLeft w:val="0"/>
          <w:marRight w:val="0"/>
          <w:marTop w:val="0"/>
          <w:marBottom w:val="0"/>
          <w:divBdr>
            <w:top w:val="none" w:sz="0" w:space="0" w:color="auto"/>
            <w:left w:val="none" w:sz="0" w:space="0" w:color="auto"/>
            <w:bottom w:val="none" w:sz="0" w:space="0" w:color="auto"/>
            <w:right w:val="none" w:sz="0" w:space="0" w:color="auto"/>
          </w:divBdr>
        </w:div>
        <w:div w:id="394551112">
          <w:marLeft w:val="0"/>
          <w:marRight w:val="0"/>
          <w:marTop w:val="0"/>
          <w:marBottom w:val="0"/>
          <w:divBdr>
            <w:top w:val="none" w:sz="0" w:space="0" w:color="auto"/>
            <w:left w:val="none" w:sz="0" w:space="0" w:color="auto"/>
            <w:bottom w:val="none" w:sz="0" w:space="0" w:color="auto"/>
            <w:right w:val="none" w:sz="0" w:space="0" w:color="auto"/>
          </w:divBdr>
        </w:div>
        <w:div w:id="1899392470">
          <w:marLeft w:val="0"/>
          <w:marRight w:val="0"/>
          <w:marTop w:val="0"/>
          <w:marBottom w:val="0"/>
          <w:divBdr>
            <w:top w:val="none" w:sz="0" w:space="0" w:color="auto"/>
            <w:left w:val="none" w:sz="0" w:space="0" w:color="auto"/>
            <w:bottom w:val="none" w:sz="0" w:space="0" w:color="auto"/>
            <w:right w:val="none" w:sz="0" w:space="0" w:color="auto"/>
          </w:divBdr>
        </w:div>
        <w:div w:id="1487235290">
          <w:marLeft w:val="0"/>
          <w:marRight w:val="0"/>
          <w:marTop w:val="0"/>
          <w:marBottom w:val="0"/>
          <w:divBdr>
            <w:top w:val="none" w:sz="0" w:space="0" w:color="auto"/>
            <w:left w:val="none" w:sz="0" w:space="0" w:color="auto"/>
            <w:bottom w:val="none" w:sz="0" w:space="0" w:color="auto"/>
            <w:right w:val="none" w:sz="0" w:space="0" w:color="auto"/>
          </w:divBdr>
        </w:div>
        <w:div w:id="693505360">
          <w:marLeft w:val="0"/>
          <w:marRight w:val="0"/>
          <w:marTop w:val="0"/>
          <w:marBottom w:val="0"/>
          <w:divBdr>
            <w:top w:val="none" w:sz="0" w:space="0" w:color="auto"/>
            <w:left w:val="none" w:sz="0" w:space="0" w:color="auto"/>
            <w:bottom w:val="none" w:sz="0" w:space="0" w:color="auto"/>
            <w:right w:val="none" w:sz="0" w:space="0" w:color="auto"/>
          </w:divBdr>
        </w:div>
        <w:div w:id="1405760993">
          <w:marLeft w:val="0"/>
          <w:marRight w:val="0"/>
          <w:marTop w:val="0"/>
          <w:marBottom w:val="0"/>
          <w:divBdr>
            <w:top w:val="none" w:sz="0" w:space="0" w:color="auto"/>
            <w:left w:val="none" w:sz="0" w:space="0" w:color="auto"/>
            <w:bottom w:val="none" w:sz="0" w:space="0" w:color="auto"/>
            <w:right w:val="none" w:sz="0" w:space="0" w:color="auto"/>
          </w:divBdr>
        </w:div>
        <w:div w:id="390883297">
          <w:marLeft w:val="0"/>
          <w:marRight w:val="0"/>
          <w:marTop w:val="0"/>
          <w:marBottom w:val="0"/>
          <w:divBdr>
            <w:top w:val="none" w:sz="0" w:space="0" w:color="auto"/>
            <w:left w:val="none" w:sz="0" w:space="0" w:color="auto"/>
            <w:bottom w:val="none" w:sz="0" w:space="0" w:color="auto"/>
            <w:right w:val="none" w:sz="0" w:space="0" w:color="auto"/>
          </w:divBdr>
        </w:div>
      </w:divsChild>
    </w:div>
    <w:div w:id="1501001868">
      <w:bodyDiv w:val="1"/>
      <w:marLeft w:val="0"/>
      <w:marRight w:val="0"/>
      <w:marTop w:val="0"/>
      <w:marBottom w:val="0"/>
      <w:divBdr>
        <w:top w:val="none" w:sz="0" w:space="0" w:color="auto"/>
        <w:left w:val="none" w:sz="0" w:space="0" w:color="auto"/>
        <w:bottom w:val="none" w:sz="0" w:space="0" w:color="auto"/>
        <w:right w:val="none" w:sz="0" w:space="0" w:color="auto"/>
      </w:divBdr>
      <w:divsChild>
        <w:div w:id="256528184">
          <w:marLeft w:val="0"/>
          <w:marRight w:val="0"/>
          <w:marTop w:val="0"/>
          <w:marBottom w:val="0"/>
          <w:divBdr>
            <w:top w:val="none" w:sz="0" w:space="0" w:color="auto"/>
            <w:left w:val="none" w:sz="0" w:space="0" w:color="auto"/>
            <w:bottom w:val="none" w:sz="0" w:space="0" w:color="auto"/>
            <w:right w:val="none" w:sz="0" w:space="0" w:color="auto"/>
          </w:divBdr>
        </w:div>
        <w:div w:id="979922213">
          <w:marLeft w:val="0"/>
          <w:marRight w:val="0"/>
          <w:marTop w:val="0"/>
          <w:marBottom w:val="0"/>
          <w:divBdr>
            <w:top w:val="none" w:sz="0" w:space="0" w:color="auto"/>
            <w:left w:val="none" w:sz="0" w:space="0" w:color="auto"/>
            <w:bottom w:val="none" w:sz="0" w:space="0" w:color="auto"/>
            <w:right w:val="none" w:sz="0" w:space="0" w:color="auto"/>
          </w:divBdr>
        </w:div>
        <w:div w:id="1108815444">
          <w:marLeft w:val="0"/>
          <w:marRight w:val="0"/>
          <w:marTop w:val="0"/>
          <w:marBottom w:val="0"/>
          <w:divBdr>
            <w:top w:val="none" w:sz="0" w:space="0" w:color="auto"/>
            <w:left w:val="none" w:sz="0" w:space="0" w:color="auto"/>
            <w:bottom w:val="none" w:sz="0" w:space="0" w:color="auto"/>
            <w:right w:val="none" w:sz="0" w:space="0" w:color="auto"/>
          </w:divBdr>
        </w:div>
        <w:div w:id="1866480874">
          <w:marLeft w:val="0"/>
          <w:marRight w:val="0"/>
          <w:marTop w:val="0"/>
          <w:marBottom w:val="0"/>
          <w:divBdr>
            <w:top w:val="none" w:sz="0" w:space="0" w:color="auto"/>
            <w:left w:val="none" w:sz="0" w:space="0" w:color="auto"/>
            <w:bottom w:val="none" w:sz="0" w:space="0" w:color="auto"/>
            <w:right w:val="none" w:sz="0" w:space="0" w:color="auto"/>
          </w:divBdr>
        </w:div>
        <w:div w:id="1823109781">
          <w:marLeft w:val="0"/>
          <w:marRight w:val="0"/>
          <w:marTop w:val="0"/>
          <w:marBottom w:val="0"/>
          <w:divBdr>
            <w:top w:val="none" w:sz="0" w:space="0" w:color="auto"/>
            <w:left w:val="none" w:sz="0" w:space="0" w:color="auto"/>
            <w:bottom w:val="none" w:sz="0" w:space="0" w:color="auto"/>
            <w:right w:val="none" w:sz="0" w:space="0" w:color="auto"/>
          </w:divBdr>
        </w:div>
        <w:div w:id="1542284336">
          <w:marLeft w:val="0"/>
          <w:marRight w:val="0"/>
          <w:marTop w:val="0"/>
          <w:marBottom w:val="0"/>
          <w:divBdr>
            <w:top w:val="none" w:sz="0" w:space="0" w:color="auto"/>
            <w:left w:val="none" w:sz="0" w:space="0" w:color="auto"/>
            <w:bottom w:val="none" w:sz="0" w:space="0" w:color="auto"/>
            <w:right w:val="none" w:sz="0" w:space="0" w:color="auto"/>
          </w:divBdr>
        </w:div>
        <w:div w:id="420956616">
          <w:marLeft w:val="0"/>
          <w:marRight w:val="0"/>
          <w:marTop w:val="0"/>
          <w:marBottom w:val="0"/>
          <w:divBdr>
            <w:top w:val="none" w:sz="0" w:space="0" w:color="auto"/>
            <w:left w:val="none" w:sz="0" w:space="0" w:color="auto"/>
            <w:bottom w:val="none" w:sz="0" w:space="0" w:color="auto"/>
            <w:right w:val="none" w:sz="0" w:space="0" w:color="auto"/>
          </w:divBdr>
        </w:div>
        <w:div w:id="415443875">
          <w:marLeft w:val="0"/>
          <w:marRight w:val="0"/>
          <w:marTop w:val="0"/>
          <w:marBottom w:val="0"/>
          <w:divBdr>
            <w:top w:val="none" w:sz="0" w:space="0" w:color="auto"/>
            <w:left w:val="none" w:sz="0" w:space="0" w:color="auto"/>
            <w:bottom w:val="none" w:sz="0" w:space="0" w:color="auto"/>
            <w:right w:val="none" w:sz="0" w:space="0" w:color="auto"/>
          </w:divBdr>
        </w:div>
        <w:div w:id="591623301">
          <w:marLeft w:val="0"/>
          <w:marRight w:val="0"/>
          <w:marTop w:val="0"/>
          <w:marBottom w:val="0"/>
          <w:divBdr>
            <w:top w:val="none" w:sz="0" w:space="0" w:color="auto"/>
            <w:left w:val="none" w:sz="0" w:space="0" w:color="auto"/>
            <w:bottom w:val="none" w:sz="0" w:space="0" w:color="auto"/>
            <w:right w:val="none" w:sz="0" w:space="0" w:color="auto"/>
          </w:divBdr>
        </w:div>
        <w:div w:id="952521673">
          <w:marLeft w:val="0"/>
          <w:marRight w:val="0"/>
          <w:marTop w:val="0"/>
          <w:marBottom w:val="0"/>
          <w:divBdr>
            <w:top w:val="none" w:sz="0" w:space="0" w:color="auto"/>
            <w:left w:val="none" w:sz="0" w:space="0" w:color="auto"/>
            <w:bottom w:val="none" w:sz="0" w:space="0" w:color="auto"/>
            <w:right w:val="none" w:sz="0" w:space="0" w:color="auto"/>
          </w:divBdr>
        </w:div>
        <w:div w:id="1439183538">
          <w:marLeft w:val="0"/>
          <w:marRight w:val="0"/>
          <w:marTop w:val="0"/>
          <w:marBottom w:val="0"/>
          <w:divBdr>
            <w:top w:val="none" w:sz="0" w:space="0" w:color="auto"/>
            <w:left w:val="none" w:sz="0" w:space="0" w:color="auto"/>
            <w:bottom w:val="none" w:sz="0" w:space="0" w:color="auto"/>
            <w:right w:val="none" w:sz="0" w:space="0" w:color="auto"/>
          </w:divBdr>
        </w:div>
        <w:div w:id="1956322403">
          <w:marLeft w:val="0"/>
          <w:marRight w:val="0"/>
          <w:marTop w:val="0"/>
          <w:marBottom w:val="0"/>
          <w:divBdr>
            <w:top w:val="none" w:sz="0" w:space="0" w:color="auto"/>
            <w:left w:val="none" w:sz="0" w:space="0" w:color="auto"/>
            <w:bottom w:val="none" w:sz="0" w:space="0" w:color="auto"/>
            <w:right w:val="none" w:sz="0" w:space="0" w:color="auto"/>
          </w:divBdr>
        </w:div>
        <w:div w:id="277949536">
          <w:marLeft w:val="0"/>
          <w:marRight w:val="0"/>
          <w:marTop w:val="0"/>
          <w:marBottom w:val="0"/>
          <w:divBdr>
            <w:top w:val="none" w:sz="0" w:space="0" w:color="auto"/>
            <w:left w:val="none" w:sz="0" w:space="0" w:color="auto"/>
            <w:bottom w:val="none" w:sz="0" w:space="0" w:color="auto"/>
            <w:right w:val="none" w:sz="0" w:space="0" w:color="auto"/>
          </w:divBdr>
        </w:div>
        <w:div w:id="1762942973">
          <w:marLeft w:val="0"/>
          <w:marRight w:val="0"/>
          <w:marTop w:val="0"/>
          <w:marBottom w:val="0"/>
          <w:divBdr>
            <w:top w:val="none" w:sz="0" w:space="0" w:color="auto"/>
            <w:left w:val="none" w:sz="0" w:space="0" w:color="auto"/>
            <w:bottom w:val="none" w:sz="0" w:space="0" w:color="auto"/>
            <w:right w:val="none" w:sz="0" w:space="0" w:color="auto"/>
          </w:divBdr>
        </w:div>
        <w:div w:id="526531593">
          <w:marLeft w:val="0"/>
          <w:marRight w:val="0"/>
          <w:marTop w:val="0"/>
          <w:marBottom w:val="0"/>
          <w:divBdr>
            <w:top w:val="none" w:sz="0" w:space="0" w:color="auto"/>
            <w:left w:val="none" w:sz="0" w:space="0" w:color="auto"/>
            <w:bottom w:val="none" w:sz="0" w:space="0" w:color="auto"/>
            <w:right w:val="none" w:sz="0" w:space="0" w:color="auto"/>
          </w:divBdr>
        </w:div>
        <w:div w:id="1373919342">
          <w:marLeft w:val="0"/>
          <w:marRight w:val="0"/>
          <w:marTop w:val="0"/>
          <w:marBottom w:val="0"/>
          <w:divBdr>
            <w:top w:val="none" w:sz="0" w:space="0" w:color="auto"/>
            <w:left w:val="none" w:sz="0" w:space="0" w:color="auto"/>
            <w:bottom w:val="none" w:sz="0" w:space="0" w:color="auto"/>
            <w:right w:val="none" w:sz="0" w:space="0" w:color="auto"/>
          </w:divBdr>
        </w:div>
        <w:div w:id="346102786">
          <w:marLeft w:val="0"/>
          <w:marRight w:val="0"/>
          <w:marTop w:val="0"/>
          <w:marBottom w:val="0"/>
          <w:divBdr>
            <w:top w:val="none" w:sz="0" w:space="0" w:color="auto"/>
            <w:left w:val="none" w:sz="0" w:space="0" w:color="auto"/>
            <w:bottom w:val="none" w:sz="0" w:space="0" w:color="auto"/>
            <w:right w:val="none" w:sz="0" w:space="0" w:color="auto"/>
          </w:divBdr>
        </w:div>
        <w:div w:id="235751396">
          <w:marLeft w:val="0"/>
          <w:marRight w:val="0"/>
          <w:marTop w:val="0"/>
          <w:marBottom w:val="0"/>
          <w:divBdr>
            <w:top w:val="none" w:sz="0" w:space="0" w:color="auto"/>
            <w:left w:val="none" w:sz="0" w:space="0" w:color="auto"/>
            <w:bottom w:val="none" w:sz="0" w:space="0" w:color="auto"/>
            <w:right w:val="none" w:sz="0" w:space="0" w:color="auto"/>
          </w:divBdr>
        </w:div>
        <w:div w:id="635185663">
          <w:marLeft w:val="0"/>
          <w:marRight w:val="0"/>
          <w:marTop w:val="0"/>
          <w:marBottom w:val="0"/>
          <w:divBdr>
            <w:top w:val="none" w:sz="0" w:space="0" w:color="auto"/>
            <w:left w:val="none" w:sz="0" w:space="0" w:color="auto"/>
            <w:bottom w:val="none" w:sz="0" w:space="0" w:color="auto"/>
            <w:right w:val="none" w:sz="0" w:space="0" w:color="auto"/>
          </w:divBdr>
        </w:div>
        <w:div w:id="648023608">
          <w:marLeft w:val="0"/>
          <w:marRight w:val="0"/>
          <w:marTop w:val="0"/>
          <w:marBottom w:val="0"/>
          <w:divBdr>
            <w:top w:val="none" w:sz="0" w:space="0" w:color="auto"/>
            <w:left w:val="none" w:sz="0" w:space="0" w:color="auto"/>
            <w:bottom w:val="none" w:sz="0" w:space="0" w:color="auto"/>
            <w:right w:val="none" w:sz="0" w:space="0" w:color="auto"/>
          </w:divBdr>
        </w:div>
        <w:div w:id="178128503">
          <w:marLeft w:val="0"/>
          <w:marRight w:val="0"/>
          <w:marTop w:val="0"/>
          <w:marBottom w:val="0"/>
          <w:divBdr>
            <w:top w:val="none" w:sz="0" w:space="0" w:color="auto"/>
            <w:left w:val="none" w:sz="0" w:space="0" w:color="auto"/>
            <w:bottom w:val="none" w:sz="0" w:space="0" w:color="auto"/>
            <w:right w:val="none" w:sz="0" w:space="0" w:color="auto"/>
          </w:divBdr>
        </w:div>
        <w:div w:id="426586247">
          <w:marLeft w:val="0"/>
          <w:marRight w:val="0"/>
          <w:marTop w:val="0"/>
          <w:marBottom w:val="0"/>
          <w:divBdr>
            <w:top w:val="none" w:sz="0" w:space="0" w:color="auto"/>
            <w:left w:val="none" w:sz="0" w:space="0" w:color="auto"/>
            <w:bottom w:val="none" w:sz="0" w:space="0" w:color="auto"/>
            <w:right w:val="none" w:sz="0" w:space="0" w:color="auto"/>
          </w:divBdr>
        </w:div>
        <w:div w:id="1398481930">
          <w:marLeft w:val="0"/>
          <w:marRight w:val="0"/>
          <w:marTop w:val="0"/>
          <w:marBottom w:val="0"/>
          <w:divBdr>
            <w:top w:val="none" w:sz="0" w:space="0" w:color="auto"/>
            <w:left w:val="none" w:sz="0" w:space="0" w:color="auto"/>
            <w:bottom w:val="none" w:sz="0" w:space="0" w:color="auto"/>
            <w:right w:val="none" w:sz="0" w:space="0" w:color="auto"/>
          </w:divBdr>
        </w:div>
        <w:div w:id="800919624">
          <w:marLeft w:val="0"/>
          <w:marRight w:val="0"/>
          <w:marTop w:val="0"/>
          <w:marBottom w:val="0"/>
          <w:divBdr>
            <w:top w:val="none" w:sz="0" w:space="0" w:color="auto"/>
            <w:left w:val="none" w:sz="0" w:space="0" w:color="auto"/>
            <w:bottom w:val="none" w:sz="0" w:space="0" w:color="auto"/>
            <w:right w:val="none" w:sz="0" w:space="0" w:color="auto"/>
          </w:divBdr>
        </w:div>
        <w:div w:id="663317492">
          <w:marLeft w:val="0"/>
          <w:marRight w:val="0"/>
          <w:marTop w:val="0"/>
          <w:marBottom w:val="0"/>
          <w:divBdr>
            <w:top w:val="none" w:sz="0" w:space="0" w:color="auto"/>
            <w:left w:val="none" w:sz="0" w:space="0" w:color="auto"/>
            <w:bottom w:val="none" w:sz="0" w:space="0" w:color="auto"/>
            <w:right w:val="none" w:sz="0" w:space="0" w:color="auto"/>
          </w:divBdr>
        </w:div>
        <w:div w:id="656037609">
          <w:marLeft w:val="0"/>
          <w:marRight w:val="0"/>
          <w:marTop w:val="0"/>
          <w:marBottom w:val="0"/>
          <w:divBdr>
            <w:top w:val="none" w:sz="0" w:space="0" w:color="auto"/>
            <w:left w:val="none" w:sz="0" w:space="0" w:color="auto"/>
            <w:bottom w:val="none" w:sz="0" w:space="0" w:color="auto"/>
            <w:right w:val="none" w:sz="0" w:space="0" w:color="auto"/>
          </w:divBdr>
        </w:div>
        <w:div w:id="972252189">
          <w:marLeft w:val="0"/>
          <w:marRight w:val="0"/>
          <w:marTop w:val="0"/>
          <w:marBottom w:val="0"/>
          <w:divBdr>
            <w:top w:val="none" w:sz="0" w:space="0" w:color="auto"/>
            <w:left w:val="none" w:sz="0" w:space="0" w:color="auto"/>
            <w:bottom w:val="none" w:sz="0" w:space="0" w:color="auto"/>
            <w:right w:val="none" w:sz="0" w:space="0" w:color="auto"/>
          </w:divBdr>
        </w:div>
      </w:divsChild>
    </w:div>
    <w:div w:id="1591889006">
      <w:bodyDiv w:val="1"/>
      <w:marLeft w:val="0"/>
      <w:marRight w:val="0"/>
      <w:marTop w:val="0"/>
      <w:marBottom w:val="0"/>
      <w:divBdr>
        <w:top w:val="none" w:sz="0" w:space="0" w:color="auto"/>
        <w:left w:val="none" w:sz="0" w:space="0" w:color="auto"/>
        <w:bottom w:val="none" w:sz="0" w:space="0" w:color="auto"/>
        <w:right w:val="none" w:sz="0" w:space="0" w:color="auto"/>
      </w:divBdr>
      <w:divsChild>
        <w:div w:id="597980743">
          <w:marLeft w:val="0"/>
          <w:marRight w:val="0"/>
          <w:marTop w:val="0"/>
          <w:marBottom w:val="0"/>
          <w:divBdr>
            <w:top w:val="none" w:sz="0" w:space="0" w:color="auto"/>
            <w:left w:val="none" w:sz="0" w:space="0" w:color="auto"/>
            <w:bottom w:val="none" w:sz="0" w:space="0" w:color="auto"/>
            <w:right w:val="none" w:sz="0" w:space="0" w:color="auto"/>
          </w:divBdr>
        </w:div>
        <w:div w:id="514002558">
          <w:marLeft w:val="0"/>
          <w:marRight w:val="0"/>
          <w:marTop w:val="0"/>
          <w:marBottom w:val="0"/>
          <w:divBdr>
            <w:top w:val="none" w:sz="0" w:space="0" w:color="auto"/>
            <w:left w:val="none" w:sz="0" w:space="0" w:color="auto"/>
            <w:bottom w:val="none" w:sz="0" w:space="0" w:color="auto"/>
            <w:right w:val="none" w:sz="0" w:space="0" w:color="auto"/>
          </w:divBdr>
        </w:div>
        <w:div w:id="352271900">
          <w:marLeft w:val="0"/>
          <w:marRight w:val="0"/>
          <w:marTop w:val="0"/>
          <w:marBottom w:val="0"/>
          <w:divBdr>
            <w:top w:val="none" w:sz="0" w:space="0" w:color="auto"/>
            <w:left w:val="none" w:sz="0" w:space="0" w:color="auto"/>
            <w:bottom w:val="none" w:sz="0" w:space="0" w:color="auto"/>
            <w:right w:val="none" w:sz="0" w:space="0" w:color="auto"/>
          </w:divBdr>
        </w:div>
        <w:div w:id="1245531647">
          <w:marLeft w:val="0"/>
          <w:marRight w:val="0"/>
          <w:marTop w:val="0"/>
          <w:marBottom w:val="0"/>
          <w:divBdr>
            <w:top w:val="none" w:sz="0" w:space="0" w:color="auto"/>
            <w:left w:val="none" w:sz="0" w:space="0" w:color="auto"/>
            <w:bottom w:val="none" w:sz="0" w:space="0" w:color="auto"/>
            <w:right w:val="none" w:sz="0" w:space="0" w:color="auto"/>
          </w:divBdr>
        </w:div>
        <w:div w:id="1099985466">
          <w:marLeft w:val="0"/>
          <w:marRight w:val="0"/>
          <w:marTop w:val="0"/>
          <w:marBottom w:val="0"/>
          <w:divBdr>
            <w:top w:val="none" w:sz="0" w:space="0" w:color="auto"/>
            <w:left w:val="none" w:sz="0" w:space="0" w:color="auto"/>
            <w:bottom w:val="none" w:sz="0" w:space="0" w:color="auto"/>
            <w:right w:val="none" w:sz="0" w:space="0" w:color="auto"/>
          </w:divBdr>
        </w:div>
        <w:div w:id="881865822">
          <w:marLeft w:val="0"/>
          <w:marRight w:val="0"/>
          <w:marTop w:val="0"/>
          <w:marBottom w:val="0"/>
          <w:divBdr>
            <w:top w:val="none" w:sz="0" w:space="0" w:color="auto"/>
            <w:left w:val="none" w:sz="0" w:space="0" w:color="auto"/>
            <w:bottom w:val="none" w:sz="0" w:space="0" w:color="auto"/>
            <w:right w:val="none" w:sz="0" w:space="0" w:color="auto"/>
          </w:divBdr>
        </w:div>
        <w:div w:id="146628322">
          <w:marLeft w:val="0"/>
          <w:marRight w:val="0"/>
          <w:marTop w:val="0"/>
          <w:marBottom w:val="0"/>
          <w:divBdr>
            <w:top w:val="none" w:sz="0" w:space="0" w:color="auto"/>
            <w:left w:val="none" w:sz="0" w:space="0" w:color="auto"/>
            <w:bottom w:val="none" w:sz="0" w:space="0" w:color="auto"/>
            <w:right w:val="none" w:sz="0" w:space="0" w:color="auto"/>
          </w:divBdr>
        </w:div>
        <w:div w:id="361908600">
          <w:marLeft w:val="0"/>
          <w:marRight w:val="0"/>
          <w:marTop w:val="0"/>
          <w:marBottom w:val="0"/>
          <w:divBdr>
            <w:top w:val="none" w:sz="0" w:space="0" w:color="auto"/>
            <w:left w:val="none" w:sz="0" w:space="0" w:color="auto"/>
            <w:bottom w:val="none" w:sz="0" w:space="0" w:color="auto"/>
            <w:right w:val="none" w:sz="0" w:space="0" w:color="auto"/>
          </w:divBdr>
        </w:div>
        <w:div w:id="372266746">
          <w:marLeft w:val="0"/>
          <w:marRight w:val="0"/>
          <w:marTop w:val="0"/>
          <w:marBottom w:val="0"/>
          <w:divBdr>
            <w:top w:val="none" w:sz="0" w:space="0" w:color="auto"/>
            <w:left w:val="none" w:sz="0" w:space="0" w:color="auto"/>
            <w:bottom w:val="none" w:sz="0" w:space="0" w:color="auto"/>
            <w:right w:val="none" w:sz="0" w:space="0" w:color="auto"/>
          </w:divBdr>
        </w:div>
      </w:divsChild>
    </w:div>
    <w:div w:id="1614173340">
      <w:bodyDiv w:val="1"/>
      <w:marLeft w:val="0"/>
      <w:marRight w:val="0"/>
      <w:marTop w:val="0"/>
      <w:marBottom w:val="0"/>
      <w:divBdr>
        <w:top w:val="none" w:sz="0" w:space="0" w:color="auto"/>
        <w:left w:val="none" w:sz="0" w:space="0" w:color="auto"/>
        <w:bottom w:val="none" w:sz="0" w:space="0" w:color="auto"/>
        <w:right w:val="none" w:sz="0" w:space="0" w:color="auto"/>
      </w:divBdr>
      <w:divsChild>
        <w:div w:id="948852046">
          <w:marLeft w:val="0"/>
          <w:marRight w:val="0"/>
          <w:marTop w:val="0"/>
          <w:marBottom w:val="0"/>
          <w:divBdr>
            <w:top w:val="none" w:sz="0" w:space="0" w:color="auto"/>
            <w:left w:val="none" w:sz="0" w:space="0" w:color="auto"/>
            <w:bottom w:val="none" w:sz="0" w:space="0" w:color="auto"/>
            <w:right w:val="none" w:sz="0" w:space="0" w:color="auto"/>
          </w:divBdr>
        </w:div>
        <w:div w:id="625621119">
          <w:marLeft w:val="0"/>
          <w:marRight w:val="0"/>
          <w:marTop w:val="0"/>
          <w:marBottom w:val="0"/>
          <w:divBdr>
            <w:top w:val="none" w:sz="0" w:space="0" w:color="auto"/>
            <w:left w:val="none" w:sz="0" w:space="0" w:color="auto"/>
            <w:bottom w:val="none" w:sz="0" w:space="0" w:color="auto"/>
            <w:right w:val="none" w:sz="0" w:space="0" w:color="auto"/>
          </w:divBdr>
        </w:div>
        <w:div w:id="177500564">
          <w:marLeft w:val="0"/>
          <w:marRight w:val="0"/>
          <w:marTop w:val="0"/>
          <w:marBottom w:val="0"/>
          <w:divBdr>
            <w:top w:val="none" w:sz="0" w:space="0" w:color="auto"/>
            <w:left w:val="none" w:sz="0" w:space="0" w:color="auto"/>
            <w:bottom w:val="none" w:sz="0" w:space="0" w:color="auto"/>
            <w:right w:val="none" w:sz="0" w:space="0" w:color="auto"/>
          </w:divBdr>
        </w:div>
        <w:div w:id="1608386466">
          <w:marLeft w:val="0"/>
          <w:marRight w:val="0"/>
          <w:marTop w:val="0"/>
          <w:marBottom w:val="0"/>
          <w:divBdr>
            <w:top w:val="none" w:sz="0" w:space="0" w:color="auto"/>
            <w:left w:val="none" w:sz="0" w:space="0" w:color="auto"/>
            <w:bottom w:val="none" w:sz="0" w:space="0" w:color="auto"/>
            <w:right w:val="none" w:sz="0" w:space="0" w:color="auto"/>
          </w:divBdr>
        </w:div>
        <w:div w:id="1241983993">
          <w:marLeft w:val="0"/>
          <w:marRight w:val="0"/>
          <w:marTop w:val="0"/>
          <w:marBottom w:val="0"/>
          <w:divBdr>
            <w:top w:val="none" w:sz="0" w:space="0" w:color="auto"/>
            <w:left w:val="none" w:sz="0" w:space="0" w:color="auto"/>
            <w:bottom w:val="none" w:sz="0" w:space="0" w:color="auto"/>
            <w:right w:val="none" w:sz="0" w:space="0" w:color="auto"/>
          </w:divBdr>
        </w:div>
        <w:div w:id="1923054939">
          <w:marLeft w:val="0"/>
          <w:marRight w:val="0"/>
          <w:marTop w:val="0"/>
          <w:marBottom w:val="0"/>
          <w:divBdr>
            <w:top w:val="none" w:sz="0" w:space="0" w:color="auto"/>
            <w:left w:val="none" w:sz="0" w:space="0" w:color="auto"/>
            <w:bottom w:val="none" w:sz="0" w:space="0" w:color="auto"/>
            <w:right w:val="none" w:sz="0" w:space="0" w:color="auto"/>
          </w:divBdr>
        </w:div>
        <w:div w:id="1174224324">
          <w:marLeft w:val="0"/>
          <w:marRight w:val="0"/>
          <w:marTop w:val="0"/>
          <w:marBottom w:val="0"/>
          <w:divBdr>
            <w:top w:val="none" w:sz="0" w:space="0" w:color="auto"/>
            <w:left w:val="none" w:sz="0" w:space="0" w:color="auto"/>
            <w:bottom w:val="none" w:sz="0" w:space="0" w:color="auto"/>
            <w:right w:val="none" w:sz="0" w:space="0" w:color="auto"/>
          </w:divBdr>
        </w:div>
        <w:div w:id="481655440">
          <w:marLeft w:val="0"/>
          <w:marRight w:val="0"/>
          <w:marTop w:val="0"/>
          <w:marBottom w:val="0"/>
          <w:divBdr>
            <w:top w:val="none" w:sz="0" w:space="0" w:color="auto"/>
            <w:left w:val="none" w:sz="0" w:space="0" w:color="auto"/>
            <w:bottom w:val="none" w:sz="0" w:space="0" w:color="auto"/>
            <w:right w:val="none" w:sz="0" w:space="0" w:color="auto"/>
          </w:divBdr>
        </w:div>
        <w:div w:id="419987029">
          <w:marLeft w:val="0"/>
          <w:marRight w:val="0"/>
          <w:marTop w:val="0"/>
          <w:marBottom w:val="0"/>
          <w:divBdr>
            <w:top w:val="none" w:sz="0" w:space="0" w:color="auto"/>
            <w:left w:val="none" w:sz="0" w:space="0" w:color="auto"/>
            <w:bottom w:val="none" w:sz="0" w:space="0" w:color="auto"/>
            <w:right w:val="none" w:sz="0" w:space="0" w:color="auto"/>
          </w:divBdr>
        </w:div>
        <w:div w:id="792096341">
          <w:marLeft w:val="0"/>
          <w:marRight w:val="0"/>
          <w:marTop w:val="0"/>
          <w:marBottom w:val="0"/>
          <w:divBdr>
            <w:top w:val="none" w:sz="0" w:space="0" w:color="auto"/>
            <w:left w:val="none" w:sz="0" w:space="0" w:color="auto"/>
            <w:bottom w:val="none" w:sz="0" w:space="0" w:color="auto"/>
            <w:right w:val="none" w:sz="0" w:space="0" w:color="auto"/>
          </w:divBdr>
        </w:div>
        <w:div w:id="1697120885">
          <w:marLeft w:val="0"/>
          <w:marRight w:val="0"/>
          <w:marTop w:val="0"/>
          <w:marBottom w:val="0"/>
          <w:divBdr>
            <w:top w:val="none" w:sz="0" w:space="0" w:color="auto"/>
            <w:left w:val="none" w:sz="0" w:space="0" w:color="auto"/>
            <w:bottom w:val="none" w:sz="0" w:space="0" w:color="auto"/>
            <w:right w:val="none" w:sz="0" w:space="0" w:color="auto"/>
          </w:divBdr>
        </w:div>
        <w:div w:id="1219780480">
          <w:marLeft w:val="0"/>
          <w:marRight w:val="0"/>
          <w:marTop w:val="0"/>
          <w:marBottom w:val="0"/>
          <w:divBdr>
            <w:top w:val="none" w:sz="0" w:space="0" w:color="auto"/>
            <w:left w:val="none" w:sz="0" w:space="0" w:color="auto"/>
            <w:bottom w:val="none" w:sz="0" w:space="0" w:color="auto"/>
            <w:right w:val="none" w:sz="0" w:space="0" w:color="auto"/>
          </w:divBdr>
        </w:div>
        <w:div w:id="1299385694">
          <w:marLeft w:val="0"/>
          <w:marRight w:val="0"/>
          <w:marTop w:val="0"/>
          <w:marBottom w:val="0"/>
          <w:divBdr>
            <w:top w:val="none" w:sz="0" w:space="0" w:color="auto"/>
            <w:left w:val="none" w:sz="0" w:space="0" w:color="auto"/>
            <w:bottom w:val="none" w:sz="0" w:space="0" w:color="auto"/>
            <w:right w:val="none" w:sz="0" w:space="0" w:color="auto"/>
          </w:divBdr>
        </w:div>
        <w:div w:id="1694958678">
          <w:marLeft w:val="0"/>
          <w:marRight w:val="0"/>
          <w:marTop w:val="0"/>
          <w:marBottom w:val="0"/>
          <w:divBdr>
            <w:top w:val="none" w:sz="0" w:space="0" w:color="auto"/>
            <w:left w:val="none" w:sz="0" w:space="0" w:color="auto"/>
            <w:bottom w:val="none" w:sz="0" w:space="0" w:color="auto"/>
            <w:right w:val="none" w:sz="0" w:space="0" w:color="auto"/>
          </w:divBdr>
        </w:div>
        <w:div w:id="1668241723">
          <w:marLeft w:val="0"/>
          <w:marRight w:val="0"/>
          <w:marTop w:val="0"/>
          <w:marBottom w:val="0"/>
          <w:divBdr>
            <w:top w:val="none" w:sz="0" w:space="0" w:color="auto"/>
            <w:left w:val="none" w:sz="0" w:space="0" w:color="auto"/>
            <w:bottom w:val="none" w:sz="0" w:space="0" w:color="auto"/>
            <w:right w:val="none" w:sz="0" w:space="0" w:color="auto"/>
          </w:divBdr>
        </w:div>
        <w:div w:id="1289967482">
          <w:marLeft w:val="0"/>
          <w:marRight w:val="0"/>
          <w:marTop w:val="0"/>
          <w:marBottom w:val="0"/>
          <w:divBdr>
            <w:top w:val="none" w:sz="0" w:space="0" w:color="auto"/>
            <w:left w:val="none" w:sz="0" w:space="0" w:color="auto"/>
            <w:bottom w:val="none" w:sz="0" w:space="0" w:color="auto"/>
            <w:right w:val="none" w:sz="0" w:space="0" w:color="auto"/>
          </w:divBdr>
        </w:div>
        <w:div w:id="328755763">
          <w:marLeft w:val="0"/>
          <w:marRight w:val="0"/>
          <w:marTop w:val="0"/>
          <w:marBottom w:val="0"/>
          <w:divBdr>
            <w:top w:val="none" w:sz="0" w:space="0" w:color="auto"/>
            <w:left w:val="none" w:sz="0" w:space="0" w:color="auto"/>
            <w:bottom w:val="none" w:sz="0" w:space="0" w:color="auto"/>
            <w:right w:val="none" w:sz="0" w:space="0" w:color="auto"/>
          </w:divBdr>
        </w:div>
      </w:divsChild>
    </w:div>
    <w:div w:id="1704941448">
      <w:bodyDiv w:val="1"/>
      <w:marLeft w:val="0"/>
      <w:marRight w:val="0"/>
      <w:marTop w:val="0"/>
      <w:marBottom w:val="0"/>
      <w:divBdr>
        <w:top w:val="none" w:sz="0" w:space="0" w:color="auto"/>
        <w:left w:val="none" w:sz="0" w:space="0" w:color="auto"/>
        <w:bottom w:val="none" w:sz="0" w:space="0" w:color="auto"/>
        <w:right w:val="none" w:sz="0" w:space="0" w:color="auto"/>
      </w:divBdr>
      <w:divsChild>
        <w:div w:id="1079254102">
          <w:marLeft w:val="0"/>
          <w:marRight w:val="0"/>
          <w:marTop w:val="0"/>
          <w:marBottom w:val="0"/>
          <w:divBdr>
            <w:top w:val="none" w:sz="0" w:space="0" w:color="auto"/>
            <w:left w:val="none" w:sz="0" w:space="0" w:color="auto"/>
            <w:bottom w:val="none" w:sz="0" w:space="0" w:color="auto"/>
            <w:right w:val="none" w:sz="0" w:space="0" w:color="auto"/>
          </w:divBdr>
        </w:div>
        <w:div w:id="675693372">
          <w:marLeft w:val="0"/>
          <w:marRight w:val="0"/>
          <w:marTop w:val="0"/>
          <w:marBottom w:val="0"/>
          <w:divBdr>
            <w:top w:val="none" w:sz="0" w:space="0" w:color="auto"/>
            <w:left w:val="none" w:sz="0" w:space="0" w:color="auto"/>
            <w:bottom w:val="none" w:sz="0" w:space="0" w:color="auto"/>
            <w:right w:val="none" w:sz="0" w:space="0" w:color="auto"/>
          </w:divBdr>
        </w:div>
        <w:div w:id="1644039177">
          <w:marLeft w:val="0"/>
          <w:marRight w:val="0"/>
          <w:marTop w:val="0"/>
          <w:marBottom w:val="0"/>
          <w:divBdr>
            <w:top w:val="none" w:sz="0" w:space="0" w:color="auto"/>
            <w:left w:val="none" w:sz="0" w:space="0" w:color="auto"/>
            <w:bottom w:val="none" w:sz="0" w:space="0" w:color="auto"/>
            <w:right w:val="none" w:sz="0" w:space="0" w:color="auto"/>
          </w:divBdr>
        </w:div>
        <w:div w:id="775829316">
          <w:marLeft w:val="0"/>
          <w:marRight w:val="0"/>
          <w:marTop w:val="0"/>
          <w:marBottom w:val="0"/>
          <w:divBdr>
            <w:top w:val="none" w:sz="0" w:space="0" w:color="auto"/>
            <w:left w:val="none" w:sz="0" w:space="0" w:color="auto"/>
            <w:bottom w:val="none" w:sz="0" w:space="0" w:color="auto"/>
            <w:right w:val="none" w:sz="0" w:space="0" w:color="auto"/>
          </w:divBdr>
        </w:div>
        <w:div w:id="994067653">
          <w:marLeft w:val="0"/>
          <w:marRight w:val="0"/>
          <w:marTop w:val="0"/>
          <w:marBottom w:val="0"/>
          <w:divBdr>
            <w:top w:val="none" w:sz="0" w:space="0" w:color="auto"/>
            <w:left w:val="none" w:sz="0" w:space="0" w:color="auto"/>
            <w:bottom w:val="none" w:sz="0" w:space="0" w:color="auto"/>
            <w:right w:val="none" w:sz="0" w:space="0" w:color="auto"/>
          </w:divBdr>
        </w:div>
        <w:div w:id="1145009934">
          <w:marLeft w:val="0"/>
          <w:marRight w:val="0"/>
          <w:marTop w:val="0"/>
          <w:marBottom w:val="0"/>
          <w:divBdr>
            <w:top w:val="none" w:sz="0" w:space="0" w:color="auto"/>
            <w:left w:val="none" w:sz="0" w:space="0" w:color="auto"/>
            <w:bottom w:val="none" w:sz="0" w:space="0" w:color="auto"/>
            <w:right w:val="none" w:sz="0" w:space="0" w:color="auto"/>
          </w:divBdr>
        </w:div>
        <w:div w:id="1883444333">
          <w:marLeft w:val="0"/>
          <w:marRight w:val="0"/>
          <w:marTop w:val="0"/>
          <w:marBottom w:val="0"/>
          <w:divBdr>
            <w:top w:val="none" w:sz="0" w:space="0" w:color="auto"/>
            <w:left w:val="none" w:sz="0" w:space="0" w:color="auto"/>
            <w:bottom w:val="none" w:sz="0" w:space="0" w:color="auto"/>
            <w:right w:val="none" w:sz="0" w:space="0" w:color="auto"/>
          </w:divBdr>
        </w:div>
        <w:div w:id="684097369">
          <w:marLeft w:val="0"/>
          <w:marRight w:val="0"/>
          <w:marTop w:val="0"/>
          <w:marBottom w:val="0"/>
          <w:divBdr>
            <w:top w:val="none" w:sz="0" w:space="0" w:color="auto"/>
            <w:left w:val="none" w:sz="0" w:space="0" w:color="auto"/>
            <w:bottom w:val="none" w:sz="0" w:space="0" w:color="auto"/>
            <w:right w:val="none" w:sz="0" w:space="0" w:color="auto"/>
          </w:divBdr>
        </w:div>
        <w:div w:id="639580936">
          <w:marLeft w:val="0"/>
          <w:marRight w:val="0"/>
          <w:marTop w:val="0"/>
          <w:marBottom w:val="0"/>
          <w:divBdr>
            <w:top w:val="none" w:sz="0" w:space="0" w:color="auto"/>
            <w:left w:val="none" w:sz="0" w:space="0" w:color="auto"/>
            <w:bottom w:val="none" w:sz="0" w:space="0" w:color="auto"/>
            <w:right w:val="none" w:sz="0" w:space="0" w:color="auto"/>
          </w:divBdr>
        </w:div>
        <w:div w:id="769400747">
          <w:marLeft w:val="0"/>
          <w:marRight w:val="0"/>
          <w:marTop w:val="0"/>
          <w:marBottom w:val="0"/>
          <w:divBdr>
            <w:top w:val="none" w:sz="0" w:space="0" w:color="auto"/>
            <w:left w:val="none" w:sz="0" w:space="0" w:color="auto"/>
            <w:bottom w:val="none" w:sz="0" w:space="0" w:color="auto"/>
            <w:right w:val="none" w:sz="0" w:space="0" w:color="auto"/>
          </w:divBdr>
        </w:div>
        <w:div w:id="55516729">
          <w:marLeft w:val="0"/>
          <w:marRight w:val="0"/>
          <w:marTop w:val="0"/>
          <w:marBottom w:val="0"/>
          <w:divBdr>
            <w:top w:val="none" w:sz="0" w:space="0" w:color="auto"/>
            <w:left w:val="none" w:sz="0" w:space="0" w:color="auto"/>
            <w:bottom w:val="none" w:sz="0" w:space="0" w:color="auto"/>
            <w:right w:val="none" w:sz="0" w:space="0" w:color="auto"/>
          </w:divBdr>
        </w:div>
        <w:div w:id="2079548760">
          <w:marLeft w:val="0"/>
          <w:marRight w:val="0"/>
          <w:marTop w:val="0"/>
          <w:marBottom w:val="0"/>
          <w:divBdr>
            <w:top w:val="none" w:sz="0" w:space="0" w:color="auto"/>
            <w:left w:val="none" w:sz="0" w:space="0" w:color="auto"/>
            <w:bottom w:val="none" w:sz="0" w:space="0" w:color="auto"/>
            <w:right w:val="none" w:sz="0" w:space="0" w:color="auto"/>
          </w:divBdr>
        </w:div>
        <w:div w:id="2064936793">
          <w:marLeft w:val="0"/>
          <w:marRight w:val="0"/>
          <w:marTop w:val="0"/>
          <w:marBottom w:val="0"/>
          <w:divBdr>
            <w:top w:val="none" w:sz="0" w:space="0" w:color="auto"/>
            <w:left w:val="none" w:sz="0" w:space="0" w:color="auto"/>
            <w:bottom w:val="none" w:sz="0" w:space="0" w:color="auto"/>
            <w:right w:val="none" w:sz="0" w:space="0" w:color="auto"/>
          </w:divBdr>
        </w:div>
      </w:divsChild>
    </w:div>
    <w:div w:id="1726878447">
      <w:bodyDiv w:val="1"/>
      <w:marLeft w:val="0"/>
      <w:marRight w:val="0"/>
      <w:marTop w:val="0"/>
      <w:marBottom w:val="0"/>
      <w:divBdr>
        <w:top w:val="none" w:sz="0" w:space="0" w:color="auto"/>
        <w:left w:val="none" w:sz="0" w:space="0" w:color="auto"/>
        <w:bottom w:val="none" w:sz="0" w:space="0" w:color="auto"/>
        <w:right w:val="none" w:sz="0" w:space="0" w:color="auto"/>
      </w:divBdr>
      <w:divsChild>
        <w:div w:id="1005666026">
          <w:marLeft w:val="0"/>
          <w:marRight w:val="0"/>
          <w:marTop w:val="0"/>
          <w:marBottom w:val="0"/>
          <w:divBdr>
            <w:top w:val="none" w:sz="0" w:space="0" w:color="auto"/>
            <w:left w:val="none" w:sz="0" w:space="0" w:color="auto"/>
            <w:bottom w:val="none" w:sz="0" w:space="0" w:color="auto"/>
            <w:right w:val="none" w:sz="0" w:space="0" w:color="auto"/>
          </w:divBdr>
        </w:div>
        <w:div w:id="607664532">
          <w:marLeft w:val="0"/>
          <w:marRight w:val="0"/>
          <w:marTop w:val="0"/>
          <w:marBottom w:val="0"/>
          <w:divBdr>
            <w:top w:val="none" w:sz="0" w:space="0" w:color="auto"/>
            <w:left w:val="none" w:sz="0" w:space="0" w:color="auto"/>
            <w:bottom w:val="none" w:sz="0" w:space="0" w:color="auto"/>
            <w:right w:val="none" w:sz="0" w:space="0" w:color="auto"/>
          </w:divBdr>
        </w:div>
        <w:div w:id="105782021">
          <w:marLeft w:val="0"/>
          <w:marRight w:val="0"/>
          <w:marTop w:val="0"/>
          <w:marBottom w:val="0"/>
          <w:divBdr>
            <w:top w:val="none" w:sz="0" w:space="0" w:color="auto"/>
            <w:left w:val="none" w:sz="0" w:space="0" w:color="auto"/>
            <w:bottom w:val="none" w:sz="0" w:space="0" w:color="auto"/>
            <w:right w:val="none" w:sz="0" w:space="0" w:color="auto"/>
          </w:divBdr>
        </w:div>
        <w:div w:id="307829770">
          <w:marLeft w:val="0"/>
          <w:marRight w:val="0"/>
          <w:marTop w:val="0"/>
          <w:marBottom w:val="0"/>
          <w:divBdr>
            <w:top w:val="none" w:sz="0" w:space="0" w:color="auto"/>
            <w:left w:val="none" w:sz="0" w:space="0" w:color="auto"/>
            <w:bottom w:val="none" w:sz="0" w:space="0" w:color="auto"/>
            <w:right w:val="none" w:sz="0" w:space="0" w:color="auto"/>
          </w:divBdr>
        </w:div>
        <w:div w:id="1177114321">
          <w:marLeft w:val="0"/>
          <w:marRight w:val="0"/>
          <w:marTop w:val="0"/>
          <w:marBottom w:val="0"/>
          <w:divBdr>
            <w:top w:val="none" w:sz="0" w:space="0" w:color="auto"/>
            <w:left w:val="none" w:sz="0" w:space="0" w:color="auto"/>
            <w:bottom w:val="none" w:sz="0" w:space="0" w:color="auto"/>
            <w:right w:val="none" w:sz="0" w:space="0" w:color="auto"/>
          </w:divBdr>
        </w:div>
        <w:div w:id="999237892">
          <w:marLeft w:val="0"/>
          <w:marRight w:val="0"/>
          <w:marTop w:val="0"/>
          <w:marBottom w:val="0"/>
          <w:divBdr>
            <w:top w:val="none" w:sz="0" w:space="0" w:color="auto"/>
            <w:left w:val="none" w:sz="0" w:space="0" w:color="auto"/>
            <w:bottom w:val="none" w:sz="0" w:space="0" w:color="auto"/>
            <w:right w:val="none" w:sz="0" w:space="0" w:color="auto"/>
          </w:divBdr>
        </w:div>
        <w:div w:id="223566860">
          <w:marLeft w:val="0"/>
          <w:marRight w:val="0"/>
          <w:marTop w:val="0"/>
          <w:marBottom w:val="0"/>
          <w:divBdr>
            <w:top w:val="none" w:sz="0" w:space="0" w:color="auto"/>
            <w:left w:val="none" w:sz="0" w:space="0" w:color="auto"/>
            <w:bottom w:val="none" w:sz="0" w:space="0" w:color="auto"/>
            <w:right w:val="none" w:sz="0" w:space="0" w:color="auto"/>
          </w:divBdr>
        </w:div>
        <w:div w:id="1443453291">
          <w:marLeft w:val="0"/>
          <w:marRight w:val="0"/>
          <w:marTop w:val="0"/>
          <w:marBottom w:val="0"/>
          <w:divBdr>
            <w:top w:val="none" w:sz="0" w:space="0" w:color="auto"/>
            <w:left w:val="none" w:sz="0" w:space="0" w:color="auto"/>
            <w:bottom w:val="none" w:sz="0" w:space="0" w:color="auto"/>
            <w:right w:val="none" w:sz="0" w:space="0" w:color="auto"/>
          </w:divBdr>
        </w:div>
        <w:div w:id="273755662">
          <w:marLeft w:val="0"/>
          <w:marRight w:val="0"/>
          <w:marTop w:val="0"/>
          <w:marBottom w:val="0"/>
          <w:divBdr>
            <w:top w:val="none" w:sz="0" w:space="0" w:color="auto"/>
            <w:left w:val="none" w:sz="0" w:space="0" w:color="auto"/>
            <w:bottom w:val="none" w:sz="0" w:space="0" w:color="auto"/>
            <w:right w:val="none" w:sz="0" w:space="0" w:color="auto"/>
          </w:divBdr>
        </w:div>
        <w:div w:id="1511137718">
          <w:marLeft w:val="0"/>
          <w:marRight w:val="0"/>
          <w:marTop w:val="0"/>
          <w:marBottom w:val="0"/>
          <w:divBdr>
            <w:top w:val="none" w:sz="0" w:space="0" w:color="auto"/>
            <w:left w:val="none" w:sz="0" w:space="0" w:color="auto"/>
            <w:bottom w:val="none" w:sz="0" w:space="0" w:color="auto"/>
            <w:right w:val="none" w:sz="0" w:space="0" w:color="auto"/>
          </w:divBdr>
        </w:div>
        <w:div w:id="1722359659">
          <w:marLeft w:val="0"/>
          <w:marRight w:val="0"/>
          <w:marTop w:val="0"/>
          <w:marBottom w:val="0"/>
          <w:divBdr>
            <w:top w:val="none" w:sz="0" w:space="0" w:color="auto"/>
            <w:left w:val="none" w:sz="0" w:space="0" w:color="auto"/>
            <w:bottom w:val="none" w:sz="0" w:space="0" w:color="auto"/>
            <w:right w:val="none" w:sz="0" w:space="0" w:color="auto"/>
          </w:divBdr>
        </w:div>
        <w:div w:id="1469668320">
          <w:marLeft w:val="0"/>
          <w:marRight w:val="0"/>
          <w:marTop w:val="0"/>
          <w:marBottom w:val="0"/>
          <w:divBdr>
            <w:top w:val="none" w:sz="0" w:space="0" w:color="auto"/>
            <w:left w:val="none" w:sz="0" w:space="0" w:color="auto"/>
            <w:bottom w:val="none" w:sz="0" w:space="0" w:color="auto"/>
            <w:right w:val="none" w:sz="0" w:space="0" w:color="auto"/>
          </w:divBdr>
        </w:div>
        <w:div w:id="859973280">
          <w:marLeft w:val="0"/>
          <w:marRight w:val="0"/>
          <w:marTop w:val="0"/>
          <w:marBottom w:val="0"/>
          <w:divBdr>
            <w:top w:val="none" w:sz="0" w:space="0" w:color="auto"/>
            <w:left w:val="none" w:sz="0" w:space="0" w:color="auto"/>
            <w:bottom w:val="none" w:sz="0" w:space="0" w:color="auto"/>
            <w:right w:val="none" w:sz="0" w:space="0" w:color="auto"/>
          </w:divBdr>
        </w:div>
        <w:div w:id="1391927018">
          <w:marLeft w:val="0"/>
          <w:marRight w:val="0"/>
          <w:marTop w:val="0"/>
          <w:marBottom w:val="0"/>
          <w:divBdr>
            <w:top w:val="none" w:sz="0" w:space="0" w:color="auto"/>
            <w:left w:val="none" w:sz="0" w:space="0" w:color="auto"/>
            <w:bottom w:val="none" w:sz="0" w:space="0" w:color="auto"/>
            <w:right w:val="none" w:sz="0" w:space="0" w:color="auto"/>
          </w:divBdr>
        </w:div>
        <w:div w:id="420684791">
          <w:marLeft w:val="0"/>
          <w:marRight w:val="0"/>
          <w:marTop w:val="0"/>
          <w:marBottom w:val="0"/>
          <w:divBdr>
            <w:top w:val="none" w:sz="0" w:space="0" w:color="auto"/>
            <w:left w:val="none" w:sz="0" w:space="0" w:color="auto"/>
            <w:bottom w:val="none" w:sz="0" w:space="0" w:color="auto"/>
            <w:right w:val="none" w:sz="0" w:space="0" w:color="auto"/>
          </w:divBdr>
        </w:div>
        <w:div w:id="1043335381">
          <w:marLeft w:val="0"/>
          <w:marRight w:val="0"/>
          <w:marTop w:val="0"/>
          <w:marBottom w:val="0"/>
          <w:divBdr>
            <w:top w:val="none" w:sz="0" w:space="0" w:color="auto"/>
            <w:left w:val="none" w:sz="0" w:space="0" w:color="auto"/>
            <w:bottom w:val="none" w:sz="0" w:space="0" w:color="auto"/>
            <w:right w:val="none" w:sz="0" w:space="0" w:color="auto"/>
          </w:divBdr>
        </w:div>
      </w:divsChild>
    </w:div>
    <w:div w:id="1736659682">
      <w:bodyDiv w:val="1"/>
      <w:marLeft w:val="0"/>
      <w:marRight w:val="0"/>
      <w:marTop w:val="0"/>
      <w:marBottom w:val="0"/>
      <w:divBdr>
        <w:top w:val="none" w:sz="0" w:space="0" w:color="auto"/>
        <w:left w:val="none" w:sz="0" w:space="0" w:color="auto"/>
        <w:bottom w:val="none" w:sz="0" w:space="0" w:color="auto"/>
        <w:right w:val="none" w:sz="0" w:space="0" w:color="auto"/>
      </w:divBdr>
      <w:divsChild>
        <w:div w:id="428739754">
          <w:marLeft w:val="0"/>
          <w:marRight w:val="0"/>
          <w:marTop w:val="0"/>
          <w:marBottom w:val="0"/>
          <w:divBdr>
            <w:top w:val="none" w:sz="0" w:space="0" w:color="auto"/>
            <w:left w:val="none" w:sz="0" w:space="0" w:color="auto"/>
            <w:bottom w:val="none" w:sz="0" w:space="0" w:color="auto"/>
            <w:right w:val="none" w:sz="0" w:space="0" w:color="auto"/>
          </w:divBdr>
        </w:div>
        <w:div w:id="1877624524">
          <w:marLeft w:val="0"/>
          <w:marRight w:val="0"/>
          <w:marTop w:val="0"/>
          <w:marBottom w:val="0"/>
          <w:divBdr>
            <w:top w:val="none" w:sz="0" w:space="0" w:color="auto"/>
            <w:left w:val="none" w:sz="0" w:space="0" w:color="auto"/>
            <w:bottom w:val="none" w:sz="0" w:space="0" w:color="auto"/>
            <w:right w:val="none" w:sz="0" w:space="0" w:color="auto"/>
          </w:divBdr>
        </w:div>
        <w:div w:id="785927964">
          <w:marLeft w:val="0"/>
          <w:marRight w:val="0"/>
          <w:marTop w:val="0"/>
          <w:marBottom w:val="0"/>
          <w:divBdr>
            <w:top w:val="none" w:sz="0" w:space="0" w:color="auto"/>
            <w:left w:val="none" w:sz="0" w:space="0" w:color="auto"/>
            <w:bottom w:val="none" w:sz="0" w:space="0" w:color="auto"/>
            <w:right w:val="none" w:sz="0" w:space="0" w:color="auto"/>
          </w:divBdr>
        </w:div>
        <w:div w:id="261886482">
          <w:marLeft w:val="0"/>
          <w:marRight w:val="0"/>
          <w:marTop w:val="0"/>
          <w:marBottom w:val="0"/>
          <w:divBdr>
            <w:top w:val="none" w:sz="0" w:space="0" w:color="auto"/>
            <w:left w:val="none" w:sz="0" w:space="0" w:color="auto"/>
            <w:bottom w:val="none" w:sz="0" w:space="0" w:color="auto"/>
            <w:right w:val="none" w:sz="0" w:space="0" w:color="auto"/>
          </w:divBdr>
        </w:div>
        <w:div w:id="1197305897">
          <w:marLeft w:val="0"/>
          <w:marRight w:val="0"/>
          <w:marTop w:val="0"/>
          <w:marBottom w:val="0"/>
          <w:divBdr>
            <w:top w:val="none" w:sz="0" w:space="0" w:color="auto"/>
            <w:left w:val="none" w:sz="0" w:space="0" w:color="auto"/>
            <w:bottom w:val="none" w:sz="0" w:space="0" w:color="auto"/>
            <w:right w:val="none" w:sz="0" w:space="0" w:color="auto"/>
          </w:divBdr>
        </w:div>
        <w:div w:id="2015183059">
          <w:marLeft w:val="0"/>
          <w:marRight w:val="0"/>
          <w:marTop w:val="0"/>
          <w:marBottom w:val="0"/>
          <w:divBdr>
            <w:top w:val="none" w:sz="0" w:space="0" w:color="auto"/>
            <w:left w:val="none" w:sz="0" w:space="0" w:color="auto"/>
            <w:bottom w:val="none" w:sz="0" w:space="0" w:color="auto"/>
            <w:right w:val="none" w:sz="0" w:space="0" w:color="auto"/>
          </w:divBdr>
        </w:div>
        <w:div w:id="1984965835">
          <w:marLeft w:val="0"/>
          <w:marRight w:val="0"/>
          <w:marTop w:val="0"/>
          <w:marBottom w:val="0"/>
          <w:divBdr>
            <w:top w:val="none" w:sz="0" w:space="0" w:color="auto"/>
            <w:left w:val="none" w:sz="0" w:space="0" w:color="auto"/>
            <w:bottom w:val="none" w:sz="0" w:space="0" w:color="auto"/>
            <w:right w:val="none" w:sz="0" w:space="0" w:color="auto"/>
          </w:divBdr>
        </w:div>
        <w:div w:id="89857557">
          <w:marLeft w:val="0"/>
          <w:marRight w:val="0"/>
          <w:marTop w:val="0"/>
          <w:marBottom w:val="0"/>
          <w:divBdr>
            <w:top w:val="none" w:sz="0" w:space="0" w:color="auto"/>
            <w:left w:val="none" w:sz="0" w:space="0" w:color="auto"/>
            <w:bottom w:val="none" w:sz="0" w:space="0" w:color="auto"/>
            <w:right w:val="none" w:sz="0" w:space="0" w:color="auto"/>
          </w:divBdr>
        </w:div>
        <w:div w:id="592476978">
          <w:marLeft w:val="0"/>
          <w:marRight w:val="0"/>
          <w:marTop w:val="0"/>
          <w:marBottom w:val="0"/>
          <w:divBdr>
            <w:top w:val="none" w:sz="0" w:space="0" w:color="auto"/>
            <w:left w:val="none" w:sz="0" w:space="0" w:color="auto"/>
            <w:bottom w:val="none" w:sz="0" w:space="0" w:color="auto"/>
            <w:right w:val="none" w:sz="0" w:space="0" w:color="auto"/>
          </w:divBdr>
        </w:div>
        <w:div w:id="1653948566">
          <w:marLeft w:val="0"/>
          <w:marRight w:val="0"/>
          <w:marTop w:val="0"/>
          <w:marBottom w:val="0"/>
          <w:divBdr>
            <w:top w:val="none" w:sz="0" w:space="0" w:color="auto"/>
            <w:left w:val="none" w:sz="0" w:space="0" w:color="auto"/>
            <w:bottom w:val="none" w:sz="0" w:space="0" w:color="auto"/>
            <w:right w:val="none" w:sz="0" w:space="0" w:color="auto"/>
          </w:divBdr>
        </w:div>
        <w:div w:id="1211189434">
          <w:marLeft w:val="0"/>
          <w:marRight w:val="0"/>
          <w:marTop w:val="0"/>
          <w:marBottom w:val="0"/>
          <w:divBdr>
            <w:top w:val="none" w:sz="0" w:space="0" w:color="auto"/>
            <w:left w:val="none" w:sz="0" w:space="0" w:color="auto"/>
            <w:bottom w:val="none" w:sz="0" w:space="0" w:color="auto"/>
            <w:right w:val="none" w:sz="0" w:space="0" w:color="auto"/>
          </w:divBdr>
        </w:div>
        <w:div w:id="661853999">
          <w:marLeft w:val="0"/>
          <w:marRight w:val="0"/>
          <w:marTop w:val="0"/>
          <w:marBottom w:val="0"/>
          <w:divBdr>
            <w:top w:val="none" w:sz="0" w:space="0" w:color="auto"/>
            <w:left w:val="none" w:sz="0" w:space="0" w:color="auto"/>
            <w:bottom w:val="none" w:sz="0" w:space="0" w:color="auto"/>
            <w:right w:val="none" w:sz="0" w:space="0" w:color="auto"/>
          </w:divBdr>
        </w:div>
        <w:div w:id="1649507882">
          <w:marLeft w:val="0"/>
          <w:marRight w:val="0"/>
          <w:marTop w:val="0"/>
          <w:marBottom w:val="0"/>
          <w:divBdr>
            <w:top w:val="none" w:sz="0" w:space="0" w:color="auto"/>
            <w:left w:val="none" w:sz="0" w:space="0" w:color="auto"/>
            <w:bottom w:val="none" w:sz="0" w:space="0" w:color="auto"/>
            <w:right w:val="none" w:sz="0" w:space="0" w:color="auto"/>
          </w:divBdr>
        </w:div>
        <w:div w:id="1044063421">
          <w:marLeft w:val="0"/>
          <w:marRight w:val="0"/>
          <w:marTop w:val="0"/>
          <w:marBottom w:val="0"/>
          <w:divBdr>
            <w:top w:val="none" w:sz="0" w:space="0" w:color="auto"/>
            <w:left w:val="none" w:sz="0" w:space="0" w:color="auto"/>
            <w:bottom w:val="none" w:sz="0" w:space="0" w:color="auto"/>
            <w:right w:val="none" w:sz="0" w:space="0" w:color="auto"/>
          </w:divBdr>
        </w:div>
        <w:div w:id="112595586">
          <w:marLeft w:val="0"/>
          <w:marRight w:val="0"/>
          <w:marTop w:val="0"/>
          <w:marBottom w:val="0"/>
          <w:divBdr>
            <w:top w:val="none" w:sz="0" w:space="0" w:color="auto"/>
            <w:left w:val="none" w:sz="0" w:space="0" w:color="auto"/>
            <w:bottom w:val="none" w:sz="0" w:space="0" w:color="auto"/>
            <w:right w:val="none" w:sz="0" w:space="0" w:color="auto"/>
          </w:divBdr>
        </w:div>
        <w:div w:id="99836584">
          <w:marLeft w:val="0"/>
          <w:marRight w:val="0"/>
          <w:marTop w:val="0"/>
          <w:marBottom w:val="0"/>
          <w:divBdr>
            <w:top w:val="none" w:sz="0" w:space="0" w:color="auto"/>
            <w:left w:val="none" w:sz="0" w:space="0" w:color="auto"/>
            <w:bottom w:val="none" w:sz="0" w:space="0" w:color="auto"/>
            <w:right w:val="none" w:sz="0" w:space="0" w:color="auto"/>
          </w:divBdr>
        </w:div>
      </w:divsChild>
    </w:div>
    <w:div w:id="1752433628">
      <w:bodyDiv w:val="1"/>
      <w:marLeft w:val="0"/>
      <w:marRight w:val="0"/>
      <w:marTop w:val="0"/>
      <w:marBottom w:val="0"/>
      <w:divBdr>
        <w:top w:val="none" w:sz="0" w:space="0" w:color="auto"/>
        <w:left w:val="none" w:sz="0" w:space="0" w:color="auto"/>
        <w:bottom w:val="none" w:sz="0" w:space="0" w:color="auto"/>
        <w:right w:val="none" w:sz="0" w:space="0" w:color="auto"/>
      </w:divBdr>
      <w:divsChild>
        <w:div w:id="1592280450">
          <w:marLeft w:val="0"/>
          <w:marRight w:val="0"/>
          <w:marTop w:val="0"/>
          <w:marBottom w:val="0"/>
          <w:divBdr>
            <w:top w:val="none" w:sz="0" w:space="0" w:color="auto"/>
            <w:left w:val="none" w:sz="0" w:space="0" w:color="auto"/>
            <w:bottom w:val="none" w:sz="0" w:space="0" w:color="auto"/>
            <w:right w:val="none" w:sz="0" w:space="0" w:color="auto"/>
          </w:divBdr>
        </w:div>
        <w:div w:id="459953894">
          <w:marLeft w:val="0"/>
          <w:marRight w:val="0"/>
          <w:marTop w:val="0"/>
          <w:marBottom w:val="0"/>
          <w:divBdr>
            <w:top w:val="none" w:sz="0" w:space="0" w:color="auto"/>
            <w:left w:val="none" w:sz="0" w:space="0" w:color="auto"/>
            <w:bottom w:val="none" w:sz="0" w:space="0" w:color="auto"/>
            <w:right w:val="none" w:sz="0" w:space="0" w:color="auto"/>
          </w:divBdr>
        </w:div>
        <w:div w:id="1429809927">
          <w:marLeft w:val="0"/>
          <w:marRight w:val="0"/>
          <w:marTop w:val="0"/>
          <w:marBottom w:val="0"/>
          <w:divBdr>
            <w:top w:val="none" w:sz="0" w:space="0" w:color="auto"/>
            <w:left w:val="none" w:sz="0" w:space="0" w:color="auto"/>
            <w:bottom w:val="none" w:sz="0" w:space="0" w:color="auto"/>
            <w:right w:val="none" w:sz="0" w:space="0" w:color="auto"/>
          </w:divBdr>
        </w:div>
        <w:div w:id="1010334189">
          <w:marLeft w:val="0"/>
          <w:marRight w:val="0"/>
          <w:marTop w:val="0"/>
          <w:marBottom w:val="0"/>
          <w:divBdr>
            <w:top w:val="none" w:sz="0" w:space="0" w:color="auto"/>
            <w:left w:val="none" w:sz="0" w:space="0" w:color="auto"/>
            <w:bottom w:val="none" w:sz="0" w:space="0" w:color="auto"/>
            <w:right w:val="none" w:sz="0" w:space="0" w:color="auto"/>
          </w:divBdr>
        </w:div>
        <w:div w:id="587691785">
          <w:marLeft w:val="0"/>
          <w:marRight w:val="0"/>
          <w:marTop w:val="0"/>
          <w:marBottom w:val="0"/>
          <w:divBdr>
            <w:top w:val="none" w:sz="0" w:space="0" w:color="auto"/>
            <w:left w:val="none" w:sz="0" w:space="0" w:color="auto"/>
            <w:bottom w:val="none" w:sz="0" w:space="0" w:color="auto"/>
            <w:right w:val="none" w:sz="0" w:space="0" w:color="auto"/>
          </w:divBdr>
        </w:div>
        <w:div w:id="1162038367">
          <w:marLeft w:val="0"/>
          <w:marRight w:val="0"/>
          <w:marTop w:val="0"/>
          <w:marBottom w:val="0"/>
          <w:divBdr>
            <w:top w:val="none" w:sz="0" w:space="0" w:color="auto"/>
            <w:left w:val="none" w:sz="0" w:space="0" w:color="auto"/>
            <w:bottom w:val="none" w:sz="0" w:space="0" w:color="auto"/>
            <w:right w:val="none" w:sz="0" w:space="0" w:color="auto"/>
          </w:divBdr>
        </w:div>
        <w:div w:id="1831797059">
          <w:marLeft w:val="0"/>
          <w:marRight w:val="0"/>
          <w:marTop w:val="0"/>
          <w:marBottom w:val="0"/>
          <w:divBdr>
            <w:top w:val="none" w:sz="0" w:space="0" w:color="auto"/>
            <w:left w:val="none" w:sz="0" w:space="0" w:color="auto"/>
            <w:bottom w:val="none" w:sz="0" w:space="0" w:color="auto"/>
            <w:right w:val="none" w:sz="0" w:space="0" w:color="auto"/>
          </w:divBdr>
        </w:div>
        <w:div w:id="2066953708">
          <w:marLeft w:val="0"/>
          <w:marRight w:val="0"/>
          <w:marTop w:val="0"/>
          <w:marBottom w:val="0"/>
          <w:divBdr>
            <w:top w:val="none" w:sz="0" w:space="0" w:color="auto"/>
            <w:left w:val="none" w:sz="0" w:space="0" w:color="auto"/>
            <w:bottom w:val="none" w:sz="0" w:space="0" w:color="auto"/>
            <w:right w:val="none" w:sz="0" w:space="0" w:color="auto"/>
          </w:divBdr>
        </w:div>
        <w:div w:id="1104879692">
          <w:marLeft w:val="0"/>
          <w:marRight w:val="0"/>
          <w:marTop w:val="0"/>
          <w:marBottom w:val="0"/>
          <w:divBdr>
            <w:top w:val="none" w:sz="0" w:space="0" w:color="auto"/>
            <w:left w:val="none" w:sz="0" w:space="0" w:color="auto"/>
            <w:bottom w:val="none" w:sz="0" w:space="0" w:color="auto"/>
            <w:right w:val="none" w:sz="0" w:space="0" w:color="auto"/>
          </w:divBdr>
        </w:div>
        <w:div w:id="151334521">
          <w:marLeft w:val="0"/>
          <w:marRight w:val="0"/>
          <w:marTop w:val="0"/>
          <w:marBottom w:val="0"/>
          <w:divBdr>
            <w:top w:val="none" w:sz="0" w:space="0" w:color="auto"/>
            <w:left w:val="none" w:sz="0" w:space="0" w:color="auto"/>
            <w:bottom w:val="none" w:sz="0" w:space="0" w:color="auto"/>
            <w:right w:val="none" w:sz="0" w:space="0" w:color="auto"/>
          </w:divBdr>
        </w:div>
        <w:div w:id="1588268425">
          <w:marLeft w:val="0"/>
          <w:marRight w:val="0"/>
          <w:marTop w:val="0"/>
          <w:marBottom w:val="0"/>
          <w:divBdr>
            <w:top w:val="none" w:sz="0" w:space="0" w:color="auto"/>
            <w:left w:val="none" w:sz="0" w:space="0" w:color="auto"/>
            <w:bottom w:val="none" w:sz="0" w:space="0" w:color="auto"/>
            <w:right w:val="none" w:sz="0" w:space="0" w:color="auto"/>
          </w:divBdr>
        </w:div>
        <w:div w:id="977105556">
          <w:marLeft w:val="0"/>
          <w:marRight w:val="0"/>
          <w:marTop w:val="0"/>
          <w:marBottom w:val="0"/>
          <w:divBdr>
            <w:top w:val="none" w:sz="0" w:space="0" w:color="auto"/>
            <w:left w:val="none" w:sz="0" w:space="0" w:color="auto"/>
            <w:bottom w:val="none" w:sz="0" w:space="0" w:color="auto"/>
            <w:right w:val="none" w:sz="0" w:space="0" w:color="auto"/>
          </w:divBdr>
        </w:div>
        <w:div w:id="1170023055">
          <w:marLeft w:val="0"/>
          <w:marRight w:val="0"/>
          <w:marTop w:val="0"/>
          <w:marBottom w:val="0"/>
          <w:divBdr>
            <w:top w:val="none" w:sz="0" w:space="0" w:color="auto"/>
            <w:left w:val="none" w:sz="0" w:space="0" w:color="auto"/>
            <w:bottom w:val="none" w:sz="0" w:space="0" w:color="auto"/>
            <w:right w:val="none" w:sz="0" w:space="0" w:color="auto"/>
          </w:divBdr>
        </w:div>
        <w:div w:id="1679578408">
          <w:marLeft w:val="0"/>
          <w:marRight w:val="0"/>
          <w:marTop w:val="0"/>
          <w:marBottom w:val="0"/>
          <w:divBdr>
            <w:top w:val="none" w:sz="0" w:space="0" w:color="auto"/>
            <w:left w:val="none" w:sz="0" w:space="0" w:color="auto"/>
            <w:bottom w:val="none" w:sz="0" w:space="0" w:color="auto"/>
            <w:right w:val="none" w:sz="0" w:space="0" w:color="auto"/>
          </w:divBdr>
        </w:div>
        <w:div w:id="2036346558">
          <w:marLeft w:val="0"/>
          <w:marRight w:val="0"/>
          <w:marTop w:val="0"/>
          <w:marBottom w:val="0"/>
          <w:divBdr>
            <w:top w:val="none" w:sz="0" w:space="0" w:color="auto"/>
            <w:left w:val="none" w:sz="0" w:space="0" w:color="auto"/>
            <w:bottom w:val="none" w:sz="0" w:space="0" w:color="auto"/>
            <w:right w:val="none" w:sz="0" w:space="0" w:color="auto"/>
          </w:divBdr>
        </w:div>
        <w:div w:id="1164978854">
          <w:marLeft w:val="0"/>
          <w:marRight w:val="0"/>
          <w:marTop w:val="0"/>
          <w:marBottom w:val="0"/>
          <w:divBdr>
            <w:top w:val="none" w:sz="0" w:space="0" w:color="auto"/>
            <w:left w:val="none" w:sz="0" w:space="0" w:color="auto"/>
            <w:bottom w:val="none" w:sz="0" w:space="0" w:color="auto"/>
            <w:right w:val="none" w:sz="0" w:space="0" w:color="auto"/>
          </w:divBdr>
        </w:div>
        <w:div w:id="1154100987">
          <w:marLeft w:val="0"/>
          <w:marRight w:val="0"/>
          <w:marTop w:val="0"/>
          <w:marBottom w:val="0"/>
          <w:divBdr>
            <w:top w:val="none" w:sz="0" w:space="0" w:color="auto"/>
            <w:left w:val="none" w:sz="0" w:space="0" w:color="auto"/>
            <w:bottom w:val="none" w:sz="0" w:space="0" w:color="auto"/>
            <w:right w:val="none" w:sz="0" w:space="0" w:color="auto"/>
          </w:divBdr>
        </w:div>
      </w:divsChild>
    </w:div>
    <w:div w:id="1760977051">
      <w:bodyDiv w:val="1"/>
      <w:marLeft w:val="0"/>
      <w:marRight w:val="0"/>
      <w:marTop w:val="0"/>
      <w:marBottom w:val="0"/>
      <w:divBdr>
        <w:top w:val="none" w:sz="0" w:space="0" w:color="auto"/>
        <w:left w:val="none" w:sz="0" w:space="0" w:color="auto"/>
        <w:bottom w:val="none" w:sz="0" w:space="0" w:color="auto"/>
        <w:right w:val="none" w:sz="0" w:space="0" w:color="auto"/>
      </w:divBdr>
      <w:divsChild>
        <w:div w:id="1282419368">
          <w:marLeft w:val="0"/>
          <w:marRight w:val="0"/>
          <w:marTop w:val="0"/>
          <w:marBottom w:val="0"/>
          <w:divBdr>
            <w:top w:val="none" w:sz="0" w:space="0" w:color="auto"/>
            <w:left w:val="none" w:sz="0" w:space="0" w:color="auto"/>
            <w:bottom w:val="none" w:sz="0" w:space="0" w:color="auto"/>
            <w:right w:val="none" w:sz="0" w:space="0" w:color="auto"/>
          </w:divBdr>
        </w:div>
        <w:div w:id="2012220735">
          <w:marLeft w:val="0"/>
          <w:marRight w:val="0"/>
          <w:marTop w:val="0"/>
          <w:marBottom w:val="0"/>
          <w:divBdr>
            <w:top w:val="none" w:sz="0" w:space="0" w:color="auto"/>
            <w:left w:val="none" w:sz="0" w:space="0" w:color="auto"/>
            <w:bottom w:val="none" w:sz="0" w:space="0" w:color="auto"/>
            <w:right w:val="none" w:sz="0" w:space="0" w:color="auto"/>
          </w:divBdr>
        </w:div>
        <w:div w:id="742338760">
          <w:marLeft w:val="0"/>
          <w:marRight w:val="0"/>
          <w:marTop w:val="0"/>
          <w:marBottom w:val="0"/>
          <w:divBdr>
            <w:top w:val="none" w:sz="0" w:space="0" w:color="auto"/>
            <w:left w:val="none" w:sz="0" w:space="0" w:color="auto"/>
            <w:bottom w:val="none" w:sz="0" w:space="0" w:color="auto"/>
            <w:right w:val="none" w:sz="0" w:space="0" w:color="auto"/>
          </w:divBdr>
        </w:div>
        <w:div w:id="2075544878">
          <w:marLeft w:val="0"/>
          <w:marRight w:val="0"/>
          <w:marTop w:val="0"/>
          <w:marBottom w:val="0"/>
          <w:divBdr>
            <w:top w:val="none" w:sz="0" w:space="0" w:color="auto"/>
            <w:left w:val="none" w:sz="0" w:space="0" w:color="auto"/>
            <w:bottom w:val="none" w:sz="0" w:space="0" w:color="auto"/>
            <w:right w:val="none" w:sz="0" w:space="0" w:color="auto"/>
          </w:divBdr>
        </w:div>
        <w:div w:id="1852448513">
          <w:marLeft w:val="0"/>
          <w:marRight w:val="0"/>
          <w:marTop w:val="0"/>
          <w:marBottom w:val="0"/>
          <w:divBdr>
            <w:top w:val="none" w:sz="0" w:space="0" w:color="auto"/>
            <w:left w:val="none" w:sz="0" w:space="0" w:color="auto"/>
            <w:bottom w:val="none" w:sz="0" w:space="0" w:color="auto"/>
            <w:right w:val="none" w:sz="0" w:space="0" w:color="auto"/>
          </w:divBdr>
        </w:div>
        <w:div w:id="1783766081">
          <w:marLeft w:val="0"/>
          <w:marRight w:val="0"/>
          <w:marTop w:val="0"/>
          <w:marBottom w:val="0"/>
          <w:divBdr>
            <w:top w:val="none" w:sz="0" w:space="0" w:color="auto"/>
            <w:left w:val="none" w:sz="0" w:space="0" w:color="auto"/>
            <w:bottom w:val="none" w:sz="0" w:space="0" w:color="auto"/>
            <w:right w:val="none" w:sz="0" w:space="0" w:color="auto"/>
          </w:divBdr>
        </w:div>
        <w:div w:id="2134590559">
          <w:marLeft w:val="0"/>
          <w:marRight w:val="0"/>
          <w:marTop w:val="0"/>
          <w:marBottom w:val="0"/>
          <w:divBdr>
            <w:top w:val="none" w:sz="0" w:space="0" w:color="auto"/>
            <w:left w:val="none" w:sz="0" w:space="0" w:color="auto"/>
            <w:bottom w:val="none" w:sz="0" w:space="0" w:color="auto"/>
            <w:right w:val="none" w:sz="0" w:space="0" w:color="auto"/>
          </w:divBdr>
        </w:div>
        <w:div w:id="266621601">
          <w:marLeft w:val="0"/>
          <w:marRight w:val="0"/>
          <w:marTop w:val="0"/>
          <w:marBottom w:val="0"/>
          <w:divBdr>
            <w:top w:val="none" w:sz="0" w:space="0" w:color="auto"/>
            <w:left w:val="none" w:sz="0" w:space="0" w:color="auto"/>
            <w:bottom w:val="none" w:sz="0" w:space="0" w:color="auto"/>
            <w:right w:val="none" w:sz="0" w:space="0" w:color="auto"/>
          </w:divBdr>
        </w:div>
        <w:div w:id="447822508">
          <w:marLeft w:val="0"/>
          <w:marRight w:val="0"/>
          <w:marTop w:val="0"/>
          <w:marBottom w:val="0"/>
          <w:divBdr>
            <w:top w:val="none" w:sz="0" w:space="0" w:color="auto"/>
            <w:left w:val="none" w:sz="0" w:space="0" w:color="auto"/>
            <w:bottom w:val="none" w:sz="0" w:space="0" w:color="auto"/>
            <w:right w:val="none" w:sz="0" w:space="0" w:color="auto"/>
          </w:divBdr>
        </w:div>
        <w:div w:id="1828394827">
          <w:marLeft w:val="0"/>
          <w:marRight w:val="0"/>
          <w:marTop w:val="0"/>
          <w:marBottom w:val="0"/>
          <w:divBdr>
            <w:top w:val="none" w:sz="0" w:space="0" w:color="auto"/>
            <w:left w:val="none" w:sz="0" w:space="0" w:color="auto"/>
            <w:bottom w:val="none" w:sz="0" w:space="0" w:color="auto"/>
            <w:right w:val="none" w:sz="0" w:space="0" w:color="auto"/>
          </w:divBdr>
        </w:div>
        <w:div w:id="381637597">
          <w:marLeft w:val="0"/>
          <w:marRight w:val="0"/>
          <w:marTop w:val="0"/>
          <w:marBottom w:val="0"/>
          <w:divBdr>
            <w:top w:val="none" w:sz="0" w:space="0" w:color="auto"/>
            <w:left w:val="none" w:sz="0" w:space="0" w:color="auto"/>
            <w:bottom w:val="none" w:sz="0" w:space="0" w:color="auto"/>
            <w:right w:val="none" w:sz="0" w:space="0" w:color="auto"/>
          </w:divBdr>
        </w:div>
        <w:div w:id="1731225126">
          <w:marLeft w:val="0"/>
          <w:marRight w:val="0"/>
          <w:marTop w:val="0"/>
          <w:marBottom w:val="0"/>
          <w:divBdr>
            <w:top w:val="none" w:sz="0" w:space="0" w:color="auto"/>
            <w:left w:val="none" w:sz="0" w:space="0" w:color="auto"/>
            <w:bottom w:val="none" w:sz="0" w:space="0" w:color="auto"/>
            <w:right w:val="none" w:sz="0" w:space="0" w:color="auto"/>
          </w:divBdr>
        </w:div>
      </w:divsChild>
    </w:div>
    <w:div w:id="1788893680">
      <w:bodyDiv w:val="1"/>
      <w:marLeft w:val="0"/>
      <w:marRight w:val="0"/>
      <w:marTop w:val="0"/>
      <w:marBottom w:val="0"/>
      <w:divBdr>
        <w:top w:val="none" w:sz="0" w:space="0" w:color="auto"/>
        <w:left w:val="none" w:sz="0" w:space="0" w:color="auto"/>
        <w:bottom w:val="none" w:sz="0" w:space="0" w:color="auto"/>
        <w:right w:val="none" w:sz="0" w:space="0" w:color="auto"/>
      </w:divBdr>
      <w:divsChild>
        <w:div w:id="137574453">
          <w:marLeft w:val="0"/>
          <w:marRight w:val="0"/>
          <w:marTop w:val="0"/>
          <w:marBottom w:val="0"/>
          <w:divBdr>
            <w:top w:val="none" w:sz="0" w:space="0" w:color="auto"/>
            <w:left w:val="none" w:sz="0" w:space="0" w:color="auto"/>
            <w:bottom w:val="none" w:sz="0" w:space="0" w:color="auto"/>
            <w:right w:val="none" w:sz="0" w:space="0" w:color="auto"/>
          </w:divBdr>
        </w:div>
        <w:div w:id="1960606782">
          <w:marLeft w:val="0"/>
          <w:marRight w:val="0"/>
          <w:marTop w:val="0"/>
          <w:marBottom w:val="0"/>
          <w:divBdr>
            <w:top w:val="none" w:sz="0" w:space="0" w:color="auto"/>
            <w:left w:val="none" w:sz="0" w:space="0" w:color="auto"/>
            <w:bottom w:val="none" w:sz="0" w:space="0" w:color="auto"/>
            <w:right w:val="none" w:sz="0" w:space="0" w:color="auto"/>
          </w:divBdr>
        </w:div>
        <w:div w:id="307051299">
          <w:marLeft w:val="0"/>
          <w:marRight w:val="0"/>
          <w:marTop w:val="0"/>
          <w:marBottom w:val="0"/>
          <w:divBdr>
            <w:top w:val="none" w:sz="0" w:space="0" w:color="auto"/>
            <w:left w:val="none" w:sz="0" w:space="0" w:color="auto"/>
            <w:bottom w:val="none" w:sz="0" w:space="0" w:color="auto"/>
            <w:right w:val="none" w:sz="0" w:space="0" w:color="auto"/>
          </w:divBdr>
        </w:div>
        <w:div w:id="1497107696">
          <w:marLeft w:val="0"/>
          <w:marRight w:val="0"/>
          <w:marTop w:val="0"/>
          <w:marBottom w:val="0"/>
          <w:divBdr>
            <w:top w:val="none" w:sz="0" w:space="0" w:color="auto"/>
            <w:left w:val="none" w:sz="0" w:space="0" w:color="auto"/>
            <w:bottom w:val="none" w:sz="0" w:space="0" w:color="auto"/>
            <w:right w:val="none" w:sz="0" w:space="0" w:color="auto"/>
          </w:divBdr>
        </w:div>
        <w:div w:id="1394356993">
          <w:marLeft w:val="0"/>
          <w:marRight w:val="0"/>
          <w:marTop w:val="0"/>
          <w:marBottom w:val="0"/>
          <w:divBdr>
            <w:top w:val="none" w:sz="0" w:space="0" w:color="auto"/>
            <w:left w:val="none" w:sz="0" w:space="0" w:color="auto"/>
            <w:bottom w:val="none" w:sz="0" w:space="0" w:color="auto"/>
            <w:right w:val="none" w:sz="0" w:space="0" w:color="auto"/>
          </w:divBdr>
        </w:div>
        <w:div w:id="861437121">
          <w:marLeft w:val="0"/>
          <w:marRight w:val="0"/>
          <w:marTop w:val="0"/>
          <w:marBottom w:val="0"/>
          <w:divBdr>
            <w:top w:val="none" w:sz="0" w:space="0" w:color="auto"/>
            <w:left w:val="none" w:sz="0" w:space="0" w:color="auto"/>
            <w:bottom w:val="none" w:sz="0" w:space="0" w:color="auto"/>
            <w:right w:val="none" w:sz="0" w:space="0" w:color="auto"/>
          </w:divBdr>
        </w:div>
        <w:div w:id="375545567">
          <w:marLeft w:val="0"/>
          <w:marRight w:val="0"/>
          <w:marTop w:val="0"/>
          <w:marBottom w:val="0"/>
          <w:divBdr>
            <w:top w:val="none" w:sz="0" w:space="0" w:color="auto"/>
            <w:left w:val="none" w:sz="0" w:space="0" w:color="auto"/>
            <w:bottom w:val="none" w:sz="0" w:space="0" w:color="auto"/>
            <w:right w:val="none" w:sz="0" w:space="0" w:color="auto"/>
          </w:divBdr>
        </w:div>
        <w:div w:id="1072971492">
          <w:marLeft w:val="0"/>
          <w:marRight w:val="0"/>
          <w:marTop w:val="0"/>
          <w:marBottom w:val="0"/>
          <w:divBdr>
            <w:top w:val="none" w:sz="0" w:space="0" w:color="auto"/>
            <w:left w:val="none" w:sz="0" w:space="0" w:color="auto"/>
            <w:bottom w:val="none" w:sz="0" w:space="0" w:color="auto"/>
            <w:right w:val="none" w:sz="0" w:space="0" w:color="auto"/>
          </w:divBdr>
        </w:div>
        <w:div w:id="1466847283">
          <w:marLeft w:val="0"/>
          <w:marRight w:val="0"/>
          <w:marTop w:val="0"/>
          <w:marBottom w:val="0"/>
          <w:divBdr>
            <w:top w:val="none" w:sz="0" w:space="0" w:color="auto"/>
            <w:left w:val="none" w:sz="0" w:space="0" w:color="auto"/>
            <w:bottom w:val="none" w:sz="0" w:space="0" w:color="auto"/>
            <w:right w:val="none" w:sz="0" w:space="0" w:color="auto"/>
          </w:divBdr>
        </w:div>
        <w:div w:id="1245990590">
          <w:marLeft w:val="0"/>
          <w:marRight w:val="0"/>
          <w:marTop w:val="0"/>
          <w:marBottom w:val="0"/>
          <w:divBdr>
            <w:top w:val="none" w:sz="0" w:space="0" w:color="auto"/>
            <w:left w:val="none" w:sz="0" w:space="0" w:color="auto"/>
            <w:bottom w:val="none" w:sz="0" w:space="0" w:color="auto"/>
            <w:right w:val="none" w:sz="0" w:space="0" w:color="auto"/>
          </w:divBdr>
        </w:div>
        <w:div w:id="22948938">
          <w:marLeft w:val="0"/>
          <w:marRight w:val="0"/>
          <w:marTop w:val="0"/>
          <w:marBottom w:val="0"/>
          <w:divBdr>
            <w:top w:val="none" w:sz="0" w:space="0" w:color="auto"/>
            <w:left w:val="none" w:sz="0" w:space="0" w:color="auto"/>
            <w:bottom w:val="none" w:sz="0" w:space="0" w:color="auto"/>
            <w:right w:val="none" w:sz="0" w:space="0" w:color="auto"/>
          </w:divBdr>
        </w:div>
        <w:div w:id="786049898">
          <w:marLeft w:val="0"/>
          <w:marRight w:val="0"/>
          <w:marTop w:val="0"/>
          <w:marBottom w:val="0"/>
          <w:divBdr>
            <w:top w:val="none" w:sz="0" w:space="0" w:color="auto"/>
            <w:left w:val="none" w:sz="0" w:space="0" w:color="auto"/>
            <w:bottom w:val="none" w:sz="0" w:space="0" w:color="auto"/>
            <w:right w:val="none" w:sz="0" w:space="0" w:color="auto"/>
          </w:divBdr>
        </w:div>
        <w:div w:id="190657107">
          <w:marLeft w:val="0"/>
          <w:marRight w:val="0"/>
          <w:marTop w:val="0"/>
          <w:marBottom w:val="0"/>
          <w:divBdr>
            <w:top w:val="none" w:sz="0" w:space="0" w:color="auto"/>
            <w:left w:val="none" w:sz="0" w:space="0" w:color="auto"/>
            <w:bottom w:val="none" w:sz="0" w:space="0" w:color="auto"/>
            <w:right w:val="none" w:sz="0" w:space="0" w:color="auto"/>
          </w:divBdr>
        </w:div>
        <w:div w:id="931279627">
          <w:marLeft w:val="0"/>
          <w:marRight w:val="0"/>
          <w:marTop w:val="0"/>
          <w:marBottom w:val="0"/>
          <w:divBdr>
            <w:top w:val="none" w:sz="0" w:space="0" w:color="auto"/>
            <w:left w:val="none" w:sz="0" w:space="0" w:color="auto"/>
            <w:bottom w:val="none" w:sz="0" w:space="0" w:color="auto"/>
            <w:right w:val="none" w:sz="0" w:space="0" w:color="auto"/>
          </w:divBdr>
        </w:div>
        <w:div w:id="850948126">
          <w:marLeft w:val="0"/>
          <w:marRight w:val="0"/>
          <w:marTop w:val="0"/>
          <w:marBottom w:val="0"/>
          <w:divBdr>
            <w:top w:val="none" w:sz="0" w:space="0" w:color="auto"/>
            <w:left w:val="none" w:sz="0" w:space="0" w:color="auto"/>
            <w:bottom w:val="none" w:sz="0" w:space="0" w:color="auto"/>
            <w:right w:val="none" w:sz="0" w:space="0" w:color="auto"/>
          </w:divBdr>
        </w:div>
        <w:div w:id="1776293295">
          <w:marLeft w:val="0"/>
          <w:marRight w:val="0"/>
          <w:marTop w:val="0"/>
          <w:marBottom w:val="0"/>
          <w:divBdr>
            <w:top w:val="none" w:sz="0" w:space="0" w:color="auto"/>
            <w:left w:val="none" w:sz="0" w:space="0" w:color="auto"/>
            <w:bottom w:val="none" w:sz="0" w:space="0" w:color="auto"/>
            <w:right w:val="none" w:sz="0" w:space="0" w:color="auto"/>
          </w:divBdr>
        </w:div>
        <w:div w:id="2042704202">
          <w:marLeft w:val="0"/>
          <w:marRight w:val="0"/>
          <w:marTop w:val="0"/>
          <w:marBottom w:val="0"/>
          <w:divBdr>
            <w:top w:val="none" w:sz="0" w:space="0" w:color="auto"/>
            <w:left w:val="none" w:sz="0" w:space="0" w:color="auto"/>
            <w:bottom w:val="none" w:sz="0" w:space="0" w:color="auto"/>
            <w:right w:val="none" w:sz="0" w:space="0" w:color="auto"/>
          </w:divBdr>
        </w:div>
      </w:divsChild>
    </w:div>
    <w:div w:id="1803186136">
      <w:bodyDiv w:val="1"/>
      <w:marLeft w:val="0"/>
      <w:marRight w:val="0"/>
      <w:marTop w:val="0"/>
      <w:marBottom w:val="0"/>
      <w:divBdr>
        <w:top w:val="none" w:sz="0" w:space="0" w:color="auto"/>
        <w:left w:val="none" w:sz="0" w:space="0" w:color="auto"/>
        <w:bottom w:val="none" w:sz="0" w:space="0" w:color="auto"/>
        <w:right w:val="none" w:sz="0" w:space="0" w:color="auto"/>
      </w:divBdr>
      <w:divsChild>
        <w:div w:id="378239219">
          <w:marLeft w:val="0"/>
          <w:marRight w:val="0"/>
          <w:marTop w:val="0"/>
          <w:marBottom w:val="0"/>
          <w:divBdr>
            <w:top w:val="none" w:sz="0" w:space="0" w:color="auto"/>
            <w:left w:val="none" w:sz="0" w:space="0" w:color="auto"/>
            <w:bottom w:val="none" w:sz="0" w:space="0" w:color="auto"/>
            <w:right w:val="none" w:sz="0" w:space="0" w:color="auto"/>
          </w:divBdr>
        </w:div>
        <w:div w:id="562299224">
          <w:marLeft w:val="0"/>
          <w:marRight w:val="0"/>
          <w:marTop w:val="0"/>
          <w:marBottom w:val="0"/>
          <w:divBdr>
            <w:top w:val="none" w:sz="0" w:space="0" w:color="auto"/>
            <w:left w:val="none" w:sz="0" w:space="0" w:color="auto"/>
            <w:bottom w:val="none" w:sz="0" w:space="0" w:color="auto"/>
            <w:right w:val="none" w:sz="0" w:space="0" w:color="auto"/>
          </w:divBdr>
        </w:div>
        <w:div w:id="411515836">
          <w:marLeft w:val="0"/>
          <w:marRight w:val="0"/>
          <w:marTop w:val="0"/>
          <w:marBottom w:val="0"/>
          <w:divBdr>
            <w:top w:val="none" w:sz="0" w:space="0" w:color="auto"/>
            <w:left w:val="none" w:sz="0" w:space="0" w:color="auto"/>
            <w:bottom w:val="none" w:sz="0" w:space="0" w:color="auto"/>
            <w:right w:val="none" w:sz="0" w:space="0" w:color="auto"/>
          </w:divBdr>
        </w:div>
        <w:div w:id="739251083">
          <w:marLeft w:val="0"/>
          <w:marRight w:val="0"/>
          <w:marTop w:val="0"/>
          <w:marBottom w:val="0"/>
          <w:divBdr>
            <w:top w:val="none" w:sz="0" w:space="0" w:color="auto"/>
            <w:left w:val="none" w:sz="0" w:space="0" w:color="auto"/>
            <w:bottom w:val="none" w:sz="0" w:space="0" w:color="auto"/>
            <w:right w:val="none" w:sz="0" w:space="0" w:color="auto"/>
          </w:divBdr>
        </w:div>
        <w:div w:id="1500609294">
          <w:marLeft w:val="0"/>
          <w:marRight w:val="0"/>
          <w:marTop w:val="0"/>
          <w:marBottom w:val="0"/>
          <w:divBdr>
            <w:top w:val="none" w:sz="0" w:space="0" w:color="auto"/>
            <w:left w:val="none" w:sz="0" w:space="0" w:color="auto"/>
            <w:bottom w:val="none" w:sz="0" w:space="0" w:color="auto"/>
            <w:right w:val="none" w:sz="0" w:space="0" w:color="auto"/>
          </w:divBdr>
        </w:div>
        <w:div w:id="90207314">
          <w:marLeft w:val="0"/>
          <w:marRight w:val="0"/>
          <w:marTop w:val="0"/>
          <w:marBottom w:val="0"/>
          <w:divBdr>
            <w:top w:val="none" w:sz="0" w:space="0" w:color="auto"/>
            <w:left w:val="none" w:sz="0" w:space="0" w:color="auto"/>
            <w:bottom w:val="none" w:sz="0" w:space="0" w:color="auto"/>
            <w:right w:val="none" w:sz="0" w:space="0" w:color="auto"/>
          </w:divBdr>
        </w:div>
        <w:div w:id="683557235">
          <w:marLeft w:val="0"/>
          <w:marRight w:val="0"/>
          <w:marTop w:val="0"/>
          <w:marBottom w:val="0"/>
          <w:divBdr>
            <w:top w:val="none" w:sz="0" w:space="0" w:color="auto"/>
            <w:left w:val="none" w:sz="0" w:space="0" w:color="auto"/>
            <w:bottom w:val="none" w:sz="0" w:space="0" w:color="auto"/>
            <w:right w:val="none" w:sz="0" w:space="0" w:color="auto"/>
          </w:divBdr>
        </w:div>
        <w:div w:id="2009212517">
          <w:marLeft w:val="0"/>
          <w:marRight w:val="0"/>
          <w:marTop w:val="0"/>
          <w:marBottom w:val="0"/>
          <w:divBdr>
            <w:top w:val="none" w:sz="0" w:space="0" w:color="auto"/>
            <w:left w:val="none" w:sz="0" w:space="0" w:color="auto"/>
            <w:bottom w:val="none" w:sz="0" w:space="0" w:color="auto"/>
            <w:right w:val="none" w:sz="0" w:space="0" w:color="auto"/>
          </w:divBdr>
        </w:div>
        <w:div w:id="2089033306">
          <w:marLeft w:val="0"/>
          <w:marRight w:val="0"/>
          <w:marTop w:val="0"/>
          <w:marBottom w:val="0"/>
          <w:divBdr>
            <w:top w:val="none" w:sz="0" w:space="0" w:color="auto"/>
            <w:left w:val="none" w:sz="0" w:space="0" w:color="auto"/>
            <w:bottom w:val="none" w:sz="0" w:space="0" w:color="auto"/>
            <w:right w:val="none" w:sz="0" w:space="0" w:color="auto"/>
          </w:divBdr>
        </w:div>
        <w:div w:id="66659773">
          <w:marLeft w:val="0"/>
          <w:marRight w:val="0"/>
          <w:marTop w:val="0"/>
          <w:marBottom w:val="0"/>
          <w:divBdr>
            <w:top w:val="none" w:sz="0" w:space="0" w:color="auto"/>
            <w:left w:val="none" w:sz="0" w:space="0" w:color="auto"/>
            <w:bottom w:val="none" w:sz="0" w:space="0" w:color="auto"/>
            <w:right w:val="none" w:sz="0" w:space="0" w:color="auto"/>
          </w:divBdr>
        </w:div>
        <w:div w:id="1776365747">
          <w:marLeft w:val="0"/>
          <w:marRight w:val="0"/>
          <w:marTop w:val="0"/>
          <w:marBottom w:val="0"/>
          <w:divBdr>
            <w:top w:val="none" w:sz="0" w:space="0" w:color="auto"/>
            <w:left w:val="none" w:sz="0" w:space="0" w:color="auto"/>
            <w:bottom w:val="none" w:sz="0" w:space="0" w:color="auto"/>
            <w:right w:val="none" w:sz="0" w:space="0" w:color="auto"/>
          </w:divBdr>
        </w:div>
        <w:div w:id="1373575643">
          <w:marLeft w:val="0"/>
          <w:marRight w:val="0"/>
          <w:marTop w:val="0"/>
          <w:marBottom w:val="0"/>
          <w:divBdr>
            <w:top w:val="none" w:sz="0" w:space="0" w:color="auto"/>
            <w:left w:val="none" w:sz="0" w:space="0" w:color="auto"/>
            <w:bottom w:val="none" w:sz="0" w:space="0" w:color="auto"/>
            <w:right w:val="none" w:sz="0" w:space="0" w:color="auto"/>
          </w:divBdr>
        </w:div>
        <w:div w:id="1918898363">
          <w:marLeft w:val="0"/>
          <w:marRight w:val="0"/>
          <w:marTop w:val="0"/>
          <w:marBottom w:val="0"/>
          <w:divBdr>
            <w:top w:val="none" w:sz="0" w:space="0" w:color="auto"/>
            <w:left w:val="none" w:sz="0" w:space="0" w:color="auto"/>
            <w:bottom w:val="none" w:sz="0" w:space="0" w:color="auto"/>
            <w:right w:val="none" w:sz="0" w:space="0" w:color="auto"/>
          </w:divBdr>
        </w:div>
        <w:div w:id="1836800096">
          <w:marLeft w:val="0"/>
          <w:marRight w:val="0"/>
          <w:marTop w:val="0"/>
          <w:marBottom w:val="0"/>
          <w:divBdr>
            <w:top w:val="none" w:sz="0" w:space="0" w:color="auto"/>
            <w:left w:val="none" w:sz="0" w:space="0" w:color="auto"/>
            <w:bottom w:val="none" w:sz="0" w:space="0" w:color="auto"/>
            <w:right w:val="none" w:sz="0" w:space="0" w:color="auto"/>
          </w:divBdr>
        </w:div>
        <w:div w:id="1925186781">
          <w:marLeft w:val="0"/>
          <w:marRight w:val="0"/>
          <w:marTop w:val="0"/>
          <w:marBottom w:val="0"/>
          <w:divBdr>
            <w:top w:val="none" w:sz="0" w:space="0" w:color="auto"/>
            <w:left w:val="none" w:sz="0" w:space="0" w:color="auto"/>
            <w:bottom w:val="none" w:sz="0" w:space="0" w:color="auto"/>
            <w:right w:val="none" w:sz="0" w:space="0" w:color="auto"/>
          </w:divBdr>
        </w:div>
        <w:div w:id="268197781">
          <w:marLeft w:val="0"/>
          <w:marRight w:val="0"/>
          <w:marTop w:val="0"/>
          <w:marBottom w:val="0"/>
          <w:divBdr>
            <w:top w:val="none" w:sz="0" w:space="0" w:color="auto"/>
            <w:left w:val="none" w:sz="0" w:space="0" w:color="auto"/>
            <w:bottom w:val="none" w:sz="0" w:space="0" w:color="auto"/>
            <w:right w:val="none" w:sz="0" w:space="0" w:color="auto"/>
          </w:divBdr>
        </w:div>
        <w:div w:id="162283067">
          <w:marLeft w:val="0"/>
          <w:marRight w:val="0"/>
          <w:marTop w:val="0"/>
          <w:marBottom w:val="0"/>
          <w:divBdr>
            <w:top w:val="none" w:sz="0" w:space="0" w:color="auto"/>
            <w:left w:val="none" w:sz="0" w:space="0" w:color="auto"/>
            <w:bottom w:val="none" w:sz="0" w:space="0" w:color="auto"/>
            <w:right w:val="none" w:sz="0" w:space="0" w:color="auto"/>
          </w:divBdr>
        </w:div>
      </w:divsChild>
    </w:div>
    <w:div w:id="1886526450">
      <w:bodyDiv w:val="1"/>
      <w:marLeft w:val="0"/>
      <w:marRight w:val="0"/>
      <w:marTop w:val="0"/>
      <w:marBottom w:val="0"/>
      <w:divBdr>
        <w:top w:val="none" w:sz="0" w:space="0" w:color="auto"/>
        <w:left w:val="none" w:sz="0" w:space="0" w:color="auto"/>
        <w:bottom w:val="none" w:sz="0" w:space="0" w:color="auto"/>
        <w:right w:val="none" w:sz="0" w:space="0" w:color="auto"/>
      </w:divBdr>
      <w:divsChild>
        <w:div w:id="695237427">
          <w:marLeft w:val="0"/>
          <w:marRight w:val="0"/>
          <w:marTop w:val="0"/>
          <w:marBottom w:val="0"/>
          <w:divBdr>
            <w:top w:val="none" w:sz="0" w:space="0" w:color="auto"/>
            <w:left w:val="none" w:sz="0" w:space="0" w:color="auto"/>
            <w:bottom w:val="none" w:sz="0" w:space="0" w:color="auto"/>
            <w:right w:val="none" w:sz="0" w:space="0" w:color="auto"/>
          </w:divBdr>
        </w:div>
        <w:div w:id="303045997">
          <w:marLeft w:val="0"/>
          <w:marRight w:val="0"/>
          <w:marTop w:val="0"/>
          <w:marBottom w:val="0"/>
          <w:divBdr>
            <w:top w:val="none" w:sz="0" w:space="0" w:color="auto"/>
            <w:left w:val="none" w:sz="0" w:space="0" w:color="auto"/>
            <w:bottom w:val="none" w:sz="0" w:space="0" w:color="auto"/>
            <w:right w:val="none" w:sz="0" w:space="0" w:color="auto"/>
          </w:divBdr>
        </w:div>
        <w:div w:id="1935703330">
          <w:marLeft w:val="0"/>
          <w:marRight w:val="0"/>
          <w:marTop w:val="0"/>
          <w:marBottom w:val="0"/>
          <w:divBdr>
            <w:top w:val="none" w:sz="0" w:space="0" w:color="auto"/>
            <w:left w:val="none" w:sz="0" w:space="0" w:color="auto"/>
            <w:bottom w:val="none" w:sz="0" w:space="0" w:color="auto"/>
            <w:right w:val="none" w:sz="0" w:space="0" w:color="auto"/>
          </w:divBdr>
        </w:div>
        <w:div w:id="577835994">
          <w:marLeft w:val="0"/>
          <w:marRight w:val="0"/>
          <w:marTop w:val="0"/>
          <w:marBottom w:val="0"/>
          <w:divBdr>
            <w:top w:val="none" w:sz="0" w:space="0" w:color="auto"/>
            <w:left w:val="none" w:sz="0" w:space="0" w:color="auto"/>
            <w:bottom w:val="none" w:sz="0" w:space="0" w:color="auto"/>
            <w:right w:val="none" w:sz="0" w:space="0" w:color="auto"/>
          </w:divBdr>
        </w:div>
        <w:div w:id="647169876">
          <w:marLeft w:val="0"/>
          <w:marRight w:val="0"/>
          <w:marTop w:val="0"/>
          <w:marBottom w:val="0"/>
          <w:divBdr>
            <w:top w:val="none" w:sz="0" w:space="0" w:color="auto"/>
            <w:left w:val="none" w:sz="0" w:space="0" w:color="auto"/>
            <w:bottom w:val="none" w:sz="0" w:space="0" w:color="auto"/>
            <w:right w:val="none" w:sz="0" w:space="0" w:color="auto"/>
          </w:divBdr>
        </w:div>
        <w:div w:id="667756910">
          <w:marLeft w:val="0"/>
          <w:marRight w:val="0"/>
          <w:marTop w:val="0"/>
          <w:marBottom w:val="0"/>
          <w:divBdr>
            <w:top w:val="none" w:sz="0" w:space="0" w:color="auto"/>
            <w:left w:val="none" w:sz="0" w:space="0" w:color="auto"/>
            <w:bottom w:val="none" w:sz="0" w:space="0" w:color="auto"/>
            <w:right w:val="none" w:sz="0" w:space="0" w:color="auto"/>
          </w:divBdr>
        </w:div>
      </w:divsChild>
    </w:div>
    <w:div w:id="1940213396">
      <w:bodyDiv w:val="1"/>
      <w:marLeft w:val="0"/>
      <w:marRight w:val="0"/>
      <w:marTop w:val="0"/>
      <w:marBottom w:val="0"/>
      <w:divBdr>
        <w:top w:val="none" w:sz="0" w:space="0" w:color="auto"/>
        <w:left w:val="none" w:sz="0" w:space="0" w:color="auto"/>
        <w:bottom w:val="none" w:sz="0" w:space="0" w:color="auto"/>
        <w:right w:val="none" w:sz="0" w:space="0" w:color="auto"/>
      </w:divBdr>
      <w:divsChild>
        <w:div w:id="2117291959">
          <w:marLeft w:val="0"/>
          <w:marRight w:val="0"/>
          <w:marTop w:val="0"/>
          <w:marBottom w:val="0"/>
          <w:divBdr>
            <w:top w:val="none" w:sz="0" w:space="0" w:color="auto"/>
            <w:left w:val="none" w:sz="0" w:space="0" w:color="auto"/>
            <w:bottom w:val="none" w:sz="0" w:space="0" w:color="auto"/>
            <w:right w:val="none" w:sz="0" w:space="0" w:color="auto"/>
          </w:divBdr>
        </w:div>
        <w:div w:id="1013340886">
          <w:marLeft w:val="0"/>
          <w:marRight w:val="0"/>
          <w:marTop w:val="0"/>
          <w:marBottom w:val="0"/>
          <w:divBdr>
            <w:top w:val="none" w:sz="0" w:space="0" w:color="auto"/>
            <w:left w:val="none" w:sz="0" w:space="0" w:color="auto"/>
            <w:bottom w:val="none" w:sz="0" w:space="0" w:color="auto"/>
            <w:right w:val="none" w:sz="0" w:space="0" w:color="auto"/>
          </w:divBdr>
        </w:div>
        <w:div w:id="1857115417">
          <w:marLeft w:val="0"/>
          <w:marRight w:val="0"/>
          <w:marTop w:val="0"/>
          <w:marBottom w:val="0"/>
          <w:divBdr>
            <w:top w:val="none" w:sz="0" w:space="0" w:color="auto"/>
            <w:left w:val="none" w:sz="0" w:space="0" w:color="auto"/>
            <w:bottom w:val="none" w:sz="0" w:space="0" w:color="auto"/>
            <w:right w:val="none" w:sz="0" w:space="0" w:color="auto"/>
          </w:divBdr>
        </w:div>
        <w:div w:id="1335645551">
          <w:marLeft w:val="0"/>
          <w:marRight w:val="0"/>
          <w:marTop w:val="0"/>
          <w:marBottom w:val="0"/>
          <w:divBdr>
            <w:top w:val="none" w:sz="0" w:space="0" w:color="auto"/>
            <w:left w:val="none" w:sz="0" w:space="0" w:color="auto"/>
            <w:bottom w:val="none" w:sz="0" w:space="0" w:color="auto"/>
            <w:right w:val="none" w:sz="0" w:space="0" w:color="auto"/>
          </w:divBdr>
        </w:div>
        <w:div w:id="640699215">
          <w:marLeft w:val="0"/>
          <w:marRight w:val="0"/>
          <w:marTop w:val="0"/>
          <w:marBottom w:val="0"/>
          <w:divBdr>
            <w:top w:val="none" w:sz="0" w:space="0" w:color="auto"/>
            <w:left w:val="none" w:sz="0" w:space="0" w:color="auto"/>
            <w:bottom w:val="none" w:sz="0" w:space="0" w:color="auto"/>
            <w:right w:val="none" w:sz="0" w:space="0" w:color="auto"/>
          </w:divBdr>
        </w:div>
        <w:div w:id="930971470">
          <w:marLeft w:val="0"/>
          <w:marRight w:val="0"/>
          <w:marTop w:val="0"/>
          <w:marBottom w:val="0"/>
          <w:divBdr>
            <w:top w:val="none" w:sz="0" w:space="0" w:color="auto"/>
            <w:left w:val="none" w:sz="0" w:space="0" w:color="auto"/>
            <w:bottom w:val="none" w:sz="0" w:space="0" w:color="auto"/>
            <w:right w:val="none" w:sz="0" w:space="0" w:color="auto"/>
          </w:divBdr>
        </w:div>
        <w:div w:id="160388861">
          <w:marLeft w:val="0"/>
          <w:marRight w:val="0"/>
          <w:marTop w:val="0"/>
          <w:marBottom w:val="0"/>
          <w:divBdr>
            <w:top w:val="none" w:sz="0" w:space="0" w:color="auto"/>
            <w:left w:val="none" w:sz="0" w:space="0" w:color="auto"/>
            <w:bottom w:val="none" w:sz="0" w:space="0" w:color="auto"/>
            <w:right w:val="none" w:sz="0" w:space="0" w:color="auto"/>
          </w:divBdr>
        </w:div>
        <w:div w:id="1403525412">
          <w:marLeft w:val="0"/>
          <w:marRight w:val="0"/>
          <w:marTop w:val="0"/>
          <w:marBottom w:val="0"/>
          <w:divBdr>
            <w:top w:val="none" w:sz="0" w:space="0" w:color="auto"/>
            <w:left w:val="none" w:sz="0" w:space="0" w:color="auto"/>
            <w:bottom w:val="none" w:sz="0" w:space="0" w:color="auto"/>
            <w:right w:val="none" w:sz="0" w:space="0" w:color="auto"/>
          </w:divBdr>
        </w:div>
        <w:div w:id="477771104">
          <w:marLeft w:val="0"/>
          <w:marRight w:val="0"/>
          <w:marTop w:val="0"/>
          <w:marBottom w:val="0"/>
          <w:divBdr>
            <w:top w:val="none" w:sz="0" w:space="0" w:color="auto"/>
            <w:left w:val="none" w:sz="0" w:space="0" w:color="auto"/>
            <w:bottom w:val="none" w:sz="0" w:space="0" w:color="auto"/>
            <w:right w:val="none" w:sz="0" w:space="0" w:color="auto"/>
          </w:divBdr>
        </w:div>
        <w:div w:id="689451313">
          <w:marLeft w:val="0"/>
          <w:marRight w:val="0"/>
          <w:marTop w:val="0"/>
          <w:marBottom w:val="0"/>
          <w:divBdr>
            <w:top w:val="none" w:sz="0" w:space="0" w:color="auto"/>
            <w:left w:val="none" w:sz="0" w:space="0" w:color="auto"/>
            <w:bottom w:val="none" w:sz="0" w:space="0" w:color="auto"/>
            <w:right w:val="none" w:sz="0" w:space="0" w:color="auto"/>
          </w:divBdr>
        </w:div>
        <w:div w:id="1056391369">
          <w:marLeft w:val="0"/>
          <w:marRight w:val="0"/>
          <w:marTop w:val="0"/>
          <w:marBottom w:val="0"/>
          <w:divBdr>
            <w:top w:val="none" w:sz="0" w:space="0" w:color="auto"/>
            <w:left w:val="none" w:sz="0" w:space="0" w:color="auto"/>
            <w:bottom w:val="none" w:sz="0" w:space="0" w:color="auto"/>
            <w:right w:val="none" w:sz="0" w:space="0" w:color="auto"/>
          </w:divBdr>
        </w:div>
        <w:div w:id="1905675297">
          <w:marLeft w:val="0"/>
          <w:marRight w:val="0"/>
          <w:marTop w:val="0"/>
          <w:marBottom w:val="0"/>
          <w:divBdr>
            <w:top w:val="none" w:sz="0" w:space="0" w:color="auto"/>
            <w:left w:val="none" w:sz="0" w:space="0" w:color="auto"/>
            <w:bottom w:val="none" w:sz="0" w:space="0" w:color="auto"/>
            <w:right w:val="none" w:sz="0" w:space="0" w:color="auto"/>
          </w:divBdr>
        </w:div>
        <w:div w:id="674772371">
          <w:marLeft w:val="0"/>
          <w:marRight w:val="0"/>
          <w:marTop w:val="0"/>
          <w:marBottom w:val="0"/>
          <w:divBdr>
            <w:top w:val="none" w:sz="0" w:space="0" w:color="auto"/>
            <w:left w:val="none" w:sz="0" w:space="0" w:color="auto"/>
            <w:bottom w:val="none" w:sz="0" w:space="0" w:color="auto"/>
            <w:right w:val="none" w:sz="0" w:space="0" w:color="auto"/>
          </w:divBdr>
        </w:div>
        <w:div w:id="1664777692">
          <w:marLeft w:val="0"/>
          <w:marRight w:val="0"/>
          <w:marTop w:val="0"/>
          <w:marBottom w:val="0"/>
          <w:divBdr>
            <w:top w:val="none" w:sz="0" w:space="0" w:color="auto"/>
            <w:left w:val="none" w:sz="0" w:space="0" w:color="auto"/>
            <w:bottom w:val="none" w:sz="0" w:space="0" w:color="auto"/>
            <w:right w:val="none" w:sz="0" w:space="0" w:color="auto"/>
          </w:divBdr>
        </w:div>
        <w:div w:id="465200913">
          <w:marLeft w:val="0"/>
          <w:marRight w:val="0"/>
          <w:marTop w:val="0"/>
          <w:marBottom w:val="0"/>
          <w:divBdr>
            <w:top w:val="none" w:sz="0" w:space="0" w:color="auto"/>
            <w:left w:val="none" w:sz="0" w:space="0" w:color="auto"/>
            <w:bottom w:val="none" w:sz="0" w:space="0" w:color="auto"/>
            <w:right w:val="none" w:sz="0" w:space="0" w:color="auto"/>
          </w:divBdr>
        </w:div>
        <w:div w:id="416753769">
          <w:marLeft w:val="0"/>
          <w:marRight w:val="0"/>
          <w:marTop w:val="0"/>
          <w:marBottom w:val="0"/>
          <w:divBdr>
            <w:top w:val="none" w:sz="0" w:space="0" w:color="auto"/>
            <w:left w:val="none" w:sz="0" w:space="0" w:color="auto"/>
            <w:bottom w:val="none" w:sz="0" w:space="0" w:color="auto"/>
            <w:right w:val="none" w:sz="0" w:space="0" w:color="auto"/>
          </w:divBdr>
        </w:div>
        <w:div w:id="1475902295">
          <w:marLeft w:val="0"/>
          <w:marRight w:val="0"/>
          <w:marTop w:val="0"/>
          <w:marBottom w:val="0"/>
          <w:divBdr>
            <w:top w:val="none" w:sz="0" w:space="0" w:color="auto"/>
            <w:left w:val="none" w:sz="0" w:space="0" w:color="auto"/>
            <w:bottom w:val="none" w:sz="0" w:space="0" w:color="auto"/>
            <w:right w:val="none" w:sz="0" w:space="0" w:color="auto"/>
          </w:divBdr>
        </w:div>
        <w:div w:id="1954091322">
          <w:marLeft w:val="0"/>
          <w:marRight w:val="0"/>
          <w:marTop w:val="0"/>
          <w:marBottom w:val="0"/>
          <w:divBdr>
            <w:top w:val="none" w:sz="0" w:space="0" w:color="auto"/>
            <w:left w:val="none" w:sz="0" w:space="0" w:color="auto"/>
            <w:bottom w:val="none" w:sz="0" w:space="0" w:color="auto"/>
            <w:right w:val="none" w:sz="0" w:space="0" w:color="auto"/>
          </w:divBdr>
        </w:div>
        <w:div w:id="1698962488">
          <w:marLeft w:val="0"/>
          <w:marRight w:val="0"/>
          <w:marTop w:val="0"/>
          <w:marBottom w:val="0"/>
          <w:divBdr>
            <w:top w:val="none" w:sz="0" w:space="0" w:color="auto"/>
            <w:left w:val="none" w:sz="0" w:space="0" w:color="auto"/>
            <w:bottom w:val="none" w:sz="0" w:space="0" w:color="auto"/>
            <w:right w:val="none" w:sz="0" w:space="0" w:color="auto"/>
          </w:divBdr>
        </w:div>
        <w:div w:id="683868383">
          <w:marLeft w:val="0"/>
          <w:marRight w:val="0"/>
          <w:marTop w:val="0"/>
          <w:marBottom w:val="0"/>
          <w:divBdr>
            <w:top w:val="none" w:sz="0" w:space="0" w:color="auto"/>
            <w:left w:val="none" w:sz="0" w:space="0" w:color="auto"/>
            <w:bottom w:val="none" w:sz="0" w:space="0" w:color="auto"/>
            <w:right w:val="none" w:sz="0" w:space="0" w:color="auto"/>
          </w:divBdr>
        </w:div>
      </w:divsChild>
    </w:div>
    <w:div w:id="1988126758">
      <w:bodyDiv w:val="1"/>
      <w:marLeft w:val="0"/>
      <w:marRight w:val="0"/>
      <w:marTop w:val="0"/>
      <w:marBottom w:val="0"/>
      <w:divBdr>
        <w:top w:val="none" w:sz="0" w:space="0" w:color="auto"/>
        <w:left w:val="none" w:sz="0" w:space="0" w:color="auto"/>
        <w:bottom w:val="none" w:sz="0" w:space="0" w:color="auto"/>
        <w:right w:val="none" w:sz="0" w:space="0" w:color="auto"/>
      </w:divBdr>
      <w:divsChild>
        <w:div w:id="681735985">
          <w:marLeft w:val="0"/>
          <w:marRight w:val="0"/>
          <w:marTop w:val="0"/>
          <w:marBottom w:val="0"/>
          <w:divBdr>
            <w:top w:val="none" w:sz="0" w:space="0" w:color="auto"/>
            <w:left w:val="none" w:sz="0" w:space="0" w:color="auto"/>
            <w:bottom w:val="none" w:sz="0" w:space="0" w:color="auto"/>
            <w:right w:val="none" w:sz="0" w:space="0" w:color="auto"/>
          </w:divBdr>
        </w:div>
        <w:div w:id="1022247024">
          <w:marLeft w:val="0"/>
          <w:marRight w:val="0"/>
          <w:marTop w:val="0"/>
          <w:marBottom w:val="0"/>
          <w:divBdr>
            <w:top w:val="none" w:sz="0" w:space="0" w:color="auto"/>
            <w:left w:val="none" w:sz="0" w:space="0" w:color="auto"/>
            <w:bottom w:val="none" w:sz="0" w:space="0" w:color="auto"/>
            <w:right w:val="none" w:sz="0" w:space="0" w:color="auto"/>
          </w:divBdr>
        </w:div>
        <w:div w:id="863371719">
          <w:marLeft w:val="0"/>
          <w:marRight w:val="0"/>
          <w:marTop w:val="0"/>
          <w:marBottom w:val="0"/>
          <w:divBdr>
            <w:top w:val="none" w:sz="0" w:space="0" w:color="auto"/>
            <w:left w:val="none" w:sz="0" w:space="0" w:color="auto"/>
            <w:bottom w:val="none" w:sz="0" w:space="0" w:color="auto"/>
            <w:right w:val="none" w:sz="0" w:space="0" w:color="auto"/>
          </w:divBdr>
        </w:div>
        <w:div w:id="1027486496">
          <w:marLeft w:val="0"/>
          <w:marRight w:val="0"/>
          <w:marTop w:val="0"/>
          <w:marBottom w:val="0"/>
          <w:divBdr>
            <w:top w:val="none" w:sz="0" w:space="0" w:color="auto"/>
            <w:left w:val="none" w:sz="0" w:space="0" w:color="auto"/>
            <w:bottom w:val="none" w:sz="0" w:space="0" w:color="auto"/>
            <w:right w:val="none" w:sz="0" w:space="0" w:color="auto"/>
          </w:divBdr>
        </w:div>
        <w:div w:id="1892575766">
          <w:marLeft w:val="0"/>
          <w:marRight w:val="0"/>
          <w:marTop w:val="0"/>
          <w:marBottom w:val="0"/>
          <w:divBdr>
            <w:top w:val="none" w:sz="0" w:space="0" w:color="auto"/>
            <w:left w:val="none" w:sz="0" w:space="0" w:color="auto"/>
            <w:bottom w:val="none" w:sz="0" w:space="0" w:color="auto"/>
            <w:right w:val="none" w:sz="0" w:space="0" w:color="auto"/>
          </w:divBdr>
        </w:div>
        <w:div w:id="66733904">
          <w:marLeft w:val="0"/>
          <w:marRight w:val="0"/>
          <w:marTop w:val="0"/>
          <w:marBottom w:val="0"/>
          <w:divBdr>
            <w:top w:val="none" w:sz="0" w:space="0" w:color="auto"/>
            <w:left w:val="none" w:sz="0" w:space="0" w:color="auto"/>
            <w:bottom w:val="none" w:sz="0" w:space="0" w:color="auto"/>
            <w:right w:val="none" w:sz="0" w:space="0" w:color="auto"/>
          </w:divBdr>
        </w:div>
      </w:divsChild>
    </w:div>
    <w:div w:id="2012027156">
      <w:bodyDiv w:val="1"/>
      <w:marLeft w:val="0"/>
      <w:marRight w:val="0"/>
      <w:marTop w:val="0"/>
      <w:marBottom w:val="0"/>
      <w:divBdr>
        <w:top w:val="none" w:sz="0" w:space="0" w:color="auto"/>
        <w:left w:val="none" w:sz="0" w:space="0" w:color="auto"/>
        <w:bottom w:val="none" w:sz="0" w:space="0" w:color="auto"/>
        <w:right w:val="none" w:sz="0" w:space="0" w:color="auto"/>
      </w:divBdr>
      <w:divsChild>
        <w:div w:id="1317686160">
          <w:marLeft w:val="0"/>
          <w:marRight w:val="0"/>
          <w:marTop w:val="0"/>
          <w:marBottom w:val="0"/>
          <w:divBdr>
            <w:top w:val="none" w:sz="0" w:space="0" w:color="auto"/>
            <w:left w:val="none" w:sz="0" w:space="0" w:color="auto"/>
            <w:bottom w:val="none" w:sz="0" w:space="0" w:color="auto"/>
            <w:right w:val="none" w:sz="0" w:space="0" w:color="auto"/>
          </w:divBdr>
        </w:div>
        <w:div w:id="1650135416">
          <w:marLeft w:val="0"/>
          <w:marRight w:val="0"/>
          <w:marTop w:val="0"/>
          <w:marBottom w:val="0"/>
          <w:divBdr>
            <w:top w:val="none" w:sz="0" w:space="0" w:color="auto"/>
            <w:left w:val="none" w:sz="0" w:space="0" w:color="auto"/>
            <w:bottom w:val="none" w:sz="0" w:space="0" w:color="auto"/>
            <w:right w:val="none" w:sz="0" w:space="0" w:color="auto"/>
          </w:divBdr>
        </w:div>
        <w:div w:id="646975932">
          <w:marLeft w:val="0"/>
          <w:marRight w:val="0"/>
          <w:marTop w:val="0"/>
          <w:marBottom w:val="0"/>
          <w:divBdr>
            <w:top w:val="none" w:sz="0" w:space="0" w:color="auto"/>
            <w:left w:val="none" w:sz="0" w:space="0" w:color="auto"/>
            <w:bottom w:val="none" w:sz="0" w:space="0" w:color="auto"/>
            <w:right w:val="none" w:sz="0" w:space="0" w:color="auto"/>
          </w:divBdr>
        </w:div>
        <w:div w:id="1940021425">
          <w:marLeft w:val="0"/>
          <w:marRight w:val="0"/>
          <w:marTop w:val="0"/>
          <w:marBottom w:val="0"/>
          <w:divBdr>
            <w:top w:val="none" w:sz="0" w:space="0" w:color="auto"/>
            <w:left w:val="none" w:sz="0" w:space="0" w:color="auto"/>
            <w:bottom w:val="none" w:sz="0" w:space="0" w:color="auto"/>
            <w:right w:val="none" w:sz="0" w:space="0" w:color="auto"/>
          </w:divBdr>
        </w:div>
        <w:div w:id="2144348319">
          <w:marLeft w:val="0"/>
          <w:marRight w:val="0"/>
          <w:marTop w:val="0"/>
          <w:marBottom w:val="0"/>
          <w:divBdr>
            <w:top w:val="none" w:sz="0" w:space="0" w:color="auto"/>
            <w:left w:val="none" w:sz="0" w:space="0" w:color="auto"/>
            <w:bottom w:val="none" w:sz="0" w:space="0" w:color="auto"/>
            <w:right w:val="none" w:sz="0" w:space="0" w:color="auto"/>
          </w:divBdr>
        </w:div>
        <w:div w:id="1555853567">
          <w:marLeft w:val="0"/>
          <w:marRight w:val="0"/>
          <w:marTop w:val="0"/>
          <w:marBottom w:val="0"/>
          <w:divBdr>
            <w:top w:val="none" w:sz="0" w:space="0" w:color="auto"/>
            <w:left w:val="none" w:sz="0" w:space="0" w:color="auto"/>
            <w:bottom w:val="none" w:sz="0" w:space="0" w:color="auto"/>
            <w:right w:val="none" w:sz="0" w:space="0" w:color="auto"/>
          </w:divBdr>
        </w:div>
        <w:div w:id="404108541">
          <w:marLeft w:val="0"/>
          <w:marRight w:val="0"/>
          <w:marTop w:val="0"/>
          <w:marBottom w:val="0"/>
          <w:divBdr>
            <w:top w:val="none" w:sz="0" w:space="0" w:color="auto"/>
            <w:left w:val="none" w:sz="0" w:space="0" w:color="auto"/>
            <w:bottom w:val="none" w:sz="0" w:space="0" w:color="auto"/>
            <w:right w:val="none" w:sz="0" w:space="0" w:color="auto"/>
          </w:divBdr>
        </w:div>
        <w:div w:id="1451166090">
          <w:marLeft w:val="0"/>
          <w:marRight w:val="0"/>
          <w:marTop w:val="0"/>
          <w:marBottom w:val="0"/>
          <w:divBdr>
            <w:top w:val="none" w:sz="0" w:space="0" w:color="auto"/>
            <w:left w:val="none" w:sz="0" w:space="0" w:color="auto"/>
            <w:bottom w:val="none" w:sz="0" w:space="0" w:color="auto"/>
            <w:right w:val="none" w:sz="0" w:space="0" w:color="auto"/>
          </w:divBdr>
        </w:div>
        <w:div w:id="2032947049">
          <w:marLeft w:val="0"/>
          <w:marRight w:val="0"/>
          <w:marTop w:val="0"/>
          <w:marBottom w:val="0"/>
          <w:divBdr>
            <w:top w:val="none" w:sz="0" w:space="0" w:color="auto"/>
            <w:left w:val="none" w:sz="0" w:space="0" w:color="auto"/>
            <w:bottom w:val="none" w:sz="0" w:space="0" w:color="auto"/>
            <w:right w:val="none" w:sz="0" w:space="0" w:color="auto"/>
          </w:divBdr>
        </w:div>
        <w:div w:id="554043870">
          <w:marLeft w:val="0"/>
          <w:marRight w:val="0"/>
          <w:marTop w:val="0"/>
          <w:marBottom w:val="0"/>
          <w:divBdr>
            <w:top w:val="none" w:sz="0" w:space="0" w:color="auto"/>
            <w:left w:val="none" w:sz="0" w:space="0" w:color="auto"/>
            <w:bottom w:val="none" w:sz="0" w:space="0" w:color="auto"/>
            <w:right w:val="none" w:sz="0" w:space="0" w:color="auto"/>
          </w:divBdr>
        </w:div>
        <w:div w:id="372922733">
          <w:marLeft w:val="0"/>
          <w:marRight w:val="0"/>
          <w:marTop w:val="0"/>
          <w:marBottom w:val="0"/>
          <w:divBdr>
            <w:top w:val="none" w:sz="0" w:space="0" w:color="auto"/>
            <w:left w:val="none" w:sz="0" w:space="0" w:color="auto"/>
            <w:bottom w:val="none" w:sz="0" w:space="0" w:color="auto"/>
            <w:right w:val="none" w:sz="0" w:space="0" w:color="auto"/>
          </w:divBdr>
        </w:div>
        <w:div w:id="999162187">
          <w:marLeft w:val="0"/>
          <w:marRight w:val="0"/>
          <w:marTop w:val="0"/>
          <w:marBottom w:val="0"/>
          <w:divBdr>
            <w:top w:val="none" w:sz="0" w:space="0" w:color="auto"/>
            <w:left w:val="none" w:sz="0" w:space="0" w:color="auto"/>
            <w:bottom w:val="none" w:sz="0" w:space="0" w:color="auto"/>
            <w:right w:val="none" w:sz="0" w:space="0" w:color="auto"/>
          </w:divBdr>
        </w:div>
        <w:div w:id="373383151">
          <w:marLeft w:val="0"/>
          <w:marRight w:val="0"/>
          <w:marTop w:val="0"/>
          <w:marBottom w:val="0"/>
          <w:divBdr>
            <w:top w:val="none" w:sz="0" w:space="0" w:color="auto"/>
            <w:left w:val="none" w:sz="0" w:space="0" w:color="auto"/>
            <w:bottom w:val="none" w:sz="0" w:space="0" w:color="auto"/>
            <w:right w:val="none" w:sz="0" w:space="0" w:color="auto"/>
          </w:divBdr>
        </w:div>
        <w:div w:id="1976331973">
          <w:marLeft w:val="0"/>
          <w:marRight w:val="0"/>
          <w:marTop w:val="0"/>
          <w:marBottom w:val="0"/>
          <w:divBdr>
            <w:top w:val="none" w:sz="0" w:space="0" w:color="auto"/>
            <w:left w:val="none" w:sz="0" w:space="0" w:color="auto"/>
            <w:bottom w:val="none" w:sz="0" w:space="0" w:color="auto"/>
            <w:right w:val="none" w:sz="0" w:space="0" w:color="auto"/>
          </w:divBdr>
        </w:div>
        <w:div w:id="897472059">
          <w:marLeft w:val="0"/>
          <w:marRight w:val="0"/>
          <w:marTop w:val="0"/>
          <w:marBottom w:val="0"/>
          <w:divBdr>
            <w:top w:val="none" w:sz="0" w:space="0" w:color="auto"/>
            <w:left w:val="none" w:sz="0" w:space="0" w:color="auto"/>
            <w:bottom w:val="none" w:sz="0" w:space="0" w:color="auto"/>
            <w:right w:val="none" w:sz="0" w:space="0" w:color="auto"/>
          </w:divBdr>
        </w:div>
        <w:div w:id="651299023">
          <w:marLeft w:val="0"/>
          <w:marRight w:val="0"/>
          <w:marTop w:val="0"/>
          <w:marBottom w:val="0"/>
          <w:divBdr>
            <w:top w:val="none" w:sz="0" w:space="0" w:color="auto"/>
            <w:left w:val="none" w:sz="0" w:space="0" w:color="auto"/>
            <w:bottom w:val="none" w:sz="0" w:space="0" w:color="auto"/>
            <w:right w:val="none" w:sz="0" w:space="0" w:color="auto"/>
          </w:divBdr>
        </w:div>
      </w:divsChild>
    </w:div>
    <w:div w:id="2024739408">
      <w:bodyDiv w:val="1"/>
      <w:marLeft w:val="0"/>
      <w:marRight w:val="0"/>
      <w:marTop w:val="0"/>
      <w:marBottom w:val="0"/>
      <w:divBdr>
        <w:top w:val="none" w:sz="0" w:space="0" w:color="auto"/>
        <w:left w:val="none" w:sz="0" w:space="0" w:color="auto"/>
        <w:bottom w:val="none" w:sz="0" w:space="0" w:color="auto"/>
        <w:right w:val="none" w:sz="0" w:space="0" w:color="auto"/>
      </w:divBdr>
      <w:divsChild>
        <w:div w:id="1571305660">
          <w:marLeft w:val="0"/>
          <w:marRight w:val="0"/>
          <w:marTop w:val="0"/>
          <w:marBottom w:val="0"/>
          <w:divBdr>
            <w:top w:val="none" w:sz="0" w:space="0" w:color="auto"/>
            <w:left w:val="none" w:sz="0" w:space="0" w:color="auto"/>
            <w:bottom w:val="none" w:sz="0" w:space="0" w:color="auto"/>
            <w:right w:val="none" w:sz="0" w:space="0" w:color="auto"/>
          </w:divBdr>
        </w:div>
        <w:div w:id="333075861">
          <w:marLeft w:val="0"/>
          <w:marRight w:val="0"/>
          <w:marTop w:val="0"/>
          <w:marBottom w:val="0"/>
          <w:divBdr>
            <w:top w:val="none" w:sz="0" w:space="0" w:color="auto"/>
            <w:left w:val="none" w:sz="0" w:space="0" w:color="auto"/>
            <w:bottom w:val="none" w:sz="0" w:space="0" w:color="auto"/>
            <w:right w:val="none" w:sz="0" w:space="0" w:color="auto"/>
          </w:divBdr>
        </w:div>
        <w:div w:id="1684476239">
          <w:marLeft w:val="0"/>
          <w:marRight w:val="0"/>
          <w:marTop w:val="0"/>
          <w:marBottom w:val="0"/>
          <w:divBdr>
            <w:top w:val="none" w:sz="0" w:space="0" w:color="auto"/>
            <w:left w:val="none" w:sz="0" w:space="0" w:color="auto"/>
            <w:bottom w:val="none" w:sz="0" w:space="0" w:color="auto"/>
            <w:right w:val="none" w:sz="0" w:space="0" w:color="auto"/>
          </w:divBdr>
        </w:div>
        <w:div w:id="337537026">
          <w:marLeft w:val="0"/>
          <w:marRight w:val="0"/>
          <w:marTop w:val="0"/>
          <w:marBottom w:val="0"/>
          <w:divBdr>
            <w:top w:val="none" w:sz="0" w:space="0" w:color="auto"/>
            <w:left w:val="none" w:sz="0" w:space="0" w:color="auto"/>
            <w:bottom w:val="none" w:sz="0" w:space="0" w:color="auto"/>
            <w:right w:val="none" w:sz="0" w:space="0" w:color="auto"/>
          </w:divBdr>
        </w:div>
        <w:div w:id="765885313">
          <w:marLeft w:val="0"/>
          <w:marRight w:val="0"/>
          <w:marTop w:val="0"/>
          <w:marBottom w:val="0"/>
          <w:divBdr>
            <w:top w:val="none" w:sz="0" w:space="0" w:color="auto"/>
            <w:left w:val="none" w:sz="0" w:space="0" w:color="auto"/>
            <w:bottom w:val="none" w:sz="0" w:space="0" w:color="auto"/>
            <w:right w:val="none" w:sz="0" w:space="0" w:color="auto"/>
          </w:divBdr>
        </w:div>
        <w:div w:id="1093934000">
          <w:marLeft w:val="0"/>
          <w:marRight w:val="0"/>
          <w:marTop w:val="0"/>
          <w:marBottom w:val="0"/>
          <w:divBdr>
            <w:top w:val="none" w:sz="0" w:space="0" w:color="auto"/>
            <w:left w:val="none" w:sz="0" w:space="0" w:color="auto"/>
            <w:bottom w:val="none" w:sz="0" w:space="0" w:color="auto"/>
            <w:right w:val="none" w:sz="0" w:space="0" w:color="auto"/>
          </w:divBdr>
        </w:div>
        <w:div w:id="1137182211">
          <w:marLeft w:val="0"/>
          <w:marRight w:val="0"/>
          <w:marTop w:val="0"/>
          <w:marBottom w:val="0"/>
          <w:divBdr>
            <w:top w:val="none" w:sz="0" w:space="0" w:color="auto"/>
            <w:left w:val="none" w:sz="0" w:space="0" w:color="auto"/>
            <w:bottom w:val="none" w:sz="0" w:space="0" w:color="auto"/>
            <w:right w:val="none" w:sz="0" w:space="0" w:color="auto"/>
          </w:divBdr>
        </w:div>
        <w:div w:id="761805928">
          <w:marLeft w:val="0"/>
          <w:marRight w:val="0"/>
          <w:marTop w:val="0"/>
          <w:marBottom w:val="0"/>
          <w:divBdr>
            <w:top w:val="none" w:sz="0" w:space="0" w:color="auto"/>
            <w:left w:val="none" w:sz="0" w:space="0" w:color="auto"/>
            <w:bottom w:val="none" w:sz="0" w:space="0" w:color="auto"/>
            <w:right w:val="none" w:sz="0" w:space="0" w:color="auto"/>
          </w:divBdr>
        </w:div>
        <w:div w:id="54204271">
          <w:marLeft w:val="0"/>
          <w:marRight w:val="0"/>
          <w:marTop w:val="0"/>
          <w:marBottom w:val="0"/>
          <w:divBdr>
            <w:top w:val="none" w:sz="0" w:space="0" w:color="auto"/>
            <w:left w:val="none" w:sz="0" w:space="0" w:color="auto"/>
            <w:bottom w:val="none" w:sz="0" w:space="0" w:color="auto"/>
            <w:right w:val="none" w:sz="0" w:space="0" w:color="auto"/>
          </w:divBdr>
        </w:div>
        <w:div w:id="363867500">
          <w:marLeft w:val="0"/>
          <w:marRight w:val="0"/>
          <w:marTop w:val="0"/>
          <w:marBottom w:val="0"/>
          <w:divBdr>
            <w:top w:val="none" w:sz="0" w:space="0" w:color="auto"/>
            <w:left w:val="none" w:sz="0" w:space="0" w:color="auto"/>
            <w:bottom w:val="none" w:sz="0" w:space="0" w:color="auto"/>
            <w:right w:val="none" w:sz="0" w:space="0" w:color="auto"/>
          </w:divBdr>
        </w:div>
        <w:div w:id="770972998">
          <w:marLeft w:val="0"/>
          <w:marRight w:val="0"/>
          <w:marTop w:val="0"/>
          <w:marBottom w:val="0"/>
          <w:divBdr>
            <w:top w:val="none" w:sz="0" w:space="0" w:color="auto"/>
            <w:left w:val="none" w:sz="0" w:space="0" w:color="auto"/>
            <w:bottom w:val="none" w:sz="0" w:space="0" w:color="auto"/>
            <w:right w:val="none" w:sz="0" w:space="0" w:color="auto"/>
          </w:divBdr>
        </w:div>
        <w:div w:id="280890482">
          <w:marLeft w:val="0"/>
          <w:marRight w:val="0"/>
          <w:marTop w:val="0"/>
          <w:marBottom w:val="0"/>
          <w:divBdr>
            <w:top w:val="none" w:sz="0" w:space="0" w:color="auto"/>
            <w:left w:val="none" w:sz="0" w:space="0" w:color="auto"/>
            <w:bottom w:val="none" w:sz="0" w:space="0" w:color="auto"/>
            <w:right w:val="none" w:sz="0" w:space="0" w:color="auto"/>
          </w:divBdr>
        </w:div>
        <w:div w:id="1833057697">
          <w:marLeft w:val="0"/>
          <w:marRight w:val="0"/>
          <w:marTop w:val="0"/>
          <w:marBottom w:val="0"/>
          <w:divBdr>
            <w:top w:val="none" w:sz="0" w:space="0" w:color="auto"/>
            <w:left w:val="none" w:sz="0" w:space="0" w:color="auto"/>
            <w:bottom w:val="none" w:sz="0" w:space="0" w:color="auto"/>
            <w:right w:val="none" w:sz="0" w:space="0" w:color="auto"/>
          </w:divBdr>
        </w:div>
        <w:div w:id="1781728950">
          <w:marLeft w:val="0"/>
          <w:marRight w:val="0"/>
          <w:marTop w:val="0"/>
          <w:marBottom w:val="0"/>
          <w:divBdr>
            <w:top w:val="none" w:sz="0" w:space="0" w:color="auto"/>
            <w:left w:val="none" w:sz="0" w:space="0" w:color="auto"/>
            <w:bottom w:val="none" w:sz="0" w:space="0" w:color="auto"/>
            <w:right w:val="none" w:sz="0" w:space="0" w:color="auto"/>
          </w:divBdr>
        </w:div>
        <w:div w:id="2102870628">
          <w:marLeft w:val="0"/>
          <w:marRight w:val="0"/>
          <w:marTop w:val="0"/>
          <w:marBottom w:val="0"/>
          <w:divBdr>
            <w:top w:val="none" w:sz="0" w:space="0" w:color="auto"/>
            <w:left w:val="none" w:sz="0" w:space="0" w:color="auto"/>
            <w:bottom w:val="none" w:sz="0" w:space="0" w:color="auto"/>
            <w:right w:val="none" w:sz="0" w:space="0" w:color="auto"/>
          </w:divBdr>
        </w:div>
        <w:div w:id="570189634">
          <w:marLeft w:val="0"/>
          <w:marRight w:val="0"/>
          <w:marTop w:val="0"/>
          <w:marBottom w:val="0"/>
          <w:divBdr>
            <w:top w:val="none" w:sz="0" w:space="0" w:color="auto"/>
            <w:left w:val="none" w:sz="0" w:space="0" w:color="auto"/>
            <w:bottom w:val="none" w:sz="0" w:space="0" w:color="auto"/>
            <w:right w:val="none" w:sz="0" w:space="0" w:color="auto"/>
          </w:divBdr>
        </w:div>
      </w:divsChild>
    </w:div>
    <w:div w:id="2062046890">
      <w:bodyDiv w:val="1"/>
      <w:marLeft w:val="0"/>
      <w:marRight w:val="0"/>
      <w:marTop w:val="0"/>
      <w:marBottom w:val="0"/>
      <w:divBdr>
        <w:top w:val="none" w:sz="0" w:space="0" w:color="auto"/>
        <w:left w:val="none" w:sz="0" w:space="0" w:color="auto"/>
        <w:bottom w:val="none" w:sz="0" w:space="0" w:color="auto"/>
        <w:right w:val="none" w:sz="0" w:space="0" w:color="auto"/>
      </w:divBdr>
      <w:divsChild>
        <w:div w:id="1883399594">
          <w:marLeft w:val="0"/>
          <w:marRight w:val="0"/>
          <w:marTop w:val="0"/>
          <w:marBottom w:val="0"/>
          <w:divBdr>
            <w:top w:val="none" w:sz="0" w:space="0" w:color="auto"/>
            <w:left w:val="none" w:sz="0" w:space="0" w:color="auto"/>
            <w:bottom w:val="none" w:sz="0" w:space="0" w:color="auto"/>
            <w:right w:val="none" w:sz="0" w:space="0" w:color="auto"/>
          </w:divBdr>
        </w:div>
        <w:div w:id="1514683258">
          <w:marLeft w:val="0"/>
          <w:marRight w:val="0"/>
          <w:marTop w:val="0"/>
          <w:marBottom w:val="0"/>
          <w:divBdr>
            <w:top w:val="none" w:sz="0" w:space="0" w:color="auto"/>
            <w:left w:val="none" w:sz="0" w:space="0" w:color="auto"/>
            <w:bottom w:val="none" w:sz="0" w:space="0" w:color="auto"/>
            <w:right w:val="none" w:sz="0" w:space="0" w:color="auto"/>
          </w:divBdr>
        </w:div>
        <w:div w:id="1568298853">
          <w:marLeft w:val="0"/>
          <w:marRight w:val="0"/>
          <w:marTop w:val="0"/>
          <w:marBottom w:val="0"/>
          <w:divBdr>
            <w:top w:val="none" w:sz="0" w:space="0" w:color="auto"/>
            <w:left w:val="none" w:sz="0" w:space="0" w:color="auto"/>
            <w:bottom w:val="none" w:sz="0" w:space="0" w:color="auto"/>
            <w:right w:val="none" w:sz="0" w:space="0" w:color="auto"/>
          </w:divBdr>
        </w:div>
        <w:div w:id="1921593814">
          <w:marLeft w:val="0"/>
          <w:marRight w:val="0"/>
          <w:marTop w:val="0"/>
          <w:marBottom w:val="0"/>
          <w:divBdr>
            <w:top w:val="none" w:sz="0" w:space="0" w:color="auto"/>
            <w:left w:val="none" w:sz="0" w:space="0" w:color="auto"/>
            <w:bottom w:val="none" w:sz="0" w:space="0" w:color="auto"/>
            <w:right w:val="none" w:sz="0" w:space="0" w:color="auto"/>
          </w:divBdr>
        </w:div>
        <w:div w:id="2011370922">
          <w:marLeft w:val="0"/>
          <w:marRight w:val="0"/>
          <w:marTop w:val="0"/>
          <w:marBottom w:val="0"/>
          <w:divBdr>
            <w:top w:val="none" w:sz="0" w:space="0" w:color="auto"/>
            <w:left w:val="none" w:sz="0" w:space="0" w:color="auto"/>
            <w:bottom w:val="none" w:sz="0" w:space="0" w:color="auto"/>
            <w:right w:val="none" w:sz="0" w:space="0" w:color="auto"/>
          </w:divBdr>
        </w:div>
        <w:div w:id="733745984">
          <w:marLeft w:val="0"/>
          <w:marRight w:val="0"/>
          <w:marTop w:val="0"/>
          <w:marBottom w:val="0"/>
          <w:divBdr>
            <w:top w:val="none" w:sz="0" w:space="0" w:color="auto"/>
            <w:left w:val="none" w:sz="0" w:space="0" w:color="auto"/>
            <w:bottom w:val="none" w:sz="0" w:space="0" w:color="auto"/>
            <w:right w:val="none" w:sz="0" w:space="0" w:color="auto"/>
          </w:divBdr>
        </w:div>
        <w:div w:id="382338592">
          <w:marLeft w:val="0"/>
          <w:marRight w:val="0"/>
          <w:marTop w:val="0"/>
          <w:marBottom w:val="0"/>
          <w:divBdr>
            <w:top w:val="none" w:sz="0" w:space="0" w:color="auto"/>
            <w:left w:val="none" w:sz="0" w:space="0" w:color="auto"/>
            <w:bottom w:val="none" w:sz="0" w:space="0" w:color="auto"/>
            <w:right w:val="none" w:sz="0" w:space="0" w:color="auto"/>
          </w:divBdr>
        </w:div>
        <w:div w:id="2103137558">
          <w:marLeft w:val="0"/>
          <w:marRight w:val="0"/>
          <w:marTop w:val="0"/>
          <w:marBottom w:val="0"/>
          <w:divBdr>
            <w:top w:val="none" w:sz="0" w:space="0" w:color="auto"/>
            <w:left w:val="none" w:sz="0" w:space="0" w:color="auto"/>
            <w:bottom w:val="none" w:sz="0" w:space="0" w:color="auto"/>
            <w:right w:val="none" w:sz="0" w:space="0" w:color="auto"/>
          </w:divBdr>
        </w:div>
        <w:div w:id="1360742464">
          <w:marLeft w:val="0"/>
          <w:marRight w:val="0"/>
          <w:marTop w:val="0"/>
          <w:marBottom w:val="0"/>
          <w:divBdr>
            <w:top w:val="none" w:sz="0" w:space="0" w:color="auto"/>
            <w:left w:val="none" w:sz="0" w:space="0" w:color="auto"/>
            <w:bottom w:val="none" w:sz="0" w:space="0" w:color="auto"/>
            <w:right w:val="none" w:sz="0" w:space="0" w:color="auto"/>
          </w:divBdr>
        </w:div>
        <w:div w:id="1480612719">
          <w:marLeft w:val="0"/>
          <w:marRight w:val="0"/>
          <w:marTop w:val="0"/>
          <w:marBottom w:val="0"/>
          <w:divBdr>
            <w:top w:val="none" w:sz="0" w:space="0" w:color="auto"/>
            <w:left w:val="none" w:sz="0" w:space="0" w:color="auto"/>
            <w:bottom w:val="none" w:sz="0" w:space="0" w:color="auto"/>
            <w:right w:val="none" w:sz="0" w:space="0" w:color="auto"/>
          </w:divBdr>
        </w:div>
        <w:div w:id="1474324992">
          <w:marLeft w:val="0"/>
          <w:marRight w:val="0"/>
          <w:marTop w:val="0"/>
          <w:marBottom w:val="0"/>
          <w:divBdr>
            <w:top w:val="none" w:sz="0" w:space="0" w:color="auto"/>
            <w:left w:val="none" w:sz="0" w:space="0" w:color="auto"/>
            <w:bottom w:val="none" w:sz="0" w:space="0" w:color="auto"/>
            <w:right w:val="none" w:sz="0" w:space="0" w:color="auto"/>
          </w:divBdr>
        </w:div>
        <w:div w:id="633559661">
          <w:marLeft w:val="0"/>
          <w:marRight w:val="0"/>
          <w:marTop w:val="0"/>
          <w:marBottom w:val="0"/>
          <w:divBdr>
            <w:top w:val="none" w:sz="0" w:space="0" w:color="auto"/>
            <w:left w:val="none" w:sz="0" w:space="0" w:color="auto"/>
            <w:bottom w:val="none" w:sz="0" w:space="0" w:color="auto"/>
            <w:right w:val="none" w:sz="0" w:space="0" w:color="auto"/>
          </w:divBdr>
        </w:div>
        <w:div w:id="532622261">
          <w:marLeft w:val="0"/>
          <w:marRight w:val="0"/>
          <w:marTop w:val="0"/>
          <w:marBottom w:val="0"/>
          <w:divBdr>
            <w:top w:val="none" w:sz="0" w:space="0" w:color="auto"/>
            <w:left w:val="none" w:sz="0" w:space="0" w:color="auto"/>
            <w:bottom w:val="none" w:sz="0" w:space="0" w:color="auto"/>
            <w:right w:val="none" w:sz="0" w:space="0" w:color="auto"/>
          </w:divBdr>
        </w:div>
        <w:div w:id="1471704083">
          <w:marLeft w:val="0"/>
          <w:marRight w:val="0"/>
          <w:marTop w:val="0"/>
          <w:marBottom w:val="0"/>
          <w:divBdr>
            <w:top w:val="none" w:sz="0" w:space="0" w:color="auto"/>
            <w:left w:val="none" w:sz="0" w:space="0" w:color="auto"/>
            <w:bottom w:val="none" w:sz="0" w:space="0" w:color="auto"/>
            <w:right w:val="none" w:sz="0" w:space="0" w:color="auto"/>
          </w:divBdr>
        </w:div>
        <w:div w:id="1101530815">
          <w:marLeft w:val="0"/>
          <w:marRight w:val="0"/>
          <w:marTop w:val="0"/>
          <w:marBottom w:val="0"/>
          <w:divBdr>
            <w:top w:val="none" w:sz="0" w:space="0" w:color="auto"/>
            <w:left w:val="none" w:sz="0" w:space="0" w:color="auto"/>
            <w:bottom w:val="none" w:sz="0" w:space="0" w:color="auto"/>
            <w:right w:val="none" w:sz="0" w:space="0" w:color="auto"/>
          </w:divBdr>
        </w:div>
        <w:div w:id="1358193575">
          <w:marLeft w:val="0"/>
          <w:marRight w:val="0"/>
          <w:marTop w:val="0"/>
          <w:marBottom w:val="0"/>
          <w:divBdr>
            <w:top w:val="none" w:sz="0" w:space="0" w:color="auto"/>
            <w:left w:val="none" w:sz="0" w:space="0" w:color="auto"/>
            <w:bottom w:val="none" w:sz="0" w:space="0" w:color="auto"/>
            <w:right w:val="none" w:sz="0" w:space="0" w:color="auto"/>
          </w:divBdr>
        </w:div>
        <w:div w:id="494348281">
          <w:marLeft w:val="0"/>
          <w:marRight w:val="0"/>
          <w:marTop w:val="0"/>
          <w:marBottom w:val="0"/>
          <w:divBdr>
            <w:top w:val="none" w:sz="0" w:space="0" w:color="auto"/>
            <w:left w:val="none" w:sz="0" w:space="0" w:color="auto"/>
            <w:bottom w:val="none" w:sz="0" w:space="0" w:color="auto"/>
            <w:right w:val="none" w:sz="0" w:space="0" w:color="auto"/>
          </w:divBdr>
        </w:div>
        <w:div w:id="250744109">
          <w:marLeft w:val="0"/>
          <w:marRight w:val="0"/>
          <w:marTop w:val="0"/>
          <w:marBottom w:val="0"/>
          <w:divBdr>
            <w:top w:val="none" w:sz="0" w:space="0" w:color="auto"/>
            <w:left w:val="none" w:sz="0" w:space="0" w:color="auto"/>
            <w:bottom w:val="none" w:sz="0" w:space="0" w:color="auto"/>
            <w:right w:val="none" w:sz="0" w:space="0" w:color="auto"/>
          </w:divBdr>
        </w:div>
        <w:div w:id="1925531320">
          <w:marLeft w:val="0"/>
          <w:marRight w:val="0"/>
          <w:marTop w:val="0"/>
          <w:marBottom w:val="0"/>
          <w:divBdr>
            <w:top w:val="none" w:sz="0" w:space="0" w:color="auto"/>
            <w:left w:val="none" w:sz="0" w:space="0" w:color="auto"/>
            <w:bottom w:val="none" w:sz="0" w:space="0" w:color="auto"/>
            <w:right w:val="none" w:sz="0" w:space="0" w:color="auto"/>
          </w:divBdr>
        </w:div>
        <w:div w:id="576020072">
          <w:marLeft w:val="0"/>
          <w:marRight w:val="0"/>
          <w:marTop w:val="0"/>
          <w:marBottom w:val="0"/>
          <w:divBdr>
            <w:top w:val="none" w:sz="0" w:space="0" w:color="auto"/>
            <w:left w:val="none" w:sz="0" w:space="0" w:color="auto"/>
            <w:bottom w:val="none" w:sz="0" w:space="0" w:color="auto"/>
            <w:right w:val="none" w:sz="0" w:space="0" w:color="auto"/>
          </w:divBdr>
        </w:div>
        <w:div w:id="1888910108">
          <w:marLeft w:val="0"/>
          <w:marRight w:val="0"/>
          <w:marTop w:val="0"/>
          <w:marBottom w:val="0"/>
          <w:divBdr>
            <w:top w:val="none" w:sz="0" w:space="0" w:color="auto"/>
            <w:left w:val="none" w:sz="0" w:space="0" w:color="auto"/>
            <w:bottom w:val="none" w:sz="0" w:space="0" w:color="auto"/>
            <w:right w:val="none" w:sz="0" w:space="0" w:color="auto"/>
          </w:divBdr>
        </w:div>
      </w:divsChild>
    </w:div>
    <w:div w:id="2062439760">
      <w:bodyDiv w:val="1"/>
      <w:marLeft w:val="0"/>
      <w:marRight w:val="0"/>
      <w:marTop w:val="0"/>
      <w:marBottom w:val="0"/>
      <w:divBdr>
        <w:top w:val="none" w:sz="0" w:space="0" w:color="auto"/>
        <w:left w:val="none" w:sz="0" w:space="0" w:color="auto"/>
        <w:bottom w:val="none" w:sz="0" w:space="0" w:color="auto"/>
        <w:right w:val="none" w:sz="0" w:space="0" w:color="auto"/>
      </w:divBdr>
      <w:divsChild>
        <w:div w:id="1439832783">
          <w:marLeft w:val="0"/>
          <w:marRight w:val="0"/>
          <w:marTop w:val="0"/>
          <w:marBottom w:val="0"/>
          <w:divBdr>
            <w:top w:val="none" w:sz="0" w:space="0" w:color="auto"/>
            <w:left w:val="none" w:sz="0" w:space="0" w:color="auto"/>
            <w:bottom w:val="none" w:sz="0" w:space="0" w:color="auto"/>
            <w:right w:val="none" w:sz="0" w:space="0" w:color="auto"/>
          </w:divBdr>
        </w:div>
        <w:div w:id="2085374193">
          <w:marLeft w:val="0"/>
          <w:marRight w:val="0"/>
          <w:marTop w:val="0"/>
          <w:marBottom w:val="0"/>
          <w:divBdr>
            <w:top w:val="none" w:sz="0" w:space="0" w:color="auto"/>
            <w:left w:val="none" w:sz="0" w:space="0" w:color="auto"/>
            <w:bottom w:val="none" w:sz="0" w:space="0" w:color="auto"/>
            <w:right w:val="none" w:sz="0" w:space="0" w:color="auto"/>
          </w:divBdr>
        </w:div>
        <w:div w:id="1398285430">
          <w:marLeft w:val="0"/>
          <w:marRight w:val="0"/>
          <w:marTop w:val="0"/>
          <w:marBottom w:val="0"/>
          <w:divBdr>
            <w:top w:val="none" w:sz="0" w:space="0" w:color="auto"/>
            <w:left w:val="none" w:sz="0" w:space="0" w:color="auto"/>
            <w:bottom w:val="none" w:sz="0" w:space="0" w:color="auto"/>
            <w:right w:val="none" w:sz="0" w:space="0" w:color="auto"/>
          </w:divBdr>
        </w:div>
        <w:div w:id="1492986446">
          <w:marLeft w:val="0"/>
          <w:marRight w:val="0"/>
          <w:marTop w:val="0"/>
          <w:marBottom w:val="0"/>
          <w:divBdr>
            <w:top w:val="none" w:sz="0" w:space="0" w:color="auto"/>
            <w:left w:val="none" w:sz="0" w:space="0" w:color="auto"/>
            <w:bottom w:val="none" w:sz="0" w:space="0" w:color="auto"/>
            <w:right w:val="none" w:sz="0" w:space="0" w:color="auto"/>
          </w:divBdr>
        </w:div>
        <w:div w:id="243154028">
          <w:marLeft w:val="0"/>
          <w:marRight w:val="0"/>
          <w:marTop w:val="0"/>
          <w:marBottom w:val="0"/>
          <w:divBdr>
            <w:top w:val="none" w:sz="0" w:space="0" w:color="auto"/>
            <w:left w:val="none" w:sz="0" w:space="0" w:color="auto"/>
            <w:bottom w:val="none" w:sz="0" w:space="0" w:color="auto"/>
            <w:right w:val="none" w:sz="0" w:space="0" w:color="auto"/>
          </w:divBdr>
        </w:div>
        <w:div w:id="557087442">
          <w:marLeft w:val="0"/>
          <w:marRight w:val="0"/>
          <w:marTop w:val="0"/>
          <w:marBottom w:val="0"/>
          <w:divBdr>
            <w:top w:val="none" w:sz="0" w:space="0" w:color="auto"/>
            <w:left w:val="none" w:sz="0" w:space="0" w:color="auto"/>
            <w:bottom w:val="none" w:sz="0" w:space="0" w:color="auto"/>
            <w:right w:val="none" w:sz="0" w:space="0" w:color="auto"/>
          </w:divBdr>
        </w:div>
        <w:div w:id="1784811479">
          <w:marLeft w:val="0"/>
          <w:marRight w:val="0"/>
          <w:marTop w:val="0"/>
          <w:marBottom w:val="0"/>
          <w:divBdr>
            <w:top w:val="none" w:sz="0" w:space="0" w:color="auto"/>
            <w:left w:val="none" w:sz="0" w:space="0" w:color="auto"/>
            <w:bottom w:val="none" w:sz="0" w:space="0" w:color="auto"/>
            <w:right w:val="none" w:sz="0" w:space="0" w:color="auto"/>
          </w:divBdr>
        </w:div>
        <w:div w:id="1067875459">
          <w:marLeft w:val="0"/>
          <w:marRight w:val="0"/>
          <w:marTop w:val="0"/>
          <w:marBottom w:val="0"/>
          <w:divBdr>
            <w:top w:val="none" w:sz="0" w:space="0" w:color="auto"/>
            <w:left w:val="none" w:sz="0" w:space="0" w:color="auto"/>
            <w:bottom w:val="none" w:sz="0" w:space="0" w:color="auto"/>
            <w:right w:val="none" w:sz="0" w:space="0" w:color="auto"/>
          </w:divBdr>
        </w:div>
        <w:div w:id="1469201851">
          <w:marLeft w:val="0"/>
          <w:marRight w:val="0"/>
          <w:marTop w:val="0"/>
          <w:marBottom w:val="0"/>
          <w:divBdr>
            <w:top w:val="none" w:sz="0" w:space="0" w:color="auto"/>
            <w:left w:val="none" w:sz="0" w:space="0" w:color="auto"/>
            <w:bottom w:val="none" w:sz="0" w:space="0" w:color="auto"/>
            <w:right w:val="none" w:sz="0" w:space="0" w:color="auto"/>
          </w:divBdr>
        </w:div>
        <w:div w:id="916472828">
          <w:marLeft w:val="0"/>
          <w:marRight w:val="0"/>
          <w:marTop w:val="0"/>
          <w:marBottom w:val="0"/>
          <w:divBdr>
            <w:top w:val="none" w:sz="0" w:space="0" w:color="auto"/>
            <w:left w:val="none" w:sz="0" w:space="0" w:color="auto"/>
            <w:bottom w:val="none" w:sz="0" w:space="0" w:color="auto"/>
            <w:right w:val="none" w:sz="0" w:space="0" w:color="auto"/>
          </w:divBdr>
        </w:div>
        <w:div w:id="908463263">
          <w:marLeft w:val="0"/>
          <w:marRight w:val="0"/>
          <w:marTop w:val="0"/>
          <w:marBottom w:val="0"/>
          <w:divBdr>
            <w:top w:val="none" w:sz="0" w:space="0" w:color="auto"/>
            <w:left w:val="none" w:sz="0" w:space="0" w:color="auto"/>
            <w:bottom w:val="none" w:sz="0" w:space="0" w:color="auto"/>
            <w:right w:val="none" w:sz="0" w:space="0" w:color="auto"/>
          </w:divBdr>
        </w:div>
        <w:div w:id="999888406">
          <w:marLeft w:val="0"/>
          <w:marRight w:val="0"/>
          <w:marTop w:val="0"/>
          <w:marBottom w:val="0"/>
          <w:divBdr>
            <w:top w:val="none" w:sz="0" w:space="0" w:color="auto"/>
            <w:left w:val="none" w:sz="0" w:space="0" w:color="auto"/>
            <w:bottom w:val="none" w:sz="0" w:space="0" w:color="auto"/>
            <w:right w:val="none" w:sz="0" w:space="0" w:color="auto"/>
          </w:divBdr>
        </w:div>
        <w:div w:id="1450318583">
          <w:marLeft w:val="0"/>
          <w:marRight w:val="0"/>
          <w:marTop w:val="0"/>
          <w:marBottom w:val="0"/>
          <w:divBdr>
            <w:top w:val="none" w:sz="0" w:space="0" w:color="auto"/>
            <w:left w:val="none" w:sz="0" w:space="0" w:color="auto"/>
            <w:bottom w:val="none" w:sz="0" w:space="0" w:color="auto"/>
            <w:right w:val="none" w:sz="0" w:space="0" w:color="auto"/>
          </w:divBdr>
        </w:div>
        <w:div w:id="301037984">
          <w:marLeft w:val="0"/>
          <w:marRight w:val="0"/>
          <w:marTop w:val="0"/>
          <w:marBottom w:val="0"/>
          <w:divBdr>
            <w:top w:val="none" w:sz="0" w:space="0" w:color="auto"/>
            <w:left w:val="none" w:sz="0" w:space="0" w:color="auto"/>
            <w:bottom w:val="none" w:sz="0" w:space="0" w:color="auto"/>
            <w:right w:val="none" w:sz="0" w:space="0" w:color="auto"/>
          </w:divBdr>
        </w:div>
        <w:div w:id="309948110">
          <w:marLeft w:val="0"/>
          <w:marRight w:val="0"/>
          <w:marTop w:val="0"/>
          <w:marBottom w:val="0"/>
          <w:divBdr>
            <w:top w:val="none" w:sz="0" w:space="0" w:color="auto"/>
            <w:left w:val="none" w:sz="0" w:space="0" w:color="auto"/>
            <w:bottom w:val="none" w:sz="0" w:space="0" w:color="auto"/>
            <w:right w:val="none" w:sz="0" w:space="0" w:color="auto"/>
          </w:divBdr>
        </w:div>
        <w:div w:id="169376736">
          <w:marLeft w:val="0"/>
          <w:marRight w:val="0"/>
          <w:marTop w:val="0"/>
          <w:marBottom w:val="0"/>
          <w:divBdr>
            <w:top w:val="none" w:sz="0" w:space="0" w:color="auto"/>
            <w:left w:val="none" w:sz="0" w:space="0" w:color="auto"/>
            <w:bottom w:val="none" w:sz="0" w:space="0" w:color="auto"/>
            <w:right w:val="none" w:sz="0" w:space="0" w:color="auto"/>
          </w:divBdr>
        </w:div>
      </w:divsChild>
    </w:div>
    <w:div w:id="2080130118">
      <w:bodyDiv w:val="1"/>
      <w:marLeft w:val="0"/>
      <w:marRight w:val="0"/>
      <w:marTop w:val="0"/>
      <w:marBottom w:val="0"/>
      <w:divBdr>
        <w:top w:val="none" w:sz="0" w:space="0" w:color="auto"/>
        <w:left w:val="none" w:sz="0" w:space="0" w:color="auto"/>
        <w:bottom w:val="none" w:sz="0" w:space="0" w:color="auto"/>
        <w:right w:val="none" w:sz="0" w:space="0" w:color="auto"/>
      </w:divBdr>
      <w:divsChild>
        <w:div w:id="869925100">
          <w:marLeft w:val="0"/>
          <w:marRight w:val="0"/>
          <w:marTop w:val="0"/>
          <w:marBottom w:val="0"/>
          <w:divBdr>
            <w:top w:val="none" w:sz="0" w:space="0" w:color="auto"/>
            <w:left w:val="none" w:sz="0" w:space="0" w:color="auto"/>
            <w:bottom w:val="none" w:sz="0" w:space="0" w:color="auto"/>
            <w:right w:val="none" w:sz="0" w:space="0" w:color="auto"/>
          </w:divBdr>
        </w:div>
        <w:div w:id="1994992593">
          <w:marLeft w:val="0"/>
          <w:marRight w:val="0"/>
          <w:marTop w:val="0"/>
          <w:marBottom w:val="0"/>
          <w:divBdr>
            <w:top w:val="none" w:sz="0" w:space="0" w:color="auto"/>
            <w:left w:val="none" w:sz="0" w:space="0" w:color="auto"/>
            <w:bottom w:val="none" w:sz="0" w:space="0" w:color="auto"/>
            <w:right w:val="none" w:sz="0" w:space="0" w:color="auto"/>
          </w:divBdr>
        </w:div>
        <w:div w:id="1927349288">
          <w:marLeft w:val="0"/>
          <w:marRight w:val="0"/>
          <w:marTop w:val="0"/>
          <w:marBottom w:val="0"/>
          <w:divBdr>
            <w:top w:val="none" w:sz="0" w:space="0" w:color="auto"/>
            <w:left w:val="none" w:sz="0" w:space="0" w:color="auto"/>
            <w:bottom w:val="none" w:sz="0" w:space="0" w:color="auto"/>
            <w:right w:val="none" w:sz="0" w:space="0" w:color="auto"/>
          </w:divBdr>
        </w:div>
        <w:div w:id="177621088">
          <w:marLeft w:val="0"/>
          <w:marRight w:val="0"/>
          <w:marTop w:val="0"/>
          <w:marBottom w:val="0"/>
          <w:divBdr>
            <w:top w:val="none" w:sz="0" w:space="0" w:color="auto"/>
            <w:left w:val="none" w:sz="0" w:space="0" w:color="auto"/>
            <w:bottom w:val="none" w:sz="0" w:space="0" w:color="auto"/>
            <w:right w:val="none" w:sz="0" w:space="0" w:color="auto"/>
          </w:divBdr>
        </w:div>
        <w:div w:id="761073056">
          <w:marLeft w:val="0"/>
          <w:marRight w:val="0"/>
          <w:marTop w:val="0"/>
          <w:marBottom w:val="0"/>
          <w:divBdr>
            <w:top w:val="none" w:sz="0" w:space="0" w:color="auto"/>
            <w:left w:val="none" w:sz="0" w:space="0" w:color="auto"/>
            <w:bottom w:val="none" w:sz="0" w:space="0" w:color="auto"/>
            <w:right w:val="none" w:sz="0" w:space="0" w:color="auto"/>
          </w:divBdr>
        </w:div>
        <w:div w:id="1110515670">
          <w:marLeft w:val="0"/>
          <w:marRight w:val="0"/>
          <w:marTop w:val="0"/>
          <w:marBottom w:val="0"/>
          <w:divBdr>
            <w:top w:val="none" w:sz="0" w:space="0" w:color="auto"/>
            <w:left w:val="none" w:sz="0" w:space="0" w:color="auto"/>
            <w:bottom w:val="none" w:sz="0" w:space="0" w:color="auto"/>
            <w:right w:val="none" w:sz="0" w:space="0" w:color="auto"/>
          </w:divBdr>
        </w:div>
        <w:div w:id="1664891521">
          <w:marLeft w:val="0"/>
          <w:marRight w:val="0"/>
          <w:marTop w:val="0"/>
          <w:marBottom w:val="0"/>
          <w:divBdr>
            <w:top w:val="none" w:sz="0" w:space="0" w:color="auto"/>
            <w:left w:val="none" w:sz="0" w:space="0" w:color="auto"/>
            <w:bottom w:val="none" w:sz="0" w:space="0" w:color="auto"/>
            <w:right w:val="none" w:sz="0" w:space="0" w:color="auto"/>
          </w:divBdr>
        </w:div>
        <w:div w:id="1869827650">
          <w:marLeft w:val="0"/>
          <w:marRight w:val="0"/>
          <w:marTop w:val="0"/>
          <w:marBottom w:val="0"/>
          <w:divBdr>
            <w:top w:val="none" w:sz="0" w:space="0" w:color="auto"/>
            <w:left w:val="none" w:sz="0" w:space="0" w:color="auto"/>
            <w:bottom w:val="none" w:sz="0" w:space="0" w:color="auto"/>
            <w:right w:val="none" w:sz="0" w:space="0" w:color="auto"/>
          </w:divBdr>
        </w:div>
        <w:div w:id="1589734698">
          <w:marLeft w:val="0"/>
          <w:marRight w:val="0"/>
          <w:marTop w:val="0"/>
          <w:marBottom w:val="0"/>
          <w:divBdr>
            <w:top w:val="none" w:sz="0" w:space="0" w:color="auto"/>
            <w:left w:val="none" w:sz="0" w:space="0" w:color="auto"/>
            <w:bottom w:val="none" w:sz="0" w:space="0" w:color="auto"/>
            <w:right w:val="none" w:sz="0" w:space="0" w:color="auto"/>
          </w:divBdr>
        </w:div>
        <w:div w:id="2139105006">
          <w:marLeft w:val="0"/>
          <w:marRight w:val="0"/>
          <w:marTop w:val="0"/>
          <w:marBottom w:val="0"/>
          <w:divBdr>
            <w:top w:val="none" w:sz="0" w:space="0" w:color="auto"/>
            <w:left w:val="none" w:sz="0" w:space="0" w:color="auto"/>
            <w:bottom w:val="none" w:sz="0" w:space="0" w:color="auto"/>
            <w:right w:val="none" w:sz="0" w:space="0" w:color="auto"/>
          </w:divBdr>
        </w:div>
        <w:div w:id="432167131">
          <w:marLeft w:val="0"/>
          <w:marRight w:val="0"/>
          <w:marTop w:val="0"/>
          <w:marBottom w:val="0"/>
          <w:divBdr>
            <w:top w:val="none" w:sz="0" w:space="0" w:color="auto"/>
            <w:left w:val="none" w:sz="0" w:space="0" w:color="auto"/>
            <w:bottom w:val="none" w:sz="0" w:space="0" w:color="auto"/>
            <w:right w:val="none" w:sz="0" w:space="0" w:color="auto"/>
          </w:divBdr>
        </w:div>
        <w:div w:id="2004354415">
          <w:marLeft w:val="0"/>
          <w:marRight w:val="0"/>
          <w:marTop w:val="0"/>
          <w:marBottom w:val="0"/>
          <w:divBdr>
            <w:top w:val="none" w:sz="0" w:space="0" w:color="auto"/>
            <w:left w:val="none" w:sz="0" w:space="0" w:color="auto"/>
            <w:bottom w:val="none" w:sz="0" w:space="0" w:color="auto"/>
            <w:right w:val="none" w:sz="0" w:space="0" w:color="auto"/>
          </w:divBdr>
        </w:div>
        <w:div w:id="33652044">
          <w:marLeft w:val="0"/>
          <w:marRight w:val="0"/>
          <w:marTop w:val="0"/>
          <w:marBottom w:val="0"/>
          <w:divBdr>
            <w:top w:val="none" w:sz="0" w:space="0" w:color="auto"/>
            <w:left w:val="none" w:sz="0" w:space="0" w:color="auto"/>
            <w:bottom w:val="none" w:sz="0" w:space="0" w:color="auto"/>
            <w:right w:val="none" w:sz="0" w:space="0" w:color="auto"/>
          </w:divBdr>
        </w:div>
        <w:div w:id="77682197">
          <w:marLeft w:val="0"/>
          <w:marRight w:val="0"/>
          <w:marTop w:val="0"/>
          <w:marBottom w:val="0"/>
          <w:divBdr>
            <w:top w:val="none" w:sz="0" w:space="0" w:color="auto"/>
            <w:left w:val="none" w:sz="0" w:space="0" w:color="auto"/>
            <w:bottom w:val="none" w:sz="0" w:space="0" w:color="auto"/>
            <w:right w:val="none" w:sz="0" w:space="0" w:color="auto"/>
          </w:divBdr>
        </w:div>
        <w:div w:id="1956254483">
          <w:marLeft w:val="0"/>
          <w:marRight w:val="0"/>
          <w:marTop w:val="0"/>
          <w:marBottom w:val="0"/>
          <w:divBdr>
            <w:top w:val="none" w:sz="0" w:space="0" w:color="auto"/>
            <w:left w:val="none" w:sz="0" w:space="0" w:color="auto"/>
            <w:bottom w:val="none" w:sz="0" w:space="0" w:color="auto"/>
            <w:right w:val="none" w:sz="0" w:space="0" w:color="auto"/>
          </w:divBdr>
        </w:div>
        <w:div w:id="1154491914">
          <w:marLeft w:val="0"/>
          <w:marRight w:val="0"/>
          <w:marTop w:val="0"/>
          <w:marBottom w:val="0"/>
          <w:divBdr>
            <w:top w:val="none" w:sz="0" w:space="0" w:color="auto"/>
            <w:left w:val="none" w:sz="0" w:space="0" w:color="auto"/>
            <w:bottom w:val="none" w:sz="0" w:space="0" w:color="auto"/>
            <w:right w:val="none" w:sz="0" w:space="0" w:color="auto"/>
          </w:divBdr>
        </w:div>
        <w:div w:id="1660108841">
          <w:marLeft w:val="0"/>
          <w:marRight w:val="0"/>
          <w:marTop w:val="0"/>
          <w:marBottom w:val="0"/>
          <w:divBdr>
            <w:top w:val="none" w:sz="0" w:space="0" w:color="auto"/>
            <w:left w:val="none" w:sz="0" w:space="0" w:color="auto"/>
            <w:bottom w:val="none" w:sz="0" w:space="0" w:color="auto"/>
            <w:right w:val="none" w:sz="0" w:space="0" w:color="auto"/>
          </w:divBdr>
        </w:div>
      </w:divsChild>
    </w:div>
    <w:div w:id="2120711506">
      <w:bodyDiv w:val="1"/>
      <w:marLeft w:val="0"/>
      <w:marRight w:val="0"/>
      <w:marTop w:val="0"/>
      <w:marBottom w:val="0"/>
      <w:divBdr>
        <w:top w:val="none" w:sz="0" w:space="0" w:color="auto"/>
        <w:left w:val="none" w:sz="0" w:space="0" w:color="auto"/>
        <w:bottom w:val="none" w:sz="0" w:space="0" w:color="auto"/>
        <w:right w:val="none" w:sz="0" w:space="0" w:color="auto"/>
      </w:divBdr>
      <w:divsChild>
        <w:div w:id="1628198290">
          <w:marLeft w:val="0"/>
          <w:marRight w:val="0"/>
          <w:marTop w:val="0"/>
          <w:marBottom w:val="0"/>
          <w:divBdr>
            <w:top w:val="none" w:sz="0" w:space="0" w:color="auto"/>
            <w:left w:val="none" w:sz="0" w:space="0" w:color="auto"/>
            <w:bottom w:val="none" w:sz="0" w:space="0" w:color="auto"/>
            <w:right w:val="none" w:sz="0" w:space="0" w:color="auto"/>
          </w:divBdr>
        </w:div>
        <w:div w:id="1547258707">
          <w:marLeft w:val="0"/>
          <w:marRight w:val="0"/>
          <w:marTop w:val="0"/>
          <w:marBottom w:val="0"/>
          <w:divBdr>
            <w:top w:val="none" w:sz="0" w:space="0" w:color="auto"/>
            <w:left w:val="none" w:sz="0" w:space="0" w:color="auto"/>
            <w:bottom w:val="none" w:sz="0" w:space="0" w:color="auto"/>
            <w:right w:val="none" w:sz="0" w:space="0" w:color="auto"/>
          </w:divBdr>
        </w:div>
        <w:div w:id="1450051491">
          <w:marLeft w:val="0"/>
          <w:marRight w:val="0"/>
          <w:marTop w:val="0"/>
          <w:marBottom w:val="0"/>
          <w:divBdr>
            <w:top w:val="none" w:sz="0" w:space="0" w:color="auto"/>
            <w:left w:val="none" w:sz="0" w:space="0" w:color="auto"/>
            <w:bottom w:val="none" w:sz="0" w:space="0" w:color="auto"/>
            <w:right w:val="none" w:sz="0" w:space="0" w:color="auto"/>
          </w:divBdr>
        </w:div>
        <w:div w:id="223377090">
          <w:marLeft w:val="0"/>
          <w:marRight w:val="0"/>
          <w:marTop w:val="0"/>
          <w:marBottom w:val="0"/>
          <w:divBdr>
            <w:top w:val="none" w:sz="0" w:space="0" w:color="auto"/>
            <w:left w:val="none" w:sz="0" w:space="0" w:color="auto"/>
            <w:bottom w:val="none" w:sz="0" w:space="0" w:color="auto"/>
            <w:right w:val="none" w:sz="0" w:space="0" w:color="auto"/>
          </w:divBdr>
        </w:div>
        <w:div w:id="168302292">
          <w:marLeft w:val="0"/>
          <w:marRight w:val="0"/>
          <w:marTop w:val="0"/>
          <w:marBottom w:val="0"/>
          <w:divBdr>
            <w:top w:val="none" w:sz="0" w:space="0" w:color="auto"/>
            <w:left w:val="none" w:sz="0" w:space="0" w:color="auto"/>
            <w:bottom w:val="none" w:sz="0" w:space="0" w:color="auto"/>
            <w:right w:val="none" w:sz="0" w:space="0" w:color="auto"/>
          </w:divBdr>
        </w:div>
        <w:div w:id="1124616548">
          <w:marLeft w:val="0"/>
          <w:marRight w:val="0"/>
          <w:marTop w:val="0"/>
          <w:marBottom w:val="0"/>
          <w:divBdr>
            <w:top w:val="none" w:sz="0" w:space="0" w:color="auto"/>
            <w:left w:val="none" w:sz="0" w:space="0" w:color="auto"/>
            <w:bottom w:val="none" w:sz="0" w:space="0" w:color="auto"/>
            <w:right w:val="none" w:sz="0" w:space="0" w:color="auto"/>
          </w:divBdr>
        </w:div>
        <w:div w:id="290945039">
          <w:marLeft w:val="0"/>
          <w:marRight w:val="0"/>
          <w:marTop w:val="0"/>
          <w:marBottom w:val="0"/>
          <w:divBdr>
            <w:top w:val="none" w:sz="0" w:space="0" w:color="auto"/>
            <w:left w:val="none" w:sz="0" w:space="0" w:color="auto"/>
            <w:bottom w:val="none" w:sz="0" w:space="0" w:color="auto"/>
            <w:right w:val="none" w:sz="0" w:space="0" w:color="auto"/>
          </w:divBdr>
        </w:div>
        <w:div w:id="45645772">
          <w:marLeft w:val="0"/>
          <w:marRight w:val="0"/>
          <w:marTop w:val="0"/>
          <w:marBottom w:val="0"/>
          <w:divBdr>
            <w:top w:val="none" w:sz="0" w:space="0" w:color="auto"/>
            <w:left w:val="none" w:sz="0" w:space="0" w:color="auto"/>
            <w:bottom w:val="none" w:sz="0" w:space="0" w:color="auto"/>
            <w:right w:val="none" w:sz="0" w:space="0" w:color="auto"/>
          </w:divBdr>
        </w:div>
        <w:div w:id="1879273615">
          <w:marLeft w:val="0"/>
          <w:marRight w:val="0"/>
          <w:marTop w:val="0"/>
          <w:marBottom w:val="0"/>
          <w:divBdr>
            <w:top w:val="none" w:sz="0" w:space="0" w:color="auto"/>
            <w:left w:val="none" w:sz="0" w:space="0" w:color="auto"/>
            <w:bottom w:val="none" w:sz="0" w:space="0" w:color="auto"/>
            <w:right w:val="none" w:sz="0" w:space="0" w:color="auto"/>
          </w:divBdr>
        </w:div>
        <w:div w:id="1467090882">
          <w:marLeft w:val="0"/>
          <w:marRight w:val="0"/>
          <w:marTop w:val="0"/>
          <w:marBottom w:val="0"/>
          <w:divBdr>
            <w:top w:val="none" w:sz="0" w:space="0" w:color="auto"/>
            <w:left w:val="none" w:sz="0" w:space="0" w:color="auto"/>
            <w:bottom w:val="none" w:sz="0" w:space="0" w:color="auto"/>
            <w:right w:val="none" w:sz="0" w:space="0" w:color="auto"/>
          </w:divBdr>
        </w:div>
        <w:div w:id="782965291">
          <w:marLeft w:val="0"/>
          <w:marRight w:val="0"/>
          <w:marTop w:val="0"/>
          <w:marBottom w:val="0"/>
          <w:divBdr>
            <w:top w:val="none" w:sz="0" w:space="0" w:color="auto"/>
            <w:left w:val="none" w:sz="0" w:space="0" w:color="auto"/>
            <w:bottom w:val="none" w:sz="0" w:space="0" w:color="auto"/>
            <w:right w:val="none" w:sz="0" w:space="0" w:color="auto"/>
          </w:divBdr>
        </w:div>
        <w:div w:id="1839154078">
          <w:marLeft w:val="0"/>
          <w:marRight w:val="0"/>
          <w:marTop w:val="0"/>
          <w:marBottom w:val="0"/>
          <w:divBdr>
            <w:top w:val="none" w:sz="0" w:space="0" w:color="auto"/>
            <w:left w:val="none" w:sz="0" w:space="0" w:color="auto"/>
            <w:bottom w:val="none" w:sz="0" w:space="0" w:color="auto"/>
            <w:right w:val="none" w:sz="0" w:space="0" w:color="auto"/>
          </w:divBdr>
        </w:div>
        <w:div w:id="538398172">
          <w:marLeft w:val="0"/>
          <w:marRight w:val="0"/>
          <w:marTop w:val="0"/>
          <w:marBottom w:val="0"/>
          <w:divBdr>
            <w:top w:val="none" w:sz="0" w:space="0" w:color="auto"/>
            <w:left w:val="none" w:sz="0" w:space="0" w:color="auto"/>
            <w:bottom w:val="none" w:sz="0" w:space="0" w:color="auto"/>
            <w:right w:val="none" w:sz="0" w:space="0" w:color="auto"/>
          </w:divBdr>
        </w:div>
        <w:div w:id="97605802">
          <w:marLeft w:val="0"/>
          <w:marRight w:val="0"/>
          <w:marTop w:val="0"/>
          <w:marBottom w:val="0"/>
          <w:divBdr>
            <w:top w:val="none" w:sz="0" w:space="0" w:color="auto"/>
            <w:left w:val="none" w:sz="0" w:space="0" w:color="auto"/>
            <w:bottom w:val="none" w:sz="0" w:space="0" w:color="auto"/>
            <w:right w:val="none" w:sz="0" w:space="0" w:color="auto"/>
          </w:divBdr>
        </w:div>
        <w:div w:id="266889546">
          <w:marLeft w:val="0"/>
          <w:marRight w:val="0"/>
          <w:marTop w:val="0"/>
          <w:marBottom w:val="0"/>
          <w:divBdr>
            <w:top w:val="none" w:sz="0" w:space="0" w:color="auto"/>
            <w:left w:val="none" w:sz="0" w:space="0" w:color="auto"/>
            <w:bottom w:val="none" w:sz="0" w:space="0" w:color="auto"/>
            <w:right w:val="none" w:sz="0" w:space="0" w:color="auto"/>
          </w:divBdr>
        </w:div>
        <w:div w:id="1532919322">
          <w:marLeft w:val="0"/>
          <w:marRight w:val="0"/>
          <w:marTop w:val="0"/>
          <w:marBottom w:val="0"/>
          <w:divBdr>
            <w:top w:val="none" w:sz="0" w:space="0" w:color="auto"/>
            <w:left w:val="none" w:sz="0" w:space="0" w:color="auto"/>
            <w:bottom w:val="none" w:sz="0" w:space="0" w:color="auto"/>
            <w:right w:val="none" w:sz="0" w:space="0" w:color="auto"/>
          </w:divBdr>
        </w:div>
        <w:div w:id="1712413292">
          <w:marLeft w:val="0"/>
          <w:marRight w:val="0"/>
          <w:marTop w:val="0"/>
          <w:marBottom w:val="0"/>
          <w:divBdr>
            <w:top w:val="none" w:sz="0" w:space="0" w:color="auto"/>
            <w:left w:val="none" w:sz="0" w:space="0" w:color="auto"/>
            <w:bottom w:val="none" w:sz="0" w:space="0" w:color="auto"/>
            <w:right w:val="none" w:sz="0" w:space="0" w:color="auto"/>
          </w:divBdr>
        </w:div>
        <w:div w:id="63531010">
          <w:marLeft w:val="0"/>
          <w:marRight w:val="0"/>
          <w:marTop w:val="0"/>
          <w:marBottom w:val="0"/>
          <w:divBdr>
            <w:top w:val="none" w:sz="0" w:space="0" w:color="auto"/>
            <w:left w:val="none" w:sz="0" w:space="0" w:color="auto"/>
            <w:bottom w:val="none" w:sz="0" w:space="0" w:color="auto"/>
            <w:right w:val="none" w:sz="0" w:space="0" w:color="auto"/>
          </w:divBdr>
        </w:div>
        <w:div w:id="1152209918">
          <w:marLeft w:val="0"/>
          <w:marRight w:val="0"/>
          <w:marTop w:val="0"/>
          <w:marBottom w:val="0"/>
          <w:divBdr>
            <w:top w:val="none" w:sz="0" w:space="0" w:color="auto"/>
            <w:left w:val="none" w:sz="0" w:space="0" w:color="auto"/>
            <w:bottom w:val="none" w:sz="0" w:space="0" w:color="auto"/>
            <w:right w:val="none" w:sz="0" w:space="0" w:color="auto"/>
          </w:divBdr>
        </w:div>
        <w:div w:id="143189703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hyperlink" Target="http://www.cwi.sk"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yperlink" Target="http://www.norbalwet.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medwet.org" TargetMode="External"/><Relationship Id="rId20" Type="http://schemas.openxmlformats.org/officeDocument/2006/relationships/hyperlink" Target="http://www.tourduvalat.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rsis.ramsar.org"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ramsar.org/fr/library/field_date/%5B2015-01-01T00%3A00%3A00Z%20TO%202016-01-01T00%3A00%3A00Z%5D/field_document_type/contracting-party-documents-418/field_document_type/national-reports-532/field_tag_countries/europe-14" TargetMode="External"/><Relationship Id="rId19" Type="http://schemas.openxmlformats.org/officeDocument/2006/relationships/hyperlink" Target="http://www.blackseawet.or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latheT\AppData\Local\Microsoft\Windows\Temporary%20Internet%20Files\Content.Outlook\IWY3M198\NR%20chartEurop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SalatheT\AppData\Local\Microsoft\Windows\Temporary%20Internet%20Files\Content.Outlook\IWY3M198\NR%20chartEurop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latheT\AppData\Local\Microsoft\Windows\Temporary%20Internet%20Files\Content.Outlook\IWY3M198\Charts_131C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6.0877296587926684E-2"/>
          <c:y val="4.2141294838145604E-2"/>
          <c:w val="0.66020669291338918"/>
          <c:h val="0.8326195683872849"/>
        </c:manualLayout>
      </c:layout>
      <c:barChart>
        <c:barDir val="col"/>
        <c:grouping val="clustered"/>
        <c:ser>
          <c:idx val="0"/>
          <c:order val="0"/>
          <c:tx>
            <c:strRef>
              <c:f>Sheet1!$B$1</c:f>
              <c:strCache>
                <c:ptCount val="1"/>
                <c:pt idx="0">
                  <c:v>Parties with NR</c:v>
                </c:pt>
              </c:strCache>
            </c:strRef>
          </c:tx>
          <c:cat>
            <c:strRef>
              <c:f>Sheet1!$A$2:$A$6</c:f>
              <c:strCache>
                <c:ptCount val="5"/>
                <c:pt idx="0">
                  <c:v>COP8</c:v>
                </c:pt>
                <c:pt idx="1">
                  <c:v>COP9</c:v>
                </c:pt>
                <c:pt idx="2">
                  <c:v>COP10</c:v>
                </c:pt>
                <c:pt idx="3">
                  <c:v>COP11</c:v>
                </c:pt>
                <c:pt idx="4">
                  <c:v>COP12</c:v>
                </c:pt>
              </c:strCache>
            </c:strRef>
          </c:cat>
          <c:val>
            <c:numRef>
              <c:f>Sheet1!$B$2:$B$6</c:f>
              <c:numCache>
                <c:formatCode>General</c:formatCode>
                <c:ptCount val="5"/>
                <c:pt idx="0">
                  <c:v>40</c:v>
                </c:pt>
                <c:pt idx="1">
                  <c:v>40</c:v>
                </c:pt>
                <c:pt idx="2">
                  <c:v>36</c:v>
                </c:pt>
                <c:pt idx="3">
                  <c:v>39</c:v>
                </c:pt>
                <c:pt idx="4">
                  <c:v>34</c:v>
                </c:pt>
              </c:numCache>
            </c:numRef>
          </c:val>
        </c:ser>
        <c:ser>
          <c:idx val="1"/>
          <c:order val="1"/>
          <c:tx>
            <c:strRef>
              <c:f>Sheet1!$C$1</c:f>
              <c:strCache>
                <c:ptCount val="1"/>
                <c:pt idx="0">
                  <c:v>All Parties</c:v>
                </c:pt>
              </c:strCache>
            </c:strRef>
          </c:tx>
          <c:cat>
            <c:strRef>
              <c:f>Sheet1!$A$2:$A$6</c:f>
              <c:strCache>
                <c:ptCount val="5"/>
                <c:pt idx="0">
                  <c:v>COP8</c:v>
                </c:pt>
                <c:pt idx="1">
                  <c:v>COP9</c:v>
                </c:pt>
                <c:pt idx="2">
                  <c:v>COP10</c:v>
                </c:pt>
                <c:pt idx="3">
                  <c:v>COP11</c:v>
                </c:pt>
                <c:pt idx="4">
                  <c:v>COP12</c:v>
                </c:pt>
              </c:strCache>
            </c:strRef>
          </c:cat>
          <c:val>
            <c:numRef>
              <c:f>Sheet1!$C$2:$C$6</c:f>
              <c:numCache>
                <c:formatCode>General</c:formatCode>
                <c:ptCount val="5"/>
                <c:pt idx="0">
                  <c:v>42</c:v>
                </c:pt>
                <c:pt idx="1">
                  <c:v>44</c:v>
                </c:pt>
                <c:pt idx="2">
                  <c:v>45</c:v>
                </c:pt>
                <c:pt idx="3">
                  <c:v>45</c:v>
                </c:pt>
                <c:pt idx="4">
                  <c:v>47</c:v>
                </c:pt>
              </c:numCache>
            </c:numRef>
          </c:val>
        </c:ser>
        <c:axId val="145318272"/>
        <c:axId val="145319808"/>
      </c:barChart>
      <c:catAx>
        <c:axId val="145318272"/>
        <c:scaling>
          <c:orientation val="minMax"/>
        </c:scaling>
        <c:axPos val="b"/>
        <c:numFmt formatCode="General" sourceLinked="0"/>
        <c:tickLblPos val="nextTo"/>
        <c:crossAx val="145319808"/>
        <c:crosses val="autoZero"/>
        <c:auto val="1"/>
        <c:lblAlgn val="ctr"/>
        <c:lblOffset val="100"/>
      </c:catAx>
      <c:valAx>
        <c:axId val="145319808"/>
        <c:scaling>
          <c:orientation val="minMax"/>
        </c:scaling>
        <c:axPos val="l"/>
        <c:majorGridlines/>
        <c:numFmt formatCode="General" sourceLinked="1"/>
        <c:tickLblPos val="nextTo"/>
        <c:crossAx val="145318272"/>
        <c:crosses val="autoZero"/>
        <c:crossBetween val="between"/>
      </c:valAx>
    </c:plotArea>
    <c:legend>
      <c:legendPos val="r"/>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pPr>
            <a:r>
              <a:rPr lang="en-US" sz="1100"/>
              <a:t>1.3.2 Les questions relatives aux zones humides ont-elle été intégrées dans d'autres stratégies</a:t>
            </a:r>
            <a:r>
              <a:rPr lang="en-US" sz="1100" baseline="0"/>
              <a:t> et processus de planification nationaux?</a:t>
            </a:r>
            <a:endParaRPr lang="en-US" sz="1100"/>
          </a:p>
        </c:rich>
      </c:tx>
      <c:layout/>
    </c:title>
    <c:plotArea>
      <c:layout/>
      <c:barChart>
        <c:barDir val="col"/>
        <c:grouping val="stacked"/>
        <c:ser>
          <c:idx val="0"/>
          <c:order val="0"/>
          <c:tx>
            <c:strRef>
              <c:f>Europe!$C$4</c:f>
              <c:strCache>
                <c:ptCount val="1"/>
                <c:pt idx="0">
                  <c:v>Yes</c:v>
                </c:pt>
              </c:strCache>
            </c:strRef>
          </c:tx>
          <c:spPr>
            <a:solidFill>
              <a:srgbClr val="09DDBA"/>
            </a:solidFill>
          </c:spPr>
          <c:cat>
            <c:strRef>
              <c:f>Europe!$B$5:$B$11</c:f>
              <c:strCache>
                <c:ptCount val="7"/>
                <c:pt idx="0">
                  <c:v>a</c:v>
                </c:pt>
                <c:pt idx="1">
                  <c:v>b</c:v>
                </c:pt>
                <c:pt idx="2">
                  <c:v>c</c:v>
                </c:pt>
                <c:pt idx="3">
                  <c:v>d</c:v>
                </c:pt>
                <c:pt idx="4">
                  <c:v>e</c:v>
                </c:pt>
                <c:pt idx="5">
                  <c:v>f</c:v>
                </c:pt>
                <c:pt idx="6">
                  <c:v>g</c:v>
                </c:pt>
              </c:strCache>
            </c:strRef>
          </c:cat>
          <c:val>
            <c:numRef>
              <c:f>Europe!$C$5:$C$11</c:f>
              <c:numCache>
                <c:formatCode>General</c:formatCode>
                <c:ptCount val="7"/>
                <c:pt idx="0">
                  <c:v>4</c:v>
                </c:pt>
                <c:pt idx="1">
                  <c:v>21</c:v>
                </c:pt>
                <c:pt idx="2">
                  <c:v>15</c:v>
                </c:pt>
                <c:pt idx="3">
                  <c:v>13</c:v>
                </c:pt>
                <c:pt idx="4">
                  <c:v>18</c:v>
                </c:pt>
                <c:pt idx="5">
                  <c:v>14</c:v>
                </c:pt>
                <c:pt idx="6">
                  <c:v>28</c:v>
                </c:pt>
              </c:numCache>
            </c:numRef>
          </c:val>
        </c:ser>
        <c:ser>
          <c:idx val="2"/>
          <c:order val="1"/>
          <c:tx>
            <c:strRef>
              <c:f>Europe!$D$4</c:f>
              <c:strCache>
                <c:ptCount val="1"/>
                <c:pt idx="0">
                  <c:v>Partly</c:v>
                </c:pt>
              </c:strCache>
            </c:strRef>
          </c:tx>
          <c:spPr>
            <a:solidFill>
              <a:srgbClr val="A3FBEC"/>
            </a:solidFill>
          </c:spPr>
          <c:cat>
            <c:strRef>
              <c:f>Europe!$B$5:$B$11</c:f>
              <c:strCache>
                <c:ptCount val="7"/>
                <c:pt idx="0">
                  <c:v>a</c:v>
                </c:pt>
                <c:pt idx="1">
                  <c:v>b</c:v>
                </c:pt>
                <c:pt idx="2">
                  <c:v>c</c:v>
                </c:pt>
                <c:pt idx="3">
                  <c:v>d</c:v>
                </c:pt>
                <c:pt idx="4">
                  <c:v>e</c:v>
                </c:pt>
                <c:pt idx="5">
                  <c:v>f</c:v>
                </c:pt>
                <c:pt idx="6">
                  <c:v>g</c:v>
                </c:pt>
              </c:strCache>
            </c:strRef>
          </c:cat>
          <c:val>
            <c:numRef>
              <c:f>Europe!$D$5:$D$11</c:f>
              <c:numCache>
                <c:formatCode>General</c:formatCode>
                <c:ptCount val="7"/>
                <c:pt idx="0">
                  <c:v>2</c:v>
                </c:pt>
                <c:pt idx="1">
                  <c:v>10</c:v>
                </c:pt>
                <c:pt idx="2">
                  <c:v>3</c:v>
                </c:pt>
                <c:pt idx="3">
                  <c:v>11</c:v>
                </c:pt>
                <c:pt idx="4">
                  <c:v>10</c:v>
                </c:pt>
                <c:pt idx="5">
                  <c:v>10</c:v>
                </c:pt>
                <c:pt idx="6">
                  <c:v>1</c:v>
                </c:pt>
              </c:numCache>
            </c:numRef>
          </c:val>
        </c:ser>
        <c:ser>
          <c:idx val="3"/>
          <c:order val="2"/>
          <c:tx>
            <c:strRef>
              <c:f>Europe!$E$4</c:f>
              <c:strCache>
                <c:ptCount val="1"/>
                <c:pt idx="0">
                  <c:v>Planned</c:v>
                </c:pt>
              </c:strCache>
            </c:strRef>
          </c:tx>
          <c:spPr>
            <a:solidFill>
              <a:srgbClr val="398CC5"/>
            </a:solidFill>
          </c:spPr>
          <c:cat>
            <c:strRef>
              <c:f>Europe!$B$5:$B$11</c:f>
              <c:strCache>
                <c:ptCount val="7"/>
                <c:pt idx="0">
                  <c:v>a</c:v>
                </c:pt>
                <c:pt idx="1">
                  <c:v>b</c:v>
                </c:pt>
                <c:pt idx="2">
                  <c:v>c</c:v>
                </c:pt>
                <c:pt idx="3">
                  <c:v>d</c:v>
                </c:pt>
                <c:pt idx="4">
                  <c:v>e</c:v>
                </c:pt>
                <c:pt idx="5">
                  <c:v>f</c:v>
                </c:pt>
                <c:pt idx="6">
                  <c:v>g</c:v>
                </c:pt>
              </c:strCache>
            </c:strRef>
          </c:cat>
          <c:val>
            <c:numRef>
              <c:f>Europe!$E$5:$E$11</c:f>
              <c:numCache>
                <c:formatCode>General</c:formatCode>
                <c:ptCount val="7"/>
                <c:pt idx="0">
                  <c:v>1</c:v>
                </c:pt>
                <c:pt idx="1">
                  <c:v>0</c:v>
                </c:pt>
                <c:pt idx="2">
                  <c:v>3</c:v>
                </c:pt>
                <c:pt idx="3">
                  <c:v>1</c:v>
                </c:pt>
                <c:pt idx="4">
                  <c:v>0</c:v>
                </c:pt>
                <c:pt idx="5">
                  <c:v>0</c:v>
                </c:pt>
                <c:pt idx="6">
                  <c:v>2</c:v>
                </c:pt>
              </c:numCache>
            </c:numRef>
          </c:val>
        </c:ser>
        <c:ser>
          <c:idx val="1"/>
          <c:order val="3"/>
          <c:tx>
            <c:strRef>
              <c:f>Europe!$F$4</c:f>
              <c:strCache>
                <c:ptCount val="1"/>
                <c:pt idx="0">
                  <c:v>No</c:v>
                </c:pt>
              </c:strCache>
            </c:strRef>
          </c:tx>
          <c:spPr>
            <a:solidFill>
              <a:srgbClr val="506C6B"/>
            </a:solidFill>
          </c:spPr>
          <c:cat>
            <c:strRef>
              <c:f>Europe!$B$5:$B$11</c:f>
              <c:strCache>
                <c:ptCount val="7"/>
                <c:pt idx="0">
                  <c:v>a</c:v>
                </c:pt>
                <c:pt idx="1">
                  <c:v>b</c:v>
                </c:pt>
                <c:pt idx="2">
                  <c:v>c</c:v>
                </c:pt>
                <c:pt idx="3">
                  <c:v>d</c:v>
                </c:pt>
                <c:pt idx="4">
                  <c:v>e</c:v>
                </c:pt>
                <c:pt idx="5">
                  <c:v>f</c:v>
                </c:pt>
                <c:pt idx="6">
                  <c:v>g</c:v>
                </c:pt>
              </c:strCache>
            </c:strRef>
          </c:cat>
          <c:val>
            <c:numRef>
              <c:f>Europe!$F$5:$F$11</c:f>
              <c:numCache>
                <c:formatCode>General</c:formatCode>
                <c:ptCount val="7"/>
                <c:pt idx="0">
                  <c:v>10</c:v>
                </c:pt>
                <c:pt idx="1">
                  <c:v>2</c:v>
                </c:pt>
                <c:pt idx="2">
                  <c:v>2</c:v>
                </c:pt>
                <c:pt idx="3">
                  <c:v>5</c:v>
                </c:pt>
                <c:pt idx="4">
                  <c:v>3</c:v>
                </c:pt>
                <c:pt idx="5">
                  <c:v>9</c:v>
                </c:pt>
                <c:pt idx="6">
                  <c:v>1</c:v>
                </c:pt>
              </c:numCache>
            </c:numRef>
          </c:val>
        </c:ser>
        <c:ser>
          <c:idx val="4"/>
          <c:order val="4"/>
          <c:tx>
            <c:strRef>
              <c:f>Europe!$G$4</c:f>
              <c:strCache>
                <c:ptCount val="1"/>
                <c:pt idx="0">
                  <c:v>Not applicable</c:v>
                </c:pt>
              </c:strCache>
            </c:strRef>
          </c:tx>
          <c:spPr>
            <a:solidFill>
              <a:schemeClr val="bg1">
                <a:lumMod val="85000"/>
              </a:schemeClr>
            </a:solidFill>
          </c:spPr>
          <c:cat>
            <c:strRef>
              <c:f>Europe!$B$5:$B$11</c:f>
              <c:strCache>
                <c:ptCount val="7"/>
                <c:pt idx="0">
                  <c:v>a</c:v>
                </c:pt>
                <c:pt idx="1">
                  <c:v>b</c:v>
                </c:pt>
                <c:pt idx="2">
                  <c:v>c</c:v>
                </c:pt>
                <c:pt idx="3">
                  <c:v>d</c:v>
                </c:pt>
                <c:pt idx="4">
                  <c:v>e</c:v>
                </c:pt>
                <c:pt idx="5">
                  <c:v>f</c:v>
                </c:pt>
                <c:pt idx="6">
                  <c:v>g</c:v>
                </c:pt>
              </c:strCache>
            </c:strRef>
          </c:cat>
          <c:val>
            <c:numRef>
              <c:f>Europe!$G$5:$G$11</c:f>
              <c:numCache>
                <c:formatCode>General</c:formatCode>
                <c:ptCount val="7"/>
                <c:pt idx="0">
                  <c:v>16</c:v>
                </c:pt>
                <c:pt idx="1">
                  <c:v>1</c:v>
                </c:pt>
                <c:pt idx="2">
                  <c:v>10</c:v>
                </c:pt>
                <c:pt idx="3">
                  <c:v>4</c:v>
                </c:pt>
                <c:pt idx="4">
                  <c:v>3</c:v>
                </c:pt>
                <c:pt idx="5">
                  <c:v>1</c:v>
                </c:pt>
                <c:pt idx="6">
                  <c:v>2</c:v>
                </c:pt>
              </c:numCache>
            </c:numRef>
          </c:val>
        </c:ser>
        <c:ser>
          <c:idx val="5"/>
          <c:order val="5"/>
          <c:tx>
            <c:strRef>
              <c:f>Europe!$H$4</c:f>
              <c:strCache>
                <c:ptCount val="1"/>
                <c:pt idx="0">
                  <c:v>No answer</c:v>
                </c:pt>
              </c:strCache>
            </c:strRef>
          </c:tx>
          <c:spPr>
            <a:solidFill>
              <a:schemeClr val="tx1"/>
            </a:solidFill>
          </c:spPr>
          <c:val>
            <c:numRef>
              <c:f>Europe!$H$5:$H$11</c:f>
              <c:numCache>
                <c:formatCode>General</c:formatCode>
                <c:ptCount val="7"/>
                <c:pt idx="0">
                  <c:v>1</c:v>
                </c:pt>
                <c:pt idx="2">
                  <c:v>1</c:v>
                </c:pt>
              </c:numCache>
            </c:numRef>
          </c:val>
        </c:ser>
        <c:overlap val="100"/>
        <c:axId val="145405824"/>
        <c:axId val="145407360"/>
      </c:barChart>
      <c:catAx>
        <c:axId val="145405824"/>
        <c:scaling>
          <c:orientation val="minMax"/>
        </c:scaling>
        <c:axPos val="b"/>
        <c:numFmt formatCode="General" sourceLinked="0"/>
        <c:tickLblPos val="nextTo"/>
        <c:crossAx val="145407360"/>
        <c:crosses val="autoZero"/>
        <c:auto val="1"/>
        <c:lblAlgn val="ctr"/>
        <c:lblOffset val="100"/>
      </c:catAx>
      <c:valAx>
        <c:axId val="145407360"/>
        <c:scaling>
          <c:orientation val="minMax"/>
        </c:scaling>
        <c:axPos val="l"/>
        <c:majorGridlines/>
        <c:title>
          <c:tx>
            <c:rich>
              <a:bodyPr rot="-5400000" vert="horz"/>
              <a:lstStyle/>
              <a:p>
                <a:pPr>
                  <a:defRPr/>
                </a:pPr>
                <a:r>
                  <a:rPr lang="en-US"/>
                  <a:t>Nombre de PC européennes</a:t>
                </a:r>
              </a:p>
            </c:rich>
          </c:tx>
          <c:layout/>
        </c:title>
        <c:numFmt formatCode="General" sourceLinked="1"/>
        <c:tickLblPos val="nextTo"/>
        <c:crossAx val="145405824"/>
        <c:crosses val="autoZero"/>
        <c:crossBetween val="between"/>
      </c:valAx>
    </c:plotArea>
    <c:legend>
      <c:legendPos val="r"/>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pPr>
            <a:r>
              <a:rPr lang="en-US" sz="1100"/>
              <a:t>1.6.1 Des travaux de recherche</a:t>
            </a:r>
            <a:r>
              <a:rPr lang="en-US" sz="1100" baseline="0"/>
              <a:t> ont-ils été entamés pour étayer les politiques et plans relatifs aux zones humides?</a:t>
            </a:r>
            <a:endParaRPr lang="en-US" sz="1100"/>
          </a:p>
        </c:rich>
      </c:tx>
      <c:layout/>
    </c:title>
    <c:plotArea>
      <c:layout/>
      <c:barChart>
        <c:barDir val="col"/>
        <c:grouping val="stacked"/>
        <c:ser>
          <c:idx val="0"/>
          <c:order val="0"/>
          <c:tx>
            <c:strRef>
              <c:f>Sheet1!$R$17</c:f>
              <c:strCache>
                <c:ptCount val="1"/>
                <c:pt idx="0">
                  <c:v>Yes</c:v>
                </c:pt>
              </c:strCache>
            </c:strRef>
          </c:tx>
          <c:spPr>
            <a:solidFill>
              <a:srgbClr val="09DDBA"/>
            </a:solidFill>
          </c:spPr>
          <c:cat>
            <c:multiLvlStrRef>
              <c:f>Sheet1!$P$18:$Q$23</c:f>
              <c:multiLvlStrCache>
                <c:ptCount val="6"/>
                <c:lvl>
                  <c:pt idx="0">
                    <c:v>a</c:v>
                  </c:pt>
                  <c:pt idx="1">
                    <c:v>a</c:v>
                  </c:pt>
                  <c:pt idx="2">
                    <c:v>b</c:v>
                  </c:pt>
                  <c:pt idx="3">
                    <c:v>b</c:v>
                  </c:pt>
                  <c:pt idx="4">
                    <c:v>c</c:v>
                  </c:pt>
                  <c:pt idx="5">
                    <c:v>c</c:v>
                  </c:pt>
                </c:lvl>
                <c:lvl>
                  <c:pt idx="0">
                    <c:v>COP11</c:v>
                  </c:pt>
                  <c:pt idx="1">
                    <c:v>COP12</c:v>
                  </c:pt>
                  <c:pt idx="2">
                    <c:v>COP11</c:v>
                  </c:pt>
                  <c:pt idx="3">
                    <c:v>COP12</c:v>
                  </c:pt>
                  <c:pt idx="4">
                    <c:v>COP11</c:v>
                  </c:pt>
                  <c:pt idx="5">
                    <c:v>COP12</c:v>
                  </c:pt>
                </c:lvl>
              </c:multiLvlStrCache>
            </c:multiLvlStrRef>
          </c:cat>
          <c:val>
            <c:numRef>
              <c:f>Sheet1!$R$18:$R$23</c:f>
              <c:numCache>
                <c:formatCode>General</c:formatCode>
                <c:ptCount val="6"/>
                <c:pt idx="0">
                  <c:v>58.974358974359063</c:v>
                </c:pt>
                <c:pt idx="1">
                  <c:v>61.764705882352963</c:v>
                </c:pt>
                <c:pt idx="2">
                  <c:v>58.974358974359063</c:v>
                </c:pt>
                <c:pt idx="3">
                  <c:v>70.588235294117666</c:v>
                </c:pt>
                <c:pt idx="4">
                  <c:v>43.589743589743286</c:v>
                </c:pt>
                <c:pt idx="5">
                  <c:v>55.882352941176563</c:v>
                </c:pt>
              </c:numCache>
            </c:numRef>
          </c:val>
        </c:ser>
        <c:ser>
          <c:idx val="2"/>
          <c:order val="1"/>
          <c:tx>
            <c:strRef>
              <c:f>Sheet1!$S$17</c:f>
              <c:strCache>
                <c:ptCount val="1"/>
                <c:pt idx="0">
                  <c:v>Planned</c:v>
                </c:pt>
              </c:strCache>
            </c:strRef>
          </c:tx>
          <c:spPr>
            <a:solidFill>
              <a:srgbClr val="398CC5"/>
            </a:solidFill>
          </c:spPr>
          <c:cat>
            <c:multiLvlStrRef>
              <c:f>Sheet1!$P$18:$Q$23</c:f>
              <c:multiLvlStrCache>
                <c:ptCount val="6"/>
                <c:lvl>
                  <c:pt idx="0">
                    <c:v>a</c:v>
                  </c:pt>
                  <c:pt idx="1">
                    <c:v>a</c:v>
                  </c:pt>
                  <c:pt idx="2">
                    <c:v>b</c:v>
                  </c:pt>
                  <c:pt idx="3">
                    <c:v>b</c:v>
                  </c:pt>
                  <c:pt idx="4">
                    <c:v>c</c:v>
                  </c:pt>
                  <c:pt idx="5">
                    <c:v>c</c:v>
                  </c:pt>
                </c:lvl>
                <c:lvl>
                  <c:pt idx="0">
                    <c:v>COP11</c:v>
                  </c:pt>
                  <c:pt idx="1">
                    <c:v>COP12</c:v>
                  </c:pt>
                  <c:pt idx="2">
                    <c:v>COP11</c:v>
                  </c:pt>
                  <c:pt idx="3">
                    <c:v>COP12</c:v>
                  </c:pt>
                  <c:pt idx="4">
                    <c:v>COP11</c:v>
                  </c:pt>
                  <c:pt idx="5">
                    <c:v>COP12</c:v>
                  </c:pt>
                </c:lvl>
              </c:multiLvlStrCache>
            </c:multiLvlStrRef>
          </c:cat>
          <c:val>
            <c:numRef>
              <c:f>Sheet1!$S$18:$S$23</c:f>
              <c:numCache>
                <c:formatCode>General</c:formatCode>
                <c:ptCount val="6"/>
                <c:pt idx="0">
                  <c:v>10.256410256410302</c:v>
                </c:pt>
                <c:pt idx="1">
                  <c:v>14.705882352941176</c:v>
                </c:pt>
                <c:pt idx="2">
                  <c:v>12.820512820512821</c:v>
                </c:pt>
                <c:pt idx="3">
                  <c:v>5.8823529411764675</c:v>
                </c:pt>
                <c:pt idx="4">
                  <c:v>30.76923076923077</c:v>
                </c:pt>
                <c:pt idx="5">
                  <c:v>14.705882352941176</c:v>
                </c:pt>
              </c:numCache>
            </c:numRef>
          </c:val>
        </c:ser>
        <c:ser>
          <c:idx val="3"/>
          <c:order val="2"/>
          <c:tx>
            <c:strRef>
              <c:f>Sheet1!$T$17</c:f>
              <c:strCache>
                <c:ptCount val="1"/>
                <c:pt idx="0">
                  <c:v>No</c:v>
                </c:pt>
              </c:strCache>
            </c:strRef>
          </c:tx>
          <c:spPr>
            <a:solidFill>
              <a:srgbClr val="506C6B"/>
            </a:solidFill>
          </c:spPr>
          <c:cat>
            <c:multiLvlStrRef>
              <c:f>Sheet1!$P$18:$Q$23</c:f>
              <c:multiLvlStrCache>
                <c:ptCount val="6"/>
                <c:lvl>
                  <c:pt idx="0">
                    <c:v>a</c:v>
                  </c:pt>
                  <c:pt idx="1">
                    <c:v>a</c:v>
                  </c:pt>
                  <c:pt idx="2">
                    <c:v>b</c:v>
                  </c:pt>
                  <c:pt idx="3">
                    <c:v>b</c:v>
                  </c:pt>
                  <c:pt idx="4">
                    <c:v>c</c:v>
                  </c:pt>
                  <c:pt idx="5">
                    <c:v>c</c:v>
                  </c:pt>
                </c:lvl>
                <c:lvl>
                  <c:pt idx="0">
                    <c:v>COP11</c:v>
                  </c:pt>
                  <c:pt idx="1">
                    <c:v>COP12</c:v>
                  </c:pt>
                  <c:pt idx="2">
                    <c:v>COP11</c:v>
                  </c:pt>
                  <c:pt idx="3">
                    <c:v>COP12</c:v>
                  </c:pt>
                  <c:pt idx="4">
                    <c:v>COP11</c:v>
                  </c:pt>
                  <c:pt idx="5">
                    <c:v>COP12</c:v>
                  </c:pt>
                </c:lvl>
              </c:multiLvlStrCache>
            </c:multiLvlStrRef>
          </c:cat>
          <c:val>
            <c:numRef>
              <c:f>Sheet1!$T$18:$T$23</c:f>
              <c:numCache>
                <c:formatCode>General</c:formatCode>
                <c:ptCount val="6"/>
                <c:pt idx="0">
                  <c:v>30.76923076923077</c:v>
                </c:pt>
                <c:pt idx="1">
                  <c:v>23.529411764705884</c:v>
                </c:pt>
                <c:pt idx="2">
                  <c:v>28.205128205128094</c:v>
                </c:pt>
                <c:pt idx="3">
                  <c:v>23.529411764705884</c:v>
                </c:pt>
                <c:pt idx="4">
                  <c:v>25.641025641025642</c:v>
                </c:pt>
                <c:pt idx="5">
                  <c:v>29.411764705882351</c:v>
                </c:pt>
              </c:numCache>
            </c:numRef>
          </c:val>
        </c:ser>
        <c:overlap val="100"/>
        <c:axId val="145781888"/>
        <c:axId val="145783424"/>
      </c:barChart>
      <c:catAx>
        <c:axId val="145781888"/>
        <c:scaling>
          <c:orientation val="minMax"/>
        </c:scaling>
        <c:axPos val="b"/>
        <c:numFmt formatCode="General" sourceLinked="0"/>
        <c:tickLblPos val="nextTo"/>
        <c:crossAx val="145783424"/>
        <c:crosses val="autoZero"/>
        <c:auto val="1"/>
        <c:lblAlgn val="ctr"/>
        <c:lblOffset val="100"/>
        <c:tickMarkSkip val="1"/>
      </c:catAx>
      <c:valAx>
        <c:axId val="145783424"/>
        <c:scaling>
          <c:orientation val="minMax"/>
          <c:max val="100"/>
        </c:scaling>
        <c:axPos val="l"/>
        <c:majorGridlines/>
        <c:title>
          <c:tx>
            <c:rich>
              <a:bodyPr rot="-5400000" vert="horz"/>
              <a:lstStyle/>
              <a:p>
                <a:pPr>
                  <a:defRPr/>
                </a:pPr>
                <a:r>
                  <a:rPr lang="en-US"/>
                  <a:t>Pourcentage de Parties européennes</a:t>
                </a:r>
              </a:p>
            </c:rich>
          </c:tx>
          <c:layout/>
        </c:title>
        <c:numFmt formatCode="General" sourceLinked="1"/>
        <c:tickLblPos val="nextTo"/>
        <c:crossAx val="145781888"/>
        <c:crosses val="autoZero"/>
        <c:crossBetween val="between"/>
      </c:valAx>
    </c:plotArea>
    <c:legend>
      <c:legendPos val="r"/>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pPr>
            <a:r>
              <a:rPr lang="en-US" sz="1100"/>
              <a:t>Indicator 4.1.1 Has an action</a:t>
            </a:r>
            <a:r>
              <a:rPr lang="en-US" sz="1100" baseline="0"/>
              <a:t> plan (or plans) for wetland CEPA been established</a:t>
            </a:r>
            <a:r>
              <a:rPr lang="en-US" sz="1100"/>
              <a:t>?</a:t>
            </a:r>
          </a:p>
        </c:rich>
      </c:tx>
      <c:layout>
        <c:manualLayout>
          <c:xMode val="edge"/>
          <c:yMode val="edge"/>
          <c:x val="9.9697322467986224E-2"/>
          <c:y val="4.5548654244306423E-2"/>
        </c:manualLayout>
      </c:layout>
    </c:title>
    <c:plotArea>
      <c:layout/>
      <c:barChart>
        <c:barDir val="col"/>
        <c:grouping val="stacked"/>
        <c:ser>
          <c:idx val="0"/>
          <c:order val="0"/>
          <c:tx>
            <c:strRef>
              <c:f>Europe!$C$32</c:f>
              <c:strCache>
                <c:ptCount val="1"/>
                <c:pt idx="0">
                  <c:v>Yes</c:v>
                </c:pt>
              </c:strCache>
            </c:strRef>
          </c:tx>
          <c:spPr>
            <a:solidFill>
              <a:srgbClr val="09DDBA"/>
            </a:solidFill>
          </c:spPr>
          <c:cat>
            <c:strRef>
              <c:f>Europe!$B$33:$B$36</c:f>
              <c:strCache>
                <c:ptCount val="4"/>
                <c:pt idx="0">
                  <c:v>a</c:v>
                </c:pt>
                <c:pt idx="1">
                  <c:v>b</c:v>
                </c:pt>
                <c:pt idx="2">
                  <c:v>c</c:v>
                </c:pt>
                <c:pt idx="3">
                  <c:v>d</c:v>
                </c:pt>
              </c:strCache>
            </c:strRef>
          </c:cat>
          <c:val>
            <c:numRef>
              <c:f>Europe!$C$33:$C$36</c:f>
              <c:numCache>
                <c:formatCode>General</c:formatCode>
                <c:ptCount val="4"/>
                <c:pt idx="0">
                  <c:v>10</c:v>
                </c:pt>
                <c:pt idx="1">
                  <c:v>6</c:v>
                </c:pt>
                <c:pt idx="2">
                  <c:v>4</c:v>
                </c:pt>
                <c:pt idx="3">
                  <c:v>12</c:v>
                </c:pt>
              </c:numCache>
            </c:numRef>
          </c:val>
        </c:ser>
        <c:ser>
          <c:idx val="2"/>
          <c:order val="1"/>
          <c:tx>
            <c:strRef>
              <c:f>Europe!$D$32</c:f>
              <c:strCache>
                <c:ptCount val="1"/>
                <c:pt idx="0">
                  <c:v>Partly</c:v>
                </c:pt>
              </c:strCache>
            </c:strRef>
          </c:tx>
          <c:spPr>
            <a:solidFill>
              <a:srgbClr val="A3FBEC"/>
            </a:solidFill>
          </c:spPr>
          <c:cat>
            <c:strRef>
              <c:f>Europe!$B$33:$B$36</c:f>
              <c:strCache>
                <c:ptCount val="4"/>
                <c:pt idx="0">
                  <c:v>a</c:v>
                </c:pt>
                <c:pt idx="1">
                  <c:v>b</c:v>
                </c:pt>
                <c:pt idx="2">
                  <c:v>c</c:v>
                </c:pt>
                <c:pt idx="3">
                  <c:v>d</c:v>
                </c:pt>
              </c:strCache>
            </c:strRef>
          </c:cat>
          <c:val>
            <c:numRef>
              <c:f>Europe!$D$33:$D$36</c:f>
              <c:numCache>
                <c:formatCode>General</c:formatCode>
                <c:ptCount val="4"/>
                <c:pt idx="0">
                  <c:v>4</c:v>
                </c:pt>
                <c:pt idx="1">
                  <c:v>1</c:v>
                </c:pt>
                <c:pt idx="2">
                  <c:v>3</c:v>
                </c:pt>
                <c:pt idx="3">
                  <c:v>4</c:v>
                </c:pt>
              </c:numCache>
            </c:numRef>
          </c:val>
        </c:ser>
        <c:ser>
          <c:idx val="3"/>
          <c:order val="2"/>
          <c:tx>
            <c:strRef>
              <c:f>Europe!$E$32</c:f>
              <c:strCache>
                <c:ptCount val="1"/>
                <c:pt idx="0">
                  <c:v>Planned</c:v>
                </c:pt>
              </c:strCache>
            </c:strRef>
          </c:tx>
          <c:spPr>
            <a:solidFill>
              <a:srgbClr val="398CC5"/>
            </a:solidFill>
          </c:spPr>
          <c:cat>
            <c:strRef>
              <c:f>Europe!$B$33:$B$36</c:f>
              <c:strCache>
                <c:ptCount val="4"/>
                <c:pt idx="0">
                  <c:v>a</c:v>
                </c:pt>
                <c:pt idx="1">
                  <c:v>b</c:v>
                </c:pt>
                <c:pt idx="2">
                  <c:v>c</c:v>
                </c:pt>
                <c:pt idx="3">
                  <c:v>d</c:v>
                </c:pt>
              </c:strCache>
            </c:strRef>
          </c:cat>
          <c:val>
            <c:numRef>
              <c:f>Europe!$E$33:$E$36</c:f>
              <c:numCache>
                <c:formatCode>General</c:formatCode>
                <c:ptCount val="4"/>
                <c:pt idx="0">
                  <c:v>3</c:v>
                </c:pt>
                <c:pt idx="1">
                  <c:v>2</c:v>
                </c:pt>
                <c:pt idx="2">
                  <c:v>4</c:v>
                </c:pt>
                <c:pt idx="3">
                  <c:v>2</c:v>
                </c:pt>
              </c:numCache>
            </c:numRef>
          </c:val>
        </c:ser>
        <c:ser>
          <c:idx val="1"/>
          <c:order val="3"/>
          <c:tx>
            <c:strRef>
              <c:f>Europe!$F$32</c:f>
              <c:strCache>
                <c:ptCount val="1"/>
                <c:pt idx="0">
                  <c:v>No</c:v>
                </c:pt>
              </c:strCache>
            </c:strRef>
          </c:tx>
          <c:spPr>
            <a:solidFill>
              <a:srgbClr val="506C6B"/>
            </a:solidFill>
          </c:spPr>
          <c:cat>
            <c:strRef>
              <c:f>Europe!$B$33:$B$36</c:f>
              <c:strCache>
                <c:ptCount val="4"/>
                <c:pt idx="0">
                  <c:v>a</c:v>
                </c:pt>
                <c:pt idx="1">
                  <c:v>b</c:v>
                </c:pt>
                <c:pt idx="2">
                  <c:v>c</c:v>
                </c:pt>
                <c:pt idx="3">
                  <c:v>d</c:v>
                </c:pt>
              </c:strCache>
            </c:strRef>
          </c:cat>
          <c:val>
            <c:numRef>
              <c:f>Europe!$F$33:$F$36</c:f>
              <c:numCache>
                <c:formatCode>General</c:formatCode>
                <c:ptCount val="4"/>
                <c:pt idx="0">
                  <c:v>17</c:v>
                </c:pt>
                <c:pt idx="1">
                  <c:v>25</c:v>
                </c:pt>
                <c:pt idx="2">
                  <c:v>23</c:v>
                </c:pt>
                <c:pt idx="3">
                  <c:v>16</c:v>
                </c:pt>
              </c:numCache>
            </c:numRef>
          </c:val>
        </c:ser>
        <c:overlap val="100"/>
        <c:axId val="145801984"/>
        <c:axId val="145803520"/>
      </c:barChart>
      <c:catAx>
        <c:axId val="145801984"/>
        <c:scaling>
          <c:orientation val="minMax"/>
        </c:scaling>
        <c:axPos val="b"/>
        <c:tickLblPos val="nextTo"/>
        <c:crossAx val="145803520"/>
        <c:crosses val="autoZero"/>
        <c:auto val="1"/>
        <c:lblAlgn val="ctr"/>
        <c:lblOffset val="100"/>
      </c:catAx>
      <c:valAx>
        <c:axId val="145803520"/>
        <c:scaling>
          <c:orientation val="minMax"/>
        </c:scaling>
        <c:axPos val="l"/>
        <c:majorGridlines/>
        <c:title>
          <c:tx>
            <c:rich>
              <a:bodyPr rot="-5400000" vert="horz"/>
              <a:lstStyle/>
              <a:p>
                <a:pPr>
                  <a:defRPr/>
                </a:pPr>
                <a:r>
                  <a:rPr lang="en-US"/>
                  <a:t>Number of European CPs</a:t>
                </a:r>
              </a:p>
            </c:rich>
          </c:tx>
          <c:layout/>
        </c:title>
        <c:numFmt formatCode="General" sourceLinked="1"/>
        <c:tickLblPos val="nextTo"/>
        <c:crossAx val="145801984"/>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92FF5-1A6F-4F9A-95D3-5E7269E127AA}">
  <ds:schemaRefs>
    <ds:schemaRef ds:uri="http://schemas.openxmlformats.org/officeDocument/2006/bibliography"/>
  </ds:schemaRefs>
</ds:datastoreItem>
</file>

<file path=customXml/itemProps2.xml><?xml version="1.0" encoding="utf-8"?>
<ds:datastoreItem xmlns:ds="http://schemas.openxmlformats.org/officeDocument/2006/customXml" ds:itemID="{D3C2FB3A-D68A-4364-B34B-3F08367C6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11544</Words>
  <Characters>65804</Characters>
  <Application>Microsoft Office Word</Application>
  <DocSecurity>0</DocSecurity>
  <Lines>548</Lines>
  <Paragraphs>154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Microsoft Word - cop11-doc11-e-europe.doc</vt:lpstr>
      <vt:lpstr>Microsoft Word - cop11-doc11-e-europe.doc</vt:lpstr>
    </vt:vector>
  </TitlesOfParts>
  <Company>IUCN</Company>
  <LinksUpToDate>false</LinksUpToDate>
  <CharactersWithSpaces>77194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cop11-doc11-e-europe.doc</dc:title>
  <dc:creator>user</dc:creator>
  <cp:lastModifiedBy>Ramsar\JenningsE</cp:lastModifiedBy>
  <cp:revision>3</cp:revision>
  <cp:lastPrinted>2015-03-23T15:16:00Z</cp:lastPrinted>
  <dcterms:created xsi:type="dcterms:W3CDTF">2015-03-30T17:21:00Z</dcterms:created>
  <dcterms:modified xsi:type="dcterms:W3CDTF">2015-03-30T17:40:00Z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2012-04-10T00:00:00Z</vt:filetime>
  </property>
  <property fmtid="{D5CDD505-2E9C-101B-9397-08002B2CF9AE}" pid="3" name="LastSaved">
    <vt:filetime>2014-12-12T00:00:00Z</vt:filetime>
  </property>
</Properties>
</file>