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2" w:rsidRPr="00837B0B" w:rsidRDefault="006C2DAB" w:rsidP="00085EB2">
      <w:pPr>
        <w:jc w:val="center"/>
        <w:rPr>
          <w:rFonts w:asciiTheme="minorHAnsi" w:hAnsiTheme="minorHAnsi"/>
          <w:b/>
          <w:sz w:val="25"/>
          <w:szCs w:val="25"/>
        </w:rPr>
      </w:pPr>
      <w:bookmarkStart w:id="0" w:name="OLE_LINK7"/>
      <w:bookmarkStart w:id="1" w:name="OLE_LINK8"/>
      <w:r w:rsidRPr="006C2DAB"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8" type="#_x0000_t75" style="position:absolute;left:0;text-align:left;margin-left:-13.55pt;margin-top:-13.45pt;width:174.75pt;height:7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7" o:title="COP12-logo-en_small"/>
            <w10:wrap type="square" anchorx="margin" anchory="margin"/>
          </v:shape>
        </w:pict>
      </w:r>
      <w:r w:rsidR="00085EB2" w:rsidRPr="00837B0B">
        <w:rPr>
          <w:rFonts w:asciiTheme="minorHAnsi" w:hAnsiTheme="minorHAnsi"/>
          <w:b/>
          <w:sz w:val="25"/>
          <w:szCs w:val="25"/>
        </w:rPr>
        <w:t>12</w:t>
      </w:r>
      <w:r w:rsidR="00085EB2"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="00085EB2"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="00085EB2"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085EB2" w:rsidRPr="00837B0B" w:rsidRDefault="00085EB2" w:rsidP="00085EB2">
      <w:pPr>
        <w:jc w:val="center"/>
        <w:rPr>
          <w:rFonts w:asciiTheme="minorHAnsi" w:hAnsiTheme="minorHAnsi"/>
          <w:sz w:val="25"/>
          <w:szCs w:val="25"/>
        </w:rPr>
      </w:pPr>
    </w:p>
    <w:p w:rsidR="00085EB2" w:rsidRPr="00837B0B" w:rsidRDefault="00085EB2" w:rsidP="00085EB2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085EB2" w:rsidRPr="00AE032E" w:rsidRDefault="00085EB2" w:rsidP="00085EB2">
      <w:pPr>
        <w:rPr>
          <w:rFonts w:asciiTheme="minorHAnsi" w:hAnsiTheme="minorHAnsi"/>
        </w:rPr>
      </w:pPr>
    </w:p>
    <w:p w:rsidR="00085EB2" w:rsidRPr="00AE032E" w:rsidRDefault="00085EB2" w:rsidP="00085EB2">
      <w:pPr>
        <w:rPr>
          <w:rFonts w:asciiTheme="minorHAnsi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085EB2" w:rsidRPr="00837B0B" w:rsidTr="00BE4249">
        <w:tc>
          <w:tcPr>
            <w:tcW w:w="4528" w:type="dxa"/>
          </w:tcPr>
          <w:p w:rsidR="00085EB2" w:rsidRPr="009379AB" w:rsidRDefault="00085EB2" w:rsidP="00BE4249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4602" w:type="dxa"/>
          </w:tcPr>
          <w:p w:rsidR="00085EB2" w:rsidRPr="009379AB" w:rsidRDefault="00085EB2" w:rsidP="00085EB2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DOC.2</w:t>
            </w:r>
            <w:r w:rsidR="00DF37B4">
              <w:rPr>
                <w:rFonts w:asciiTheme="minorHAnsi" w:hAnsiTheme="minorHAnsi"/>
                <w:b/>
                <w:sz w:val="25"/>
                <w:szCs w:val="25"/>
              </w:rPr>
              <w:t xml:space="preserve"> Rev.1</w:t>
            </w:r>
          </w:p>
        </w:tc>
      </w:tr>
    </w:tbl>
    <w:p w:rsidR="00085EB2" w:rsidRPr="00A664C3" w:rsidRDefault="00085EB2" w:rsidP="00085EB2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FA1B32" w:rsidRPr="00085EB2" w:rsidRDefault="00567E8F" w:rsidP="00567E8F">
      <w:pPr>
        <w:pStyle w:val="Heading3"/>
        <w:ind w:left="900" w:right="1000" w:firstLine="0"/>
        <w:rPr>
          <w:rFonts w:asciiTheme="minorHAnsi" w:hAnsiTheme="minorHAnsi"/>
          <w:bCs/>
          <w:spacing w:val="0"/>
          <w:szCs w:val="28"/>
          <w:lang w:val="el-GR" w:eastAsia="el-GR"/>
        </w:rPr>
      </w:pPr>
      <w:r w:rsidRPr="00085EB2">
        <w:rPr>
          <w:rFonts w:asciiTheme="minorHAnsi" w:hAnsiTheme="minorHAnsi"/>
          <w:bCs/>
          <w:spacing w:val="0"/>
          <w:szCs w:val="28"/>
          <w:lang w:val="el-GR" w:eastAsia="el-GR"/>
        </w:rPr>
        <w:t xml:space="preserve">Guide to </w:t>
      </w:r>
      <w:r w:rsidR="003A6AD7" w:rsidRPr="00085EB2">
        <w:rPr>
          <w:rFonts w:asciiTheme="minorHAnsi" w:hAnsiTheme="minorHAnsi"/>
          <w:bCs/>
          <w:spacing w:val="0"/>
          <w:szCs w:val="28"/>
          <w:lang w:val="el-GR" w:eastAsia="el-GR"/>
        </w:rPr>
        <w:t>D</w:t>
      </w:r>
      <w:r w:rsidR="00FA1B32" w:rsidRPr="00085EB2">
        <w:rPr>
          <w:rFonts w:asciiTheme="minorHAnsi" w:hAnsiTheme="minorHAnsi"/>
          <w:bCs/>
          <w:spacing w:val="0"/>
          <w:szCs w:val="28"/>
          <w:lang w:val="el-GR" w:eastAsia="el-GR"/>
        </w:rPr>
        <w:t xml:space="preserve">raft Resolutions and related Information </w:t>
      </w:r>
      <w:r w:rsidR="00085EB2">
        <w:rPr>
          <w:rFonts w:asciiTheme="minorHAnsi" w:hAnsiTheme="minorHAnsi"/>
          <w:bCs/>
          <w:spacing w:val="0"/>
          <w:szCs w:val="28"/>
          <w:lang w:val="en-GB" w:eastAsia="el-GR"/>
        </w:rPr>
        <w:t>Documents</w:t>
      </w:r>
      <w:r w:rsidR="00FA1B32" w:rsidRPr="00085EB2">
        <w:rPr>
          <w:rFonts w:asciiTheme="minorHAnsi" w:hAnsiTheme="minorHAnsi"/>
          <w:bCs/>
          <w:spacing w:val="0"/>
          <w:szCs w:val="28"/>
          <w:lang w:val="el-GR" w:eastAsia="el-GR"/>
        </w:rPr>
        <w:t xml:space="preserve"> </w:t>
      </w:r>
    </w:p>
    <w:bookmarkEnd w:id="0"/>
    <w:bookmarkEnd w:id="1"/>
    <w:p w:rsidR="00FA1B32" w:rsidRPr="006436AB" w:rsidRDefault="00FA1B32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="Garamond" w:hAnsi="Garamond"/>
          <w:spacing w:val="-2"/>
          <w:szCs w:val="24"/>
        </w:rPr>
      </w:pPr>
    </w:p>
    <w:p w:rsidR="00FA1B32" w:rsidRPr="00085EB2" w:rsidRDefault="001913D5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085EB2">
        <w:rPr>
          <w:rFonts w:asciiTheme="minorHAnsi" w:hAnsiTheme="minorHAnsi"/>
          <w:spacing w:val="-2"/>
          <w:sz w:val="22"/>
          <w:szCs w:val="22"/>
        </w:rPr>
        <w:t xml:space="preserve">This </w:t>
      </w:r>
      <w:r w:rsidR="00753A14">
        <w:rPr>
          <w:rFonts w:asciiTheme="minorHAnsi" w:hAnsiTheme="minorHAnsi"/>
          <w:spacing w:val="-2"/>
          <w:sz w:val="22"/>
          <w:szCs w:val="22"/>
        </w:rPr>
        <w:t>table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 has bee</w:t>
      </w:r>
      <w:r w:rsidR="00CB04FC" w:rsidRPr="00085EB2">
        <w:rPr>
          <w:rFonts w:asciiTheme="minorHAnsi" w:hAnsiTheme="minorHAnsi"/>
          <w:spacing w:val="-2"/>
          <w:sz w:val="22"/>
          <w:szCs w:val="22"/>
        </w:rPr>
        <w:t>n prepared by the Secretariat in order to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85EB2">
        <w:rPr>
          <w:rFonts w:asciiTheme="minorHAnsi" w:hAnsiTheme="minorHAnsi"/>
          <w:spacing w:val="-2"/>
          <w:sz w:val="22"/>
          <w:szCs w:val="22"/>
        </w:rPr>
        <w:t>help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 Contracting Parties and other delegates </w:t>
      </w:r>
      <w:r w:rsidR="00085EB2">
        <w:rPr>
          <w:rFonts w:asciiTheme="minorHAnsi" w:hAnsiTheme="minorHAnsi"/>
          <w:spacing w:val="-2"/>
          <w:sz w:val="22"/>
          <w:szCs w:val="22"/>
        </w:rPr>
        <w:t xml:space="preserve">identify 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which </w:t>
      </w:r>
      <w:r w:rsidR="003A6AD7" w:rsidRPr="00085EB2">
        <w:rPr>
          <w:rFonts w:asciiTheme="minorHAnsi" w:hAnsiTheme="minorHAnsi"/>
          <w:spacing w:val="-2"/>
          <w:sz w:val="22"/>
          <w:szCs w:val="22"/>
        </w:rPr>
        <w:t>D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raft Resolutions and Information </w:t>
      </w:r>
      <w:r w:rsidR="00085EB2">
        <w:rPr>
          <w:rFonts w:asciiTheme="minorHAnsi" w:hAnsiTheme="minorHAnsi"/>
          <w:spacing w:val="-2"/>
          <w:sz w:val="22"/>
          <w:szCs w:val="22"/>
        </w:rPr>
        <w:t>Documents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 will be considered under each COP</w:t>
      </w:r>
      <w:r w:rsidR="00085EB2">
        <w:rPr>
          <w:rFonts w:asciiTheme="minorHAnsi" w:hAnsiTheme="minorHAnsi"/>
          <w:spacing w:val="-2"/>
          <w:sz w:val="22"/>
          <w:szCs w:val="22"/>
        </w:rPr>
        <w:t>12</w:t>
      </w:r>
      <w:r w:rsidRPr="00085EB2">
        <w:rPr>
          <w:rFonts w:asciiTheme="minorHAnsi" w:hAnsiTheme="minorHAnsi"/>
          <w:spacing w:val="-2"/>
          <w:sz w:val="22"/>
          <w:szCs w:val="22"/>
        </w:rPr>
        <w:t xml:space="preserve"> Agenda item</w:t>
      </w:r>
      <w:r w:rsidR="0093465E" w:rsidRPr="00085EB2">
        <w:rPr>
          <w:rFonts w:asciiTheme="minorHAnsi" w:hAnsiTheme="minorHAnsi"/>
          <w:spacing w:val="-2"/>
          <w:sz w:val="22"/>
          <w:szCs w:val="22"/>
        </w:rPr>
        <w:t>.</w:t>
      </w:r>
    </w:p>
    <w:p w:rsidR="0093465E" w:rsidRDefault="0093465E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="Garamond" w:hAnsi="Garamond"/>
          <w:spacing w:val="-2"/>
          <w:sz w:val="26"/>
          <w:szCs w:val="26"/>
        </w:rPr>
      </w:pPr>
    </w:p>
    <w:p w:rsidR="00B82A63" w:rsidRPr="00085EB2" w:rsidRDefault="0093465E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085EB2">
        <w:rPr>
          <w:rFonts w:asciiTheme="minorHAnsi" w:hAnsiTheme="minorHAnsi"/>
          <w:b/>
          <w:spacing w:val="-2"/>
          <w:sz w:val="22"/>
          <w:szCs w:val="22"/>
        </w:rPr>
        <w:t>Note</w:t>
      </w:r>
      <w:r w:rsidR="00F73800" w:rsidRPr="00085EB2">
        <w:rPr>
          <w:rFonts w:asciiTheme="minorHAnsi" w:hAnsiTheme="minorHAnsi"/>
          <w:b/>
          <w:spacing w:val="-2"/>
          <w:sz w:val="22"/>
          <w:szCs w:val="22"/>
        </w:rPr>
        <w:t>s</w:t>
      </w:r>
    </w:p>
    <w:p w:rsidR="00753A14" w:rsidRDefault="00753A14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1913D8" w:rsidRPr="00753A14" w:rsidRDefault="00B6591D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753A14">
        <w:rPr>
          <w:rFonts w:asciiTheme="minorHAnsi" w:hAnsiTheme="minorHAnsi"/>
          <w:b/>
          <w:spacing w:val="-2"/>
          <w:sz w:val="22"/>
          <w:szCs w:val="22"/>
        </w:rPr>
        <w:t>COP1</w:t>
      </w:r>
      <w:r w:rsidR="00753A14" w:rsidRPr="00753A14">
        <w:rPr>
          <w:rFonts w:asciiTheme="minorHAnsi" w:hAnsiTheme="minorHAnsi"/>
          <w:b/>
          <w:spacing w:val="-2"/>
          <w:sz w:val="22"/>
          <w:szCs w:val="22"/>
        </w:rPr>
        <w:t>2</w:t>
      </w:r>
      <w:r w:rsidR="0093465E" w:rsidRPr="00753A14">
        <w:rPr>
          <w:rFonts w:asciiTheme="minorHAnsi" w:hAnsiTheme="minorHAnsi"/>
          <w:b/>
          <w:spacing w:val="-2"/>
          <w:sz w:val="22"/>
          <w:szCs w:val="22"/>
        </w:rPr>
        <w:t xml:space="preserve"> DOC</w:t>
      </w:r>
      <w:r w:rsidR="00AE3C8E" w:rsidRPr="00753A14">
        <w:rPr>
          <w:rFonts w:asciiTheme="minorHAnsi" w:hAnsiTheme="minorHAnsi"/>
          <w:b/>
          <w:spacing w:val="-2"/>
          <w:sz w:val="22"/>
          <w:szCs w:val="22"/>
        </w:rPr>
        <w:t xml:space="preserve">s. 9 </w:t>
      </w:r>
      <w:r w:rsidR="00AE3C8E" w:rsidRPr="00753A14">
        <w:rPr>
          <w:rFonts w:asciiTheme="minorHAnsi" w:hAnsiTheme="minorHAnsi"/>
          <w:spacing w:val="-2"/>
          <w:sz w:val="22"/>
          <w:szCs w:val="22"/>
        </w:rPr>
        <w:t>to</w:t>
      </w:r>
      <w:r w:rsidR="00AE3C8E" w:rsidRPr="00753A14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53A14">
        <w:rPr>
          <w:rFonts w:asciiTheme="minorHAnsi" w:hAnsiTheme="minorHAnsi"/>
          <w:b/>
          <w:spacing w:val="-2"/>
          <w:sz w:val="22"/>
          <w:szCs w:val="22"/>
        </w:rPr>
        <w:t>13</w:t>
      </w:r>
      <w:r w:rsidR="0093465E" w:rsidRPr="00753A14">
        <w:rPr>
          <w:rFonts w:asciiTheme="minorHAnsi" w:hAnsiTheme="minorHAnsi"/>
          <w:spacing w:val="-2"/>
          <w:sz w:val="22"/>
          <w:szCs w:val="22"/>
        </w:rPr>
        <w:t xml:space="preserve"> (Regional implementation overviews) will be considered at the </w:t>
      </w:r>
      <w:r w:rsidR="00567E8F" w:rsidRPr="00753A14">
        <w:rPr>
          <w:rFonts w:asciiTheme="minorHAnsi" w:hAnsiTheme="minorHAnsi"/>
          <w:spacing w:val="-2"/>
          <w:sz w:val="22"/>
          <w:szCs w:val="22"/>
        </w:rPr>
        <w:t>r</w:t>
      </w:r>
      <w:r w:rsidR="0093465E" w:rsidRPr="00753A14">
        <w:rPr>
          <w:rFonts w:asciiTheme="minorHAnsi" w:hAnsiTheme="minorHAnsi"/>
          <w:spacing w:val="-2"/>
          <w:sz w:val="22"/>
          <w:szCs w:val="22"/>
        </w:rPr>
        <w:t>egional meetings</w:t>
      </w:r>
      <w:r w:rsidR="008C1559" w:rsidRPr="00753A1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93465E" w:rsidRPr="00753A14">
        <w:rPr>
          <w:rFonts w:asciiTheme="minorHAnsi" w:hAnsiTheme="minorHAnsi"/>
          <w:spacing w:val="-2"/>
          <w:sz w:val="22"/>
          <w:szCs w:val="22"/>
        </w:rPr>
        <w:t xml:space="preserve">on </w:t>
      </w:r>
      <w:r w:rsidR="00753A14" w:rsidRPr="00753A14">
        <w:rPr>
          <w:rFonts w:asciiTheme="minorHAnsi" w:hAnsiTheme="minorHAnsi"/>
          <w:spacing w:val="-2"/>
          <w:sz w:val="22"/>
          <w:szCs w:val="22"/>
        </w:rPr>
        <w:t>1</w:t>
      </w:r>
      <w:r w:rsidRPr="00753A14">
        <w:rPr>
          <w:rFonts w:asciiTheme="minorHAnsi" w:hAnsiTheme="minorHAnsi"/>
          <w:spacing w:val="-2"/>
          <w:sz w:val="22"/>
          <w:szCs w:val="22"/>
        </w:rPr>
        <w:t xml:space="preserve"> and </w:t>
      </w:r>
      <w:r w:rsidR="00753A14" w:rsidRPr="00753A14">
        <w:rPr>
          <w:rFonts w:asciiTheme="minorHAnsi" w:hAnsiTheme="minorHAnsi"/>
          <w:spacing w:val="-2"/>
          <w:sz w:val="22"/>
          <w:szCs w:val="22"/>
        </w:rPr>
        <w:t>2 June</w:t>
      </w:r>
      <w:r w:rsidRPr="00753A14">
        <w:rPr>
          <w:rFonts w:asciiTheme="minorHAnsi" w:hAnsiTheme="minorHAnsi"/>
          <w:spacing w:val="-2"/>
          <w:sz w:val="22"/>
          <w:szCs w:val="22"/>
        </w:rPr>
        <w:t xml:space="preserve"> 201</w:t>
      </w:r>
      <w:r w:rsidR="00753A14" w:rsidRPr="00753A14">
        <w:rPr>
          <w:rFonts w:asciiTheme="minorHAnsi" w:hAnsiTheme="minorHAnsi"/>
          <w:spacing w:val="-2"/>
          <w:sz w:val="22"/>
          <w:szCs w:val="22"/>
        </w:rPr>
        <w:t>5</w:t>
      </w:r>
      <w:r w:rsidR="00AE3C8E" w:rsidRPr="00753A14">
        <w:rPr>
          <w:rFonts w:asciiTheme="minorHAnsi" w:hAnsiTheme="minorHAnsi"/>
          <w:spacing w:val="-2"/>
          <w:sz w:val="22"/>
          <w:szCs w:val="22"/>
        </w:rPr>
        <w:t>.</w:t>
      </w:r>
    </w:p>
    <w:p w:rsidR="00B6591D" w:rsidRPr="00753A14" w:rsidRDefault="00B6591D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93465E" w:rsidRPr="00753A14" w:rsidRDefault="00B6591D" w:rsidP="001913D5">
      <w:pPr>
        <w:tabs>
          <w:tab w:val="left" w:pos="-1440"/>
          <w:tab w:val="left" w:pos="-720"/>
          <w:tab w:val="left" w:pos="567"/>
          <w:tab w:val="left" w:pos="1701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753A14">
        <w:rPr>
          <w:rFonts w:asciiTheme="minorHAnsi" w:hAnsiTheme="minorHAnsi"/>
          <w:b/>
          <w:spacing w:val="-2"/>
          <w:sz w:val="22"/>
          <w:szCs w:val="22"/>
        </w:rPr>
        <w:t>COP1</w:t>
      </w:r>
      <w:r w:rsidR="00753A14" w:rsidRPr="00753A14">
        <w:rPr>
          <w:rFonts w:asciiTheme="minorHAnsi" w:hAnsiTheme="minorHAnsi"/>
          <w:b/>
          <w:spacing w:val="-2"/>
          <w:sz w:val="22"/>
          <w:szCs w:val="22"/>
        </w:rPr>
        <w:t>2</w:t>
      </w:r>
      <w:r w:rsidRPr="00753A14">
        <w:rPr>
          <w:rFonts w:asciiTheme="minorHAnsi" w:hAnsiTheme="minorHAnsi"/>
          <w:b/>
          <w:spacing w:val="-2"/>
          <w:sz w:val="22"/>
          <w:szCs w:val="22"/>
        </w:rPr>
        <w:t xml:space="preserve"> DOC</w:t>
      </w:r>
      <w:r w:rsidR="00753A14" w:rsidRPr="00753A14">
        <w:rPr>
          <w:rFonts w:asciiTheme="minorHAnsi" w:hAnsiTheme="minorHAnsi"/>
          <w:b/>
          <w:spacing w:val="-2"/>
          <w:sz w:val="22"/>
          <w:szCs w:val="22"/>
        </w:rPr>
        <w:t>.4</w:t>
      </w:r>
      <w:r w:rsidR="00753A14" w:rsidRPr="00753A1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53A14">
        <w:rPr>
          <w:rFonts w:asciiTheme="minorHAnsi" w:hAnsiTheme="minorHAnsi"/>
          <w:spacing w:val="-2"/>
          <w:sz w:val="22"/>
          <w:szCs w:val="22"/>
        </w:rPr>
        <w:t>(</w:t>
      </w:r>
      <w:r w:rsidR="00753A14" w:rsidRPr="00753A14">
        <w:rPr>
          <w:rFonts w:asciiTheme="minorHAnsi" w:hAnsiTheme="minorHAnsi"/>
          <w:bCs/>
          <w:spacing w:val="-2"/>
          <w:sz w:val="22"/>
          <w:szCs w:val="22"/>
          <w:lang w:val="en-GB"/>
        </w:rPr>
        <w:t>Guidance to Contracting Parties about the operation of COP12</w:t>
      </w:r>
      <w:r w:rsidR="00753A14">
        <w:rPr>
          <w:rFonts w:asciiTheme="minorHAnsi" w:hAnsiTheme="minorHAnsi"/>
          <w:bCs/>
          <w:spacing w:val="-2"/>
          <w:sz w:val="22"/>
          <w:szCs w:val="22"/>
          <w:lang w:val="en-GB"/>
        </w:rPr>
        <w:t xml:space="preserve">) </w:t>
      </w:r>
      <w:r w:rsidR="00753A14" w:rsidRPr="00753A14">
        <w:rPr>
          <w:rFonts w:asciiTheme="minorHAnsi" w:hAnsiTheme="minorHAnsi"/>
          <w:spacing w:val="-2"/>
          <w:sz w:val="22"/>
          <w:szCs w:val="22"/>
        </w:rPr>
        <w:t>is</w:t>
      </w:r>
      <w:r w:rsidR="0018467F" w:rsidRPr="00753A14">
        <w:rPr>
          <w:rFonts w:asciiTheme="minorHAnsi" w:hAnsiTheme="minorHAnsi"/>
          <w:spacing w:val="-2"/>
          <w:sz w:val="22"/>
          <w:szCs w:val="22"/>
        </w:rPr>
        <w:t xml:space="preserve"> relevant to the overall COP process.</w:t>
      </w:r>
    </w:p>
    <w:p w:rsidR="001913D5" w:rsidRPr="004F4BE4" w:rsidRDefault="001913D5" w:rsidP="00FA1B32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="Garamond" w:hAnsi="Garamond"/>
          <w:spacing w:val="-2"/>
          <w:sz w:val="26"/>
          <w:szCs w:val="26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2835"/>
        <w:gridCol w:w="3119"/>
      </w:tblGrid>
      <w:tr w:rsidR="00FA1B32" w:rsidRPr="00753A14" w:rsidTr="006A39B1">
        <w:trPr>
          <w:cantSplit/>
        </w:trPr>
        <w:tc>
          <w:tcPr>
            <w:tcW w:w="3195" w:type="dxa"/>
          </w:tcPr>
          <w:p w:rsidR="00FA1B32" w:rsidRPr="00753A14" w:rsidRDefault="00FA1B32" w:rsidP="00D95EAA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252" w:hanging="252"/>
              <w:jc w:val="center"/>
              <w:rPr>
                <w:rFonts w:asciiTheme="minorHAnsi" w:hAnsiTheme="minorHAnsi"/>
                <w:b/>
                <w:spacing w:val="-2"/>
                <w:szCs w:val="24"/>
              </w:rPr>
            </w:pPr>
            <w:r w:rsidRPr="00753A14">
              <w:rPr>
                <w:rFonts w:asciiTheme="minorHAnsi" w:hAnsiTheme="minorHAnsi"/>
                <w:b/>
                <w:spacing w:val="-2"/>
                <w:szCs w:val="24"/>
              </w:rPr>
              <w:t>Agenda item</w:t>
            </w:r>
            <w:r w:rsidR="00AE3C8E" w:rsidRPr="00753A14">
              <w:rPr>
                <w:rFonts w:asciiTheme="minorHAnsi" w:hAnsiTheme="minorHAnsi"/>
                <w:b/>
                <w:spacing w:val="-2"/>
                <w:szCs w:val="24"/>
              </w:rPr>
              <w:t>s</w:t>
            </w:r>
          </w:p>
        </w:tc>
        <w:tc>
          <w:tcPr>
            <w:tcW w:w="2835" w:type="dxa"/>
          </w:tcPr>
          <w:p w:rsidR="00FA1B32" w:rsidRPr="00753A14" w:rsidRDefault="000844F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jc w:val="center"/>
              <w:rPr>
                <w:rFonts w:asciiTheme="minorHAnsi" w:hAnsiTheme="minorHAnsi"/>
                <w:b/>
                <w:spacing w:val="-2"/>
                <w:szCs w:val="24"/>
              </w:rPr>
            </w:pPr>
            <w:r w:rsidRPr="00753A14">
              <w:rPr>
                <w:rFonts w:asciiTheme="minorHAnsi" w:hAnsiTheme="minorHAnsi"/>
                <w:b/>
                <w:spacing w:val="-2"/>
                <w:szCs w:val="24"/>
              </w:rPr>
              <w:t>Draft Resolutions (</w:t>
            </w:r>
            <w:r w:rsidR="00FA1B32" w:rsidRPr="00753A14">
              <w:rPr>
                <w:rFonts w:asciiTheme="minorHAnsi" w:hAnsiTheme="minorHAnsi"/>
                <w:b/>
                <w:spacing w:val="-2"/>
                <w:szCs w:val="24"/>
              </w:rPr>
              <w:t>DRs)</w:t>
            </w:r>
          </w:p>
        </w:tc>
        <w:tc>
          <w:tcPr>
            <w:tcW w:w="3119" w:type="dxa"/>
          </w:tcPr>
          <w:p w:rsidR="00FA1B32" w:rsidRPr="00753A14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jc w:val="center"/>
              <w:rPr>
                <w:rFonts w:asciiTheme="minorHAnsi" w:hAnsiTheme="minorHAnsi"/>
                <w:b/>
                <w:spacing w:val="-2"/>
                <w:szCs w:val="24"/>
              </w:rPr>
            </w:pPr>
            <w:r w:rsidRPr="00753A14">
              <w:rPr>
                <w:rFonts w:asciiTheme="minorHAnsi" w:hAnsiTheme="minorHAnsi"/>
                <w:b/>
                <w:szCs w:val="24"/>
              </w:rPr>
              <w:t xml:space="preserve">Information </w:t>
            </w:r>
            <w:r w:rsidR="00753A14">
              <w:rPr>
                <w:rFonts w:asciiTheme="minorHAnsi" w:hAnsiTheme="minorHAnsi"/>
                <w:b/>
                <w:szCs w:val="24"/>
              </w:rPr>
              <w:t>Documents</w:t>
            </w:r>
            <w:r w:rsidRPr="00753A14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Opening of the Meeting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II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General Statements</w:t>
            </w:r>
            <w:r w:rsidR="00B6591D" w:rsidRPr="00085EB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Keynote Addresses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III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Adoption of the Agenda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BE4249" w:rsidRDefault="00603259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DOC.</w:t>
            </w:r>
            <w:r w:rsidR="00BE4249" w:rsidRPr="00BE42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</w:t>
            </w:r>
            <w:r w:rsidR="00BE4249" w:rsidRPr="00BE4249">
              <w:rPr>
                <w:rFonts w:asciiTheme="minorHAnsi" w:hAnsiTheme="minorHAnsi"/>
                <w:sz w:val="22"/>
                <w:szCs w:val="22"/>
              </w:rPr>
              <w:t>Provisional Agenda</w:t>
            </w: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D95EAA" w:rsidRDefault="00D00D33" w:rsidP="00D00D3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IV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Discussion and a</w:t>
            </w:r>
            <w:r w:rsidR="00FA1B32" w:rsidRPr="00085EB2">
              <w:rPr>
                <w:rFonts w:asciiTheme="minorHAnsi" w:hAnsiTheme="minorHAnsi"/>
                <w:spacing w:val="-2"/>
                <w:sz w:val="22"/>
                <w:szCs w:val="22"/>
              </w:rPr>
              <w:t>doption of Rules of Procedure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D95EAA" w:rsidRDefault="008C1F6C" w:rsidP="008C1F6C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 w:rsidRPr="008C1F6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DOC.3 </w:t>
            </w:r>
            <w:r w:rsidRPr="008C1F6C">
              <w:rPr>
                <w:rFonts w:asciiTheme="minorHAnsi" w:hAnsiTheme="minorHAnsi"/>
                <w:bCs/>
                <w:sz w:val="22"/>
                <w:szCs w:val="22"/>
              </w:rPr>
              <w:t>Rules of Procedure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C1F6C">
              <w:rPr>
                <w:rFonts w:asciiTheme="minorHAnsi" w:hAnsiTheme="minorHAnsi"/>
                <w:bCs/>
                <w:sz w:val="22"/>
                <w:szCs w:val="22"/>
              </w:rPr>
              <w:t>for Meetings of the Conference of the Contracting Parties</w:t>
            </w: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085EB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V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Elec</w:t>
            </w:r>
            <w:r w:rsidR="00753A14">
              <w:rPr>
                <w:rFonts w:asciiTheme="minorHAnsi" w:hAnsiTheme="minorHAnsi"/>
                <w:spacing w:val="-2"/>
                <w:sz w:val="22"/>
                <w:szCs w:val="22"/>
              </w:rPr>
              <w:t>tion of the President and Vice-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Presidents and remarks by the President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VI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Appointment of the Credentials Committee and any other committees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VII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Admission of Observers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8C1F6C" w:rsidRDefault="00603259" w:rsidP="0060325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DOC.21</w:t>
            </w:r>
            <w:r w:rsidR="008C1F6C" w:rsidRPr="008C1F6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="008C1F6C" w:rsidRPr="008C1F6C">
              <w:rPr>
                <w:rFonts w:asciiTheme="minorHAnsi" w:hAnsiTheme="minorHAnsi"/>
                <w:spacing w:val="-2"/>
                <w:sz w:val="22"/>
                <w:szCs w:val="22"/>
              </w:rPr>
              <w:t>Admission of Observers [to be tabled]</w:t>
            </w:r>
          </w:p>
        </w:tc>
      </w:tr>
      <w:tr w:rsidR="00FA1B32" w:rsidRPr="00D95EAA" w:rsidTr="006A39B1">
        <w:trPr>
          <w:cantSplit/>
        </w:trPr>
        <w:tc>
          <w:tcPr>
            <w:tcW w:w="3195" w:type="dxa"/>
          </w:tcPr>
          <w:p w:rsidR="00FA1B32" w:rsidRPr="00085EB2" w:rsidRDefault="00FA1B32" w:rsidP="00753A1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>VIII</w:t>
            </w: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Report of the Chairperson of the Standing Committee</w:t>
            </w:r>
          </w:p>
        </w:tc>
        <w:tc>
          <w:tcPr>
            <w:tcW w:w="2835" w:type="dxa"/>
          </w:tcPr>
          <w:p w:rsidR="00FA1B32" w:rsidRPr="00D95EAA" w:rsidRDefault="00FA1B32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FA1B32" w:rsidRPr="008C1F6C" w:rsidRDefault="008C1F6C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C1F6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</w:t>
            </w:r>
            <w:r w:rsid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C.</w:t>
            </w:r>
            <w:r w:rsidRPr="008C1F6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5 </w:t>
            </w:r>
            <w:r w:rsidRPr="008C1F6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Report of the Chairperson of the Standing Committee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085EB2" w:rsidRDefault="00B6591D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85EB2"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>I</w:t>
            </w:r>
            <w:r w:rsidR="0018467F" w:rsidRPr="00085EB2">
              <w:rPr>
                <w:rFonts w:asciiTheme="minorHAnsi" w:hAnsiTheme="minorHAnsi"/>
                <w:spacing w:val="-2"/>
                <w:sz w:val="22"/>
                <w:szCs w:val="22"/>
              </w:rPr>
              <w:t>X</w:t>
            </w:r>
            <w:r w:rsidR="0018467F"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085EB2" w:rsidRPr="00085EB2">
              <w:rPr>
                <w:rFonts w:asciiTheme="minorHAnsi" w:hAnsiTheme="minorHAnsi"/>
                <w:spacing w:val="-2"/>
                <w:sz w:val="22"/>
                <w:szCs w:val="22"/>
              </w:rPr>
              <w:t>Report of the Secretary General and overview of the implementation of the Convention at the global level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ind w:left="241" w:hanging="241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D00D33" w:rsidRPr="00603259" w:rsidRDefault="00D00D33" w:rsidP="00D00D3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</w:t>
            </w:r>
            <w:r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8 </w:t>
            </w:r>
            <w:r w:rsidRPr="0060325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Report of the Secretary General </w:t>
            </w:r>
            <w:r w:rsidR="00ED3076" w:rsidRPr="00ED30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to COP12 </w:t>
            </w:r>
            <w:r w:rsidRPr="0060325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on the implementation of the Convention</w:t>
            </w:r>
          </w:p>
          <w:p w:rsidR="00884B53" w:rsidRDefault="00884B53" w:rsidP="00884B5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DOC.</w:t>
            </w:r>
            <w:r w:rsidRPr="0060325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60325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Report of the Secretary General pursuant to Article 8.2 concerning the List of Wetlands of International Importance</w:t>
            </w:r>
          </w:p>
          <w:p w:rsidR="00D00D33" w:rsidRDefault="00D00D33" w:rsidP="00D00D3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DOC.18</w:t>
            </w:r>
            <w:r w:rsidRPr="0060325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ED3076" w:rsidRPr="00ED3076">
              <w:rPr>
                <w:rFonts w:asciiTheme="minorHAnsi" w:hAnsiTheme="minorHAnsi"/>
                <w:spacing w:val="-2"/>
                <w:sz w:val="22"/>
                <w:szCs w:val="22"/>
              </w:rPr>
              <w:t>Report on the implementation of the Convention’s CEPA Programme 2009-2015</w:t>
            </w:r>
          </w:p>
          <w:p w:rsidR="00247D79" w:rsidRDefault="00247D79" w:rsidP="00D00D33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DOC.26 </w:t>
            </w:r>
            <w:r w:rsidRPr="00247D79">
              <w:rPr>
                <w:rFonts w:asciiTheme="minorHAnsi" w:hAnsiTheme="minorHAnsi"/>
                <w:spacing w:val="-2"/>
                <w:sz w:val="22"/>
                <w:szCs w:val="22"/>
              </w:rPr>
              <w:t>Communications / CEPA Action Plan for the Ramsar Secretariat 2016-2021</w:t>
            </w:r>
          </w:p>
          <w:p w:rsidR="00884B53" w:rsidRPr="00884B53" w:rsidRDefault="00603259" w:rsidP="00DF37B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</w:t>
            </w:r>
            <w:r w:rsidR="008C1F6C"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9; DOC.10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; DOC.</w:t>
            </w:r>
            <w:r w:rsidR="008C1F6C"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11; DOC.12</w:t>
            </w:r>
            <w:r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; DOC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.</w:t>
            </w:r>
            <w:r w:rsidRPr="0060325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13</w:t>
            </w:r>
            <w:r w:rsidR="008C1F6C" w:rsidRPr="0060325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Regional </w:t>
            </w:r>
            <w:r w:rsidRPr="00603259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="008C1F6C" w:rsidRPr="00603259">
              <w:rPr>
                <w:rFonts w:asciiTheme="minorHAnsi" w:hAnsiTheme="minorHAnsi"/>
                <w:spacing w:val="-2"/>
                <w:sz w:val="22"/>
                <w:szCs w:val="22"/>
              </w:rPr>
              <w:t>verviews of the i</w:t>
            </w:r>
            <w:r w:rsidRPr="00603259">
              <w:rPr>
                <w:rFonts w:asciiTheme="minorHAnsi" w:hAnsiTheme="minorHAnsi"/>
                <w:spacing w:val="-2"/>
                <w:sz w:val="22"/>
                <w:szCs w:val="22"/>
              </w:rPr>
              <w:t>mplementation of the Convention and its Strategic Plan</w:t>
            </w:r>
            <w:r w:rsidR="008C1F6C" w:rsidRPr="0060325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in Africa, </w:t>
            </w:r>
            <w:r w:rsidRPr="00603259">
              <w:rPr>
                <w:rFonts w:asciiTheme="minorHAnsi" w:hAnsiTheme="minorHAnsi"/>
                <w:spacing w:val="-2"/>
                <w:sz w:val="22"/>
                <w:szCs w:val="22"/>
              </w:rPr>
              <w:t>the Americas (Neotropics and North America), Europe, Asia and Oceania</w:t>
            </w:r>
          </w:p>
        </w:tc>
      </w:tr>
      <w:tr w:rsidR="00774A58" w:rsidRPr="00D95EAA" w:rsidTr="006A39B1">
        <w:trPr>
          <w:cantSplit/>
        </w:trPr>
        <w:tc>
          <w:tcPr>
            <w:tcW w:w="3195" w:type="dxa"/>
          </w:tcPr>
          <w:p w:rsidR="00774A58" w:rsidRPr="00085EB2" w:rsidRDefault="00753A14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X</w:t>
            </w:r>
            <w:r w:rsidR="00AE3C8E" w:rsidRPr="00085EB2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085EB2" w:rsidRPr="00085EB2">
              <w:rPr>
                <w:rFonts w:asciiTheme="minorHAnsi" w:hAnsiTheme="minorHAnsi"/>
                <w:spacing w:val="-2"/>
                <w:sz w:val="22"/>
                <w:szCs w:val="22"/>
              </w:rPr>
              <w:t>Issues arising from Resolutions and Recommendations of previous meetings of the Conference of the Contracting Parties</w:t>
            </w:r>
          </w:p>
        </w:tc>
        <w:tc>
          <w:tcPr>
            <w:tcW w:w="2835" w:type="dxa"/>
          </w:tcPr>
          <w:p w:rsidR="00774A58" w:rsidRPr="00D95EAA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CB607D" w:rsidRPr="00D95EAA" w:rsidRDefault="00CB607D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D95EAA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Report of the Chairperson of the Scientific and Technical Review Panel (STRP</w:t>
            </w:r>
            <w:r w:rsidR="00BE4249" w:rsidRPr="00F41BF8">
              <w:rPr>
                <w:rFonts w:ascii="Calibri" w:hAnsi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18467F" w:rsidRPr="002C1076" w:rsidRDefault="0018467F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C1076" w:rsidRDefault="002C1076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</w:t>
            </w:r>
            <w:r w:rsidRPr="002C107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6 </w:t>
            </w:r>
            <w:r w:rsidRPr="002C107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Report of the Chair of the Scientific and Technical Review Panel (STRP)</w:t>
            </w:r>
          </w:p>
          <w:p w:rsidR="002C1076" w:rsidRDefault="002C1076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spacing w:val="-2"/>
                <w:sz w:val="22"/>
                <w:szCs w:val="22"/>
                <w:lang w:val="en-GB"/>
              </w:rPr>
            </w:pPr>
            <w:r w:rsidRPr="00131C6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DOC.2</w:t>
            </w:r>
            <w:r w:rsidR="000552B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3</w:t>
            </w:r>
            <w:r w:rsidR="00ED3076" w:rsidRPr="00ED307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Ramsar Briefing Note 7 State of the World’s Wetlands and their Services to People: A compilation of recent analyses</w:t>
            </w:r>
          </w:p>
          <w:p w:rsidR="009A3AB3" w:rsidRPr="00D95EAA" w:rsidRDefault="00131C60" w:rsidP="000552B0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</w:t>
            </w:r>
            <w:r w:rsidRPr="00131C60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2</w:t>
            </w:r>
            <w:r w:rsidR="000552B0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 xml:space="preserve"> </w:t>
            </w:r>
            <w:r w:rsidR="00ED3076" w:rsidRPr="00ED3076">
              <w:rPr>
                <w:rFonts w:asciiTheme="minorHAnsi" w:hAnsiTheme="minorHAnsi"/>
                <w:bCs/>
                <w:spacing w:val="-2"/>
                <w:sz w:val="22"/>
                <w:szCs w:val="22"/>
                <w:lang w:val="en-GB"/>
              </w:rPr>
              <w:t>Ramsar Fact Sheet 5 Coral reefs: Critical wetlands in severe danger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XII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Report on implementation of the CEPA Programme 2009-2015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DF37B4" w:rsidRDefault="002C1076" w:rsidP="00247D7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2C107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.</w:t>
            </w:r>
            <w:r w:rsidRPr="002C107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18 </w:t>
            </w:r>
            <w:r w:rsidR="00ED3076" w:rsidRPr="00ED3076">
              <w:rPr>
                <w:rFonts w:asciiTheme="minorHAnsi" w:hAnsiTheme="minorHAnsi"/>
                <w:spacing w:val="-2"/>
                <w:sz w:val="22"/>
                <w:szCs w:val="22"/>
              </w:rPr>
              <w:t>Report on the implementation of the Convention’s CEPA Programme 2009-2015</w:t>
            </w:r>
          </w:p>
          <w:p w:rsidR="00F217AE" w:rsidRPr="00247D79" w:rsidRDefault="00F217AE" w:rsidP="00F217A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DOC.26 </w:t>
            </w:r>
            <w:r w:rsidRPr="00247D79">
              <w:rPr>
                <w:rFonts w:asciiTheme="minorHAnsi" w:hAnsiTheme="minorHAnsi"/>
                <w:spacing w:val="-2"/>
                <w:sz w:val="22"/>
                <w:szCs w:val="22"/>
              </w:rPr>
              <w:t>Communications / CEPA Action Plan for the Ramsar Secretariat 2016-2021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18467F" w:rsidP="000552B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>XI</w:t>
            </w:r>
            <w:r w:rsidR="00774A58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II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Financial report for 2012-2015 by the Chairperson of the Standing Committee Subgroup on Finance </w:t>
            </w:r>
          </w:p>
        </w:tc>
        <w:tc>
          <w:tcPr>
            <w:tcW w:w="2835" w:type="dxa"/>
          </w:tcPr>
          <w:p w:rsidR="0018467F" w:rsidRPr="002C1076" w:rsidRDefault="0018467F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2C1076" w:rsidRPr="00884B53" w:rsidRDefault="002C1076" w:rsidP="002C1076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84B53">
              <w:rPr>
                <w:rFonts w:asciiTheme="minorHAnsi" w:hAnsiTheme="minorHAnsi"/>
                <w:b/>
                <w:sz w:val="22"/>
                <w:szCs w:val="22"/>
              </w:rPr>
              <w:t>DOC.1</w:t>
            </w:r>
            <w:r w:rsidR="00884B53" w:rsidRPr="00884B5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84B53">
              <w:rPr>
                <w:rFonts w:asciiTheme="minorHAnsi" w:hAnsiTheme="minorHAnsi"/>
                <w:sz w:val="22"/>
                <w:szCs w:val="22"/>
              </w:rPr>
              <w:t xml:space="preserve"> Background information on financial and budgetary matters</w:t>
            </w:r>
          </w:p>
          <w:p w:rsidR="004F5F9F" w:rsidRPr="00884B53" w:rsidRDefault="002C1076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884B53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DOC.15</w:t>
            </w:r>
            <w:r w:rsidRPr="00884B53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Contracting Parties with outstanding annual </w:t>
            </w:r>
            <w:r w:rsidRPr="00884B53">
              <w:rPr>
                <w:rFonts w:asciiTheme="minorHAnsi" w:hAnsiTheme="minorHAnsi"/>
                <w:sz w:val="22"/>
                <w:szCs w:val="22"/>
              </w:rPr>
              <w:t>contributions</w:t>
            </w:r>
          </w:p>
        </w:tc>
      </w:tr>
      <w:tr w:rsidR="00774A58" w:rsidRPr="00774A58" w:rsidTr="006A39B1">
        <w:trPr>
          <w:cantSplit/>
        </w:trPr>
        <w:tc>
          <w:tcPr>
            <w:tcW w:w="3195" w:type="dxa"/>
          </w:tcPr>
          <w:p w:rsidR="00774A58" w:rsidRPr="00BE4249" w:rsidRDefault="00774A58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XIV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z w:val="22"/>
                <w:szCs w:val="22"/>
                <w:lang w:val="en-GB"/>
              </w:rPr>
              <w:t>Election of Contracting Parties for the Standing Committee 2015-2018</w:t>
            </w:r>
          </w:p>
        </w:tc>
        <w:tc>
          <w:tcPr>
            <w:tcW w:w="2835" w:type="dxa"/>
          </w:tcPr>
          <w:p w:rsidR="00774A58" w:rsidRPr="00774A58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774A58" w:rsidRPr="00774A58" w:rsidRDefault="00774A58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D95EAA" w:rsidRDefault="00B47DBC" w:rsidP="000552B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="Garamond" w:hAnsi="Garamond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XV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A47D92">
              <w:rPr>
                <w:rFonts w:ascii="Calibri" w:hAnsi="Calibri"/>
                <w:spacing w:val="-2"/>
                <w:sz w:val="22"/>
                <w:szCs w:val="22"/>
              </w:rPr>
              <w:t>Consideration of the D</w:t>
            </w:r>
            <w:r w:rsidR="00BE4249" w:rsidRPr="00F41BF8">
              <w:rPr>
                <w:rFonts w:ascii="Calibri" w:hAnsi="Calibri"/>
                <w:spacing w:val="-2"/>
                <w:sz w:val="22"/>
                <w:szCs w:val="22"/>
              </w:rPr>
              <w:t>raft Resolutions submitted by Contracting Parties and the Standing Committee</w:t>
            </w:r>
          </w:p>
        </w:tc>
        <w:tc>
          <w:tcPr>
            <w:tcW w:w="2835" w:type="dxa"/>
          </w:tcPr>
          <w:p w:rsidR="0018467F" w:rsidRPr="00D95EAA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DR2 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Ramsar Strategic Plan 2016-2021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455408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45540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DR3 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>Enhancing the languages of the Convention and its visibility and stature, and increasing synergies with other multilateral environmental agreements and other international institutions</w:t>
            </w:r>
          </w:p>
        </w:tc>
        <w:tc>
          <w:tcPr>
            <w:tcW w:w="3119" w:type="dxa"/>
          </w:tcPr>
          <w:p w:rsidR="00884B53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45540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DOC.16 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Considerations by the Strategic Plan Working Group on mechanisms to enhance the </w:t>
            </w:r>
            <w:r w:rsidR="00A47D92" w:rsidRPr="00455408">
              <w:rPr>
                <w:rFonts w:asciiTheme="minorHAnsi" w:hAnsiTheme="minorHAnsi"/>
                <w:spacing w:val="-2"/>
                <w:sz w:val="22"/>
                <w:szCs w:val="22"/>
              </w:rPr>
              <w:t>visibility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stature of the Ramsar Convention and increasing synergies with multilateral environmental agreements (MEAs) and other international entities</w:t>
            </w:r>
          </w:p>
          <w:p w:rsidR="00455408" w:rsidRPr="00D95EAA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 w:rsidRPr="0045540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DOC.17 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Legal Brief: Opinion on the accommodation of Arabic and other UN languages into the </w:t>
            </w:r>
            <w:r w:rsidRPr="00455408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>Ramsar Convention</w:t>
            </w: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455408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540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DR4 </w:t>
            </w:r>
            <w:r w:rsidRPr="00455408">
              <w:rPr>
                <w:rFonts w:asciiTheme="minorHAnsi" w:hAnsiTheme="minorHAnsi"/>
                <w:bCs/>
                <w:sz w:val="22"/>
                <w:szCs w:val="22"/>
              </w:rPr>
              <w:t>The responsibilities, roles and composition of the Standing Committee and regional categorization of countries under the Ramsar Convention</w:t>
            </w:r>
          </w:p>
        </w:tc>
        <w:tc>
          <w:tcPr>
            <w:tcW w:w="3119" w:type="dxa"/>
          </w:tcPr>
          <w:p w:rsidR="00884B53" w:rsidRPr="00D95EAA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455408" w:rsidRDefault="00455408" w:rsidP="00455408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45540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DR5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Pr="00455408">
              <w:rPr>
                <w:rFonts w:asciiTheme="minorHAnsi" w:hAnsiTheme="minorHAnsi"/>
                <w:spacing w:val="-2"/>
                <w:sz w:val="22"/>
                <w:szCs w:val="22"/>
              </w:rPr>
              <w:t>Proposed new framework for delivery of scientific and technical advice and guidance on the Convention</w:t>
            </w:r>
          </w:p>
        </w:tc>
        <w:tc>
          <w:tcPr>
            <w:tcW w:w="3119" w:type="dxa"/>
          </w:tcPr>
          <w:p w:rsidR="00884B53" w:rsidRPr="00D95EAA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890ACE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890AC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DR6 </w:t>
            </w:r>
            <w:r w:rsidRPr="00890ACE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>The status of Sites in the Ramsar List of Wetlands of International Importance</w:t>
            </w:r>
          </w:p>
        </w:tc>
        <w:tc>
          <w:tcPr>
            <w:tcW w:w="3119" w:type="dxa"/>
          </w:tcPr>
          <w:p w:rsidR="00884B53" w:rsidRPr="00012AB4" w:rsidRDefault="00012AB4" w:rsidP="00012AB4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DOC.</w:t>
            </w:r>
            <w:r w:rsidRPr="0060325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60325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Report of the Secretary General pursuant to Article 8.2 concerning the List of Wetlands of International Importance</w:t>
            </w: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890ACE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</w:pPr>
            <w:r w:rsidRPr="00890ACE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 xml:space="preserve">DR7 </w:t>
            </w:r>
            <w:r w:rsidRPr="00890ACE">
              <w:rPr>
                <w:rFonts w:asciiTheme="minorHAnsi" w:hAnsiTheme="minorHAnsi"/>
                <w:bCs/>
                <w:spacing w:val="-2"/>
                <w:sz w:val="22"/>
                <w:szCs w:val="22"/>
                <w:lang w:val="en-GB"/>
              </w:rPr>
              <w:t>Resource Mobilization and Partnership Framework of the Ramsar Convention, and proposal to add Wildfowl and Wetlands Trust (WWT) as an International Organization Partner</w:t>
            </w:r>
          </w:p>
        </w:tc>
        <w:tc>
          <w:tcPr>
            <w:tcW w:w="3119" w:type="dxa"/>
          </w:tcPr>
          <w:p w:rsidR="006C2DAB" w:rsidRDefault="006C2DAB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890ACE" w:rsidRDefault="00890ACE" w:rsidP="00890AC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Cs/>
                <w:spacing w:val="-2"/>
                <w:sz w:val="22"/>
                <w:szCs w:val="22"/>
                <w:lang w:val="en-GB"/>
              </w:rPr>
            </w:pPr>
            <w:r w:rsidRPr="00890ACE"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  <w:t xml:space="preserve">DR8 </w:t>
            </w:r>
            <w:r w:rsidRPr="00890ACE">
              <w:rPr>
                <w:rFonts w:asciiTheme="minorHAnsi" w:hAnsiTheme="minorHAnsi"/>
                <w:bCs/>
                <w:spacing w:val="-2"/>
                <w:sz w:val="22"/>
                <w:szCs w:val="22"/>
                <w:lang w:val="en-GB"/>
              </w:rPr>
              <w:t>Regional initiatives 2016-2018 in the framework of the Ramsar Convention</w:t>
            </w:r>
          </w:p>
        </w:tc>
        <w:tc>
          <w:tcPr>
            <w:tcW w:w="3119" w:type="dxa"/>
          </w:tcPr>
          <w:p w:rsidR="00884B53" w:rsidRPr="00EE1E6E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EE1E6E" w:rsidRDefault="00EE1E6E" w:rsidP="00EE1E6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  <w:lang w:val="en-GB"/>
              </w:rPr>
            </w:pPr>
            <w:r w:rsidRPr="00EE1E6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DR9 </w:t>
            </w:r>
            <w:r w:rsidRPr="00EE1E6E">
              <w:rPr>
                <w:rFonts w:asciiTheme="minorHAnsi" w:hAnsiTheme="minorHAnsi"/>
                <w:spacing w:val="-2"/>
                <w:sz w:val="22"/>
                <w:szCs w:val="22"/>
                <w:lang w:val="en-GB"/>
              </w:rPr>
              <w:t>The Ramsar Convention’s Programme on communication, capacity development, education, participation and awareness (CEPA) 2016</w:t>
            </w:r>
            <w:r w:rsidRPr="00EE1E6E">
              <w:rPr>
                <w:rFonts w:asciiTheme="minorHAnsi" w:hAnsiTheme="minorHAnsi" w:cs="Cambria Math"/>
                <w:spacing w:val="-2"/>
                <w:sz w:val="22"/>
                <w:szCs w:val="22"/>
                <w:lang w:val="en-GB"/>
              </w:rPr>
              <w:t>‐</w:t>
            </w:r>
            <w:r w:rsidRPr="00EE1E6E">
              <w:rPr>
                <w:rFonts w:asciiTheme="minorHAnsi" w:hAnsiTheme="minorHAnsi" w:cs="Garamond"/>
                <w:spacing w:val="-2"/>
                <w:sz w:val="22"/>
                <w:szCs w:val="22"/>
                <w:lang w:val="en-GB"/>
              </w:rPr>
              <w:t>2021</w:t>
            </w:r>
          </w:p>
        </w:tc>
        <w:tc>
          <w:tcPr>
            <w:tcW w:w="3119" w:type="dxa"/>
          </w:tcPr>
          <w:p w:rsidR="00884B53" w:rsidRPr="00D95EAA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884B53" w:rsidRPr="00D95EAA" w:rsidTr="006A39B1">
        <w:trPr>
          <w:cantSplit/>
        </w:trPr>
        <w:tc>
          <w:tcPr>
            <w:tcW w:w="3195" w:type="dxa"/>
          </w:tcPr>
          <w:p w:rsidR="00884B53" w:rsidRPr="00BE4249" w:rsidRDefault="00884B53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4B53" w:rsidRPr="001E2F67" w:rsidRDefault="001E2F67" w:rsidP="00247D79">
            <w:pPr>
              <w:ind w:left="-184" w:right="17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 w:eastAsia="el-GR"/>
              </w:rPr>
            </w:pPr>
            <w:r w:rsidRPr="001E2F67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DR10 </w:t>
            </w:r>
            <w:r w:rsidRPr="001E2F67">
              <w:rPr>
                <w:rFonts w:asciiTheme="minorHAnsi" w:hAnsiTheme="minorHAnsi"/>
                <w:bCs/>
                <w:sz w:val="22"/>
                <w:szCs w:val="22"/>
                <w:lang w:val="el-GR" w:eastAsia="el-GR"/>
              </w:rPr>
              <w:t xml:space="preserve">Ramsar Wetland City </w:t>
            </w:r>
            <w:r w:rsidRPr="001E2F67">
              <w:rPr>
                <w:rFonts w:asciiTheme="minorHAnsi" w:hAnsiTheme="minorHAnsi"/>
                <w:bCs/>
                <w:sz w:val="22"/>
                <w:szCs w:val="22"/>
                <w:lang w:eastAsia="el-GR"/>
              </w:rPr>
              <w:t>A</w:t>
            </w:r>
            <w:r w:rsidRPr="001E2F67">
              <w:rPr>
                <w:rFonts w:asciiTheme="minorHAnsi" w:hAnsiTheme="minorHAnsi"/>
                <w:bCs/>
                <w:sz w:val="22"/>
                <w:szCs w:val="22"/>
                <w:lang w:val="el-GR" w:eastAsia="el-GR"/>
              </w:rPr>
              <w:t>ccreditation (RWCA)</w:t>
            </w:r>
          </w:p>
        </w:tc>
        <w:tc>
          <w:tcPr>
            <w:tcW w:w="3119" w:type="dxa"/>
          </w:tcPr>
          <w:p w:rsidR="00884B53" w:rsidRPr="00D95EAA" w:rsidRDefault="00884B53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E2F67" w:rsidRPr="00D95EAA" w:rsidTr="006A39B1">
        <w:trPr>
          <w:cantSplit/>
        </w:trPr>
        <w:tc>
          <w:tcPr>
            <w:tcW w:w="3195" w:type="dxa"/>
          </w:tcPr>
          <w:p w:rsidR="001E2F67" w:rsidRPr="00BE4249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2F67" w:rsidRPr="001E2F67" w:rsidRDefault="001E2F67" w:rsidP="001E2F67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1E2F67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DR11 </w:t>
            </w:r>
            <w:r w:rsidRPr="001E2F67">
              <w:rPr>
                <w:rFonts w:asciiTheme="minorHAnsi" w:hAnsiTheme="minorHAnsi"/>
                <w:spacing w:val="-2"/>
                <w:sz w:val="22"/>
                <w:szCs w:val="22"/>
              </w:rPr>
              <w:t>Peatlands, climate change and wise use: Implications for the Ramsar Convention</w:t>
            </w:r>
          </w:p>
        </w:tc>
        <w:tc>
          <w:tcPr>
            <w:tcW w:w="3119" w:type="dxa"/>
          </w:tcPr>
          <w:p w:rsidR="001E2F67" w:rsidRPr="00D95EAA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E2F67" w:rsidRPr="00D95EAA" w:rsidTr="006A39B1">
        <w:trPr>
          <w:cantSplit/>
        </w:trPr>
        <w:tc>
          <w:tcPr>
            <w:tcW w:w="3195" w:type="dxa"/>
          </w:tcPr>
          <w:p w:rsidR="001E2F67" w:rsidRPr="00BE4249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2F67" w:rsidRPr="00E3531A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DR12 </w:t>
            </w:r>
            <w:r w:rsidRPr="00E3531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Call to action to ensure and protect the water requirements of wetlands </w:t>
            </w:r>
            <w:r w:rsidRPr="00E3531A">
              <w:rPr>
                <w:rFonts w:asciiTheme="minorHAnsi" w:hAnsiTheme="minorHAnsi"/>
                <w:spacing w:val="-2"/>
                <w:sz w:val="22"/>
                <w:szCs w:val="22"/>
              </w:rPr>
              <w:br/>
              <w:t>for the present and the future</w:t>
            </w:r>
          </w:p>
        </w:tc>
        <w:tc>
          <w:tcPr>
            <w:tcW w:w="3119" w:type="dxa"/>
          </w:tcPr>
          <w:p w:rsidR="001E2F67" w:rsidRPr="00D95EAA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E2F67" w:rsidRPr="00D95EAA" w:rsidTr="006A39B1">
        <w:trPr>
          <w:cantSplit/>
        </w:trPr>
        <w:tc>
          <w:tcPr>
            <w:tcW w:w="3195" w:type="dxa"/>
          </w:tcPr>
          <w:p w:rsidR="001E2F67" w:rsidRPr="00BE4249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2F67" w:rsidRPr="001E2F67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DR13 </w:t>
            </w:r>
            <w:r w:rsidRPr="00E3531A">
              <w:rPr>
                <w:rFonts w:asciiTheme="minorHAnsi" w:hAnsiTheme="minorHAnsi"/>
                <w:spacing w:val="-2"/>
                <w:sz w:val="22"/>
                <w:szCs w:val="22"/>
              </w:rPr>
              <w:t>Wetlands and disaster risk reduction</w:t>
            </w:r>
          </w:p>
        </w:tc>
        <w:tc>
          <w:tcPr>
            <w:tcW w:w="3119" w:type="dxa"/>
          </w:tcPr>
          <w:p w:rsidR="001E2F67" w:rsidRPr="00D95EAA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E2F67" w:rsidRPr="00D95EAA" w:rsidTr="006A39B1">
        <w:trPr>
          <w:cantSplit/>
        </w:trPr>
        <w:tc>
          <w:tcPr>
            <w:tcW w:w="3195" w:type="dxa"/>
          </w:tcPr>
          <w:p w:rsidR="001E2F67" w:rsidRPr="00BE4249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2F67" w:rsidRPr="001E2F67" w:rsidRDefault="00E3531A" w:rsidP="00E3531A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DR14 </w:t>
            </w:r>
            <w:r w:rsidRPr="00E3531A">
              <w:rPr>
                <w:rFonts w:asciiTheme="minorHAnsi" w:hAnsiTheme="minorHAnsi"/>
                <w:spacing w:val="-2"/>
                <w:sz w:val="22"/>
                <w:szCs w:val="22"/>
              </w:rPr>
              <w:t>Conservation of Mediterranean Basin island wetlands</w:t>
            </w:r>
          </w:p>
        </w:tc>
        <w:tc>
          <w:tcPr>
            <w:tcW w:w="3119" w:type="dxa"/>
          </w:tcPr>
          <w:p w:rsidR="001E2F67" w:rsidRPr="00D95EAA" w:rsidRDefault="001E2F67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E2F67" w:rsidRPr="00D95EAA" w:rsidTr="006A39B1">
        <w:trPr>
          <w:cantSplit/>
        </w:trPr>
        <w:tc>
          <w:tcPr>
            <w:tcW w:w="3195" w:type="dxa"/>
          </w:tcPr>
          <w:p w:rsidR="001E2F67" w:rsidRPr="00BE4249" w:rsidRDefault="001E2F67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2F67" w:rsidRPr="006D3DD9" w:rsidRDefault="006D3DD9" w:rsidP="006D3DD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DR15 </w:t>
            </w:r>
            <w:r w:rsidRPr="006D3DD9">
              <w:rPr>
                <w:rFonts w:asciiTheme="minorHAnsi" w:hAnsiTheme="minorHAnsi"/>
                <w:spacing w:val="-2"/>
                <w:sz w:val="22"/>
                <w:szCs w:val="22"/>
              </w:rPr>
              <w:t>Evaluating and ensuring the effective management and conservation of Ramsar Sites</w:t>
            </w:r>
          </w:p>
        </w:tc>
        <w:tc>
          <w:tcPr>
            <w:tcW w:w="3119" w:type="dxa"/>
          </w:tcPr>
          <w:p w:rsidR="001E2F67" w:rsidRPr="00D95EAA" w:rsidRDefault="006D3DD9" w:rsidP="006D3DD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 w:rsidRPr="006D3DD9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DOC.20 </w:t>
            </w:r>
            <w:r w:rsidRPr="006D3DD9">
              <w:rPr>
                <w:rFonts w:asciiTheme="minorHAnsi" w:hAnsiTheme="minorHAnsi"/>
                <w:spacing w:val="-2"/>
                <w:sz w:val="22"/>
                <w:szCs w:val="22"/>
              </w:rPr>
              <w:t>Management effectiveness assessments for Ramsar Sites</w:t>
            </w:r>
          </w:p>
        </w:tc>
      </w:tr>
      <w:tr w:rsidR="000552B0" w:rsidRPr="00D95EAA" w:rsidTr="006A39B1">
        <w:trPr>
          <w:cantSplit/>
        </w:trPr>
        <w:tc>
          <w:tcPr>
            <w:tcW w:w="3195" w:type="dxa"/>
          </w:tcPr>
          <w:p w:rsidR="000552B0" w:rsidRPr="00BE4249" w:rsidRDefault="000552B0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</w:tcPr>
          <w:p w:rsidR="000552B0" w:rsidRDefault="000552B0" w:rsidP="006D3DD9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2C107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DR1 </w:t>
            </w:r>
            <w:r w:rsidRPr="002C1076">
              <w:rPr>
                <w:rFonts w:asciiTheme="minorHAnsi" w:hAnsiTheme="minorHAnsi"/>
                <w:spacing w:val="-2"/>
                <w:sz w:val="22"/>
                <w:szCs w:val="22"/>
              </w:rPr>
              <w:t>Financial and budgetary matters</w:t>
            </w:r>
          </w:p>
        </w:tc>
        <w:tc>
          <w:tcPr>
            <w:tcW w:w="3119" w:type="dxa"/>
          </w:tcPr>
          <w:p w:rsidR="000552B0" w:rsidRPr="00884B53" w:rsidRDefault="000552B0" w:rsidP="000552B0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84B53">
              <w:rPr>
                <w:rFonts w:asciiTheme="minorHAnsi" w:hAnsiTheme="minorHAnsi"/>
                <w:b/>
                <w:sz w:val="22"/>
                <w:szCs w:val="22"/>
              </w:rPr>
              <w:t>DOC.14</w:t>
            </w:r>
            <w:r w:rsidRPr="00884B53">
              <w:rPr>
                <w:rFonts w:asciiTheme="minorHAnsi" w:hAnsiTheme="minorHAnsi"/>
                <w:sz w:val="22"/>
                <w:szCs w:val="22"/>
              </w:rPr>
              <w:t xml:space="preserve"> Background information on financial and budgetary matters</w:t>
            </w:r>
          </w:p>
          <w:p w:rsidR="000552B0" w:rsidRPr="006D3DD9" w:rsidRDefault="000552B0" w:rsidP="000552B0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884B53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DOC.15</w:t>
            </w:r>
            <w:r w:rsidRPr="00884B53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Contracting Parties with outstanding annual </w:t>
            </w:r>
            <w:r w:rsidRPr="00884B53">
              <w:rPr>
                <w:rFonts w:asciiTheme="minorHAnsi" w:hAnsiTheme="minorHAnsi"/>
                <w:sz w:val="22"/>
                <w:szCs w:val="22"/>
              </w:rPr>
              <w:t>contributions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702645" w:rsidRDefault="0018467F" w:rsidP="00702645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XVI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Report of the Credentials</w:t>
            </w:r>
            <w:r w:rsidR="00BE424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Committee</w:t>
            </w:r>
          </w:p>
        </w:tc>
        <w:tc>
          <w:tcPr>
            <w:tcW w:w="2835" w:type="dxa"/>
          </w:tcPr>
          <w:p w:rsidR="0018467F" w:rsidRPr="001E2F67" w:rsidRDefault="0018467F" w:rsidP="001E2F67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6D3DD9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 w:rsidRPr="008C1F6C">
              <w:rPr>
                <w:rFonts w:asciiTheme="minorHAnsi" w:hAnsiTheme="minorHAnsi"/>
                <w:spacing w:val="-2"/>
                <w:sz w:val="22"/>
                <w:szCs w:val="22"/>
              </w:rPr>
              <w:t>[to be tabled]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XVII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 xml:space="preserve">Report on the discussions, conclusions and recommendations in the </w:t>
            </w:r>
            <w:r w:rsidR="000E2EA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preceding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sessions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0E2EAF" w:rsidP="000552B0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XVIII</w:t>
            </w:r>
            <w:r w:rsidR="0018467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Adoption of Resolutions</w:t>
            </w:r>
          </w:p>
        </w:tc>
        <w:tc>
          <w:tcPr>
            <w:tcW w:w="2835" w:type="dxa"/>
          </w:tcPr>
          <w:p w:rsidR="0018467F" w:rsidRPr="00A47D92" w:rsidRDefault="0018467F" w:rsidP="00A47D92">
            <w:pPr>
              <w:rPr>
                <w:rFonts w:eastAsia="Garamond"/>
              </w:rPr>
            </w:pP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0E2EA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</w:t>
            </w:r>
            <w:r w:rsidR="00CB607D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</w:t>
            </w:r>
            <w:r w:rsidR="0018467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Date and venue of the next Ordinary Meeting of the Conference of the Contracting Parties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XX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Any other business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753A14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XXI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="0018467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Adoption of the report of the </w:t>
            </w:r>
            <w:r w:rsidR="00BE4249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12</w:t>
            </w:r>
            <w:r w:rsidR="006D3DD9" w:rsidRPr="006D3DD9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t</w:t>
            </w:r>
            <w:r w:rsidR="0018467F" w:rsidRPr="006D3DD9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h</w:t>
            </w:r>
            <w:r w:rsidR="0018467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Meeting of the Conference of the Contracting Parties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6D3DD9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  <w:r w:rsidRPr="008C1F6C">
              <w:rPr>
                <w:rFonts w:asciiTheme="minorHAnsi" w:hAnsiTheme="minorHAnsi"/>
                <w:spacing w:val="-2"/>
                <w:sz w:val="22"/>
                <w:szCs w:val="22"/>
              </w:rPr>
              <w:t>[to be tabled]</w:t>
            </w:r>
          </w:p>
        </w:tc>
      </w:tr>
      <w:tr w:rsidR="0018467F" w:rsidRPr="00D95EAA" w:rsidTr="006A39B1">
        <w:trPr>
          <w:cantSplit/>
        </w:trPr>
        <w:tc>
          <w:tcPr>
            <w:tcW w:w="3195" w:type="dxa"/>
          </w:tcPr>
          <w:p w:rsidR="0018467F" w:rsidRPr="00BE4249" w:rsidRDefault="0018467F" w:rsidP="00753A14">
            <w:pPr>
              <w:tabs>
                <w:tab w:val="left" w:pos="-1440"/>
                <w:tab w:val="left" w:pos="-720"/>
                <w:tab w:val="left" w:pos="567"/>
                <w:tab w:val="left" w:pos="1701"/>
              </w:tabs>
              <w:suppressAutoHyphens/>
              <w:ind w:left="601" w:hanging="567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>XX</w:t>
            </w:r>
            <w:r w:rsidR="000E2EAF" w:rsidRPr="00BE4249">
              <w:rPr>
                <w:rFonts w:asciiTheme="minorHAnsi" w:hAnsiTheme="minorHAnsi"/>
                <w:spacing w:val="-2"/>
                <w:sz w:val="22"/>
                <w:szCs w:val="22"/>
              </w:rPr>
              <w:t>II</w:t>
            </w:r>
            <w:r w:rsidRPr="00BE4249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Close of the meeting</w:t>
            </w:r>
          </w:p>
        </w:tc>
        <w:tc>
          <w:tcPr>
            <w:tcW w:w="2835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18467F" w:rsidRPr="00D95EAA" w:rsidRDefault="0018467F" w:rsidP="00AE3C8E">
            <w:pPr>
              <w:tabs>
                <w:tab w:val="left" w:pos="-1440"/>
                <w:tab w:val="left" w:pos="-720"/>
                <w:tab w:val="left" w:pos="1701"/>
              </w:tabs>
              <w:suppressAutoHyphens/>
              <w:ind w:left="241" w:hanging="241"/>
              <w:rPr>
                <w:rFonts w:ascii="Garamond" w:hAnsi="Garamond"/>
                <w:spacing w:val="-2"/>
                <w:sz w:val="22"/>
                <w:szCs w:val="22"/>
              </w:rPr>
            </w:pPr>
          </w:p>
        </w:tc>
      </w:tr>
    </w:tbl>
    <w:p w:rsidR="00C13DD2" w:rsidRPr="00753A14" w:rsidRDefault="00753A14" w:rsidP="00753A14">
      <w:pPr>
        <w:tabs>
          <w:tab w:val="left" w:pos="1072"/>
        </w:tabs>
      </w:pPr>
      <w:r>
        <w:tab/>
      </w:r>
    </w:p>
    <w:sectPr w:rsidR="00C13DD2" w:rsidRPr="00753A14" w:rsidSect="00085EB2">
      <w:headerReference w:type="default" r:id="rId8"/>
      <w:footerReference w:type="default" r:id="rId9"/>
      <w:pgSz w:w="11907" w:h="16840" w:code="9"/>
      <w:pgMar w:top="1440" w:right="1440" w:bottom="1440" w:left="1440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76" w:rsidRDefault="00ED3076">
      <w:r>
        <w:separator/>
      </w:r>
    </w:p>
  </w:endnote>
  <w:endnote w:type="continuationSeparator" w:id="0">
    <w:p w:rsidR="00ED3076" w:rsidRDefault="00ED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6" w:rsidRPr="00085EB2" w:rsidRDefault="00ED3076" w:rsidP="00085EB2">
    <w:pPr>
      <w:pStyle w:val="Header"/>
      <w:tabs>
        <w:tab w:val="clear" w:pos="8640"/>
        <w:tab w:val="right" w:pos="9072"/>
      </w:tabs>
      <w:ind w:right="-45"/>
      <w:rPr>
        <w:rFonts w:asciiTheme="minorHAnsi" w:hAnsiTheme="minorHAnsi"/>
        <w:sz w:val="20"/>
      </w:rPr>
    </w:pPr>
    <w:r w:rsidRPr="00085EB2">
      <w:rPr>
        <w:rFonts w:asciiTheme="minorHAnsi" w:hAnsiTheme="minorHAnsi"/>
        <w:sz w:val="20"/>
      </w:rPr>
      <w:t>Ramsar COP12 DOC.2</w:t>
    </w:r>
    <w:r>
      <w:rPr>
        <w:rFonts w:asciiTheme="minorHAnsi" w:hAnsiTheme="minorHAnsi"/>
        <w:sz w:val="20"/>
      </w:rPr>
      <w:t xml:space="preserve"> Rev.1</w:t>
    </w:r>
    <w:r w:rsidRPr="00085EB2">
      <w:rPr>
        <w:rFonts w:asciiTheme="minorHAnsi" w:hAnsiTheme="minorHAnsi"/>
        <w:sz w:val="20"/>
      </w:rPr>
      <w:tab/>
    </w:r>
    <w:r w:rsidRPr="00085EB2">
      <w:rPr>
        <w:rFonts w:asciiTheme="minorHAnsi" w:hAnsiTheme="minorHAnsi"/>
        <w:sz w:val="20"/>
      </w:rPr>
      <w:tab/>
    </w:r>
    <w:r w:rsidRPr="00085EB2">
      <w:rPr>
        <w:rStyle w:val="PageNumber"/>
        <w:rFonts w:asciiTheme="minorHAnsi" w:hAnsiTheme="minorHAnsi"/>
        <w:sz w:val="20"/>
      </w:rPr>
      <w:fldChar w:fldCharType="begin"/>
    </w:r>
    <w:r w:rsidRPr="00085EB2">
      <w:rPr>
        <w:rStyle w:val="PageNumber"/>
        <w:rFonts w:asciiTheme="minorHAnsi" w:hAnsiTheme="minorHAnsi"/>
        <w:sz w:val="20"/>
      </w:rPr>
      <w:instrText xml:space="preserve"> PAGE </w:instrText>
    </w:r>
    <w:r w:rsidRPr="00085EB2">
      <w:rPr>
        <w:rStyle w:val="PageNumber"/>
        <w:rFonts w:asciiTheme="minorHAnsi" w:hAnsiTheme="minorHAnsi"/>
        <w:sz w:val="20"/>
      </w:rPr>
      <w:fldChar w:fldCharType="separate"/>
    </w:r>
    <w:r w:rsidR="0030364A">
      <w:rPr>
        <w:rStyle w:val="PageNumber"/>
        <w:rFonts w:asciiTheme="minorHAnsi" w:hAnsiTheme="minorHAnsi"/>
        <w:noProof/>
        <w:sz w:val="20"/>
      </w:rPr>
      <w:t>4</w:t>
    </w:r>
    <w:r w:rsidRPr="00085EB2">
      <w:rPr>
        <w:rStyle w:val="PageNumber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76" w:rsidRDefault="00ED3076">
      <w:r>
        <w:separator/>
      </w:r>
    </w:p>
  </w:footnote>
  <w:footnote w:type="continuationSeparator" w:id="0">
    <w:p w:rsidR="00ED3076" w:rsidRDefault="00ED3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6" w:rsidRDefault="00ED3076" w:rsidP="00FF5795">
    <w:pPr>
      <w:pStyle w:val="Header"/>
      <w:jc w:val="right"/>
      <w:rPr>
        <w:rStyle w:val="PageNumber"/>
        <w:rFonts w:ascii="Garamond" w:hAnsi="Garamond"/>
        <w:b/>
        <w:sz w:val="22"/>
        <w:szCs w:val="22"/>
      </w:rPr>
    </w:pPr>
  </w:p>
  <w:p w:rsidR="00ED3076" w:rsidRPr="00FF5795" w:rsidRDefault="00ED3076" w:rsidP="00FF5795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2324"/>
    <w:multiLevelType w:val="hybridMultilevel"/>
    <w:tmpl w:val="BBA6752C"/>
    <w:lvl w:ilvl="0" w:tplc="668E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57"/>
    <w:rsid w:val="00012AB4"/>
    <w:rsid w:val="000245F1"/>
    <w:rsid w:val="000419E5"/>
    <w:rsid w:val="000552B0"/>
    <w:rsid w:val="000673BC"/>
    <w:rsid w:val="00074FD3"/>
    <w:rsid w:val="000844F7"/>
    <w:rsid w:val="00085EB2"/>
    <w:rsid w:val="000A4C52"/>
    <w:rsid w:val="000E1A6F"/>
    <w:rsid w:val="000E2EAF"/>
    <w:rsid w:val="00114B8B"/>
    <w:rsid w:val="00131C60"/>
    <w:rsid w:val="00152E05"/>
    <w:rsid w:val="00165BF6"/>
    <w:rsid w:val="00170277"/>
    <w:rsid w:val="0018467F"/>
    <w:rsid w:val="001913D5"/>
    <w:rsid w:val="001913D8"/>
    <w:rsid w:val="001A0EDB"/>
    <w:rsid w:val="001C0403"/>
    <w:rsid w:val="001E2F67"/>
    <w:rsid w:val="0022219B"/>
    <w:rsid w:val="0024167B"/>
    <w:rsid w:val="00247D79"/>
    <w:rsid w:val="00272D37"/>
    <w:rsid w:val="002B05CD"/>
    <w:rsid w:val="002C1076"/>
    <w:rsid w:val="002E2554"/>
    <w:rsid w:val="003034C8"/>
    <w:rsid w:val="0030364A"/>
    <w:rsid w:val="003106EF"/>
    <w:rsid w:val="00320C6E"/>
    <w:rsid w:val="00323309"/>
    <w:rsid w:val="0037408C"/>
    <w:rsid w:val="003744CB"/>
    <w:rsid w:val="0039059B"/>
    <w:rsid w:val="0039209A"/>
    <w:rsid w:val="003A04C3"/>
    <w:rsid w:val="003A6AD7"/>
    <w:rsid w:val="003C0B3A"/>
    <w:rsid w:val="00413ADE"/>
    <w:rsid w:val="00441188"/>
    <w:rsid w:val="00455408"/>
    <w:rsid w:val="00474DF5"/>
    <w:rsid w:val="004A01E9"/>
    <w:rsid w:val="004A5764"/>
    <w:rsid w:val="004C470F"/>
    <w:rsid w:val="004D1FF0"/>
    <w:rsid w:val="004D2063"/>
    <w:rsid w:val="004F5F9F"/>
    <w:rsid w:val="004F6718"/>
    <w:rsid w:val="004F68F1"/>
    <w:rsid w:val="00562182"/>
    <w:rsid w:val="00567E8F"/>
    <w:rsid w:val="00603259"/>
    <w:rsid w:val="0061775F"/>
    <w:rsid w:val="006714FB"/>
    <w:rsid w:val="00697D7F"/>
    <w:rsid w:val="006A39B1"/>
    <w:rsid w:val="006C2DAB"/>
    <w:rsid w:val="006C2FAA"/>
    <w:rsid w:val="006D3DD9"/>
    <w:rsid w:val="00701A13"/>
    <w:rsid w:val="00702645"/>
    <w:rsid w:val="007334DB"/>
    <w:rsid w:val="00747631"/>
    <w:rsid w:val="00751750"/>
    <w:rsid w:val="00753A14"/>
    <w:rsid w:val="00774A58"/>
    <w:rsid w:val="00790588"/>
    <w:rsid w:val="007B2FB3"/>
    <w:rsid w:val="007C2F89"/>
    <w:rsid w:val="007F22C2"/>
    <w:rsid w:val="0084016B"/>
    <w:rsid w:val="0085444B"/>
    <w:rsid w:val="00884B53"/>
    <w:rsid w:val="00890ACE"/>
    <w:rsid w:val="008A3104"/>
    <w:rsid w:val="008C1559"/>
    <w:rsid w:val="008C1F6C"/>
    <w:rsid w:val="008C4849"/>
    <w:rsid w:val="008C53D8"/>
    <w:rsid w:val="009166FD"/>
    <w:rsid w:val="00920EBF"/>
    <w:rsid w:val="0093465E"/>
    <w:rsid w:val="0095222E"/>
    <w:rsid w:val="00960F8D"/>
    <w:rsid w:val="00975B98"/>
    <w:rsid w:val="0098385B"/>
    <w:rsid w:val="00985CC5"/>
    <w:rsid w:val="009A3AB3"/>
    <w:rsid w:val="009D45BB"/>
    <w:rsid w:val="009E083F"/>
    <w:rsid w:val="00A47D92"/>
    <w:rsid w:val="00A51021"/>
    <w:rsid w:val="00A95F73"/>
    <w:rsid w:val="00AA4CD0"/>
    <w:rsid w:val="00AB79F7"/>
    <w:rsid w:val="00AE3C8E"/>
    <w:rsid w:val="00B16D20"/>
    <w:rsid w:val="00B218B9"/>
    <w:rsid w:val="00B222FA"/>
    <w:rsid w:val="00B457D5"/>
    <w:rsid w:val="00B47DBC"/>
    <w:rsid w:val="00B6591D"/>
    <w:rsid w:val="00B80C78"/>
    <w:rsid w:val="00B82A63"/>
    <w:rsid w:val="00B9020A"/>
    <w:rsid w:val="00BD1E38"/>
    <w:rsid w:val="00BE4249"/>
    <w:rsid w:val="00BE4339"/>
    <w:rsid w:val="00C0081C"/>
    <w:rsid w:val="00C13DD2"/>
    <w:rsid w:val="00C367FA"/>
    <w:rsid w:val="00C4743F"/>
    <w:rsid w:val="00C907F7"/>
    <w:rsid w:val="00CB04FC"/>
    <w:rsid w:val="00CB4A41"/>
    <w:rsid w:val="00CB607D"/>
    <w:rsid w:val="00CE2E1E"/>
    <w:rsid w:val="00D00D33"/>
    <w:rsid w:val="00D03082"/>
    <w:rsid w:val="00D05517"/>
    <w:rsid w:val="00D32A52"/>
    <w:rsid w:val="00D410C6"/>
    <w:rsid w:val="00D44C03"/>
    <w:rsid w:val="00D56BCC"/>
    <w:rsid w:val="00D73836"/>
    <w:rsid w:val="00D95EAA"/>
    <w:rsid w:val="00DA5455"/>
    <w:rsid w:val="00DB7615"/>
    <w:rsid w:val="00DE2957"/>
    <w:rsid w:val="00DF37B4"/>
    <w:rsid w:val="00E3531A"/>
    <w:rsid w:val="00E9622D"/>
    <w:rsid w:val="00ED3076"/>
    <w:rsid w:val="00EE1E6E"/>
    <w:rsid w:val="00F217AE"/>
    <w:rsid w:val="00F63418"/>
    <w:rsid w:val="00F73800"/>
    <w:rsid w:val="00F84806"/>
    <w:rsid w:val="00F86CF0"/>
    <w:rsid w:val="00FA1B32"/>
    <w:rsid w:val="00FD6A86"/>
    <w:rsid w:val="00FE2E9F"/>
    <w:rsid w:val="00FF2E94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FA"/>
    <w:rPr>
      <w:sz w:val="24"/>
    </w:rPr>
  </w:style>
  <w:style w:type="paragraph" w:styleId="Heading3">
    <w:name w:val="heading 3"/>
    <w:basedOn w:val="Normal"/>
    <w:next w:val="Normal"/>
    <w:qFormat/>
    <w:rsid w:val="00FA1B32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A1B32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A1B32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table" w:styleId="TableGrid">
    <w:name w:val="Table Grid"/>
    <w:basedOn w:val="TableNormal"/>
    <w:rsid w:val="00F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95"/>
  </w:style>
  <w:style w:type="paragraph" w:customStyle="1" w:styleId="CharCharChar">
    <w:name w:val="Char Char Char"/>
    <w:basedOn w:val="Normal"/>
    <w:rsid w:val="004F5F9F"/>
    <w:rPr>
      <w:szCs w:val="24"/>
      <w:lang w:val="pl-PL" w:eastAsia="pl-PL"/>
    </w:rPr>
  </w:style>
  <w:style w:type="character" w:styleId="Hyperlink">
    <w:name w:val="Hyperlink"/>
    <w:basedOn w:val="DefaultParagraphFont"/>
    <w:rsid w:val="00D32A52"/>
    <w:rPr>
      <w:color w:val="0000EE"/>
      <w:u w:val="single"/>
    </w:rPr>
  </w:style>
  <w:style w:type="character" w:styleId="Strong">
    <w:name w:val="Strong"/>
    <w:basedOn w:val="DefaultParagraphFont"/>
    <w:uiPriority w:val="22"/>
    <w:qFormat/>
    <w:rsid w:val="00D32A52"/>
    <w:rPr>
      <w:b/>
      <w:bCs/>
    </w:rPr>
  </w:style>
  <w:style w:type="paragraph" w:styleId="BalloonText">
    <w:name w:val="Balloon Text"/>
    <w:basedOn w:val="Normal"/>
    <w:semiHidden/>
    <w:rsid w:val="007905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E2F67"/>
    <w:rPr>
      <w:rFonts w:ascii="Calibri" w:hAnsi="Calibri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F67"/>
    <w:rPr>
      <w:rFonts w:ascii="Calibri" w:hAnsi="Calibri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E2F6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D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DD9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DD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D3DD9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Meeting of the Conference of the Parties to the Convention on Wetlands (Ramsar, Iran, 1971)</vt:lpstr>
    </vt:vector>
  </TitlesOfParts>
  <Company>The World Conservation Union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the Conference of the Parties to the Convention on Wetlands (Ramsar, Iran, 1971)</dc:title>
  <dc:creator>IUCN</dc:creator>
  <cp:lastModifiedBy>Ramsar\JenningsE</cp:lastModifiedBy>
  <cp:revision>2</cp:revision>
  <cp:lastPrinted>2012-05-08T11:24:00Z</cp:lastPrinted>
  <dcterms:created xsi:type="dcterms:W3CDTF">2015-04-02T15:25:00Z</dcterms:created>
  <dcterms:modified xsi:type="dcterms:W3CDTF">2015-04-02T15:25:00Z</dcterms:modified>
</cp:coreProperties>
</file>