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8D136" w14:textId="77777777" w:rsidR="00AA3C94" w:rsidRPr="00ED6A4F"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r>
        <w:t>CONVENTION SUR LES ZONES HUMIDES</w:t>
      </w:r>
    </w:p>
    <w:p w14:paraId="373F00D9" w14:textId="77777777" w:rsidR="00AA3C94" w:rsidRPr="00ED6A4F"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r>
        <w:t>63</w:t>
      </w:r>
      <w:r>
        <w:rPr>
          <w:vertAlign w:val="superscript"/>
        </w:rPr>
        <w:t>e</w:t>
      </w:r>
      <w:r>
        <w:t> réunion du Comité permanent</w:t>
      </w:r>
    </w:p>
    <w:p w14:paraId="071064F8" w14:textId="77777777" w:rsidR="00AA3C94" w:rsidRPr="00ED6A4F"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rFonts w:cs="Arial"/>
          <w:b/>
          <w:sz w:val="28"/>
          <w:szCs w:val="28"/>
        </w:rPr>
      </w:pPr>
      <w:r>
        <w:t>Gland, Suisse, 3 au 7 juin 2024</w:t>
      </w:r>
    </w:p>
    <w:p w14:paraId="1AFE334C" w14:textId="77777777" w:rsidR="00AA3C94" w:rsidRPr="00ED6A4F" w:rsidRDefault="00AA3C94" w:rsidP="00AA3C94">
      <w:pPr>
        <w:tabs>
          <w:tab w:val="left" w:pos="10650"/>
          <w:tab w:val="right" w:pos="13958"/>
        </w:tabs>
        <w:jc w:val="right"/>
        <w:rPr>
          <w:rFonts w:cs="Arial"/>
          <w:b/>
          <w:sz w:val="28"/>
          <w:szCs w:val="28"/>
        </w:rPr>
      </w:pPr>
    </w:p>
    <w:p w14:paraId="25029CBD" w14:textId="77777777" w:rsidR="000944EB" w:rsidRPr="00ED6A4F" w:rsidRDefault="00AA3C94" w:rsidP="00AA3C94">
      <w:pPr>
        <w:tabs>
          <w:tab w:val="left" w:pos="10650"/>
          <w:tab w:val="right" w:pos="13958"/>
        </w:tabs>
        <w:jc w:val="right"/>
        <w:rPr>
          <w:rFonts w:asciiTheme="minorHAnsi" w:hAnsiTheme="minorHAnsi" w:cstheme="minorHAnsi"/>
          <w:sz w:val="28"/>
          <w:szCs w:val="28"/>
        </w:rPr>
      </w:pPr>
      <w:r>
        <w:rPr>
          <w:b/>
          <w:sz w:val="28"/>
        </w:rPr>
        <w:t>SC63 Doc.</w:t>
      </w:r>
      <w:r>
        <w:rPr>
          <w:rFonts w:asciiTheme="minorHAnsi" w:hAnsiTheme="minorHAnsi"/>
          <w:b/>
          <w:sz w:val="28"/>
        </w:rPr>
        <w:t>10</w:t>
      </w:r>
    </w:p>
    <w:p w14:paraId="7043C5FD" w14:textId="77777777" w:rsidR="000944EB" w:rsidRPr="00ED6A4F" w:rsidRDefault="000944EB" w:rsidP="000944EB">
      <w:pPr>
        <w:rPr>
          <w:rFonts w:asciiTheme="minorHAnsi" w:hAnsiTheme="minorHAnsi" w:cstheme="minorHAnsi"/>
          <w:b/>
          <w:sz w:val="28"/>
          <w:szCs w:val="28"/>
        </w:rPr>
      </w:pPr>
    </w:p>
    <w:p w14:paraId="730F781D" w14:textId="1548793C" w:rsidR="00191207" w:rsidRPr="008C1DBC" w:rsidRDefault="00191207" w:rsidP="00C35117">
      <w:pPr>
        <w:spacing w:before="40" w:after="40"/>
        <w:ind w:left="0" w:firstLine="0"/>
        <w:jc w:val="center"/>
        <w:rPr>
          <w:rFonts w:asciiTheme="minorHAnsi" w:hAnsiTheme="minorHAnsi" w:cstheme="minorHAnsi"/>
          <w:bCs/>
        </w:rPr>
      </w:pPr>
      <w:r>
        <w:rPr>
          <w:rFonts w:asciiTheme="minorHAnsi" w:hAnsiTheme="minorHAnsi"/>
          <w:b/>
          <w:sz w:val="28"/>
        </w:rPr>
        <w:t xml:space="preserve">Problèmes urgents </w:t>
      </w:r>
      <w:r w:rsidR="00FF3F00">
        <w:rPr>
          <w:rFonts w:asciiTheme="minorHAnsi" w:hAnsiTheme="minorHAnsi"/>
          <w:b/>
          <w:sz w:val="28"/>
        </w:rPr>
        <w:t>concernant l</w:t>
      </w:r>
      <w:r w:rsidR="006332FA">
        <w:rPr>
          <w:rFonts w:asciiTheme="minorHAnsi" w:hAnsiTheme="minorHAnsi"/>
          <w:b/>
          <w:sz w:val="28"/>
        </w:rPr>
        <w:t>’</w:t>
      </w:r>
      <w:r>
        <w:rPr>
          <w:rFonts w:asciiTheme="minorHAnsi" w:hAnsiTheme="minorHAnsi"/>
          <w:b/>
          <w:sz w:val="28"/>
        </w:rPr>
        <w:t xml:space="preserve">utilisation rationnelle des zones humides </w:t>
      </w:r>
      <w:r w:rsidR="00BA78AC">
        <w:rPr>
          <w:rFonts w:asciiTheme="minorHAnsi" w:hAnsiTheme="minorHAnsi"/>
          <w:b/>
          <w:sz w:val="28"/>
        </w:rPr>
        <w:t>nécessitant</w:t>
      </w:r>
      <w:r>
        <w:rPr>
          <w:rFonts w:asciiTheme="minorHAnsi" w:hAnsiTheme="minorHAnsi"/>
          <w:b/>
          <w:sz w:val="28"/>
        </w:rPr>
        <w:t xml:space="preserve"> une attention accrue : mise à jour concernant les inventaires des zones humides</w:t>
      </w:r>
      <w:r>
        <w:rPr>
          <w:rFonts w:asciiTheme="minorHAnsi" w:hAnsiTheme="minorHAnsi"/>
        </w:rPr>
        <w:t xml:space="preserve"> </w:t>
      </w:r>
    </w:p>
    <w:p w14:paraId="337FDE75" w14:textId="77777777" w:rsidR="000944EB" w:rsidRPr="00ED6A4F" w:rsidRDefault="000944EB" w:rsidP="000944EB">
      <w:pPr>
        <w:jc w:val="center"/>
        <w:rPr>
          <w:rFonts w:asciiTheme="minorHAnsi" w:hAnsiTheme="minorHAnsi" w:cstheme="minorHAnsi"/>
          <w:b/>
          <w:sz w:val="28"/>
          <w:szCs w:val="28"/>
        </w:rPr>
      </w:pPr>
    </w:p>
    <w:p w14:paraId="6CED0CD1" w14:textId="77777777" w:rsidR="000C2489" w:rsidRPr="00ED6A4F" w:rsidRDefault="000C2489" w:rsidP="00014168">
      <w:pPr>
        <w:autoSpaceDE w:val="0"/>
        <w:autoSpaceDN w:val="0"/>
        <w:adjustRightInd w:val="0"/>
        <w:rPr>
          <w:rFonts w:asciiTheme="minorHAnsi" w:eastAsiaTheme="minorHAnsi" w:hAnsiTheme="minorHAnsi" w:cs="Calibri-Bold"/>
          <w:b/>
          <w:bCs/>
        </w:rPr>
      </w:pPr>
      <w:r>
        <w:rPr>
          <w:noProof/>
        </w:rPr>
        <mc:AlternateContent>
          <mc:Choice Requires="wps">
            <w:drawing>
              <wp:inline distT="0" distB="0" distL="0" distR="0" wp14:anchorId="39972923" wp14:editId="369830C6">
                <wp:extent cx="5731510" cy="1971924"/>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971924"/>
                        </a:xfrm>
                        <a:prstGeom prst="rect">
                          <a:avLst/>
                        </a:prstGeom>
                        <a:solidFill>
                          <a:srgbClr val="FFFFFF"/>
                        </a:solidFill>
                        <a:ln w="9525">
                          <a:solidFill>
                            <a:srgbClr val="000000"/>
                          </a:solidFill>
                          <a:miter lim="800000"/>
                          <a:headEnd/>
                          <a:tailEnd/>
                        </a:ln>
                      </wps:spPr>
                      <wps:txbx>
                        <w:txbxContent>
                          <w:p w14:paraId="47D8C3E2" w14:textId="77777777" w:rsidR="000C2489" w:rsidRPr="00ED6A4F" w:rsidRDefault="000C2489" w:rsidP="000C2489">
                            <w:pPr>
                              <w:rPr>
                                <w:b/>
                                <w:bCs/>
                              </w:rPr>
                            </w:pPr>
                            <w:r>
                              <w:rPr>
                                <w:b/>
                              </w:rPr>
                              <w:t xml:space="preserve">Mesures requises : </w:t>
                            </w:r>
                          </w:p>
                          <w:p w14:paraId="61DF9A07" w14:textId="77777777" w:rsidR="000C2489" w:rsidRPr="00ED6A4F" w:rsidRDefault="000C2489" w:rsidP="000C2489">
                            <w:pPr>
                              <w:pStyle w:val="ColorfulList-Accent11"/>
                              <w:ind w:left="0"/>
                            </w:pPr>
                          </w:p>
                          <w:p w14:paraId="5A24F215" w14:textId="77777777" w:rsidR="00FE7B4F" w:rsidRPr="00ED6A4F" w:rsidRDefault="00FE7B4F" w:rsidP="00FE7B4F">
                            <w:pPr>
                              <w:rPr>
                                <w:rFonts w:asciiTheme="minorHAnsi" w:hAnsiTheme="minorHAnsi" w:cstheme="minorHAnsi"/>
                              </w:rPr>
                            </w:pPr>
                            <w:r>
                              <w:rPr>
                                <w:rFonts w:asciiTheme="minorHAnsi" w:hAnsiTheme="minorHAnsi"/>
                              </w:rPr>
                              <w:t>Le Comité permanent est invité à :</w:t>
                            </w:r>
                          </w:p>
                          <w:p w14:paraId="5667ECEA" w14:textId="77777777" w:rsidR="00FE7B4F" w:rsidRPr="00ED6A4F" w:rsidRDefault="00FE7B4F" w:rsidP="00FE7B4F">
                            <w:pPr>
                              <w:rPr>
                                <w:rFonts w:asciiTheme="minorHAnsi" w:hAnsiTheme="minorHAnsi" w:cstheme="minorHAnsi"/>
                              </w:rPr>
                            </w:pPr>
                          </w:p>
                          <w:p w14:paraId="6BF8AC50" w14:textId="313A5F4F" w:rsidR="00FE7B4F" w:rsidRPr="00ED6A4F" w:rsidRDefault="00FE7B4F" w:rsidP="00FE7B4F">
                            <w:pPr>
                              <w:rPr>
                                <w:rFonts w:asciiTheme="minorHAnsi" w:hAnsiTheme="minorHAnsi" w:cstheme="minorHAnsi"/>
                              </w:rPr>
                            </w:pPr>
                            <w:r>
                              <w:rPr>
                                <w:rFonts w:asciiTheme="minorHAnsi" w:hAnsiTheme="minorHAnsi"/>
                              </w:rPr>
                              <w:t>i.</w:t>
                            </w:r>
                            <w:r>
                              <w:rPr>
                                <w:rFonts w:asciiTheme="minorHAnsi" w:hAnsiTheme="minorHAnsi"/>
                              </w:rPr>
                              <w:tab/>
                              <w:t>prendre note de l</w:t>
                            </w:r>
                            <w:r w:rsidR="006332FA">
                              <w:rPr>
                                <w:rFonts w:asciiTheme="minorHAnsi" w:hAnsiTheme="minorHAnsi"/>
                              </w:rPr>
                              <w:t>’</w:t>
                            </w:r>
                            <w:r>
                              <w:rPr>
                                <w:rFonts w:asciiTheme="minorHAnsi" w:hAnsiTheme="minorHAnsi"/>
                              </w:rPr>
                              <w:t>état d</w:t>
                            </w:r>
                            <w:r w:rsidR="006332FA">
                              <w:rPr>
                                <w:rFonts w:asciiTheme="minorHAnsi" w:hAnsiTheme="minorHAnsi"/>
                              </w:rPr>
                              <w:t>’</w:t>
                            </w:r>
                            <w:r>
                              <w:rPr>
                                <w:rFonts w:asciiTheme="minorHAnsi" w:hAnsiTheme="minorHAnsi"/>
                              </w:rPr>
                              <w:t>avancement des travaux du Secrétariat visant à proposer un mécanisme d</w:t>
                            </w:r>
                            <w:r w:rsidR="006332FA">
                              <w:rPr>
                                <w:rFonts w:asciiTheme="minorHAnsi" w:hAnsiTheme="minorHAnsi"/>
                              </w:rPr>
                              <w:t>’</w:t>
                            </w:r>
                            <w:r>
                              <w:rPr>
                                <w:rFonts w:asciiTheme="minorHAnsi" w:hAnsiTheme="minorHAnsi"/>
                              </w:rPr>
                              <w:t>appui aux Parties contractantes pour la réalisation de leurs inventaires nationaux des zones humides ; et</w:t>
                            </w:r>
                          </w:p>
                          <w:p w14:paraId="3DF77B10" w14:textId="77777777" w:rsidR="00FE7B4F" w:rsidRPr="00ED6A4F" w:rsidRDefault="00FE7B4F" w:rsidP="00FE7B4F">
                            <w:pPr>
                              <w:rPr>
                                <w:rFonts w:asciiTheme="minorHAnsi" w:hAnsiTheme="minorHAnsi" w:cstheme="minorHAnsi"/>
                              </w:rPr>
                            </w:pPr>
                          </w:p>
                          <w:p w14:paraId="5A38F458" w14:textId="276722D5" w:rsidR="00FE7B4F" w:rsidRPr="00ED6A4F" w:rsidRDefault="00FE7B4F" w:rsidP="00FE7B4F">
                            <w:pPr>
                              <w:rPr>
                                <w:rFonts w:asciiTheme="minorHAnsi" w:hAnsiTheme="minorHAnsi" w:cstheme="minorHAnsi"/>
                              </w:rPr>
                            </w:pPr>
                            <w:r>
                              <w:rPr>
                                <w:rFonts w:asciiTheme="minorHAnsi" w:hAnsiTheme="minorHAnsi"/>
                              </w:rPr>
                              <w:t>ii.</w:t>
                            </w:r>
                            <w:r>
                              <w:rPr>
                                <w:rFonts w:asciiTheme="minorHAnsi" w:hAnsiTheme="minorHAnsi"/>
                              </w:rPr>
                              <w:tab/>
                              <w:t>demander au Secrétariat de mener des activités de collecte de fonds pour amplifier le développement du mécanisme d</w:t>
                            </w:r>
                            <w:r w:rsidR="006332FA">
                              <w:rPr>
                                <w:rFonts w:asciiTheme="minorHAnsi" w:hAnsiTheme="minorHAnsi"/>
                              </w:rPr>
                              <w:t>’</w:t>
                            </w:r>
                            <w:r>
                              <w:rPr>
                                <w:rFonts w:asciiTheme="minorHAnsi" w:hAnsiTheme="minorHAnsi"/>
                              </w:rPr>
                              <w:t>appui à la réalisation des inventaires nationaux des zones humides.</w:t>
                            </w:r>
                          </w:p>
                        </w:txbxContent>
                      </wps:txbx>
                      <wps:bodyPr rot="0" vert="horz" wrap="square" lIns="91440" tIns="45720" rIns="91440" bIns="45720" anchor="t" anchorCtr="0" upright="1">
                        <a:noAutofit/>
                      </wps:bodyPr>
                    </wps:wsp>
                  </a:graphicData>
                </a:graphic>
              </wp:inline>
            </w:drawing>
          </mc:Choice>
          <mc:Fallback>
            <w:pict>
              <v:shapetype w14:anchorId="39972923" id="_x0000_t202" coordsize="21600,21600" o:spt="202" path="m,l,21600r21600,l21600,xe">
                <v:stroke joinstyle="miter"/>
                <v:path gradientshapeok="t" o:connecttype="rect"/>
              </v:shapetype>
              <v:shape id="Text Box 1" o:spid="_x0000_s1026" type="#_x0000_t202" style="width:451.3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">
                <v:textbox>
                  <w:txbxContent>
                    <w:p w14:paraId="47D8C3E2" w14:textId="77777777" w:rsidR="000C2489" w:rsidRPr="00ED6A4F" w:rsidRDefault="000C2489" w:rsidP="000C2489">
                      <w:pPr>
                        <w:rPr>
                          <w:b/>
                          <w:bCs/>
                        </w:rPr>
                      </w:pPr>
                      <w:r>
                        <w:rPr>
                          <w:b/>
                        </w:rPr>
                        <w:t xml:space="preserve">Mesures requises : </w:t>
                      </w:r>
                    </w:p>
                    <w:p w14:paraId="61DF9A07" w14:textId="77777777" w:rsidR="000C2489" w:rsidRPr="00ED6A4F" w:rsidRDefault="000C2489" w:rsidP="000C2489">
                      <w:pPr>
                        <w:pStyle w:val="ColorfulList-Accent11"/>
                        <w:ind w:left="0"/>
                      </w:pPr>
                    </w:p>
                    <w:p w14:paraId="5A24F215" w14:textId="77777777" w:rsidR="00FE7B4F" w:rsidRPr="00ED6A4F" w:rsidRDefault="00FE7B4F" w:rsidP="00FE7B4F">
                      <w:pPr>
                        <w:rPr>
                          <w:rFonts w:asciiTheme="minorHAnsi" w:hAnsiTheme="minorHAnsi" w:cstheme="minorHAnsi"/>
                        </w:rPr>
                      </w:pPr>
                      <w:r>
                        <w:rPr>
                          <w:rFonts w:asciiTheme="minorHAnsi" w:hAnsiTheme="minorHAnsi"/>
                        </w:rPr>
                        <w:t>Le Comité permanent est invité à :</w:t>
                      </w:r>
                    </w:p>
                    <w:p w14:paraId="5667ECEA" w14:textId="77777777" w:rsidR="00FE7B4F" w:rsidRPr="00ED6A4F" w:rsidRDefault="00FE7B4F" w:rsidP="00FE7B4F">
                      <w:pPr>
                        <w:rPr>
                          <w:rFonts w:asciiTheme="minorHAnsi" w:hAnsiTheme="minorHAnsi" w:cstheme="minorHAnsi"/>
                        </w:rPr>
                      </w:pPr>
                    </w:p>
                    <w:p w14:paraId="6BF8AC50" w14:textId="313A5F4F" w:rsidR="00FE7B4F" w:rsidRPr="00ED6A4F" w:rsidRDefault="00FE7B4F" w:rsidP="00FE7B4F">
                      <w:pPr>
                        <w:rPr>
                          <w:rFonts w:asciiTheme="minorHAnsi" w:hAnsiTheme="minorHAnsi" w:cstheme="minorHAnsi"/>
                        </w:rPr>
                      </w:pPr>
                      <w:r>
                        <w:rPr>
                          <w:rFonts w:asciiTheme="minorHAnsi" w:hAnsiTheme="minorHAnsi"/>
                        </w:rPr>
                        <w:t>i.</w:t>
                      </w:r>
                      <w:r>
                        <w:rPr>
                          <w:rFonts w:asciiTheme="minorHAnsi" w:hAnsiTheme="minorHAnsi"/>
                        </w:rPr>
                        <w:tab/>
                        <w:t>prendre note de l</w:t>
                      </w:r>
                      <w:r w:rsidR="006332FA">
                        <w:rPr>
                          <w:rFonts w:asciiTheme="minorHAnsi" w:hAnsiTheme="minorHAnsi"/>
                        </w:rPr>
                        <w:t>’</w:t>
                      </w:r>
                      <w:r>
                        <w:rPr>
                          <w:rFonts w:asciiTheme="minorHAnsi" w:hAnsiTheme="minorHAnsi"/>
                        </w:rPr>
                        <w:t>état d</w:t>
                      </w:r>
                      <w:r w:rsidR="006332FA">
                        <w:rPr>
                          <w:rFonts w:asciiTheme="minorHAnsi" w:hAnsiTheme="minorHAnsi"/>
                        </w:rPr>
                        <w:t>’</w:t>
                      </w:r>
                      <w:r>
                        <w:rPr>
                          <w:rFonts w:asciiTheme="minorHAnsi" w:hAnsiTheme="minorHAnsi"/>
                        </w:rPr>
                        <w:t>avancement des travaux du Secrétariat visant à proposer un mécanisme d</w:t>
                      </w:r>
                      <w:r w:rsidR="006332FA">
                        <w:rPr>
                          <w:rFonts w:asciiTheme="minorHAnsi" w:hAnsiTheme="minorHAnsi"/>
                        </w:rPr>
                        <w:t>’</w:t>
                      </w:r>
                      <w:r>
                        <w:rPr>
                          <w:rFonts w:asciiTheme="minorHAnsi" w:hAnsiTheme="minorHAnsi"/>
                        </w:rPr>
                        <w:t>appui aux Parties contractantes pour la réalisation de leurs inventaires nationaux des zones humides ; et</w:t>
                      </w:r>
                    </w:p>
                    <w:p w14:paraId="3DF77B10" w14:textId="77777777" w:rsidR="00FE7B4F" w:rsidRPr="00ED6A4F" w:rsidRDefault="00FE7B4F" w:rsidP="00FE7B4F">
                      <w:pPr>
                        <w:rPr>
                          <w:rFonts w:asciiTheme="minorHAnsi" w:hAnsiTheme="minorHAnsi" w:cstheme="minorHAnsi"/>
                        </w:rPr>
                      </w:pPr>
                    </w:p>
                    <w:p w14:paraId="5A38F458" w14:textId="276722D5" w:rsidR="00FE7B4F" w:rsidRPr="00ED6A4F" w:rsidRDefault="00FE7B4F" w:rsidP="00FE7B4F">
                      <w:pPr>
                        <w:rPr>
                          <w:rFonts w:asciiTheme="minorHAnsi" w:hAnsiTheme="minorHAnsi" w:cstheme="minorHAnsi"/>
                        </w:rPr>
                      </w:pPr>
                      <w:r>
                        <w:rPr>
                          <w:rFonts w:asciiTheme="minorHAnsi" w:hAnsiTheme="minorHAnsi"/>
                        </w:rPr>
                        <w:t>ii.</w:t>
                      </w:r>
                      <w:r>
                        <w:rPr>
                          <w:rFonts w:asciiTheme="minorHAnsi" w:hAnsiTheme="minorHAnsi"/>
                        </w:rPr>
                        <w:tab/>
                        <w:t>demander au Secrétariat de mener des activités de collecte de fonds pour amplifier le développement du mécanisme d</w:t>
                      </w:r>
                      <w:r w:rsidR="006332FA">
                        <w:rPr>
                          <w:rFonts w:asciiTheme="minorHAnsi" w:hAnsiTheme="minorHAnsi"/>
                        </w:rPr>
                        <w:t>’</w:t>
                      </w:r>
                      <w:r>
                        <w:rPr>
                          <w:rFonts w:asciiTheme="minorHAnsi" w:hAnsiTheme="minorHAnsi"/>
                        </w:rPr>
                        <w:t>appui à la réalisation des inventaires nationaux des zones humides.</w:t>
                      </w:r>
                    </w:p>
                  </w:txbxContent>
                </v:textbox>
                <w10:anchorlock/>
              </v:shape>
            </w:pict>
          </mc:Fallback>
        </mc:AlternateContent>
      </w:r>
    </w:p>
    <w:p w14:paraId="5D118FB5" w14:textId="77777777" w:rsidR="009E0AE8" w:rsidRPr="00ED6A4F" w:rsidRDefault="009E0AE8" w:rsidP="00014168">
      <w:pPr>
        <w:rPr>
          <w:rFonts w:cs="Arial"/>
          <w:b/>
        </w:rPr>
      </w:pPr>
    </w:p>
    <w:p w14:paraId="05C2EE3F" w14:textId="77777777" w:rsidR="009E0AE8" w:rsidRPr="00ED6A4F" w:rsidRDefault="009E0AE8" w:rsidP="00014168">
      <w:pPr>
        <w:rPr>
          <w:rFonts w:cs="Arial"/>
          <w:b/>
        </w:rPr>
      </w:pPr>
    </w:p>
    <w:p w14:paraId="223A920C" w14:textId="77777777" w:rsidR="007B5F8E" w:rsidRPr="00ED6A4F" w:rsidRDefault="007B5F8E" w:rsidP="007B5F8E">
      <w:pPr>
        <w:rPr>
          <w:b/>
        </w:rPr>
      </w:pPr>
      <w:r>
        <w:rPr>
          <w:b/>
        </w:rPr>
        <w:t xml:space="preserve">Contexte </w:t>
      </w:r>
    </w:p>
    <w:p w14:paraId="3C01A1D0" w14:textId="77777777" w:rsidR="007B5F8E" w:rsidRPr="00ED6A4F" w:rsidRDefault="007B5F8E" w:rsidP="007B5F8E">
      <w:pPr>
        <w:rPr>
          <w:b/>
        </w:rPr>
      </w:pPr>
    </w:p>
    <w:p w14:paraId="25A97F08" w14:textId="79725511" w:rsidR="002C73B8" w:rsidRPr="00ED6A4F" w:rsidRDefault="038F3BC9" w:rsidP="038F3BC9">
      <w:pPr>
        <w:pStyle w:val="ListParagraph"/>
        <w:numPr>
          <w:ilvl w:val="0"/>
          <w:numId w:val="30"/>
        </w:numPr>
        <w:autoSpaceDE w:val="0"/>
        <w:autoSpaceDN w:val="0"/>
        <w:adjustRightInd w:val="0"/>
        <w:ind w:left="426" w:hanging="426"/>
        <w:rPr>
          <w:rFonts w:asciiTheme="minorHAnsi" w:hAnsiTheme="minorHAnsi" w:cstheme="minorBidi"/>
        </w:rPr>
      </w:pPr>
      <w:r>
        <w:rPr>
          <w:rFonts w:asciiTheme="minorHAnsi" w:hAnsiTheme="minorHAnsi"/>
        </w:rPr>
        <w:t>Depuis le premier Plan stratégique de la Convention pour la période 1997-2002, les Parties contractantes ont fait de l</w:t>
      </w:r>
      <w:r w:rsidR="006332FA">
        <w:rPr>
          <w:rFonts w:asciiTheme="minorHAnsi" w:hAnsiTheme="minorHAnsi"/>
        </w:rPr>
        <w:t>’</w:t>
      </w:r>
      <w:r>
        <w:rPr>
          <w:rFonts w:asciiTheme="minorHAnsi" w:hAnsiTheme="minorHAnsi"/>
        </w:rPr>
        <w:t>amélioration de l</w:t>
      </w:r>
      <w:r w:rsidR="006332FA">
        <w:rPr>
          <w:rFonts w:asciiTheme="minorHAnsi" w:hAnsiTheme="minorHAnsi"/>
        </w:rPr>
        <w:t>’</w:t>
      </w:r>
      <w:r>
        <w:rPr>
          <w:rFonts w:asciiTheme="minorHAnsi" w:hAnsiTheme="minorHAnsi"/>
        </w:rPr>
        <w:t>application des dispositions de la Convention relatives aux inventaires de toutes les zones humides un domaine d</w:t>
      </w:r>
      <w:r w:rsidR="006332FA">
        <w:rPr>
          <w:rFonts w:asciiTheme="minorHAnsi" w:hAnsiTheme="minorHAnsi"/>
        </w:rPr>
        <w:t>’</w:t>
      </w:r>
      <w:r>
        <w:rPr>
          <w:rFonts w:asciiTheme="minorHAnsi" w:hAnsiTheme="minorHAnsi"/>
        </w:rPr>
        <w:t>action prioritaire. Le quatrième Plan stratégique 2016-2024 comprend un objectif spécifique sur les inventaires nationaux des zones humides (INZH), à savoir l</w:t>
      </w:r>
      <w:r w:rsidR="006332FA">
        <w:rPr>
          <w:rFonts w:asciiTheme="minorHAnsi" w:hAnsiTheme="minorHAnsi"/>
        </w:rPr>
        <w:t>’</w:t>
      </w:r>
      <w:r>
        <w:rPr>
          <w:rFonts w:asciiTheme="minorHAnsi" w:hAnsiTheme="minorHAnsi"/>
        </w:rPr>
        <w:t>Objectif 8 « Les inventaires nationaux des zones humides sont commencés, terminés ou mis à jour, et diffusés et utilisés pour promouvoir la conservation et la gestion efficace de toutes les zones humides », au titre du But 3 « Utiliser toutes les zones humides de façon rationnelle ».</w:t>
      </w:r>
    </w:p>
    <w:p w14:paraId="727B20E8" w14:textId="77777777" w:rsidR="001338FC" w:rsidRPr="00ED6A4F" w:rsidRDefault="001338FC" w:rsidP="001338FC">
      <w:pPr>
        <w:pStyle w:val="ListParagraph"/>
        <w:autoSpaceDE w:val="0"/>
        <w:autoSpaceDN w:val="0"/>
        <w:adjustRightInd w:val="0"/>
        <w:ind w:left="426" w:firstLine="0"/>
        <w:rPr>
          <w:rFonts w:asciiTheme="minorHAnsi" w:hAnsiTheme="minorHAnsi" w:cstheme="minorHAnsi"/>
        </w:rPr>
      </w:pPr>
    </w:p>
    <w:p w14:paraId="78AA5DA9" w14:textId="01E2F446" w:rsidR="00085890" w:rsidRDefault="00E11618" w:rsidP="038F3BC9">
      <w:pPr>
        <w:pStyle w:val="ListParagraph"/>
        <w:numPr>
          <w:ilvl w:val="0"/>
          <w:numId w:val="30"/>
        </w:numPr>
        <w:autoSpaceDE w:val="0"/>
        <w:autoSpaceDN w:val="0"/>
        <w:adjustRightInd w:val="0"/>
        <w:ind w:left="426" w:hanging="426"/>
        <w:rPr>
          <w:rFonts w:asciiTheme="minorHAnsi" w:hAnsiTheme="minorHAnsi" w:cstheme="minorBidi"/>
        </w:rPr>
      </w:pPr>
      <w:r>
        <w:rPr>
          <w:rFonts w:asciiTheme="minorHAnsi" w:hAnsiTheme="minorHAnsi"/>
        </w:rPr>
        <w:t>Depuis 2017, la Convention sur les zones humides, conjointement au PNUE, est co-dépositaire de l</w:t>
      </w:r>
      <w:r w:rsidR="006332FA">
        <w:rPr>
          <w:rFonts w:asciiTheme="minorHAnsi" w:hAnsiTheme="minorHAnsi"/>
        </w:rPr>
        <w:t>’</w:t>
      </w:r>
      <w:r>
        <w:rPr>
          <w:rFonts w:asciiTheme="minorHAnsi" w:hAnsiTheme="minorHAnsi"/>
        </w:rPr>
        <w:t>Indicateur 6.6.1 « Variation de l</w:t>
      </w:r>
      <w:r w:rsidR="006332FA">
        <w:rPr>
          <w:rFonts w:asciiTheme="minorHAnsi" w:hAnsiTheme="minorHAnsi"/>
        </w:rPr>
        <w:t>’</w:t>
      </w:r>
      <w:r>
        <w:rPr>
          <w:rFonts w:asciiTheme="minorHAnsi" w:hAnsiTheme="minorHAnsi"/>
        </w:rPr>
        <w:t>étendue des écosystèmes tributaires de l</w:t>
      </w:r>
      <w:r w:rsidR="006332FA">
        <w:rPr>
          <w:rFonts w:asciiTheme="minorHAnsi" w:hAnsiTheme="minorHAnsi"/>
        </w:rPr>
        <w:t>’</w:t>
      </w:r>
      <w:r>
        <w:rPr>
          <w:rFonts w:asciiTheme="minorHAnsi" w:hAnsiTheme="minorHAnsi"/>
        </w:rPr>
        <w:t xml:space="preserve">eau ». </w:t>
      </w:r>
      <w:r w:rsidRPr="006332FA">
        <w:t xml:space="preserve">La mesure de cet Indicateur </w:t>
      </w:r>
      <w:r w:rsidR="005A4DA7">
        <w:t>basée</w:t>
      </w:r>
      <w:r w:rsidR="00B11A4E" w:rsidRPr="006332FA">
        <w:t xml:space="preserve"> </w:t>
      </w:r>
      <w:r w:rsidRPr="006332FA">
        <w:t>sur les Rapports nationaux présentés à la Convention et sur les INZH nécessite des données interopérables fondées sur des normes communes, notamment la définition des zones humides de la Convention et son Système de classification des</w:t>
      </w:r>
      <w:r w:rsidR="00137C03" w:rsidRPr="006332FA">
        <w:t xml:space="preserve"> types de</w:t>
      </w:r>
      <w:r w:rsidRPr="006332FA">
        <w:t xml:space="preserve"> zones humides.</w:t>
      </w:r>
      <w:r>
        <w:rPr>
          <w:rFonts w:asciiTheme="minorHAnsi" w:hAnsiTheme="minorHAnsi"/>
        </w:rPr>
        <w:t xml:space="preserve"> Cela complète les données du PNUE</w:t>
      </w:r>
      <w:r w:rsidR="0019088C" w:rsidRPr="038F3BC9">
        <w:rPr>
          <w:rStyle w:val="FootnoteReference"/>
          <w:rFonts w:asciiTheme="minorHAnsi" w:hAnsiTheme="minorHAnsi" w:cstheme="minorBidi"/>
        </w:rPr>
        <w:footnoteReference w:id="2"/>
      </w:r>
      <w:r>
        <w:rPr>
          <w:rFonts w:asciiTheme="minorHAnsi" w:hAnsiTheme="minorHAnsi"/>
        </w:rPr>
        <w:t>.</w:t>
      </w:r>
    </w:p>
    <w:p w14:paraId="3AD8267D" w14:textId="77777777" w:rsidR="00205321" w:rsidRPr="00ED6A4F" w:rsidRDefault="00205321" w:rsidP="00205321">
      <w:pPr>
        <w:pStyle w:val="ListParagraph"/>
        <w:autoSpaceDE w:val="0"/>
        <w:autoSpaceDN w:val="0"/>
        <w:adjustRightInd w:val="0"/>
        <w:ind w:left="426" w:firstLine="0"/>
        <w:rPr>
          <w:rFonts w:asciiTheme="minorHAnsi" w:hAnsiTheme="minorHAnsi" w:cstheme="minorHAnsi"/>
        </w:rPr>
      </w:pPr>
    </w:p>
    <w:p w14:paraId="11495A43" w14:textId="70E63698" w:rsidR="00161CC3" w:rsidRDefault="00913EA8" w:rsidP="00161CC3">
      <w:pPr>
        <w:pStyle w:val="ListParagraph"/>
        <w:numPr>
          <w:ilvl w:val="0"/>
          <w:numId w:val="30"/>
        </w:numPr>
        <w:autoSpaceDE w:val="0"/>
        <w:autoSpaceDN w:val="0"/>
        <w:adjustRightInd w:val="0"/>
        <w:ind w:left="426" w:hanging="426"/>
        <w:rPr>
          <w:rFonts w:asciiTheme="minorHAnsi" w:hAnsiTheme="minorHAnsi" w:cstheme="minorBidi"/>
        </w:rPr>
      </w:pPr>
      <w:r>
        <w:lastRenderedPageBreak/>
        <w:t>Toutefois, les progrès réalisés en matière d</w:t>
      </w:r>
      <w:r w:rsidR="006332FA">
        <w:t>’</w:t>
      </w:r>
      <w:r>
        <w:t>INZH restent limités. Parmi les Parties contractantes ayant présenté un rapport à la COP14, seuls 46 % avaient achevé leur inventaire et 52 % ont communiqué des données sur l</w:t>
      </w:r>
      <w:r w:rsidR="006332FA">
        <w:t>’</w:t>
      </w:r>
      <w:r>
        <w:t>étendue des zones humides (indicateur 6.6.1 des ODD).</w:t>
      </w:r>
    </w:p>
    <w:p w14:paraId="46186F71" w14:textId="77777777" w:rsidR="00161CC3" w:rsidRDefault="00161CC3" w:rsidP="00161CC3">
      <w:pPr>
        <w:pStyle w:val="ListParagraph"/>
        <w:autoSpaceDE w:val="0"/>
        <w:autoSpaceDN w:val="0"/>
        <w:adjustRightInd w:val="0"/>
        <w:ind w:left="426" w:firstLine="0"/>
        <w:rPr>
          <w:rFonts w:asciiTheme="minorHAnsi" w:hAnsiTheme="minorHAnsi" w:cstheme="minorBidi"/>
        </w:rPr>
      </w:pPr>
    </w:p>
    <w:p w14:paraId="3278173F" w14:textId="741A83B7" w:rsidR="00BF1D68" w:rsidRPr="00054679" w:rsidRDefault="003752D3" w:rsidP="00054679">
      <w:pPr>
        <w:pStyle w:val="ListParagraph"/>
        <w:numPr>
          <w:ilvl w:val="0"/>
          <w:numId w:val="30"/>
        </w:numPr>
        <w:autoSpaceDE w:val="0"/>
        <w:autoSpaceDN w:val="0"/>
        <w:adjustRightInd w:val="0"/>
        <w:ind w:left="426" w:hanging="426"/>
        <w:rPr>
          <w:rFonts w:asciiTheme="minorHAnsi" w:hAnsiTheme="minorHAnsi" w:cstheme="minorBidi"/>
        </w:rPr>
      </w:pPr>
      <w:r>
        <w:t xml:space="preserve">Le paragraphe 49 de la Résolution XIV.6 </w:t>
      </w:r>
      <w:r>
        <w:rPr>
          <w:i/>
          <w:iCs/>
        </w:rPr>
        <w:t>Renforcer la visibilité de la Convention et les synergies avec d</w:t>
      </w:r>
      <w:r w:rsidR="006332FA">
        <w:rPr>
          <w:i/>
          <w:iCs/>
        </w:rPr>
        <w:t>’</w:t>
      </w:r>
      <w:r>
        <w:rPr>
          <w:i/>
          <w:iCs/>
        </w:rPr>
        <w:t>autres accords multilatéraux sur l</w:t>
      </w:r>
      <w:r w:rsidR="006332FA">
        <w:rPr>
          <w:i/>
          <w:iCs/>
        </w:rPr>
        <w:t>’</w:t>
      </w:r>
      <w:r>
        <w:rPr>
          <w:i/>
          <w:iCs/>
        </w:rPr>
        <w:t>environnement et institutions internationales</w:t>
      </w:r>
      <w:r>
        <w:t xml:space="preserve"> encourage les Parties contractantes à redoubler d</w:t>
      </w:r>
      <w:r w:rsidR="006332FA">
        <w:t>’</w:t>
      </w:r>
      <w:r>
        <w:t>efforts pour réaliser leurs inventaires nationaux des zones humides et à faire rapport sur l</w:t>
      </w:r>
      <w:r w:rsidR="006332FA">
        <w:t>’</w:t>
      </w:r>
      <w:r>
        <w:t>indicateur 6.6.1 des ODD sur l</w:t>
      </w:r>
      <w:r w:rsidR="006332FA">
        <w:t>’</w:t>
      </w:r>
      <w:r>
        <w:t>étendue des zones humides ; et demande au Secrétariat de poursuivre la collaboration avec les Parties contractantes pour les épauler activement dans leurs efforts.</w:t>
      </w:r>
      <w:r>
        <w:rPr>
          <w:rFonts w:asciiTheme="minorHAnsi" w:hAnsiTheme="minorHAnsi"/>
        </w:rPr>
        <w:t xml:space="preserve"> </w:t>
      </w:r>
      <w:r>
        <w:t>Cette même Résolution rappelle également aux Parties contractantes l</w:t>
      </w:r>
      <w:r w:rsidR="006332FA">
        <w:t>’</w:t>
      </w:r>
      <w:r>
        <w:t>importance de promouvoir les synergies au niveau national et de renforcer la coopération, la coordination et les synergies entre les AME et d</w:t>
      </w:r>
      <w:r w:rsidR="006332FA">
        <w:t>’</w:t>
      </w:r>
      <w:r>
        <w:t>autres partenaires, comme moyen d</w:t>
      </w:r>
      <w:r w:rsidR="006332FA">
        <w:t>’</w:t>
      </w:r>
      <w:r>
        <w:t>améliorer l</w:t>
      </w:r>
      <w:r w:rsidR="006332FA">
        <w:t>’</w:t>
      </w:r>
      <w:r>
        <w:t>application nationale cohérente de la Convention, pour favoriser la réalisation des buts et objectifs liés aux zones humides énoncés dans le Programme à l</w:t>
      </w:r>
      <w:r w:rsidR="006332FA">
        <w:t>’</w:t>
      </w:r>
      <w:r>
        <w:t xml:space="preserve">horizon 2030 et le Cadre mondial de la biodiversité. </w:t>
      </w:r>
    </w:p>
    <w:p w14:paraId="44209385" w14:textId="77777777" w:rsidR="00085890" w:rsidRPr="00ED6A4F" w:rsidRDefault="00085890" w:rsidP="00085890">
      <w:pPr>
        <w:pStyle w:val="ListParagraph"/>
        <w:autoSpaceDE w:val="0"/>
        <w:autoSpaceDN w:val="0"/>
        <w:adjustRightInd w:val="0"/>
        <w:ind w:left="426" w:firstLine="0"/>
        <w:rPr>
          <w:rFonts w:asciiTheme="minorHAnsi" w:hAnsiTheme="minorHAnsi" w:cstheme="minorHAnsi"/>
        </w:rPr>
      </w:pPr>
    </w:p>
    <w:p w14:paraId="30C821AB" w14:textId="45371D38" w:rsidR="00973340" w:rsidRPr="00CD6968" w:rsidRDefault="004C368F" w:rsidP="001E067F">
      <w:pPr>
        <w:pStyle w:val="ListParagraph"/>
        <w:numPr>
          <w:ilvl w:val="0"/>
          <w:numId w:val="30"/>
        </w:numPr>
        <w:autoSpaceDE w:val="0"/>
        <w:autoSpaceDN w:val="0"/>
        <w:adjustRightInd w:val="0"/>
        <w:ind w:left="426" w:hanging="426"/>
        <w:rPr>
          <w:rFonts w:asciiTheme="minorHAnsi" w:hAnsiTheme="minorHAnsi" w:cstheme="minorBidi"/>
        </w:rPr>
      </w:pPr>
      <w:r>
        <w:t xml:space="preserve">Au paragraphe 16 de la Résolution XIV.16, la Conférence des Parties contractantes recommande que les Parties dressent des inventaires nationaux systématiques des zones humides, en ayant recours à la </w:t>
      </w:r>
      <w:r>
        <w:rPr>
          <w:i/>
          <w:iCs/>
        </w:rPr>
        <w:t>Nouvelle trousse d</w:t>
      </w:r>
      <w:r w:rsidR="006332FA">
        <w:rPr>
          <w:i/>
          <w:iCs/>
        </w:rPr>
        <w:t>’</w:t>
      </w:r>
      <w:r>
        <w:rPr>
          <w:i/>
          <w:iCs/>
        </w:rPr>
        <w:t>outils pour l</w:t>
      </w:r>
      <w:r w:rsidR="006332FA">
        <w:rPr>
          <w:i/>
          <w:iCs/>
        </w:rPr>
        <w:t>’</w:t>
      </w:r>
      <w:r>
        <w:rPr>
          <w:i/>
          <w:iCs/>
        </w:rPr>
        <w:t>inventaire national des zones humides</w:t>
      </w:r>
      <w:r>
        <w:t xml:space="preserve"> de 2020. Elle recommande également que les Parties évaluent l</w:t>
      </w:r>
      <w:r w:rsidR="006332FA">
        <w:t>’</w:t>
      </w:r>
      <w:r>
        <w:t>état et l</w:t>
      </w:r>
      <w:r w:rsidR="006332FA">
        <w:t>’</w:t>
      </w:r>
      <w:r>
        <w:t xml:space="preserve">évolution des zones humides, analysent les besoins nationaux et les lacunes relatifs à leur conservation, </w:t>
      </w:r>
      <w:r w:rsidR="00DD6AEB">
        <w:t xml:space="preserve">et </w:t>
      </w:r>
      <w:r>
        <w:t xml:space="preserve">élaborent une planification intégrée, systématique et adaptative pour la conservation et la restauration. </w:t>
      </w:r>
    </w:p>
    <w:p w14:paraId="08C07A7C" w14:textId="77777777" w:rsidR="00816BF7" w:rsidRPr="001E067F" w:rsidRDefault="00816BF7" w:rsidP="00BB0E97">
      <w:pPr>
        <w:pStyle w:val="ListParagraph"/>
        <w:autoSpaceDE w:val="0"/>
        <w:autoSpaceDN w:val="0"/>
        <w:adjustRightInd w:val="0"/>
        <w:ind w:left="426" w:firstLine="0"/>
        <w:rPr>
          <w:rFonts w:asciiTheme="minorHAnsi" w:hAnsiTheme="minorHAnsi" w:cstheme="minorHAnsi"/>
        </w:rPr>
      </w:pPr>
    </w:p>
    <w:p w14:paraId="5B27A6F6" w14:textId="6E68B785" w:rsidR="00907958" w:rsidRPr="00ED6A4F" w:rsidRDefault="00A35E4A" w:rsidP="00907958">
      <w:pPr>
        <w:pStyle w:val="ListParagraph"/>
        <w:numPr>
          <w:ilvl w:val="0"/>
          <w:numId w:val="30"/>
        </w:numPr>
        <w:autoSpaceDE w:val="0"/>
        <w:autoSpaceDN w:val="0"/>
        <w:adjustRightInd w:val="0"/>
        <w:ind w:left="426" w:hanging="426"/>
        <w:rPr>
          <w:rFonts w:asciiTheme="minorHAnsi" w:hAnsiTheme="minorHAnsi" w:cstheme="minorHAnsi"/>
        </w:rPr>
      </w:pPr>
      <w:r>
        <w:rPr>
          <w:rFonts w:asciiTheme="minorHAnsi" w:hAnsiTheme="minorHAnsi"/>
        </w:rPr>
        <w:t>À sa 62</w:t>
      </w:r>
      <w:r>
        <w:rPr>
          <w:rFonts w:asciiTheme="minorHAnsi" w:hAnsiTheme="minorHAnsi"/>
          <w:vertAlign w:val="superscript"/>
        </w:rPr>
        <w:t>e</w:t>
      </w:r>
      <w:r>
        <w:rPr>
          <w:rFonts w:asciiTheme="minorHAnsi" w:hAnsiTheme="minorHAnsi"/>
        </w:rPr>
        <w:t> réunion, le Comité permanent, dans la Décision SC62-34, a pris note de l</w:t>
      </w:r>
      <w:r w:rsidR="006332FA">
        <w:rPr>
          <w:rFonts w:asciiTheme="minorHAnsi" w:hAnsiTheme="minorHAnsi"/>
        </w:rPr>
        <w:t>’</w:t>
      </w:r>
      <w:r>
        <w:rPr>
          <w:rFonts w:asciiTheme="minorHAnsi" w:hAnsiTheme="minorHAnsi"/>
        </w:rPr>
        <w:t>approche proposée par le Secrétariat pour combler ces lacunes au moyen de cinq axes de travail présentés au paragraphe 15 du document SC62 Doc.9 :</w:t>
      </w:r>
    </w:p>
    <w:p w14:paraId="1B3D02E3" w14:textId="425562C6" w:rsidR="00076C43" w:rsidRPr="00ED6A4F" w:rsidRDefault="0014028B" w:rsidP="00702FBA">
      <w:pPr>
        <w:ind w:left="850"/>
        <w:rPr>
          <w:rFonts w:cs="Arial"/>
        </w:rPr>
      </w:pPr>
      <w:r>
        <w:t>a.</w:t>
      </w:r>
      <w:r>
        <w:tab/>
        <w:t>un recensement plus précis des besoins spécifiques ou des principales entraves auxquelles se heurtent les Parties contractantes s</w:t>
      </w:r>
      <w:r w:rsidR="006332FA">
        <w:t>’</w:t>
      </w:r>
      <w:r>
        <w:t>agissant des inventaires des zones humides ;</w:t>
      </w:r>
    </w:p>
    <w:p w14:paraId="0EA477F0" w14:textId="60BB30B3" w:rsidR="00D87099" w:rsidRPr="00ED6A4F" w:rsidRDefault="0014028B" w:rsidP="00702FBA">
      <w:pPr>
        <w:ind w:left="850"/>
        <w:rPr>
          <w:rFonts w:cs="Arial"/>
        </w:rPr>
      </w:pPr>
      <w:r>
        <w:t>b.</w:t>
      </w:r>
      <w:r>
        <w:tab/>
        <w:t>l</w:t>
      </w:r>
      <w:r w:rsidR="006332FA">
        <w:t>’</w:t>
      </w:r>
      <w:r>
        <w:t>élaboration de nouvelles orientations ;</w:t>
      </w:r>
    </w:p>
    <w:p w14:paraId="5699F1E0" w14:textId="580D2647" w:rsidR="00424E44" w:rsidRPr="00ED6A4F" w:rsidRDefault="0014028B" w:rsidP="00702FBA">
      <w:pPr>
        <w:ind w:left="850"/>
        <w:rPr>
          <w:rFonts w:cs="Arial"/>
        </w:rPr>
      </w:pPr>
      <w:r>
        <w:t>c.</w:t>
      </w:r>
      <w:r>
        <w:tab/>
        <w:t xml:space="preserve">un renforcement des capacités, </w:t>
      </w:r>
      <w:r w:rsidR="008D6648">
        <w:t>au moyen</w:t>
      </w:r>
      <w:r w:rsidR="00400EB1">
        <w:t xml:space="preserve"> de </w:t>
      </w:r>
      <w:r>
        <w:t>formations et de supports pédagogiques ;</w:t>
      </w:r>
    </w:p>
    <w:p w14:paraId="6AE10759" w14:textId="059E4230" w:rsidR="00424E44" w:rsidRPr="00ED6A4F" w:rsidRDefault="0014028B" w:rsidP="00702FBA">
      <w:pPr>
        <w:ind w:left="850"/>
        <w:rPr>
          <w:rFonts w:cs="Arial"/>
        </w:rPr>
      </w:pPr>
      <w:r>
        <w:t>d.</w:t>
      </w:r>
      <w:r>
        <w:tab/>
        <w:t>un appui à la mise en œuvre, notamment des partenariats institutionnels ; et</w:t>
      </w:r>
    </w:p>
    <w:p w14:paraId="55E3CD87" w14:textId="77777777" w:rsidR="00907958" w:rsidRPr="00ED6A4F" w:rsidRDefault="0014028B" w:rsidP="00702FBA">
      <w:pPr>
        <w:ind w:left="850"/>
        <w:rPr>
          <w:rFonts w:cs="Arial"/>
        </w:rPr>
      </w:pPr>
      <w:r>
        <w:t>e.</w:t>
      </w:r>
      <w:r>
        <w:tab/>
        <w:t>la mobilisation des ressources.</w:t>
      </w:r>
    </w:p>
    <w:p w14:paraId="1F5098F9" w14:textId="77777777" w:rsidR="00816BF7" w:rsidRPr="00ED6A4F" w:rsidRDefault="00816BF7" w:rsidP="00B472B9">
      <w:pPr>
        <w:pStyle w:val="ListParagraph"/>
        <w:autoSpaceDE w:val="0"/>
        <w:autoSpaceDN w:val="0"/>
        <w:adjustRightInd w:val="0"/>
        <w:ind w:left="993" w:firstLine="0"/>
        <w:rPr>
          <w:rFonts w:asciiTheme="minorHAnsi" w:hAnsiTheme="minorHAnsi" w:cstheme="minorHAnsi"/>
        </w:rPr>
      </w:pPr>
    </w:p>
    <w:p w14:paraId="720955A1" w14:textId="2FE61EB2" w:rsidR="000F071D" w:rsidRDefault="00816BF7" w:rsidP="00EB2187">
      <w:pPr>
        <w:pStyle w:val="ListParagraph"/>
        <w:numPr>
          <w:ilvl w:val="0"/>
          <w:numId w:val="30"/>
        </w:numPr>
        <w:autoSpaceDE w:val="0"/>
        <w:autoSpaceDN w:val="0"/>
        <w:adjustRightInd w:val="0"/>
        <w:ind w:left="426" w:hanging="426"/>
        <w:rPr>
          <w:rFonts w:asciiTheme="minorHAnsi" w:hAnsiTheme="minorHAnsi" w:cstheme="minorHAnsi"/>
        </w:rPr>
      </w:pPr>
      <w:r>
        <w:rPr>
          <w:rFonts w:asciiTheme="minorHAnsi" w:hAnsiTheme="minorHAnsi"/>
        </w:rPr>
        <w:t>Les discussions tenues au cours de la 62</w:t>
      </w:r>
      <w:r>
        <w:rPr>
          <w:rFonts w:asciiTheme="minorHAnsi" w:hAnsiTheme="minorHAnsi"/>
          <w:vertAlign w:val="superscript"/>
        </w:rPr>
        <w:t>e</w:t>
      </w:r>
      <w:r>
        <w:rPr>
          <w:rFonts w:asciiTheme="minorHAnsi" w:hAnsiTheme="minorHAnsi"/>
        </w:rPr>
        <w:t> réunion du Comité permanent ont notamment porté sur les besoins financiers et de renforcement des capacités des pays qui ne disposent pas d</w:t>
      </w:r>
      <w:r w:rsidR="006332FA">
        <w:rPr>
          <w:rFonts w:asciiTheme="minorHAnsi" w:hAnsiTheme="minorHAnsi"/>
        </w:rPr>
        <w:t>’</w:t>
      </w:r>
      <w:r>
        <w:rPr>
          <w:rFonts w:asciiTheme="minorHAnsi" w:hAnsiTheme="minorHAnsi"/>
        </w:rPr>
        <w:t xml:space="preserve">un INZH complet. </w:t>
      </w:r>
      <w:r>
        <w:t>Les Parties contractantes ont proposé d</w:t>
      </w:r>
      <w:r w:rsidR="006332FA">
        <w:t>’</w:t>
      </w:r>
      <w:r>
        <w:t>autres évolutions, telles que l</w:t>
      </w:r>
      <w:r w:rsidR="006332FA">
        <w:t>’</w:t>
      </w:r>
      <w:r>
        <w:t>établissement d</w:t>
      </w:r>
      <w:r w:rsidR="006332FA">
        <w:t>’</w:t>
      </w:r>
      <w:r>
        <w:t>une feuille de route et d</w:t>
      </w:r>
      <w:r w:rsidR="006332FA">
        <w:t>’</w:t>
      </w:r>
      <w:r>
        <w:t>un plan de travail pour soutenir les activités des Parties, ainsi qu</w:t>
      </w:r>
      <w:r w:rsidR="006332FA">
        <w:t>’</w:t>
      </w:r>
      <w:r>
        <w:t>un soutien régional accru pour l</w:t>
      </w:r>
      <w:r w:rsidR="006332FA">
        <w:t>’</w:t>
      </w:r>
      <w:r>
        <w:t>élaboration d</w:t>
      </w:r>
      <w:r w:rsidR="006332FA">
        <w:t>’</w:t>
      </w:r>
      <w:r>
        <w:t>INZH, notamment des activités de renforcement des capacités et de création de partenariats. Elles ont également préconisé l</w:t>
      </w:r>
      <w:r w:rsidR="006332FA">
        <w:t>’</w:t>
      </w:r>
      <w:r>
        <w:t>élaboration de lignes directrices sur l</w:t>
      </w:r>
      <w:r w:rsidR="006332FA">
        <w:t>’</w:t>
      </w:r>
      <w:r>
        <w:t>utilisation des nouvelles technologies, la réalisation d</w:t>
      </w:r>
      <w:r w:rsidR="006332FA">
        <w:t>’</w:t>
      </w:r>
      <w:r>
        <w:t>études de cas régionales sur les expériences positives et l</w:t>
      </w:r>
      <w:r w:rsidR="006332FA">
        <w:t>’</w:t>
      </w:r>
      <w:r>
        <w:t>amélioration des inventaires régionaux existants.</w:t>
      </w:r>
    </w:p>
    <w:p w14:paraId="6B270523" w14:textId="77777777" w:rsidR="005D7026" w:rsidRDefault="005D7026" w:rsidP="000641D8">
      <w:pPr>
        <w:pStyle w:val="ListParagraph"/>
        <w:autoSpaceDE w:val="0"/>
        <w:autoSpaceDN w:val="0"/>
        <w:adjustRightInd w:val="0"/>
        <w:ind w:left="426" w:firstLine="0"/>
        <w:rPr>
          <w:rFonts w:asciiTheme="minorHAnsi" w:hAnsiTheme="minorHAnsi" w:cstheme="minorHAnsi"/>
        </w:rPr>
      </w:pPr>
    </w:p>
    <w:p w14:paraId="4C6D74C3" w14:textId="2A346589" w:rsidR="00242D0A" w:rsidRPr="00442CF9" w:rsidRDefault="00AF1DD6" w:rsidP="00DA36E1">
      <w:pPr>
        <w:ind w:left="0" w:firstLine="0"/>
        <w:rPr>
          <w:b/>
          <w:bCs/>
        </w:rPr>
      </w:pPr>
      <w:r>
        <w:rPr>
          <w:b/>
        </w:rPr>
        <w:t>Consolider</w:t>
      </w:r>
      <w:r w:rsidR="00242D0A">
        <w:rPr>
          <w:b/>
        </w:rPr>
        <w:t xml:space="preserve"> un mécanisme d</w:t>
      </w:r>
      <w:r w:rsidR="006332FA">
        <w:rPr>
          <w:b/>
        </w:rPr>
        <w:t>’</w:t>
      </w:r>
      <w:r w:rsidR="00242D0A">
        <w:rPr>
          <w:b/>
        </w:rPr>
        <w:t>appui aux Parties contractantes pour la réalisation de leurs inventaires nationaux des zones humides</w:t>
      </w:r>
    </w:p>
    <w:p w14:paraId="1E253F26" w14:textId="77777777" w:rsidR="007B5F8E" w:rsidRPr="00ED6A4F" w:rsidRDefault="007B5F8E" w:rsidP="00CD6968">
      <w:pPr>
        <w:ind w:left="0" w:firstLine="0"/>
        <w:rPr>
          <w:i/>
        </w:rPr>
      </w:pPr>
    </w:p>
    <w:p w14:paraId="15F45446" w14:textId="77777777" w:rsidR="004A66FA" w:rsidRDefault="00A95ABF" w:rsidP="00CD6968">
      <w:pPr>
        <w:ind w:left="0" w:firstLine="0"/>
        <w:rPr>
          <w:bCs/>
          <w:u w:val="single"/>
        </w:rPr>
      </w:pPr>
      <w:r>
        <w:rPr>
          <w:u w:val="single"/>
        </w:rPr>
        <w:t>Recensement plus précis des besoins spécifiques ou des principales entraves</w:t>
      </w:r>
    </w:p>
    <w:p w14:paraId="5951AF22" w14:textId="77777777" w:rsidR="00442CF9" w:rsidRPr="00CD6968" w:rsidRDefault="00442CF9" w:rsidP="00CD6968">
      <w:pPr>
        <w:ind w:left="0" w:firstLine="0"/>
        <w:rPr>
          <w:bCs/>
          <w:u w:val="single"/>
        </w:rPr>
      </w:pPr>
    </w:p>
    <w:p w14:paraId="2DB8A3EA" w14:textId="6591FF43" w:rsidR="003E2DCD" w:rsidRDefault="000F071D" w:rsidP="000F071D">
      <w:pPr>
        <w:pStyle w:val="ListParagraph"/>
        <w:numPr>
          <w:ilvl w:val="0"/>
          <w:numId w:val="30"/>
        </w:numPr>
        <w:autoSpaceDE w:val="0"/>
        <w:autoSpaceDN w:val="0"/>
        <w:adjustRightInd w:val="0"/>
        <w:ind w:left="426" w:hanging="426"/>
      </w:pPr>
      <w:r>
        <w:t>Pour recenser plus précisément les besoins spécifiques et les principales entraves auxquelles se heurtent les Parties contractantes s</w:t>
      </w:r>
      <w:r w:rsidR="006332FA">
        <w:t>’</w:t>
      </w:r>
      <w:r>
        <w:t xml:space="preserve">agissant des INZH, en novembre 2023, le Secrétariat a mené des entretiens approfondis auprès de 13 Parties (cinq en Afrique, deux en Asie, trois en </w:t>
      </w:r>
      <w:r>
        <w:lastRenderedPageBreak/>
        <w:t>Europe</w:t>
      </w:r>
      <w:r w:rsidR="009714D7">
        <w:t xml:space="preserve">, </w:t>
      </w:r>
      <w:r>
        <w:t xml:space="preserve">un en Amérique latine et dans les Caraïbes, </w:t>
      </w:r>
      <w:r w:rsidR="003939E1">
        <w:t xml:space="preserve">un </w:t>
      </w:r>
      <w:r>
        <w:t xml:space="preserve">en Amérique du Nord et </w:t>
      </w:r>
      <w:r w:rsidR="003939E1">
        <w:t xml:space="preserve">un </w:t>
      </w:r>
      <w:r>
        <w:t>en Océanie) en s</w:t>
      </w:r>
      <w:r w:rsidR="006332FA">
        <w:t>’</w:t>
      </w:r>
      <w:r>
        <w:t>appuyant sur les évaluations réalisées en 2019. Les Parties contractantes ont été invitées à manifester leur intérêt pour les entretiens lors des réunions régionales organisées avant la 62</w:t>
      </w:r>
      <w:r>
        <w:rPr>
          <w:vertAlign w:val="superscript"/>
        </w:rPr>
        <w:t>e</w:t>
      </w:r>
      <w:r>
        <w:t> réunion du Comité permanent. L</w:t>
      </w:r>
      <w:r w:rsidR="006332FA">
        <w:t>’</w:t>
      </w:r>
      <w:r>
        <w:t xml:space="preserve">objectif de ces entretiens était de recueillir des informations sur les difficultés et les entraves auxquelles sont confrontées les autorités nationales, et de trouver de nouvelles ressources et de nouveaux matériels pour soutenir la réalisation des INZH. </w:t>
      </w:r>
    </w:p>
    <w:p w14:paraId="1F750574" w14:textId="77777777" w:rsidR="003E2DCD" w:rsidRDefault="003E2DCD" w:rsidP="00CD6968">
      <w:pPr>
        <w:pStyle w:val="ListParagraph"/>
        <w:autoSpaceDE w:val="0"/>
        <w:autoSpaceDN w:val="0"/>
        <w:adjustRightInd w:val="0"/>
        <w:ind w:left="426" w:firstLine="0"/>
        <w:rPr>
          <w:rFonts w:asciiTheme="minorHAnsi" w:hAnsiTheme="minorHAnsi" w:cstheme="minorHAnsi"/>
        </w:rPr>
      </w:pPr>
    </w:p>
    <w:p w14:paraId="675EE484" w14:textId="289C7BEB" w:rsidR="003C0965" w:rsidRDefault="00F80AC4" w:rsidP="003C0965">
      <w:pPr>
        <w:pStyle w:val="ListParagraph"/>
        <w:numPr>
          <w:ilvl w:val="0"/>
          <w:numId w:val="30"/>
        </w:numPr>
        <w:autoSpaceDE w:val="0"/>
        <w:autoSpaceDN w:val="0"/>
        <w:adjustRightInd w:val="0"/>
        <w:ind w:left="426" w:hanging="426"/>
        <w:rPr>
          <w:rFonts w:cstheme="minorHAnsi"/>
        </w:rPr>
      </w:pPr>
      <w:r>
        <w:rPr>
          <w:rFonts w:asciiTheme="minorHAnsi" w:hAnsiTheme="minorHAnsi"/>
        </w:rPr>
        <w:t>Les entretiens étaient axés sur quatre thèmes principaux : les raisons pour lesquelles les pays lancent une INZH, c</w:t>
      </w:r>
      <w:r w:rsidR="006332FA">
        <w:rPr>
          <w:rFonts w:asciiTheme="minorHAnsi" w:hAnsiTheme="minorHAnsi"/>
        </w:rPr>
        <w:t>’</w:t>
      </w:r>
      <w:r>
        <w:rPr>
          <w:rFonts w:asciiTheme="minorHAnsi" w:hAnsiTheme="minorHAnsi"/>
        </w:rPr>
        <w:t>est-à-dire leurs buts et objectifs initiaux ; le soutien qu</w:t>
      </w:r>
      <w:r w:rsidR="006332FA">
        <w:rPr>
          <w:rFonts w:asciiTheme="minorHAnsi" w:hAnsiTheme="minorHAnsi"/>
        </w:rPr>
        <w:t>’</w:t>
      </w:r>
      <w:r>
        <w:rPr>
          <w:rFonts w:asciiTheme="minorHAnsi" w:hAnsiTheme="minorHAnsi"/>
        </w:rPr>
        <w:t>ils ont reçu au cours du processus, notamment les orientations utilisées et le soutien technique fourni ; les obstacles rencontrés ; et les produits ou résultats obtenus. Comme convenu au cours du processus d</w:t>
      </w:r>
      <w:r w:rsidR="006332FA">
        <w:rPr>
          <w:rFonts w:asciiTheme="minorHAnsi" w:hAnsiTheme="minorHAnsi"/>
        </w:rPr>
        <w:t>’</w:t>
      </w:r>
      <w:r>
        <w:rPr>
          <w:rFonts w:asciiTheme="minorHAnsi" w:hAnsiTheme="minorHAnsi"/>
        </w:rPr>
        <w:t>entretien, les rapports d</w:t>
      </w:r>
      <w:r w:rsidR="006332FA">
        <w:rPr>
          <w:rFonts w:asciiTheme="minorHAnsi" w:hAnsiTheme="minorHAnsi"/>
        </w:rPr>
        <w:t>’</w:t>
      </w:r>
      <w:r>
        <w:rPr>
          <w:rFonts w:asciiTheme="minorHAnsi" w:hAnsiTheme="minorHAnsi"/>
        </w:rPr>
        <w:t>entretiens bilatéraux n</w:t>
      </w:r>
      <w:r w:rsidR="006332FA">
        <w:rPr>
          <w:rFonts w:asciiTheme="minorHAnsi" w:hAnsiTheme="minorHAnsi"/>
        </w:rPr>
        <w:t>’</w:t>
      </w:r>
      <w:r>
        <w:rPr>
          <w:rFonts w:asciiTheme="minorHAnsi" w:hAnsiTheme="minorHAnsi"/>
        </w:rPr>
        <w:t>ont été communiqués qu</w:t>
      </w:r>
      <w:r w:rsidR="006332FA">
        <w:rPr>
          <w:rFonts w:asciiTheme="minorHAnsi" w:hAnsiTheme="minorHAnsi"/>
        </w:rPr>
        <w:t>’</w:t>
      </w:r>
      <w:r>
        <w:rPr>
          <w:rFonts w:asciiTheme="minorHAnsi" w:hAnsiTheme="minorHAnsi"/>
        </w:rPr>
        <w:t>aux personnes interrogées afin de vérifier l</w:t>
      </w:r>
      <w:r w:rsidR="006332FA">
        <w:rPr>
          <w:rFonts w:asciiTheme="minorHAnsi" w:hAnsiTheme="minorHAnsi"/>
        </w:rPr>
        <w:t>’</w:t>
      </w:r>
      <w:r>
        <w:rPr>
          <w:rFonts w:asciiTheme="minorHAnsi" w:hAnsiTheme="minorHAnsi"/>
        </w:rPr>
        <w:t>exactitude des informations collectées.</w:t>
      </w:r>
      <w:r>
        <w:t xml:space="preserve"> Le Secrétariat exprime sa gratitude aux correspondant.e.s nationaux.ales et aux autres expert.e.s nationaux.ales qui ont donné de leur temps et partagé leur expérience à cet égard.</w:t>
      </w:r>
    </w:p>
    <w:p w14:paraId="3E7190B1" w14:textId="77777777" w:rsidR="00A95AB2" w:rsidRPr="00CD6968" w:rsidRDefault="00A95AB2" w:rsidP="00CD6968">
      <w:pPr>
        <w:pStyle w:val="ListParagraph"/>
        <w:autoSpaceDE w:val="0"/>
        <w:autoSpaceDN w:val="0"/>
        <w:adjustRightInd w:val="0"/>
        <w:ind w:left="426" w:firstLine="0"/>
        <w:rPr>
          <w:rFonts w:asciiTheme="minorHAnsi" w:hAnsiTheme="minorHAnsi" w:cstheme="minorHAnsi"/>
        </w:rPr>
      </w:pPr>
    </w:p>
    <w:p w14:paraId="25C8AFFE" w14:textId="77777777" w:rsidR="00A95AB2" w:rsidRDefault="00A95AB2" w:rsidP="00A95AB2">
      <w:pPr>
        <w:pStyle w:val="ListParagraph"/>
        <w:autoSpaceDE w:val="0"/>
        <w:autoSpaceDN w:val="0"/>
        <w:adjustRightInd w:val="0"/>
        <w:ind w:left="426" w:firstLine="0"/>
        <w:rPr>
          <w:rFonts w:asciiTheme="minorHAnsi" w:hAnsiTheme="minorHAnsi" w:cstheme="minorHAnsi"/>
        </w:rPr>
      </w:pPr>
    </w:p>
    <w:p w14:paraId="1F146703" w14:textId="6BF0DBB3" w:rsidR="00442CF9" w:rsidRPr="00442CF9" w:rsidRDefault="00943608" w:rsidP="00442CF9">
      <w:pPr>
        <w:pStyle w:val="ListParagraph"/>
        <w:numPr>
          <w:ilvl w:val="0"/>
          <w:numId w:val="30"/>
        </w:numPr>
        <w:autoSpaceDE w:val="0"/>
        <w:autoSpaceDN w:val="0"/>
        <w:adjustRightInd w:val="0"/>
        <w:ind w:left="426" w:hanging="426"/>
        <w:rPr>
          <w:rFonts w:cstheme="minorHAnsi"/>
        </w:rPr>
      </w:pPr>
      <w:r>
        <w:rPr>
          <w:rFonts w:asciiTheme="minorHAnsi" w:hAnsiTheme="minorHAnsi"/>
        </w:rPr>
        <w:t xml:space="preserve">Un </w:t>
      </w:r>
      <w:r>
        <w:t xml:space="preserve">bref rapport de </w:t>
      </w:r>
      <w:r>
        <w:rPr>
          <w:rFonts w:asciiTheme="minorHAnsi" w:hAnsiTheme="minorHAnsi"/>
        </w:rPr>
        <w:t>synthèse résumant les principales conclusions de ces entretiens a été publié en tant que document d</w:t>
      </w:r>
      <w:r w:rsidR="006332FA">
        <w:rPr>
          <w:rFonts w:asciiTheme="minorHAnsi" w:hAnsiTheme="minorHAnsi"/>
        </w:rPr>
        <w:t>’</w:t>
      </w:r>
      <w:r>
        <w:rPr>
          <w:rFonts w:asciiTheme="minorHAnsi" w:hAnsiTheme="minorHAnsi"/>
        </w:rPr>
        <w:t>information sous la cote SC63 Inf.2</w:t>
      </w:r>
      <w:r>
        <w:rPr>
          <w:rStyle w:val="FootnoteReference"/>
          <w:rFonts w:asciiTheme="minorHAnsi" w:hAnsiTheme="minorHAnsi" w:cstheme="minorHAnsi"/>
        </w:rPr>
        <w:footnoteReference w:id="3"/>
      </w:r>
      <w:r>
        <w:rPr>
          <w:rFonts w:asciiTheme="minorHAnsi" w:hAnsiTheme="minorHAnsi"/>
        </w:rPr>
        <w:t>. Aux paragraphes 4 à 13, il présente les principaux</w:t>
      </w:r>
      <w:r>
        <w:t xml:space="preserve"> enseignements tirés pour guider le processus de réalisation d</w:t>
      </w:r>
      <w:r w:rsidR="006332FA">
        <w:t>’</w:t>
      </w:r>
      <w:r>
        <w:t>un INZH</w:t>
      </w:r>
      <w:r>
        <w:rPr>
          <w:rFonts w:asciiTheme="minorHAnsi" w:hAnsiTheme="minorHAnsi"/>
        </w:rPr>
        <w:t xml:space="preserve">. </w:t>
      </w:r>
      <w:r>
        <w:t>Il définit également les orientations clés pour les actions futures du Secrétariat, en particulier pour les formations et les documents d</w:t>
      </w:r>
      <w:r w:rsidR="006332FA">
        <w:t>’</w:t>
      </w:r>
      <w:r>
        <w:t xml:space="preserve">orientation relatifs aux inventaires. </w:t>
      </w:r>
      <w:r>
        <w:rPr>
          <w:rFonts w:asciiTheme="minorHAnsi" w:hAnsiTheme="minorHAnsi"/>
        </w:rPr>
        <w:t xml:space="preserve">Le rapport expose également les difficultés, les contraintes, les attentes et les besoins (voir tableaux 1 à 3). </w:t>
      </w:r>
      <w:r>
        <w:t>Outre le fait d</w:t>
      </w:r>
      <w:r w:rsidR="006332FA">
        <w:t>’</w:t>
      </w:r>
      <w:r>
        <w:t>éclairer le S</w:t>
      </w:r>
      <w:r>
        <w:rPr>
          <w:rFonts w:asciiTheme="minorHAnsi" w:hAnsiTheme="minorHAnsi"/>
        </w:rPr>
        <w:t xml:space="preserve">ecrétariat, </w:t>
      </w:r>
      <w:r>
        <w:t>cela peut également permettre aux Parties contractantes qui n</w:t>
      </w:r>
      <w:r w:rsidR="006332FA">
        <w:t>’</w:t>
      </w:r>
      <w:r>
        <w:t>ont pas encore entamé leur propre processus d</w:t>
      </w:r>
      <w:r w:rsidR="006332FA">
        <w:t>’</w:t>
      </w:r>
      <w:r>
        <w:t>INZH de se faire une idée plus précise des avantages potentiels, du soutien disponible ou des écueils auxquels elles peuvent se heurter.</w:t>
      </w:r>
      <w:r>
        <w:rPr>
          <w:rFonts w:asciiTheme="minorHAnsi" w:hAnsiTheme="minorHAnsi"/>
        </w:rPr>
        <w:t xml:space="preserve"> </w:t>
      </w:r>
    </w:p>
    <w:p w14:paraId="6CC0995B" w14:textId="77777777" w:rsidR="00442CF9" w:rsidRPr="00442CF9" w:rsidRDefault="00442CF9" w:rsidP="00442CF9">
      <w:pPr>
        <w:pStyle w:val="ListParagraph"/>
        <w:autoSpaceDE w:val="0"/>
        <w:autoSpaceDN w:val="0"/>
        <w:adjustRightInd w:val="0"/>
        <w:ind w:left="426" w:firstLine="0"/>
        <w:rPr>
          <w:rFonts w:cstheme="minorHAnsi"/>
        </w:rPr>
      </w:pPr>
    </w:p>
    <w:p w14:paraId="33C82BE6" w14:textId="1965718A" w:rsidR="002F6C82" w:rsidRPr="00442CF9" w:rsidRDefault="00D72E41" w:rsidP="00442CF9">
      <w:pPr>
        <w:pStyle w:val="ListParagraph"/>
        <w:numPr>
          <w:ilvl w:val="0"/>
          <w:numId w:val="30"/>
        </w:numPr>
        <w:autoSpaceDE w:val="0"/>
        <w:autoSpaceDN w:val="0"/>
        <w:adjustRightInd w:val="0"/>
        <w:ind w:left="426" w:hanging="426"/>
        <w:rPr>
          <w:rFonts w:cstheme="minorHAnsi"/>
        </w:rPr>
      </w:pPr>
      <w:r>
        <w:rPr>
          <w:rFonts w:asciiTheme="minorHAnsi" w:hAnsiTheme="minorHAnsi"/>
        </w:rPr>
        <w:t>Le Secrétariat continuera à étudier les besoins et les contraintes des Parties contractantes en ce qui concerne l</w:t>
      </w:r>
      <w:r w:rsidR="006332FA">
        <w:rPr>
          <w:rFonts w:asciiTheme="minorHAnsi" w:hAnsiTheme="minorHAnsi"/>
        </w:rPr>
        <w:t>’</w:t>
      </w:r>
      <w:r>
        <w:rPr>
          <w:rFonts w:asciiTheme="minorHAnsi" w:hAnsiTheme="minorHAnsi"/>
        </w:rPr>
        <w:t>INZH grâce à des échanges directs avec elles, à des discussions avec les partenaires et les donateurs, et à l</w:t>
      </w:r>
      <w:r w:rsidR="006332FA">
        <w:rPr>
          <w:rFonts w:asciiTheme="minorHAnsi" w:hAnsiTheme="minorHAnsi"/>
        </w:rPr>
        <w:t>’</w:t>
      </w:r>
      <w:r>
        <w:rPr>
          <w:rFonts w:asciiTheme="minorHAnsi" w:hAnsiTheme="minorHAnsi"/>
        </w:rPr>
        <w:t>utilisation des informations relatives à l</w:t>
      </w:r>
      <w:r w:rsidR="006332FA">
        <w:rPr>
          <w:rFonts w:asciiTheme="minorHAnsi" w:hAnsiTheme="minorHAnsi"/>
        </w:rPr>
        <w:t>’</w:t>
      </w:r>
      <w:r>
        <w:rPr>
          <w:rFonts w:asciiTheme="minorHAnsi" w:hAnsiTheme="minorHAnsi"/>
        </w:rPr>
        <w:t>INZH que les Parties communiqueront dans leurs Rapports nationaux à la COP15.</w:t>
      </w:r>
    </w:p>
    <w:p w14:paraId="2148E981" w14:textId="77777777" w:rsidR="007B5F8E" w:rsidRPr="00ED6A4F" w:rsidRDefault="007B5F8E" w:rsidP="00442CF9">
      <w:pPr>
        <w:ind w:left="0" w:firstLine="0"/>
      </w:pPr>
    </w:p>
    <w:p w14:paraId="04A0CF3D" w14:textId="77777777" w:rsidR="00744E7F" w:rsidRPr="00ED6A4F" w:rsidRDefault="00744E7F" w:rsidP="00744E7F">
      <w:pPr>
        <w:rPr>
          <w:bCs/>
          <w:u w:val="single"/>
        </w:rPr>
      </w:pPr>
      <w:r>
        <w:rPr>
          <w:u w:val="single"/>
        </w:rPr>
        <w:t>Élaboration de nouvelles orientations</w:t>
      </w:r>
    </w:p>
    <w:p w14:paraId="283B02EC" w14:textId="77777777" w:rsidR="00744E7F" w:rsidRPr="00ED6A4F" w:rsidRDefault="00744E7F" w:rsidP="00744E7F"/>
    <w:p w14:paraId="7AEBCE34" w14:textId="3CB4292F" w:rsidR="00D842B5" w:rsidRPr="00CD6968" w:rsidRDefault="00AD4E9D" w:rsidP="007D1C5A">
      <w:pPr>
        <w:pStyle w:val="ListParagraph"/>
        <w:numPr>
          <w:ilvl w:val="0"/>
          <w:numId w:val="30"/>
        </w:numPr>
        <w:autoSpaceDE w:val="0"/>
        <w:autoSpaceDN w:val="0"/>
        <w:adjustRightInd w:val="0"/>
        <w:ind w:left="426" w:hanging="426"/>
        <w:rPr>
          <w:rFonts w:asciiTheme="minorHAnsi" w:hAnsiTheme="minorHAnsi" w:cstheme="minorBidi"/>
        </w:rPr>
      </w:pPr>
      <w:r>
        <w:rPr>
          <w:rFonts w:asciiTheme="minorHAnsi" w:hAnsiTheme="minorHAnsi"/>
        </w:rPr>
        <w:t>Comme indiqué dans le document SC62 Doc.9, les documents d</w:t>
      </w:r>
      <w:r w:rsidR="006332FA">
        <w:rPr>
          <w:rFonts w:asciiTheme="minorHAnsi" w:hAnsiTheme="minorHAnsi"/>
        </w:rPr>
        <w:t>’</w:t>
      </w:r>
      <w:r>
        <w:rPr>
          <w:rFonts w:asciiTheme="minorHAnsi" w:hAnsiTheme="minorHAnsi"/>
        </w:rPr>
        <w:t>orientation existants doivent être complétés par de nouvelles orientations portant sur des points tels que les dispositifs institutionnels et les politiques en matière d</w:t>
      </w:r>
      <w:r w:rsidR="006332FA">
        <w:rPr>
          <w:rFonts w:asciiTheme="minorHAnsi" w:hAnsiTheme="minorHAnsi"/>
        </w:rPr>
        <w:t>’</w:t>
      </w:r>
      <w:r>
        <w:rPr>
          <w:rFonts w:asciiTheme="minorHAnsi" w:hAnsiTheme="minorHAnsi"/>
        </w:rPr>
        <w:t>inventaires des zones humides. Lors de la 62</w:t>
      </w:r>
      <w:r>
        <w:rPr>
          <w:rFonts w:asciiTheme="minorHAnsi" w:hAnsiTheme="minorHAnsi"/>
          <w:vertAlign w:val="superscript"/>
        </w:rPr>
        <w:t>e</w:t>
      </w:r>
      <w:r>
        <w:rPr>
          <w:rFonts w:asciiTheme="minorHAnsi" w:hAnsiTheme="minorHAnsi"/>
        </w:rPr>
        <w:t> réunion du Comité permanent, les échanges ont également permis de définir d</w:t>
      </w:r>
      <w:r w:rsidR="006332FA">
        <w:rPr>
          <w:rFonts w:asciiTheme="minorHAnsi" w:hAnsiTheme="minorHAnsi"/>
        </w:rPr>
        <w:t>’</w:t>
      </w:r>
      <w:r>
        <w:rPr>
          <w:rFonts w:asciiTheme="minorHAnsi" w:hAnsiTheme="minorHAnsi"/>
        </w:rPr>
        <w:t>autres besoins en matière d</w:t>
      </w:r>
      <w:r w:rsidR="006332FA">
        <w:rPr>
          <w:rFonts w:asciiTheme="minorHAnsi" w:hAnsiTheme="minorHAnsi"/>
        </w:rPr>
        <w:t>’</w:t>
      </w:r>
      <w:r>
        <w:rPr>
          <w:rFonts w:asciiTheme="minorHAnsi" w:hAnsiTheme="minorHAnsi"/>
        </w:rPr>
        <w:t xml:space="preserve">utilisation des nouvelles technologies. </w:t>
      </w:r>
    </w:p>
    <w:p w14:paraId="4352A31E" w14:textId="77777777" w:rsidR="007D1C5A" w:rsidRDefault="007D1C5A" w:rsidP="00CD6968">
      <w:pPr>
        <w:pStyle w:val="ListParagraph"/>
        <w:autoSpaceDE w:val="0"/>
        <w:autoSpaceDN w:val="0"/>
        <w:adjustRightInd w:val="0"/>
        <w:ind w:left="426" w:firstLine="0"/>
        <w:rPr>
          <w:rFonts w:asciiTheme="minorHAnsi" w:hAnsiTheme="minorHAnsi" w:cstheme="minorBidi"/>
        </w:rPr>
      </w:pPr>
    </w:p>
    <w:p w14:paraId="5448840C" w14:textId="5C0749AF" w:rsidR="00AF5C81" w:rsidRDefault="00512ABE" w:rsidP="009A71FE">
      <w:pPr>
        <w:pStyle w:val="ListParagraph"/>
        <w:numPr>
          <w:ilvl w:val="0"/>
          <w:numId w:val="30"/>
        </w:numPr>
        <w:autoSpaceDE w:val="0"/>
        <w:autoSpaceDN w:val="0"/>
        <w:adjustRightInd w:val="0"/>
        <w:ind w:left="426" w:hanging="426"/>
        <w:rPr>
          <w:rFonts w:asciiTheme="minorHAnsi" w:hAnsiTheme="minorHAnsi" w:cstheme="minorBidi"/>
        </w:rPr>
      </w:pPr>
      <w:r>
        <w:rPr>
          <w:rFonts w:asciiTheme="minorHAnsi" w:hAnsiTheme="minorHAnsi"/>
        </w:rPr>
        <w:t>En examinant les orientations existantes en matière d</w:t>
      </w:r>
      <w:r w:rsidR="006332FA">
        <w:rPr>
          <w:rFonts w:asciiTheme="minorHAnsi" w:hAnsiTheme="minorHAnsi"/>
        </w:rPr>
        <w:t>’</w:t>
      </w:r>
      <w:r>
        <w:rPr>
          <w:rFonts w:asciiTheme="minorHAnsi" w:hAnsiTheme="minorHAnsi"/>
        </w:rPr>
        <w:t>INZH et sur la base d</w:t>
      </w:r>
      <w:r w:rsidR="006332FA">
        <w:rPr>
          <w:rFonts w:asciiTheme="minorHAnsi" w:hAnsiTheme="minorHAnsi"/>
        </w:rPr>
        <w:t>’</w:t>
      </w:r>
      <w:r>
        <w:rPr>
          <w:rFonts w:asciiTheme="minorHAnsi" w:hAnsiTheme="minorHAnsi"/>
        </w:rPr>
        <w:t>entretiens avec les Parties contractantes, le Secrétariat a mis en évidence que des orientations supplémentaires étaient nécessaires dans trois domaines principaux (voir le document d</w:t>
      </w:r>
      <w:r w:rsidR="006332FA">
        <w:rPr>
          <w:rFonts w:asciiTheme="minorHAnsi" w:hAnsiTheme="minorHAnsi"/>
        </w:rPr>
        <w:t>’</w:t>
      </w:r>
      <w:r>
        <w:rPr>
          <w:rFonts w:asciiTheme="minorHAnsi" w:hAnsiTheme="minorHAnsi"/>
        </w:rPr>
        <w:t xml:space="preserve">information SC63 Inf.2). </w:t>
      </w:r>
    </w:p>
    <w:p w14:paraId="7CFEAB81" w14:textId="77777777" w:rsidR="00AF5C81" w:rsidRPr="00CD6968" w:rsidRDefault="00AF5C81" w:rsidP="00CD6968">
      <w:pPr>
        <w:pStyle w:val="ListParagraph"/>
        <w:rPr>
          <w:rFonts w:asciiTheme="minorHAnsi" w:hAnsiTheme="minorHAnsi" w:cstheme="minorBidi"/>
        </w:rPr>
      </w:pPr>
    </w:p>
    <w:p w14:paraId="51066A53" w14:textId="62E85C33" w:rsidR="005F1C86" w:rsidRPr="00CA03FB" w:rsidRDefault="005F1C86" w:rsidP="005F1C86">
      <w:pPr>
        <w:pStyle w:val="ListParagraph"/>
        <w:numPr>
          <w:ilvl w:val="0"/>
          <w:numId w:val="30"/>
        </w:numPr>
        <w:autoSpaceDE w:val="0"/>
        <w:autoSpaceDN w:val="0"/>
        <w:adjustRightInd w:val="0"/>
        <w:ind w:left="426" w:hanging="426"/>
        <w:rPr>
          <w:rFonts w:asciiTheme="minorHAnsi" w:hAnsiTheme="minorHAnsi" w:cstheme="minorBidi"/>
        </w:rPr>
      </w:pPr>
      <w:r>
        <w:rPr>
          <w:rFonts w:asciiTheme="minorHAnsi" w:hAnsiTheme="minorHAnsi"/>
        </w:rPr>
        <w:t>Tout d</w:t>
      </w:r>
      <w:r w:rsidR="006332FA">
        <w:rPr>
          <w:rFonts w:asciiTheme="minorHAnsi" w:hAnsiTheme="minorHAnsi"/>
        </w:rPr>
        <w:t>’</w:t>
      </w:r>
      <w:r>
        <w:rPr>
          <w:rFonts w:asciiTheme="minorHAnsi" w:hAnsiTheme="minorHAnsi"/>
        </w:rPr>
        <w:t xml:space="preserve">abord, il est nécessaire de définir les éléments communs des INZH, notamment en déterminant les données/indicateurs de base ainsi que des données/indicateurs supplémentaires recommandés. Bien que chaque INZH doive être bien encadré par le contexte national, notamment celui des dispositions institutionnelles et des objectifs </w:t>
      </w:r>
      <w:r w:rsidR="00477178">
        <w:rPr>
          <w:rFonts w:asciiTheme="minorHAnsi" w:hAnsiTheme="minorHAnsi"/>
        </w:rPr>
        <w:t>stratégiques</w:t>
      </w:r>
      <w:r>
        <w:rPr>
          <w:rFonts w:asciiTheme="minorHAnsi" w:hAnsiTheme="minorHAnsi"/>
        </w:rPr>
        <w:t xml:space="preserve">, il est </w:t>
      </w:r>
      <w:r>
        <w:rPr>
          <w:rFonts w:asciiTheme="minorHAnsi" w:hAnsiTheme="minorHAnsi"/>
        </w:rPr>
        <w:lastRenderedPageBreak/>
        <w:t>essentiel de veiller à ce que le mécanisme de données et d</w:t>
      </w:r>
      <w:r w:rsidR="006332FA">
        <w:rPr>
          <w:rFonts w:asciiTheme="minorHAnsi" w:hAnsiTheme="minorHAnsi"/>
        </w:rPr>
        <w:t>’</w:t>
      </w:r>
      <w:r>
        <w:rPr>
          <w:rFonts w:asciiTheme="minorHAnsi" w:hAnsiTheme="minorHAnsi"/>
        </w:rPr>
        <w:t>établissement de rapports de la Convention permette de faire le suivi des indicateurs mondiaux pertinents, tels que ceux du Cadre mondial de la biodiversité de Kunming-Montréal.</w:t>
      </w:r>
    </w:p>
    <w:p w14:paraId="7E29D2BB" w14:textId="77777777" w:rsidR="005F1C86" w:rsidRDefault="005F1C86" w:rsidP="00CD6968">
      <w:pPr>
        <w:pStyle w:val="ListParagraph"/>
        <w:autoSpaceDE w:val="0"/>
        <w:autoSpaceDN w:val="0"/>
        <w:adjustRightInd w:val="0"/>
        <w:ind w:left="426" w:firstLine="0"/>
        <w:rPr>
          <w:rFonts w:asciiTheme="minorHAnsi" w:hAnsiTheme="minorHAnsi" w:cstheme="minorBidi"/>
        </w:rPr>
      </w:pPr>
    </w:p>
    <w:p w14:paraId="2586554F" w14:textId="0106FE94" w:rsidR="007160D4" w:rsidRPr="00CD6968" w:rsidRDefault="005F1C86" w:rsidP="009A71FE">
      <w:pPr>
        <w:pStyle w:val="ListParagraph"/>
        <w:numPr>
          <w:ilvl w:val="0"/>
          <w:numId w:val="30"/>
        </w:numPr>
        <w:autoSpaceDE w:val="0"/>
        <w:autoSpaceDN w:val="0"/>
        <w:adjustRightInd w:val="0"/>
        <w:ind w:left="426" w:hanging="426"/>
        <w:rPr>
          <w:rFonts w:asciiTheme="minorHAnsi" w:hAnsiTheme="minorHAnsi" w:cstheme="minorBidi"/>
        </w:rPr>
      </w:pPr>
      <w:r>
        <w:rPr>
          <w:rFonts w:asciiTheme="minorHAnsi" w:hAnsiTheme="minorHAnsi"/>
        </w:rPr>
        <w:t>Deuxièmement, les nouvelles orientations devraient viser à améliorer la qualité, la cohérence et l</w:t>
      </w:r>
      <w:r w:rsidR="006332FA">
        <w:rPr>
          <w:rFonts w:asciiTheme="minorHAnsi" w:hAnsiTheme="minorHAnsi"/>
        </w:rPr>
        <w:t>’</w:t>
      </w:r>
      <w:r>
        <w:rPr>
          <w:rFonts w:asciiTheme="minorHAnsi" w:hAnsiTheme="minorHAnsi"/>
        </w:rPr>
        <w:t>interopérabilité des données. Il peut s</w:t>
      </w:r>
      <w:r w:rsidR="006332FA">
        <w:rPr>
          <w:rFonts w:asciiTheme="minorHAnsi" w:hAnsiTheme="minorHAnsi"/>
        </w:rPr>
        <w:t>’</w:t>
      </w:r>
      <w:r>
        <w:rPr>
          <w:rFonts w:asciiTheme="minorHAnsi" w:hAnsiTheme="minorHAnsi"/>
        </w:rPr>
        <w:t>agir d</w:t>
      </w:r>
      <w:r w:rsidR="006332FA">
        <w:rPr>
          <w:rFonts w:asciiTheme="minorHAnsi" w:hAnsiTheme="minorHAnsi"/>
        </w:rPr>
        <w:t>’</w:t>
      </w:r>
      <w:r>
        <w:rPr>
          <w:rFonts w:asciiTheme="minorHAnsi" w:hAnsiTheme="minorHAnsi"/>
        </w:rPr>
        <w:t>orientations sur les méthodes de collecte de données et les protocoles relatifs aux données recommandés, en s</w:t>
      </w:r>
      <w:r w:rsidR="006332FA">
        <w:rPr>
          <w:rFonts w:asciiTheme="minorHAnsi" w:hAnsiTheme="minorHAnsi"/>
        </w:rPr>
        <w:t>’</w:t>
      </w:r>
      <w:r>
        <w:rPr>
          <w:rFonts w:asciiTheme="minorHAnsi" w:hAnsiTheme="minorHAnsi"/>
        </w:rPr>
        <w:t>appuyant sur les principes et les références en matière de données utilisés au niveau international</w:t>
      </w:r>
      <w:r w:rsidR="0033234A" w:rsidRPr="0047444E">
        <w:rPr>
          <w:vertAlign w:val="superscript"/>
        </w:rPr>
        <w:footnoteReference w:id="4"/>
      </w:r>
      <w:r>
        <w:rPr>
          <w:rFonts w:asciiTheme="minorHAnsi" w:hAnsiTheme="minorHAnsi"/>
        </w:rPr>
        <w:t>, ainsi que sur l</w:t>
      </w:r>
      <w:r w:rsidR="006332FA">
        <w:rPr>
          <w:rFonts w:asciiTheme="minorHAnsi" w:hAnsiTheme="minorHAnsi"/>
        </w:rPr>
        <w:t>’</w:t>
      </w:r>
      <w:r>
        <w:rPr>
          <w:rFonts w:asciiTheme="minorHAnsi" w:hAnsiTheme="minorHAnsi"/>
        </w:rPr>
        <w:t>expérience des Parties contractantes</w:t>
      </w:r>
      <w:r>
        <w:t>.</w:t>
      </w:r>
      <w:r>
        <w:rPr>
          <w:rFonts w:asciiTheme="minorHAnsi" w:hAnsiTheme="minorHAnsi"/>
        </w:rPr>
        <w:t xml:space="preserve"> Des conseils sur l</w:t>
      </w:r>
      <w:r w:rsidR="006332FA">
        <w:rPr>
          <w:rFonts w:asciiTheme="minorHAnsi" w:hAnsiTheme="minorHAnsi"/>
        </w:rPr>
        <w:t>’</w:t>
      </w:r>
      <w:r>
        <w:rPr>
          <w:rFonts w:asciiTheme="minorHAnsi" w:hAnsiTheme="minorHAnsi"/>
        </w:rPr>
        <w:t>utilisation adéquate de technologies telles que la télédétection seront spécifiquement abordés dans le cadre de ce travail.</w:t>
      </w:r>
    </w:p>
    <w:p w14:paraId="2D837777" w14:textId="77777777" w:rsidR="003030D4" w:rsidRDefault="003030D4" w:rsidP="00CD6968">
      <w:pPr>
        <w:pStyle w:val="ListParagraph"/>
        <w:autoSpaceDE w:val="0"/>
        <w:autoSpaceDN w:val="0"/>
        <w:adjustRightInd w:val="0"/>
        <w:ind w:left="426" w:firstLine="0"/>
        <w:rPr>
          <w:rFonts w:asciiTheme="minorHAnsi" w:hAnsiTheme="minorHAnsi" w:cstheme="minorBidi"/>
        </w:rPr>
      </w:pPr>
    </w:p>
    <w:p w14:paraId="278AD9D0" w14:textId="585A7516" w:rsidR="000314B6" w:rsidRDefault="0033234A" w:rsidP="00442CF9">
      <w:pPr>
        <w:pStyle w:val="ListParagraph"/>
        <w:numPr>
          <w:ilvl w:val="0"/>
          <w:numId w:val="30"/>
        </w:numPr>
        <w:autoSpaceDE w:val="0"/>
        <w:autoSpaceDN w:val="0"/>
        <w:adjustRightInd w:val="0"/>
        <w:ind w:left="426" w:hanging="426"/>
        <w:rPr>
          <w:rFonts w:asciiTheme="minorHAnsi" w:hAnsiTheme="minorHAnsi" w:cstheme="minorBidi"/>
        </w:rPr>
      </w:pPr>
      <w:r>
        <w:rPr>
          <w:rFonts w:asciiTheme="minorHAnsi" w:hAnsiTheme="minorHAnsi"/>
        </w:rPr>
        <w:t>Troisièmement, le Secrétariat a déterminé qu</w:t>
      </w:r>
      <w:r w:rsidR="006332FA">
        <w:rPr>
          <w:rFonts w:asciiTheme="minorHAnsi" w:hAnsiTheme="minorHAnsi"/>
        </w:rPr>
        <w:t>’</w:t>
      </w:r>
      <w:r>
        <w:rPr>
          <w:rFonts w:asciiTheme="minorHAnsi" w:hAnsiTheme="minorHAnsi"/>
        </w:rPr>
        <w:t>il était nécessaire de mieux orienter le processus d</w:t>
      </w:r>
      <w:r w:rsidR="006332FA">
        <w:rPr>
          <w:rFonts w:asciiTheme="minorHAnsi" w:hAnsiTheme="minorHAnsi"/>
        </w:rPr>
        <w:t>’</w:t>
      </w:r>
      <w:r>
        <w:rPr>
          <w:rFonts w:asciiTheme="minorHAnsi" w:hAnsiTheme="minorHAnsi"/>
        </w:rPr>
        <w:t>INZH, en englobant les phases de planification, de collecte, d</w:t>
      </w:r>
      <w:r w:rsidR="006332FA">
        <w:rPr>
          <w:rFonts w:asciiTheme="minorHAnsi" w:hAnsiTheme="minorHAnsi"/>
        </w:rPr>
        <w:t>’</w:t>
      </w:r>
      <w:r>
        <w:rPr>
          <w:rFonts w:asciiTheme="minorHAnsi" w:hAnsiTheme="minorHAnsi"/>
        </w:rPr>
        <w:t>utilisation et de mise à jour des données avec une répartition claire des rôles et des responsabilités, y compris la conception de mécanismes de soutien technique propres aux pays pour les équipes de collecte de données aux niveaux national et infranational.</w:t>
      </w:r>
    </w:p>
    <w:p w14:paraId="14D2C247" w14:textId="77777777" w:rsidR="00442CF9" w:rsidRPr="00442CF9" w:rsidRDefault="00442CF9" w:rsidP="00442CF9">
      <w:pPr>
        <w:pStyle w:val="ListParagraph"/>
        <w:autoSpaceDE w:val="0"/>
        <w:autoSpaceDN w:val="0"/>
        <w:adjustRightInd w:val="0"/>
        <w:ind w:left="426" w:firstLine="0"/>
        <w:rPr>
          <w:rFonts w:asciiTheme="minorHAnsi" w:hAnsiTheme="minorHAnsi" w:cstheme="minorBidi"/>
        </w:rPr>
      </w:pPr>
    </w:p>
    <w:p w14:paraId="7473DCBB" w14:textId="282A8606" w:rsidR="00956139" w:rsidRPr="005273F4" w:rsidRDefault="002A01BD" w:rsidP="00956139">
      <w:pPr>
        <w:pStyle w:val="ListParagraph"/>
        <w:numPr>
          <w:ilvl w:val="0"/>
          <w:numId w:val="30"/>
        </w:numPr>
        <w:autoSpaceDE w:val="0"/>
        <w:autoSpaceDN w:val="0"/>
        <w:adjustRightInd w:val="0"/>
        <w:ind w:left="426" w:hanging="426"/>
        <w:rPr>
          <w:rFonts w:asciiTheme="minorHAnsi" w:hAnsiTheme="minorHAnsi" w:cstheme="minorBidi"/>
        </w:rPr>
      </w:pPr>
      <w:r>
        <w:rPr>
          <w:rFonts w:asciiTheme="minorHAnsi" w:hAnsiTheme="minorHAnsi"/>
        </w:rPr>
        <w:t>Le Secrétariat travaillera en concertation étroite avec le Groupe d</w:t>
      </w:r>
      <w:r w:rsidR="006332FA">
        <w:rPr>
          <w:rFonts w:asciiTheme="minorHAnsi" w:hAnsiTheme="minorHAnsi"/>
        </w:rPr>
        <w:t>’</w:t>
      </w:r>
      <w:r>
        <w:rPr>
          <w:rFonts w:asciiTheme="minorHAnsi" w:hAnsiTheme="minorHAnsi"/>
        </w:rPr>
        <w:t>évaluation scientifique et technique (GEST), les partenaires et les donateurs pour mettre à jour et affiner les orientations, en s</w:t>
      </w:r>
      <w:r w:rsidR="006332FA">
        <w:rPr>
          <w:rFonts w:asciiTheme="minorHAnsi" w:hAnsiTheme="minorHAnsi"/>
        </w:rPr>
        <w:t>’</w:t>
      </w:r>
      <w:r>
        <w:rPr>
          <w:rFonts w:asciiTheme="minorHAnsi" w:hAnsiTheme="minorHAnsi"/>
        </w:rPr>
        <w:t>appuyant également sur les expériences des pays ayant réalisé avec succès une INZH, et sur les expériences tirées des efforts axés sur d</w:t>
      </w:r>
      <w:r w:rsidR="006332FA">
        <w:rPr>
          <w:rFonts w:asciiTheme="minorHAnsi" w:hAnsiTheme="minorHAnsi"/>
        </w:rPr>
        <w:t>’</w:t>
      </w:r>
      <w:r>
        <w:rPr>
          <w:rFonts w:asciiTheme="minorHAnsi" w:hAnsiTheme="minorHAnsi"/>
        </w:rPr>
        <w:t>autres écosystèmes/biomes.</w:t>
      </w:r>
    </w:p>
    <w:p w14:paraId="1BE7E1F4" w14:textId="77777777" w:rsidR="00982729" w:rsidRPr="005273F4" w:rsidRDefault="00982729" w:rsidP="00CD6968">
      <w:pPr>
        <w:pStyle w:val="ListParagraph"/>
        <w:autoSpaceDE w:val="0"/>
        <w:autoSpaceDN w:val="0"/>
        <w:adjustRightInd w:val="0"/>
        <w:ind w:left="426" w:firstLine="0"/>
        <w:rPr>
          <w:rFonts w:asciiTheme="minorHAnsi" w:hAnsiTheme="minorHAnsi" w:cstheme="minorBidi"/>
        </w:rPr>
      </w:pPr>
    </w:p>
    <w:p w14:paraId="486C08D7" w14:textId="77777777" w:rsidR="00935D97" w:rsidRPr="00ED6A4F" w:rsidRDefault="00935D97" w:rsidP="00DA36E1">
      <w:pPr>
        <w:keepNext/>
        <w:rPr>
          <w:bCs/>
          <w:u w:val="single"/>
        </w:rPr>
      </w:pPr>
      <w:r>
        <w:rPr>
          <w:u w:val="single"/>
        </w:rPr>
        <w:t xml:space="preserve">Renforcement des capacités </w:t>
      </w:r>
    </w:p>
    <w:p w14:paraId="739C0C60" w14:textId="77777777" w:rsidR="00935D97" w:rsidRDefault="00935D97" w:rsidP="00DA36E1">
      <w:pPr>
        <w:pStyle w:val="ListParagraph"/>
        <w:keepNext/>
        <w:autoSpaceDE w:val="0"/>
        <w:autoSpaceDN w:val="0"/>
        <w:adjustRightInd w:val="0"/>
        <w:ind w:left="426" w:firstLine="0"/>
        <w:rPr>
          <w:b/>
        </w:rPr>
      </w:pPr>
    </w:p>
    <w:p w14:paraId="4493AAC6" w14:textId="68BF77D6" w:rsidR="00926588" w:rsidRPr="00CD6968" w:rsidRDefault="009159A8" w:rsidP="005F17B4">
      <w:pPr>
        <w:pStyle w:val="ListParagraph"/>
        <w:numPr>
          <w:ilvl w:val="0"/>
          <w:numId w:val="30"/>
        </w:numPr>
        <w:autoSpaceDE w:val="0"/>
        <w:autoSpaceDN w:val="0"/>
        <w:adjustRightInd w:val="0"/>
        <w:ind w:left="426" w:hanging="426"/>
        <w:rPr>
          <w:rFonts w:asciiTheme="minorHAnsi" w:hAnsiTheme="minorHAnsi" w:cstheme="minorHAnsi"/>
        </w:rPr>
      </w:pPr>
      <w:r>
        <w:t>S</w:t>
      </w:r>
      <w:r w:rsidR="006332FA">
        <w:t>’</w:t>
      </w:r>
      <w:r>
        <w:t xml:space="preserve">agissant du </w:t>
      </w:r>
      <w:r>
        <w:rPr>
          <w:rFonts w:asciiTheme="minorHAnsi" w:hAnsiTheme="minorHAnsi"/>
        </w:rPr>
        <w:t>renforcement des capacités liées à la réalisation des INZH, le Secrétariat s</w:t>
      </w:r>
      <w:r w:rsidR="006332FA">
        <w:rPr>
          <w:rFonts w:asciiTheme="minorHAnsi" w:hAnsiTheme="minorHAnsi"/>
        </w:rPr>
        <w:t>’</w:t>
      </w:r>
      <w:r>
        <w:rPr>
          <w:rFonts w:asciiTheme="minorHAnsi" w:hAnsiTheme="minorHAnsi"/>
        </w:rPr>
        <w:t>intéresse d</w:t>
      </w:r>
      <w:r w:rsidR="006332FA">
        <w:rPr>
          <w:rFonts w:asciiTheme="minorHAnsi" w:hAnsiTheme="minorHAnsi"/>
        </w:rPr>
        <w:t>’</w:t>
      </w:r>
      <w:r>
        <w:rPr>
          <w:rFonts w:asciiTheme="minorHAnsi" w:hAnsiTheme="minorHAnsi"/>
        </w:rPr>
        <w:t>abord aux Parties contractantes qui n</w:t>
      </w:r>
      <w:r w:rsidR="006332FA">
        <w:rPr>
          <w:rFonts w:asciiTheme="minorHAnsi" w:hAnsiTheme="minorHAnsi"/>
        </w:rPr>
        <w:t>’</w:t>
      </w:r>
      <w:r>
        <w:rPr>
          <w:rFonts w:asciiTheme="minorHAnsi" w:hAnsiTheme="minorHAnsi"/>
        </w:rPr>
        <w:t>ont pas de processus d</w:t>
      </w:r>
      <w:r w:rsidR="006332FA">
        <w:rPr>
          <w:rFonts w:asciiTheme="minorHAnsi" w:hAnsiTheme="minorHAnsi"/>
        </w:rPr>
        <w:t>’</w:t>
      </w:r>
      <w:r>
        <w:rPr>
          <w:rFonts w:asciiTheme="minorHAnsi" w:hAnsiTheme="minorHAnsi"/>
        </w:rPr>
        <w:t>INZH en cours (26 % des 122 Parties qui ont fait rapport à la COP14 n</w:t>
      </w:r>
      <w:r w:rsidR="006332FA">
        <w:rPr>
          <w:rFonts w:asciiTheme="minorHAnsi" w:hAnsiTheme="minorHAnsi"/>
        </w:rPr>
        <w:t>’</w:t>
      </w:r>
      <w:r>
        <w:rPr>
          <w:rFonts w:asciiTheme="minorHAnsi" w:hAnsiTheme="minorHAnsi"/>
        </w:rPr>
        <w:t>ont pas entrepris d</w:t>
      </w:r>
      <w:r w:rsidR="006332FA">
        <w:rPr>
          <w:rFonts w:asciiTheme="minorHAnsi" w:hAnsiTheme="minorHAnsi"/>
        </w:rPr>
        <w:t>’</w:t>
      </w:r>
      <w:r>
        <w:rPr>
          <w:rFonts w:asciiTheme="minorHAnsi" w:hAnsiTheme="minorHAnsi"/>
        </w:rPr>
        <w:t>INZH ou l</w:t>
      </w:r>
      <w:r w:rsidR="006332FA">
        <w:rPr>
          <w:rFonts w:asciiTheme="minorHAnsi" w:hAnsiTheme="minorHAnsi"/>
        </w:rPr>
        <w:t>’</w:t>
      </w:r>
      <w:r>
        <w:rPr>
          <w:rFonts w:asciiTheme="minorHAnsi" w:hAnsiTheme="minorHAnsi"/>
        </w:rPr>
        <w:t xml:space="preserve">ont seulement prévu, voir le document </w:t>
      </w:r>
      <w:r>
        <w:t>COP14 Doc.9.1</w:t>
      </w:r>
      <w:r>
        <w:rPr>
          <w:rFonts w:asciiTheme="minorHAnsi" w:hAnsiTheme="minorHAnsi"/>
        </w:rPr>
        <w:t>)</w:t>
      </w:r>
      <w:r>
        <w:t>.</w:t>
      </w:r>
      <w:r>
        <w:rPr>
          <w:rFonts w:asciiTheme="minorHAnsi" w:hAnsiTheme="minorHAnsi"/>
        </w:rPr>
        <w:t xml:space="preserve"> Cette démarche vise à aider les pays à acquérir des connaissances et </w:t>
      </w:r>
      <w:r w:rsidR="00191640">
        <w:rPr>
          <w:rFonts w:asciiTheme="minorHAnsi" w:hAnsiTheme="minorHAnsi"/>
        </w:rPr>
        <w:t xml:space="preserve">un </w:t>
      </w:r>
      <w:r>
        <w:rPr>
          <w:rFonts w:asciiTheme="minorHAnsi" w:hAnsiTheme="minorHAnsi"/>
        </w:rPr>
        <w:t>savoir-faire sur la manière de réaliser un INZH dans un cadre politique, scientifique et technique approprié. En fin de compte, cela contribuera à améliorer leurs capacités de mise en œuvre du Programme 2030, et plus particulièrement à la réalisation de l</w:t>
      </w:r>
      <w:r w:rsidR="006332FA">
        <w:rPr>
          <w:rFonts w:asciiTheme="minorHAnsi" w:hAnsiTheme="minorHAnsi"/>
        </w:rPr>
        <w:t>’</w:t>
      </w:r>
      <w:r>
        <w:rPr>
          <w:rFonts w:asciiTheme="minorHAnsi" w:hAnsiTheme="minorHAnsi"/>
        </w:rPr>
        <w:t>Objectif 6 de l</w:t>
      </w:r>
      <w:r w:rsidR="006332FA">
        <w:rPr>
          <w:rFonts w:asciiTheme="minorHAnsi" w:hAnsiTheme="minorHAnsi"/>
        </w:rPr>
        <w:t>’</w:t>
      </w:r>
      <w:r>
        <w:rPr>
          <w:rFonts w:asciiTheme="minorHAnsi" w:hAnsiTheme="minorHAnsi"/>
        </w:rPr>
        <w:t>ODD et au suivi de l</w:t>
      </w:r>
      <w:r w:rsidR="006332FA">
        <w:rPr>
          <w:rFonts w:asciiTheme="minorHAnsi" w:hAnsiTheme="minorHAnsi"/>
        </w:rPr>
        <w:t>’</w:t>
      </w:r>
      <w:r>
        <w:rPr>
          <w:rFonts w:asciiTheme="minorHAnsi" w:hAnsiTheme="minorHAnsi"/>
        </w:rPr>
        <w:t>Indicateur 6.6.1 de l</w:t>
      </w:r>
      <w:r w:rsidR="006332FA">
        <w:rPr>
          <w:rFonts w:asciiTheme="minorHAnsi" w:hAnsiTheme="minorHAnsi"/>
        </w:rPr>
        <w:t>’</w:t>
      </w:r>
      <w:r>
        <w:rPr>
          <w:rFonts w:asciiTheme="minorHAnsi" w:hAnsiTheme="minorHAnsi"/>
        </w:rPr>
        <w:t>ODD, ainsi qu</w:t>
      </w:r>
      <w:r w:rsidR="006332FA">
        <w:rPr>
          <w:rFonts w:asciiTheme="minorHAnsi" w:hAnsiTheme="minorHAnsi"/>
        </w:rPr>
        <w:t>’</w:t>
      </w:r>
      <w:r>
        <w:rPr>
          <w:rFonts w:asciiTheme="minorHAnsi" w:hAnsiTheme="minorHAnsi"/>
        </w:rPr>
        <w:t>à contribuer à une gestion efficace des zones humides pour remplir leurs engagements au titre de la Convention et d</w:t>
      </w:r>
      <w:r w:rsidR="006332FA">
        <w:rPr>
          <w:rFonts w:asciiTheme="minorHAnsi" w:hAnsiTheme="minorHAnsi"/>
        </w:rPr>
        <w:t>’</w:t>
      </w:r>
      <w:r>
        <w:rPr>
          <w:rFonts w:asciiTheme="minorHAnsi" w:hAnsiTheme="minorHAnsi"/>
        </w:rPr>
        <w:t>autres objectifs mondiaux (biodiversité, climat, neutralité en matière de dégradation des terres)</w:t>
      </w:r>
      <w:r w:rsidR="00F33306">
        <w:rPr>
          <w:rFonts w:asciiTheme="minorHAnsi" w:hAnsiTheme="minorHAnsi"/>
        </w:rPr>
        <w:t>.</w:t>
      </w:r>
    </w:p>
    <w:p w14:paraId="700B36FB" w14:textId="77777777" w:rsidR="00862BF1" w:rsidRPr="00926588" w:rsidRDefault="00862BF1" w:rsidP="00CD6968">
      <w:pPr>
        <w:pStyle w:val="ListParagraph"/>
        <w:autoSpaceDE w:val="0"/>
        <w:autoSpaceDN w:val="0"/>
        <w:adjustRightInd w:val="0"/>
        <w:ind w:left="426" w:firstLine="0"/>
        <w:rPr>
          <w:rFonts w:asciiTheme="minorHAnsi" w:hAnsiTheme="minorHAnsi" w:cstheme="minorHAnsi"/>
        </w:rPr>
      </w:pPr>
    </w:p>
    <w:p w14:paraId="79493F34" w14:textId="557254D3" w:rsidR="007824D4" w:rsidRPr="007824D4" w:rsidRDefault="004428E9">
      <w:pPr>
        <w:pStyle w:val="ListParagraph"/>
        <w:numPr>
          <w:ilvl w:val="0"/>
          <w:numId w:val="30"/>
        </w:numPr>
        <w:autoSpaceDE w:val="0"/>
        <w:autoSpaceDN w:val="0"/>
        <w:adjustRightInd w:val="0"/>
        <w:ind w:left="426" w:hanging="426"/>
        <w:rPr>
          <w:rFonts w:asciiTheme="minorHAnsi" w:hAnsiTheme="minorHAnsi" w:cstheme="minorHAnsi"/>
        </w:rPr>
      </w:pPr>
      <w:r>
        <w:rPr>
          <w:rFonts w:asciiTheme="minorHAnsi" w:hAnsiTheme="minorHAnsi"/>
        </w:rPr>
        <w:t xml:space="preserve">Un programme sur trois ans comprenant des </w:t>
      </w:r>
      <w:r w:rsidR="00B02CDD">
        <w:rPr>
          <w:rFonts w:asciiTheme="minorHAnsi" w:hAnsiTheme="minorHAnsi"/>
        </w:rPr>
        <w:t xml:space="preserve">modules </w:t>
      </w:r>
      <w:r>
        <w:rPr>
          <w:rFonts w:asciiTheme="minorHAnsi" w:hAnsiTheme="minorHAnsi"/>
        </w:rPr>
        <w:t>de formation annuels et des supports associés dans les trois langues officielles de la Convention est en cours d</w:t>
      </w:r>
      <w:r w:rsidR="006332FA">
        <w:rPr>
          <w:rFonts w:asciiTheme="minorHAnsi" w:hAnsiTheme="minorHAnsi"/>
        </w:rPr>
        <w:t>’</w:t>
      </w:r>
      <w:r>
        <w:rPr>
          <w:rFonts w:asciiTheme="minorHAnsi" w:hAnsiTheme="minorHAnsi"/>
        </w:rPr>
        <w:t xml:space="preserve">élaboration. </w:t>
      </w:r>
      <w:r>
        <w:t>Trois modules de formation seront organisés entre 2024 et 2026, sur les thèmes suivants :</w:t>
      </w:r>
    </w:p>
    <w:p w14:paraId="0A0AB032" w14:textId="1B49EB0B" w:rsidR="007824D4" w:rsidRPr="004C35D9" w:rsidRDefault="007824D4" w:rsidP="004C35D9">
      <w:pPr>
        <w:pStyle w:val="ListParagraph"/>
        <w:numPr>
          <w:ilvl w:val="0"/>
          <w:numId w:val="35"/>
        </w:numPr>
        <w:ind w:left="851" w:hanging="425"/>
        <w:rPr>
          <w:iCs/>
        </w:rPr>
      </w:pPr>
      <w:r>
        <w:t>Module 1 : Introduction aux inventaires nationaux des zones humides ;</w:t>
      </w:r>
    </w:p>
    <w:p w14:paraId="57161CD8" w14:textId="2134B0AC" w:rsidR="007824D4" w:rsidRPr="004C35D9" w:rsidRDefault="007824D4" w:rsidP="004C35D9">
      <w:pPr>
        <w:pStyle w:val="ListParagraph"/>
        <w:numPr>
          <w:ilvl w:val="0"/>
          <w:numId w:val="35"/>
        </w:numPr>
        <w:ind w:left="851" w:hanging="425"/>
        <w:rPr>
          <w:iCs/>
        </w:rPr>
      </w:pPr>
      <w:r>
        <w:lastRenderedPageBreak/>
        <w:t>Module 2 : Techniques d</w:t>
      </w:r>
      <w:r w:rsidR="006332FA">
        <w:t>’</w:t>
      </w:r>
      <w:r>
        <w:t>observation de la Terre et connaissances</w:t>
      </w:r>
      <w:r w:rsidR="007645EE">
        <w:t xml:space="preserve"> associées</w:t>
      </w:r>
      <w:r>
        <w:t xml:space="preserve"> : meilleures pratiques pour </w:t>
      </w:r>
      <w:bookmarkStart w:id="0" w:name="_GoBack"/>
      <w:r w:rsidR="00EA0C65">
        <w:t>contribuer aux</w:t>
      </w:r>
      <w:bookmarkEnd w:id="0"/>
      <w:r>
        <w:t xml:space="preserve"> inventaires nationaux des zones humides ; et</w:t>
      </w:r>
    </w:p>
    <w:p w14:paraId="065D6A88" w14:textId="1F88ECC4" w:rsidR="007824D4" w:rsidRPr="004C35D9" w:rsidRDefault="007824D4" w:rsidP="004C35D9">
      <w:pPr>
        <w:pStyle w:val="ListParagraph"/>
        <w:numPr>
          <w:ilvl w:val="0"/>
          <w:numId w:val="35"/>
        </w:numPr>
        <w:ind w:left="851" w:hanging="425"/>
        <w:rPr>
          <w:iCs/>
        </w:rPr>
      </w:pPr>
      <w:r>
        <w:t xml:space="preserve">Module 3 : Connaissances écologiques à long terme : gérer et mettre à jour les inventaires nationaux des zones humides. </w:t>
      </w:r>
    </w:p>
    <w:p w14:paraId="48CC91A3" w14:textId="77777777" w:rsidR="00016314" w:rsidRPr="007824D4" w:rsidRDefault="00016314" w:rsidP="00CD6968">
      <w:pPr>
        <w:pStyle w:val="ListParagraph"/>
        <w:autoSpaceDE w:val="0"/>
        <w:autoSpaceDN w:val="0"/>
        <w:adjustRightInd w:val="0"/>
        <w:ind w:left="426" w:firstLine="0"/>
        <w:rPr>
          <w:rFonts w:asciiTheme="minorHAnsi" w:hAnsiTheme="minorHAnsi" w:cstheme="minorHAnsi"/>
        </w:rPr>
      </w:pPr>
    </w:p>
    <w:p w14:paraId="6AFBF6D3" w14:textId="284CE4A9" w:rsidR="00C90623" w:rsidRPr="00C90623" w:rsidRDefault="006A2AA3" w:rsidP="00862BF1">
      <w:pPr>
        <w:pStyle w:val="ListParagraph"/>
        <w:numPr>
          <w:ilvl w:val="0"/>
          <w:numId w:val="30"/>
        </w:numPr>
        <w:autoSpaceDE w:val="0"/>
        <w:autoSpaceDN w:val="0"/>
        <w:adjustRightInd w:val="0"/>
        <w:ind w:left="426" w:hanging="426"/>
        <w:rPr>
          <w:rFonts w:asciiTheme="minorHAnsi" w:hAnsiTheme="minorHAnsi" w:cstheme="minorHAnsi"/>
        </w:rPr>
      </w:pPr>
      <w:r>
        <w:rPr>
          <w:rFonts w:asciiTheme="minorHAnsi" w:hAnsiTheme="minorHAnsi"/>
        </w:rPr>
        <w:t>Le Secrétariat s</w:t>
      </w:r>
      <w:r w:rsidR="006332FA">
        <w:rPr>
          <w:rFonts w:asciiTheme="minorHAnsi" w:hAnsiTheme="minorHAnsi"/>
        </w:rPr>
        <w:t>’</w:t>
      </w:r>
      <w:r>
        <w:rPr>
          <w:rFonts w:asciiTheme="minorHAnsi" w:hAnsiTheme="minorHAnsi"/>
        </w:rPr>
        <w:t xml:space="preserve">est associé au Bureau des Nations Unies pour le développement durable (UNOSD) pour mettre en œuvre le programme de formation en anglais pour dix Parties contractantes. </w:t>
      </w:r>
      <w:r>
        <w:t>Le premier cours (module 1) se déroulera du 9 au 13 septembre 2024 à l</w:t>
      </w:r>
      <w:r w:rsidR="006332FA">
        <w:t>’</w:t>
      </w:r>
      <w:r>
        <w:t>Institut national d</w:t>
      </w:r>
      <w:r w:rsidR="006332FA">
        <w:t>’</w:t>
      </w:r>
      <w:r>
        <w:t xml:space="preserve">écologie à Seocheon, en République de Corée. </w:t>
      </w:r>
      <w:r>
        <w:rPr>
          <w:rFonts w:asciiTheme="minorHAnsi" w:hAnsiTheme="minorHAnsi"/>
        </w:rPr>
        <w:t>L</w:t>
      </w:r>
      <w:r w:rsidR="006332FA">
        <w:rPr>
          <w:rFonts w:asciiTheme="minorHAnsi" w:hAnsiTheme="minorHAnsi"/>
        </w:rPr>
        <w:t>’</w:t>
      </w:r>
      <w:r>
        <w:rPr>
          <w:rFonts w:asciiTheme="minorHAnsi" w:hAnsiTheme="minorHAnsi"/>
        </w:rPr>
        <w:t>objectif de ce module est de guider les autorités nationales dans l</w:t>
      </w:r>
      <w:r w:rsidR="006332FA">
        <w:rPr>
          <w:rFonts w:asciiTheme="minorHAnsi" w:hAnsiTheme="minorHAnsi"/>
        </w:rPr>
        <w:t>’</w:t>
      </w:r>
      <w:r>
        <w:rPr>
          <w:rFonts w:asciiTheme="minorHAnsi" w:hAnsiTheme="minorHAnsi"/>
        </w:rPr>
        <w:t>élaboration d</w:t>
      </w:r>
      <w:r w:rsidR="006332FA">
        <w:rPr>
          <w:rFonts w:asciiTheme="minorHAnsi" w:hAnsiTheme="minorHAnsi"/>
        </w:rPr>
        <w:t>’</w:t>
      </w:r>
      <w:r>
        <w:rPr>
          <w:rFonts w:asciiTheme="minorHAnsi" w:hAnsiTheme="minorHAnsi"/>
        </w:rPr>
        <w:t>un processus solide de réalisation d</w:t>
      </w:r>
      <w:r w:rsidR="006332FA">
        <w:rPr>
          <w:rFonts w:asciiTheme="minorHAnsi" w:hAnsiTheme="minorHAnsi"/>
        </w:rPr>
        <w:t>’</w:t>
      </w:r>
      <w:r>
        <w:rPr>
          <w:rFonts w:asciiTheme="minorHAnsi" w:hAnsiTheme="minorHAnsi"/>
        </w:rPr>
        <w:t>INZH, notamment la collecte et la gestion des données, et une approche du flux de données orientée vers l</w:t>
      </w:r>
      <w:r w:rsidR="006332FA">
        <w:rPr>
          <w:rFonts w:asciiTheme="minorHAnsi" w:hAnsiTheme="minorHAnsi"/>
        </w:rPr>
        <w:t>’</w:t>
      </w:r>
      <w:r>
        <w:rPr>
          <w:rFonts w:asciiTheme="minorHAnsi" w:hAnsiTheme="minorHAnsi"/>
        </w:rPr>
        <w:t>action avec des liens appropriés entre les politiques, y compris avec les objectifs mondiaux d</w:t>
      </w:r>
      <w:r w:rsidR="006332FA">
        <w:rPr>
          <w:rFonts w:asciiTheme="minorHAnsi" w:hAnsiTheme="minorHAnsi"/>
        </w:rPr>
        <w:t>’</w:t>
      </w:r>
      <w:r>
        <w:rPr>
          <w:rFonts w:asciiTheme="minorHAnsi" w:hAnsiTheme="minorHAnsi"/>
        </w:rPr>
        <w:t xml:space="preserve">autres AME. </w:t>
      </w:r>
    </w:p>
    <w:p w14:paraId="5F38E9F9" w14:textId="77777777" w:rsidR="00C90623" w:rsidRPr="00C90623" w:rsidRDefault="00C90623" w:rsidP="00CD6968">
      <w:pPr>
        <w:pStyle w:val="ListParagraph"/>
        <w:autoSpaceDE w:val="0"/>
        <w:autoSpaceDN w:val="0"/>
        <w:adjustRightInd w:val="0"/>
        <w:ind w:left="426" w:firstLine="0"/>
        <w:rPr>
          <w:rFonts w:asciiTheme="minorHAnsi" w:hAnsiTheme="minorHAnsi" w:cstheme="minorHAnsi"/>
        </w:rPr>
      </w:pPr>
    </w:p>
    <w:p w14:paraId="2574CFE6" w14:textId="24C5C9F5" w:rsidR="00862BF1" w:rsidRPr="00CD6968" w:rsidRDefault="00862BF1" w:rsidP="00CD6968">
      <w:pPr>
        <w:pStyle w:val="ListParagraph"/>
        <w:numPr>
          <w:ilvl w:val="0"/>
          <w:numId w:val="30"/>
        </w:numPr>
        <w:autoSpaceDE w:val="0"/>
        <w:autoSpaceDN w:val="0"/>
        <w:adjustRightInd w:val="0"/>
        <w:ind w:left="426" w:hanging="426"/>
        <w:rPr>
          <w:rFonts w:asciiTheme="minorHAnsi" w:hAnsiTheme="minorHAnsi" w:cstheme="minorHAnsi"/>
        </w:rPr>
      </w:pPr>
      <w:r>
        <w:rPr>
          <w:rFonts w:asciiTheme="minorHAnsi" w:hAnsiTheme="minorHAnsi"/>
        </w:rPr>
        <w:t>Le module 1 se déroulera en présentiel, en 2024 ou 2025, en français et en espagnol, grâce au soutien financier du Gouvernement norvégien. Les modalités d</w:t>
      </w:r>
      <w:r w:rsidR="006332FA">
        <w:rPr>
          <w:rFonts w:asciiTheme="minorHAnsi" w:hAnsiTheme="minorHAnsi"/>
        </w:rPr>
        <w:t>’</w:t>
      </w:r>
      <w:r>
        <w:rPr>
          <w:rFonts w:asciiTheme="minorHAnsi" w:hAnsiTheme="minorHAnsi"/>
        </w:rPr>
        <w:t>accueil sont à déterminer. Des ressources financières supplémentaires sont nécessaires pour mettre en œuvre le programme de formation complet en espagnol et en français, et pour être en mesure d</w:t>
      </w:r>
      <w:r w:rsidR="006332FA">
        <w:rPr>
          <w:rFonts w:asciiTheme="minorHAnsi" w:hAnsiTheme="minorHAnsi"/>
        </w:rPr>
        <w:t>’</w:t>
      </w:r>
      <w:r>
        <w:rPr>
          <w:rFonts w:asciiTheme="minorHAnsi" w:hAnsiTheme="minorHAnsi"/>
        </w:rPr>
        <w:t xml:space="preserve">accepter un plus grand nombre de participants. </w:t>
      </w:r>
    </w:p>
    <w:p w14:paraId="0D586740" w14:textId="77777777" w:rsidR="00862BF1" w:rsidRPr="00CD6968" w:rsidRDefault="00862BF1" w:rsidP="00CD6968">
      <w:pPr>
        <w:pStyle w:val="ListParagraph"/>
        <w:rPr>
          <w:rFonts w:asciiTheme="minorHAnsi" w:hAnsiTheme="minorHAnsi" w:cstheme="minorBidi"/>
        </w:rPr>
      </w:pPr>
    </w:p>
    <w:p w14:paraId="137DBAAD" w14:textId="11A9C3E4" w:rsidR="001D0F83" w:rsidRDefault="001D0F83" w:rsidP="001D0F83">
      <w:pPr>
        <w:pStyle w:val="ListParagraph"/>
        <w:numPr>
          <w:ilvl w:val="0"/>
          <w:numId w:val="30"/>
        </w:numPr>
        <w:autoSpaceDE w:val="0"/>
        <w:autoSpaceDN w:val="0"/>
        <w:adjustRightInd w:val="0"/>
        <w:ind w:left="426" w:hanging="426"/>
        <w:rPr>
          <w:rFonts w:asciiTheme="minorHAnsi" w:hAnsiTheme="minorHAnsi" w:cstheme="minorHAnsi"/>
        </w:rPr>
      </w:pPr>
      <w:r>
        <w:rPr>
          <w:rFonts w:asciiTheme="minorHAnsi" w:hAnsiTheme="minorHAnsi"/>
        </w:rPr>
        <w:t>Le Secrétariat lancera un appel à candidatures au printemps 2024, avec des critères de sélection. Les participants devront s</w:t>
      </w:r>
      <w:r w:rsidR="006332FA">
        <w:rPr>
          <w:rFonts w:asciiTheme="minorHAnsi" w:hAnsiTheme="minorHAnsi"/>
        </w:rPr>
        <w:t>’</w:t>
      </w:r>
      <w:r>
        <w:rPr>
          <w:rFonts w:asciiTheme="minorHAnsi" w:hAnsiTheme="minorHAnsi"/>
        </w:rPr>
        <w:t xml:space="preserve">inscrire à trois modules de formation sur site sur une période de trois ans. </w:t>
      </w:r>
      <w:r w:rsidR="00A63608">
        <w:rPr>
          <w:rFonts w:asciiTheme="minorHAnsi" w:hAnsiTheme="minorHAnsi"/>
        </w:rPr>
        <w:t>Ils</w:t>
      </w:r>
      <w:r>
        <w:rPr>
          <w:rFonts w:asciiTheme="minorHAnsi" w:hAnsiTheme="minorHAnsi"/>
        </w:rPr>
        <w:t xml:space="preserve"> pourront ainsi approfondir</w:t>
      </w:r>
      <w:r w:rsidR="00924FFD">
        <w:rPr>
          <w:rFonts w:asciiTheme="minorHAnsi" w:hAnsiTheme="minorHAnsi"/>
        </w:rPr>
        <w:t xml:space="preserve"> progressivement</w:t>
      </w:r>
      <w:r>
        <w:rPr>
          <w:rFonts w:asciiTheme="minorHAnsi" w:hAnsiTheme="minorHAnsi"/>
        </w:rPr>
        <w:t xml:space="preserve"> leurs connaissances et leurs actions en matière d</w:t>
      </w:r>
      <w:r w:rsidR="006332FA">
        <w:rPr>
          <w:rFonts w:asciiTheme="minorHAnsi" w:hAnsiTheme="minorHAnsi"/>
        </w:rPr>
        <w:t>’</w:t>
      </w:r>
      <w:r>
        <w:rPr>
          <w:rFonts w:asciiTheme="minorHAnsi" w:hAnsiTheme="minorHAnsi"/>
        </w:rPr>
        <w:t>INZH. Ils recevront des devoirs sous une forme ou une autre à faire entre les sessions sur site, afin de s</w:t>
      </w:r>
      <w:r w:rsidR="006332FA">
        <w:rPr>
          <w:rFonts w:asciiTheme="minorHAnsi" w:hAnsiTheme="minorHAnsi"/>
        </w:rPr>
        <w:t>’</w:t>
      </w:r>
      <w:r>
        <w:rPr>
          <w:rFonts w:asciiTheme="minorHAnsi" w:hAnsiTheme="minorHAnsi"/>
        </w:rPr>
        <w:t>assurer qu</w:t>
      </w:r>
      <w:r w:rsidR="006332FA">
        <w:rPr>
          <w:rFonts w:asciiTheme="minorHAnsi" w:hAnsiTheme="minorHAnsi"/>
        </w:rPr>
        <w:t>’</w:t>
      </w:r>
      <w:r>
        <w:rPr>
          <w:rFonts w:asciiTheme="minorHAnsi" w:hAnsiTheme="minorHAnsi"/>
        </w:rPr>
        <w:t>ils continuent à s</w:t>
      </w:r>
      <w:r w:rsidR="006332FA">
        <w:rPr>
          <w:rFonts w:asciiTheme="minorHAnsi" w:hAnsiTheme="minorHAnsi"/>
        </w:rPr>
        <w:t>’</w:t>
      </w:r>
      <w:r>
        <w:rPr>
          <w:rFonts w:asciiTheme="minorHAnsi" w:hAnsiTheme="minorHAnsi"/>
        </w:rPr>
        <w:t>impliquer.</w:t>
      </w:r>
    </w:p>
    <w:p w14:paraId="596F29B5" w14:textId="77777777" w:rsidR="001D0F83" w:rsidRPr="001D0F83" w:rsidRDefault="001D0F83" w:rsidP="00CD6968">
      <w:pPr>
        <w:pStyle w:val="ListParagraph"/>
        <w:autoSpaceDE w:val="0"/>
        <w:autoSpaceDN w:val="0"/>
        <w:adjustRightInd w:val="0"/>
        <w:ind w:left="426" w:firstLine="0"/>
        <w:rPr>
          <w:rFonts w:asciiTheme="minorHAnsi" w:hAnsiTheme="minorHAnsi" w:cstheme="minorHAnsi"/>
        </w:rPr>
      </w:pPr>
    </w:p>
    <w:p w14:paraId="189FDAB3" w14:textId="49657294" w:rsidR="0035716A" w:rsidRPr="00AC25C6" w:rsidRDefault="0035716A" w:rsidP="0035716A">
      <w:pPr>
        <w:pStyle w:val="ListParagraph"/>
        <w:numPr>
          <w:ilvl w:val="0"/>
          <w:numId w:val="30"/>
        </w:numPr>
        <w:autoSpaceDE w:val="0"/>
        <w:autoSpaceDN w:val="0"/>
        <w:adjustRightInd w:val="0"/>
        <w:ind w:left="426" w:hanging="426"/>
      </w:pPr>
      <w:r>
        <w:t>Le Secrétariat prévoit de rechercher des experts nationaux ainsi que des membres et observateurs du GEST pour assumer les fonctions de formateur.rice pour ces trois modules. Il s</w:t>
      </w:r>
      <w:r w:rsidR="006332FA">
        <w:t>’</w:t>
      </w:r>
      <w:r>
        <w:t xml:space="preserve">appuiera également sur les ressources nationales ou régionales existantes, telles que celles mobilisées pour les inventaires des zones humides à faible coût fondés sur le SIG au Myanmar ou au Bhoutan (voir </w:t>
      </w:r>
      <w:r>
        <w:rPr>
          <w:i/>
          <w:iCs/>
        </w:rPr>
        <w:t>Nouvelle trousse d</w:t>
      </w:r>
      <w:r w:rsidR="006332FA">
        <w:rPr>
          <w:i/>
          <w:iCs/>
        </w:rPr>
        <w:t>’</w:t>
      </w:r>
      <w:r>
        <w:rPr>
          <w:i/>
          <w:iCs/>
        </w:rPr>
        <w:t>outils pour l</w:t>
      </w:r>
      <w:r w:rsidR="006332FA">
        <w:rPr>
          <w:i/>
          <w:iCs/>
        </w:rPr>
        <w:t>’</w:t>
      </w:r>
      <w:r>
        <w:rPr>
          <w:i/>
          <w:iCs/>
        </w:rPr>
        <w:t>inventaire national des zones humides</w:t>
      </w:r>
      <w:r>
        <w:t> 2020), ou en Afrique (</w:t>
      </w:r>
      <w:r>
        <w:rPr>
          <w:i/>
          <w:iCs/>
        </w:rPr>
        <w:t>Global Wetland Africa Toolbox</w:t>
      </w:r>
      <w:r>
        <w:t xml:space="preserve">). </w:t>
      </w:r>
    </w:p>
    <w:p w14:paraId="4795C59E" w14:textId="77777777" w:rsidR="00267D8F" w:rsidRPr="00267D8F" w:rsidRDefault="00267D8F" w:rsidP="00267D8F">
      <w:pPr>
        <w:pStyle w:val="ListParagraph"/>
        <w:autoSpaceDE w:val="0"/>
        <w:autoSpaceDN w:val="0"/>
        <w:adjustRightInd w:val="0"/>
        <w:ind w:left="426" w:firstLine="0"/>
        <w:rPr>
          <w:rFonts w:asciiTheme="minorHAnsi" w:hAnsiTheme="minorHAnsi" w:cstheme="minorHAnsi"/>
        </w:rPr>
      </w:pPr>
    </w:p>
    <w:p w14:paraId="57CB07E7" w14:textId="3F2248B0" w:rsidR="00CA5DD5" w:rsidRPr="00CA5DD5" w:rsidRDefault="0074514D" w:rsidP="00CA5DD5">
      <w:pPr>
        <w:pStyle w:val="ListParagraph"/>
        <w:numPr>
          <w:ilvl w:val="0"/>
          <w:numId w:val="30"/>
        </w:numPr>
        <w:autoSpaceDE w:val="0"/>
        <w:autoSpaceDN w:val="0"/>
        <w:adjustRightInd w:val="0"/>
        <w:ind w:left="426" w:hanging="426"/>
        <w:rPr>
          <w:rFonts w:asciiTheme="minorHAnsi" w:hAnsiTheme="minorHAnsi" w:cstheme="minorHAnsi"/>
        </w:rPr>
      </w:pPr>
      <w:r>
        <w:t>Des supports de formation en ligne basés sur le programme de formation mentionné plus haut seront préparés et mis à la disposition du public sur le site web de la Convention. Cela permettra à toutes les Parties à la Convention d</w:t>
      </w:r>
      <w:r w:rsidR="006332FA">
        <w:t>’</w:t>
      </w:r>
      <w:r>
        <w:t>accéder à l</w:t>
      </w:r>
      <w:r w:rsidR="006332FA">
        <w:t>’</w:t>
      </w:r>
      <w:r>
        <w:t>essentiel du programme de formation.</w:t>
      </w:r>
    </w:p>
    <w:p w14:paraId="22FB0A07" w14:textId="77777777" w:rsidR="00CA5DD5" w:rsidRPr="00CA5DD5" w:rsidRDefault="00CA5DD5" w:rsidP="00CA5DD5">
      <w:pPr>
        <w:pStyle w:val="ListParagraph"/>
        <w:autoSpaceDE w:val="0"/>
        <w:autoSpaceDN w:val="0"/>
        <w:adjustRightInd w:val="0"/>
        <w:ind w:left="426" w:firstLine="0"/>
        <w:rPr>
          <w:rFonts w:asciiTheme="minorHAnsi" w:hAnsiTheme="minorHAnsi" w:cstheme="minorHAnsi"/>
        </w:rPr>
      </w:pPr>
    </w:p>
    <w:p w14:paraId="3F5F1097" w14:textId="77777777" w:rsidR="00465892" w:rsidRDefault="00892E8C" w:rsidP="00DA36E1">
      <w:pPr>
        <w:keepNext/>
        <w:autoSpaceDE w:val="0"/>
        <w:autoSpaceDN w:val="0"/>
        <w:adjustRightInd w:val="0"/>
        <w:ind w:left="0" w:firstLine="0"/>
        <w:rPr>
          <w:bCs/>
          <w:u w:val="single"/>
        </w:rPr>
      </w:pPr>
      <w:r>
        <w:rPr>
          <w:u w:val="single"/>
        </w:rPr>
        <w:t>Appui à la mise en œuvre</w:t>
      </w:r>
    </w:p>
    <w:p w14:paraId="3D0C3D0F" w14:textId="77777777" w:rsidR="00442CF9" w:rsidRDefault="00442CF9" w:rsidP="00DA36E1">
      <w:pPr>
        <w:keepNext/>
        <w:autoSpaceDE w:val="0"/>
        <w:autoSpaceDN w:val="0"/>
        <w:adjustRightInd w:val="0"/>
        <w:ind w:left="0" w:firstLine="0"/>
      </w:pPr>
    </w:p>
    <w:p w14:paraId="198F37E0" w14:textId="4C730887" w:rsidR="00863E88" w:rsidRDefault="004F265B" w:rsidP="00465892">
      <w:pPr>
        <w:pStyle w:val="ListParagraph"/>
        <w:numPr>
          <w:ilvl w:val="0"/>
          <w:numId w:val="30"/>
        </w:numPr>
        <w:autoSpaceDE w:val="0"/>
        <w:autoSpaceDN w:val="0"/>
        <w:adjustRightInd w:val="0"/>
        <w:ind w:left="426" w:hanging="426"/>
      </w:pPr>
      <w:r>
        <w:t>Un certain nombre de contraintes et de besoins essentiels liés à la réalisation des INZH et à leur utilisation pour le suivi, l</w:t>
      </w:r>
      <w:r w:rsidR="006332FA">
        <w:t>’</w:t>
      </w:r>
      <w:r>
        <w:t>évaluation et l</w:t>
      </w:r>
      <w:r w:rsidR="006332FA">
        <w:t>’</w:t>
      </w:r>
      <w:r>
        <w:t>établissement de rapports peuvent être résolus en développant une initiative consacrée à l</w:t>
      </w:r>
      <w:r w:rsidR="006332FA">
        <w:t>’</w:t>
      </w:r>
      <w:r>
        <w:t xml:space="preserve">appui </w:t>
      </w:r>
      <w:r w:rsidR="00DA1DCE">
        <w:t>aux</w:t>
      </w:r>
      <w:r w:rsidR="009D3547">
        <w:t xml:space="preserve"> techniques</w:t>
      </w:r>
      <w:r>
        <w:t xml:space="preserve"> </w:t>
      </w:r>
      <w:r w:rsidR="009D3547">
        <w:t>d</w:t>
      </w:r>
      <w:r w:rsidR="006332FA">
        <w:t>’</w:t>
      </w:r>
      <w:r>
        <w:t>observation de la Terre.</w:t>
      </w:r>
    </w:p>
    <w:p w14:paraId="265F5488" w14:textId="77777777" w:rsidR="00863E88" w:rsidRDefault="00863E88" w:rsidP="00CD6968">
      <w:pPr>
        <w:pStyle w:val="ListParagraph"/>
        <w:autoSpaceDE w:val="0"/>
        <w:autoSpaceDN w:val="0"/>
        <w:adjustRightInd w:val="0"/>
        <w:ind w:left="426" w:firstLine="0"/>
      </w:pPr>
    </w:p>
    <w:p w14:paraId="716275B7" w14:textId="01A67944" w:rsidR="00052219" w:rsidRDefault="007029AB" w:rsidP="00052219">
      <w:pPr>
        <w:pStyle w:val="ListParagraph"/>
        <w:numPr>
          <w:ilvl w:val="0"/>
          <w:numId w:val="30"/>
        </w:numPr>
        <w:autoSpaceDE w:val="0"/>
        <w:autoSpaceDN w:val="0"/>
        <w:adjustRightInd w:val="0"/>
        <w:ind w:left="426" w:hanging="426"/>
      </w:pPr>
      <w:r>
        <w:t>Le Secrétariat continue de collaborer avec le Secrétariat du Groupe sur l</w:t>
      </w:r>
      <w:r w:rsidR="006332FA">
        <w:t>’</w:t>
      </w:r>
      <w:r>
        <w:t>observation de la Terre (GEO) pour ce qui est de l</w:t>
      </w:r>
      <w:r w:rsidR="006332FA">
        <w:t>’</w:t>
      </w:r>
      <w:r>
        <w:t>élaboration d</w:t>
      </w:r>
      <w:r w:rsidR="006332FA">
        <w:t>’</w:t>
      </w:r>
      <w:r>
        <w:t>un « Atlas mondial des écosystèmes » en ligne, basé sur la Typologie mondiale des écosystèmes de l</w:t>
      </w:r>
      <w:r w:rsidR="006332FA">
        <w:t>’</w:t>
      </w:r>
      <w:r>
        <w:t>UICN. Il est prévu de présenter un produit destiné à valider le concept à la COP16 de la Convention sur la diversité biologique (CDB) qui se tiendra du 21 octobre au 1</w:t>
      </w:r>
      <w:r>
        <w:rPr>
          <w:vertAlign w:val="superscript"/>
        </w:rPr>
        <w:t>er</w:t>
      </w:r>
      <w:r>
        <w:t> novembre 2024, à Cali, en Colombie.</w:t>
      </w:r>
    </w:p>
    <w:p w14:paraId="785C9D76" w14:textId="77777777" w:rsidR="00052219" w:rsidRDefault="00052219" w:rsidP="00052219">
      <w:pPr>
        <w:pStyle w:val="ListParagraph"/>
        <w:autoSpaceDE w:val="0"/>
        <w:autoSpaceDN w:val="0"/>
        <w:adjustRightInd w:val="0"/>
        <w:ind w:left="426" w:firstLine="0"/>
      </w:pPr>
    </w:p>
    <w:p w14:paraId="0D023419" w14:textId="61526C49" w:rsidR="008237C3" w:rsidRPr="008237C3" w:rsidRDefault="00052219" w:rsidP="008237C3">
      <w:pPr>
        <w:pStyle w:val="ListParagraph"/>
        <w:numPr>
          <w:ilvl w:val="0"/>
          <w:numId w:val="30"/>
        </w:numPr>
        <w:autoSpaceDE w:val="0"/>
        <w:autoSpaceDN w:val="0"/>
        <w:adjustRightInd w:val="0"/>
        <w:ind w:left="426" w:hanging="426"/>
      </w:pPr>
      <w:r>
        <w:rPr>
          <w:rStyle w:val="xapple-tab-span"/>
        </w:rPr>
        <w:lastRenderedPageBreak/>
        <w:t xml:space="preserve"> </w:t>
      </w:r>
      <w:r>
        <w:t>En outre, le Secrétariat a identifié la possibilité de développer une initiative s</w:t>
      </w:r>
      <w:r w:rsidR="006332FA">
        <w:t>’</w:t>
      </w:r>
      <w:r>
        <w:t>inspirant des modèles fournis par les initiatives phares du GEO (par exemple, l</w:t>
      </w:r>
      <w:r w:rsidR="006332FA">
        <w:t>’</w:t>
      </w:r>
      <w:r>
        <w:t>Initiative sur la neutralité en matière de dégradation des terres du GEO (GEO-LDN)). Cela peut, par exemple, permettre d</w:t>
      </w:r>
      <w:r w:rsidR="006332FA">
        <w:t>’</w:t>
      </w:r>
      <w:r>
        <w:t>accéder à des données mondiales conservées sur l</w:t>
      </w:r>
      <w:r w:rsidR="006332FA">
        <w:t>’</w:t>
      </w:r>
      <w:r>
        <w:t>étendue et le changement des écosystèmes, sur lesquelles les Parties contractantes peuvent s</w:t>
      </w:r>
      <w:r w:rsidR="006332FA">
        <w:t>’</w:t>
      </w:r>
      <w:r>
        <w:t>appuyer pour leur inventaire national ; étoffer l</w:t>
      </w:r>
      <w:r w:rsidR="006332FA">
        <w:t>’</w:t>
      </w:r>
      <w:r>
        <w:t>inventaire des types de zones humides pour lesquels l</w:t>
      </w:r>
      <w:r w:rsidR="006332FA">
        <w:t>’</w:t>
      </w:r>
      <w:r>
        <w:t>inventaire reste limité ou difficile ; élaborer des outils et des orientations techniques, méthodologiques et autres ; et offrir une communauté de pratique</w:t>
      </w:r>
      <w:r>
        <w:rPr>
          <w:color w:val="000000"/>
        </w:rPr>
        <w:t>. </w:t>
      </w:r>
      <w:r>
        <w:t>Le Secrétariat explorera cette initiative en concertation étroite avec le GEST et en collaboration avec les partenaires concernés, notamment au moyen d</w:t>
      </w:r>
      <w:r w:rsidR="006332FA">
        <w:t>’</w:t>
      </w:r>
      <w:r>
        <w:t>une étude de faisabilité.</w:t>
      </w:r>
    </w:p>
    <w:p w14:paraId="0523723F" w14:textId="77777777" w:rsidR="008237C3" w:rsidRPr="008237C3" w:rsidRDefault="008237C3" w:rsidP="008237C3">
      <w:pPr>
        <w:pStyle w:val="ListParagraph"/>
        <w:autoSpaceDE w:val="0"/>
        <w:autoSpaceDN w:val="0"/>
        <w:adjustRightInd w:val="0"/>
        <w:ind w:left="426" w:firstLine="0"/>
      </w:pPr>
    </w:p>
    <w:p w14:paraId="285B1F11" w14:textId="76F46426" w:rsidR="009E2B6D" w:rsidRPr="008237C3" w:rsidRDefault="008237C3" w:rsidP="008237C3">
      <w:pPr>
        <w:pStyle w:val="ListParagraph"/>
        <w:numPr>
          <w:ilvl w:val="0"/>
          <w:numId w:val="30"/>
        </w:numPr>
        <w:autoSpaceDE w:val="0"/>
        <w:autoSpaceDN w:val="0"/>
        <w:adjustRightInd w:val="0"/>
        <w:ind w:left="426" w:hanging="426"/>
        <w:rPr>
          <w:rFonts w:eastAsia="Times New Roman"/>
        </w:rPr>
      </w:pPr>
      <w:r>
        <w:t>En outre, certaines Parties contractantes en Afrique bénéficieront d</w:t>
      </w:r>
      <w:r w:rsidR="006332FA">
        <w:t>’</w:t>
      </w:r>
      <w:r>
        <w:t>un soutien technique direct qui sera fourni pendant l</w:t>
      </w:r>
      <w:r w:rsidR="006332FA">
        <w:t>’</w:t>
      </w:r>
      <w:r>
        <w:t>intersession de trois ans de la formation sur l</w:t>
      </w:r>
      <w:r w:rsidR="006332FA">
        <w:t>’</w:t>
      </w:r>
      <w:r>
        <w:t>INZH. Les activités de soutien technique seront en adéquation avec les programmes d</w:t>
      </w:r>
      <w:r w:rsidR="006332FA">
        <w:t>’</w:t>
      </w:r>
      <w:r>
        <w:t>orientation et de renforcement des capacités, et cibleront le groupe de Parties africaines sélectionnées pour la formation. L</w:t>
      </w:r>
      <w:r w:rsidR="006332FA">
        <w:t>’</w:t>
      </w:r>
      <w:r>
        <w:t>objectif est que ces Parties reçoivent un soutien concret pour mettre en œuvre le processus structuré d</w:t>
      </w:r>
      <w:r w:rsidR="006332FA">
        <w:t>’</w:t>
      </w:r>
      <w:r>
        <w:t>INZH qui sera présenté dans le module 1 de la formation, et pour utiliser les éléments communs de l</w:t>
      </w:r>
      <w:r w:rsidR="006332FA">
        <w:t>’</w:t>
      </w:r>
      <w:r>
        <w:t>INZH (ensembles de données de base) et les protocoles de gestion des données qui seront définis dans les nouveaux documents d</w:t>
      </w:r>
      <w:r w:rsidR="006332FA">
        <w:t>’</w:t>
      </w:r>
      <w:r>
        <w:t>orientation (voir la section sur les nouvelles orientations plus haut). Ce soutien spécifique à la mise en œuvre de l</w:t>
      </w:r>
      <w:r w:rsidR="006332FA">
        <w:t>’</w:t>
      </w:r>
      <w:r>
        <w:t>INZH mobilisera les ressources disponibles dans les ministères, agences et universités au niveau national qui seront identifiés par les Parties sélectionnées afin d</w:t>
      </w:r>
      <w:r w:rsidR="006332FA">
        <w:t>’</w:t>
      </w:r>
      <w:r>
        <w:t xml:space="preserve">assurer </w:t>
      </w:r>
      <w:r w:rsidR="00CE6DA7">
        <w:t xml:space="preserve">une </w:t>
      </w:r>
      <w:r>
        <w:t>appropriation locale du processus d</w:t>
      </w:r>
      <w:r w:rsidR="006332FA">
        <w:t>’</w:t>
      </w:r>
      <w:r>
        <w:t xml:space="preserve">INZH. Les initiatives existantes et les ressources régionales seront dûment </w:t>
      </w:r>
      <w:r w:rsidR="00F00CD7">
        <w:t>examinées</w:t>
      </w:r>
      <w:r>
        <w:t>, et d</w:t>
      </w:r>
      <w:r w:rsidR="006332FA">
        <w:t>’</w:t>
      </w:r>
      <w:r>
        <w:t>autres accords institutionnels seront conclus, comme avec Digital Earth Africa. Cette activité de soutien technique sera menée grâce au soutien financier de la Région flamande de Belgique.</w:t>
      </w:r>
    </w:p>
    <w:p w14:paraId="4AC39CBA" w14:textId="77777777" w:rsidR="00536368" w:rsidRDefault="00536368" w:rsidP="00536368">
      <w:pPr>
        <w:pStyle w:val="ListParagraph"/>
        <w:autoSpaceDE w:val="0"/>
        <w:autoSpaceDN w:val="0"/>
        <w:adjustRightInd w:val="0"/>
        <w:ind w:left="426" w:firstLine="0"/>
        <w:rPr>
          <w:bCs/>
          <w:u w:val="single"/>
        </w:rPr>
      </w:pPr>
    </w:p>
    <w:p w14:paraId="061C5EF3" w14:textId="77777777" w:rsidR="00892E8C" w:rsidRDefault="00892E8C" w:rsidP="00892E8C">
      <w:pPr>
        <w:rPr>
          <w:bCs/>
          <w:u w:val="single"/>
        </w:rPr>
      </w:pPr>
      <w:r>
        <w:rPr>
          <w:u w:val="single"/>
        </w:rPr>
        <w:t>Mobilisation des ressources</w:t>
      </w:r>
    </w:p>
    <w:p w14:paraId="0973476E" w14:textId="77777777" w:rsidR="007259FB" w:rsidRDefault="007259FB" w:rsidP="00892E8C">
      <w:pPr>
        <w:rPr>
          <w:bCs/>
          <w:u w:val="single"/>
        </w:rPr>
      </w:pPr>
    </w:p>
    <w:p w14:paraId="2687EE73" w14:textId="0816ABE6" w:rsidR="00F00D2F" w:rsidRPr="00F00D2F" w:rsidRDefault="005A2438" w:rsidP="003B1DD7">
      <w:pPr>
        <w:pStyle w:val="ListParagraph"/>
        <w:numPr>
          <w:ilvl w:val="0"/>
          <w:numId w:val="30"/>
        </w:numPr>
        <w:autoSpaceDE w:val="0"/>
        <w:autoSpaceDN w:val="0"/>
        <w:adjustRightInd w:val="0"/>
        <w:ind w:left="426" w:hanging="426"/>
        <w:rPr>
          <w:rFonts w:asciiTheme="minorHAnsi" w:hAnsiTheme="minorHAnsi" w:cstheme="minorHAnsi"/>
        </w:rPr>
      </w:pPr>
      <w:r>
        <w:rPr>
          <w:rFonts w:asciiTheme="minorHAnsi" w:hAnsiTheme="minorHAnsi"/>
        </w:rPr>
        <w:t xml:space="preserve">Les ressources financières existantes permettent au Secrétariat de mener plusieurs activités dans le cadre du mécanisme de soutien </w:t>
      </w:r>
      <w:r w:rsidR="00500B14">
        <w:rPr>
          <w:rFonts w:asciiTheme="minorHAnsi" w:hAnsiTheme="minorHAnsi"/>
        </w:rPr>
        <w:t xml:space="preserve">à </w:t>
      </w:r>
      <w:r>
        <w:rPr>
          <w:rFonts w:asciiTheme="minorHAnsi" w:hAnsiTheme="minorHAnsi"/>
        </w:rPr>
        <w:t>l</w:t>
      </w:r>
      <w:r w:rsidR="006332FA">
        <w:rPr>
          <w:rFonts w:asciiTheme="minorHAnsi" w:hAnsiTheme="minorHAnsi"/>
        </w:rPr>
        <w:t>’</w:t>
      </w:r>
      <w:r>
        <w:rPr>
          <w:rFonts w:asciiTheme="minorHAnsi" w:hAnsiTheme="minorHAnsi"/>
        </w:rPr>
        <w:t>INZH au cours des prochaines années (voir le tableau 1 plus bas). Les évolutions et la mise en œuvre du soutien du Secrétariat aux Parties contractantes dans l</w:t>
      </w:r>
      <w:r w:rsidR="006332FA">
        <w:rPr>
          <w:rFonts w:asciiTheme="minorHAnsi" w:hAnsiTheme="minorHAnsi"/>
        </w:rPr>
        <w:t>’</w:t>
      </w:r>
      <w:r>
        <w:rPr>
          <w:rFonts w:asciiTheme="minorHAnsi" w:hAnsiTheme="minorHAnsi"/>
        </w:rPr>
        <w:t>élaboration des INZH nécessiter</w:t>
      </w:r>
      <w:r w:rsidR="005832BE">
        <w:rPr>
          <w:rFonts w:asciiTheme="minorHAnsi" w:hAnsiTheme="minorHAnsi"/>
        </w:rPr>
        <w:t>ont</w:t>
      </w:r>
      <w:r>
        <w:rPr>
          <w:rFonts w:asciiTheme="minorHAnsi" w:hAnsiTheme="minorHAnsi"/>
        </w:rPr>
        <w:t xml:space="preserve"> des ressources financières supplémentaires, notamment en ce qui concerne l</w:t>
      </w:r>
      <w:r w:rsidR="006332FA">
        <w:rPr>
          <w:rFonts w:asciiTheme="minorHAnsi" w:hAnsiTheme="minorHAnsi"/>
        </w:rPr>
        <w:t>’</w:t>
      </w:r>
      <w:r>
        <w:rPr>
          <w:rFonts w:asciiTheme="minorHAnsi" w:hAnsiTheme="minorHAnsi"/>
        </w:rPr>
        <w:t>élaboration de documents d</w:t>
      </w:r>
      <w:r w:rsidR="006332FA">
        <w:rPr>
          <w:rFonts w:asciiTheme="minorHAnsi" w:hAnsiTheme="minorHAnsi"/>
        </w:rPr>
        <w:t>’</w:t>
      </w:r>
      <w:r>
        <w:rPr>
          <w:rFonts w:asciiTheme="minorHAnsi" w:hAnsiTheme="minorHAnsi"/>
        </w:rPr>
        <w:t>orientation et de supports de formation, l</w:t>
      </w:r>
      <w:r w:rsidR="006332FA">
        <w:rPr>
          <w:rFonts w:asciiTheme="minorHAnsi" w:hAnsiTheme="minorHAnsi"/>
        </w:rPr>
        <w:t>’</w:t>
      </w:r>
      <w:r>
        <w:rPr>
          <w:rFonts w:asciiTheme="minorHAnsi" w:hAnsiTheme="minorHAnsi"/>
        </w:rPr>
        <w:t>augmentation du nombre de Parties contractantes bénéficiant d</w:t>
      </w:r>
      <w:r w:rsidR="006332FA">
        <w:rPr>
          <w:rFonts w:asciiTheme="minorHAnsi" w:hAnsiTheme="minorHAnsi"/>
        </w:rPr>
        <w:t>’</w:t>
      </w:r>
      <w:r>
        <w:rPr>
          <w:rFonts w:asciiTheme="minorHAnsi" w:hAnsiTheme="minorHAnsi"/>
        </w:rPr>
        <w:t>une formation en présentiel et l</w:t>
      </w:r>
      <w:r w:rsidR="006332FA">
        <w:rPr>
          <w:rFonts w:asciiTheme="minorHAnsi" w:hAnsiTheme="minorHAnsi"/>
        </w:rPr>
        <w:t>’</w:t>
      </w:r>
      <w:r>
        <w:rPr>
          <w:rFonts w:asciiTheme="minorHAnsi" w:hAnsiTheme="minorHAnsi"/>
        </w:rPr>
        <w:t>offre d</w:t>
      </w:r>
      <w:r w:rsidR="006332FA">
        <w:rPr>
          <w:rFonts w:asciiTheme="minorHAnsi" w:hAnsiTheme="minorHAnsi"/>
        </w:rPr>
        <w:t>’</w:t>
      </w:r>
      <w:r>
        <w:rPr>
          <w:rFonts w:asciiTheme="minorHAnsi" w:hAnsiTheme="minorHAnsi"/>
        </w:rPr>
        <w:t xml:space="preserve">un soutien dans les trois langues de la Convention. Le tableau ci-après donne une indication des besoins de financement entre 2025 et 2029. À ce stade, ces besoins financiers sont des estimations générales qui devront être affinées. </w:t>
      </w:r>
    </w:p>
    <w:p w14:paraId="693E063A" w14:textId="77777777" w:rsidR="000D6ADB" w:rsidRDefault="000D6ADB" w:rsidP="00DA36E1">
      <w:pPr>
        <w:keepNext/>
        <w:ind w:left="0" w:firstLine="0"/>
        <w:rPr>
          <w:i/>
        </w:rPr>
      </w:pPr>
    </w:p>
    <w:p w14:paraId="798102DC" w14:textId="77777777" w:rsidR="000D6ADB" w:rsidRDefault="000D6ADB" w:rsidP="00DA36E1">
      <w:pPr>
        <w:keepNext/>
        <w:ind w:left="0" w:firstLine="0"/>
        <w:rPr>
          <w:i/>
        </w:rPr>
      </w:pPr>
    </w:p>
    <w:p w14:paraId="180AB04F" w14:textId="25476B89" w:rsidR="00F00D2F" w:rsidRPr="00DA36E1" w:rsidRDefault="00F00D2F" w:rsidP="00DA36E1">
      <w:pPr>
        <w:keepNext/>
        <w:ind w:left="0" w:firstLine="0"/>
        <w:rPr>
          <w:i/>
        </w:rPr>
      </w:pPr>
      <w:r>
        <w:rPr>
          <w:i/>
        </w:rPr>
        <w:t>Tableau 1 : Mécanisme d</w:t>
      </w:r>
      <w:r w:rsidR="006332FA">
        <w:rPr>
          <w:i/>
        </w:rPr>
        <w:t>’</w:t>
      </w:r>
      <w:r>
        <w:rPr>
          <w:i/>
        </w:rPr>
        <w:t>appui aux inventaires : estimation des besoins de financement entre 2025 et 2029</w:t>
      </w:r>
    </w:p>
    <w:tbl>
      <w:tblPr>
        <w:tblStyle w:val="TableGrid"/>
        <w:tblW w:w="9214" w:type="dxa"/>
        <w:tblInd w:w="-5" w:type="dxa"/>
        <w:tblLayout w:type="fixed"/>
        <w:tblCellMar>
          <w:top w:w="28" w:type="dxa"/>
          <w:left w:w="85" w:type="dxa"/>
          <w:bottom w:w="28" w:type="dxa"/>
          <w:right w:w="85" w:type="dxa"/>
        </w:tblCellMar>
        <w:tblLook w:val="04A0" w:firstRow="1" w:lastRow="0" w:firstColumn="1" w:lastColumn="0" w:noHBand="0" w:noVBand="1"/>
      </w:tblPr>
      <w:tblGrid>
        <w:gridCol w:w="1701"/>
        <w:gridCol w:w="2127"/>
        <w:gridCol w:w="1795"/>
        <w:gridCol w:w="1795"/>
        <w:gridCol w:w="1796"/>
        <w:tblGridChange w:id="1">
          <w:tblGrid>
            <w:gridCol w:w="1701"/>
            <w:gridCol w:w="2127"/>
            <w:gridCol w:w="1795"/>
            <w:gridCol w:w="1795"/>
            <w:gridCol w:w="1796"/>
          </w:tblGrid>
        </w:tblGridChange>
      </w:tblGrid>
      <w:tr w:rsidR="00C35117" w:rsidRPr="00DA36E1" w14:paraId="5F4728AA" w14:textId="77777777" w:rsidTr="00DA36E1">
        <w:tc>
          <w:tcPr>
            <w:tcW w:w="1701" w:type="dxa"/>
            <w:shd w:val="clear" w:color="auto" w:fill="DBE5F1" w:themeFill="accent1" w:themeFillTint="33"/>
            <w:vAlign w:val="center"/>
          </w:tcPr>
          <w:p w14:paraId="2C943919" w14:textId="77777777" w:rsidR="00854B30" w:rsidRPr="00DA36E1" w:rsidRDefault="00854B30" w:rsidP="00DA36E1">
            <w:pPr>
              <w:keepNext/>
              <w:ind w:left="0" w:firstLine="0"/>
              <w:jc w:val="center"/>
              <w:rPr>
                <w:b/>
              </w:rPr>
            </w:pPr>
          </w:p>
        </w:tc>
        <w:tc>
          <w:tcPr>
            <w:tcW w:w="2127" w:type="dxa"/>
            <w:shd w:val="clear" w:color="auto" w:fill="DBE5F1" w:themeFill="accent1" w:themeFillTint="33"/>
            <w:vAlign w:val="center"/>
          </w:tcPr>
          <w:p w14:paraId="4D5F3DBC" w14:textId="77777777" w:rsidR="00854B30" w:rsidRPr="00DA36E1" w:rsidRDefault="00854B30" w:rsidP="00DA36E1">
            <w:pPr>
              <w:keepNext/>
              <w:ind w:left="0" w:firstLine="0"/>
              <w:jc w:val="center"/>
              <w:rPr>
                <w:b/>
              </w:rPr>
            </w:pPr>
            <w:r>
              <w:rPr>
                <w:b/>
              </w:rPr>
              <w:t>Objectif</w:t>
            </w:r>
          </w:p>
        </w:tc>
        <w:tc>
          <w:tcPr>
            <w:tcW w:w="1795" w:type="dxa"/>
            <w:shd w:val="clear" w:color="auto" w:fill="DBE5F1" w:themeFill="accent1" w:themeFillTint="33"/>
            <w:vAlign w:val="center"/>
          </w:tcPr>
          <w:p w14:paraId="59D04457" w14:textId="77777777" w:rsidR="00854B30" w:rsidRPr="00DA36E1" w:rsidRDefault="00854B30" w:rsidP="00DA36E1">
            <w:pPr>
              <w:keepNext/>
              <w:ind w:left="0" w:firstLine="0"/>
              <w:jc w:val="center"/>
              <w:rPr>
                <w:b/>
              </w:rPr>
            </w:pPr>
            <w:r>
              <w:rPr>
                <w:b/>
              </w:rPr>
              <w:t>Résultats attendus</w:t>
            </w:r>
          </w:p>
        </w:tc>
        <w:tc>
          <w:tcPr>
            <w:tcW w:w="1795" w:type="dxa"/>
            <w:shd w:val="clear" w:color="auto" w:fill="DBE5F1" w:themeFill="accent1" w:themeFillTint="33"/>
            <w:vAlign w:val="center"/>
          </w:tcPr>
          <w:p w14:paraId="25DA9ECA" w14:textId="77777777" w:rsidR="00854B30" w:rsidRPr="00DA36E1" w:rsidRDefault="00854B30" w:rsidP="00DA36E1">
            <w:pPr>
              <w:keepNext/>
              <w:ind w:left="0" w:firstLine="0"/>
              <w:jc w:val="center"/>
              <w:rPr>
                <w:b/>
              </w:rPr>
            </w:pPr>
            <w:r>
              <w:rPr>
                <w:b/>
              </w:rPr>
              <w:t>Financement garanti (en CHF)</w:t>
            </w:r>
          </w:p>
        </w:tc>
        <w:tc>
          <w:tcPr>
            <w:tcW w:w="1796" w:type="dxa"/>
            <w:shd w:val="clear" w:color="auto" w:fill="DBE5F1" w:themeFill="accent1" w:themeFillTint="33"/>
            <w:vAlign w:val="center"/>
          </w:tcPr>
          <w:p w14:paraId="4F0A7569" w14:textId="63E09872" w:rsidR="00854B30" w:rsidRPr="00DA36E1" w:rsidRDefault="00854B30" w:rsidP="00DA36E1">
            <w:pPr>
              <w:keepNext/>
              <w:ind w:left="0" w:firstLine="0"/>
              <w:jc w:val="center"/>
              <w:rPr>
                <w:b/>
              </w:rPr>
            </w:pPr>
            <w:r>
              <w:rPr>
                <w:b/>
              </w:rPr>
              <w:t>Besoins de financement pour 2025-2029 (en CHF)</w:t>
            </w:r>
          </w:p>
        </w:tc>
      </w:tr>
      <w:tr w:rsidR="00763DA6" w:rsidRPr="003F00E3" w14:paraId="747E2B4E" w14:textId="77777777" w:rsidTr="00DA36E1">
        <w:tc>
          <w:tcPr>
            <w:tcW w:w="1701" w:type="dxa"/>
            <w:vMerge w:val="restart"/>
          </w:tcPr>
          <w:p w14:paraId="47EFF4B3" w14:textId="3FF51D3E" w:rsidR="00763DA6" w:rsidRPr="003F00E3" w:rsidRDefault="00763DA6" w:rsidP="00763DA6">
            <w:pPr>
              <w:ind w:left="0" w:firstLine="0"/>
            </w:pPr>
            <w:r>
              <w:t>Documents d</w:t>
            </w:r>
            <w:r w:rsidR="006332FA">
              <w:t>’</w:t>
            </w:r>
            <w:r>
              <w:t>orientation</w:t>
            </w:r>
          </w:p>
        </w:tc>
        <w:tc>
          <w:tcPr>
            <w:tcW w:w="2127" w:type="dxa"/>
          </w:tcPr>
          <w:p w14:paraId="5B8B42EE" w14:textId="2C517EF1" w:rsidR="00763DA6" w:rsidRPr="003F00E3" w:rsidRDefault="005A2438" w:rsidP="00763DA6">
            <w:pPr>
              <w:ind w:left="0" w:firstLine="0"/>
            </w:pPr>
            <w:r>
              <w:rPr>
                <w:rFonts w:asciiTheme="minorHAnsi" w:hAnsiTheme="minorHAnsi"/>
              </w:rPr>
              <w:t>Accroître l</w:t>
            </w:r>
            <w:r w:rsidR="006332FA">
              <w:rPr>
                <w:rFonts w:asciiTheme="minorHAnsi" w:hAnsiTheme="minorHAnsi"/>
              </w:rPr>
              <w:t>’</w:t>
            </w:r>
            <w:r>
              <w:rPr>
                <w:rFonts w:asciiTheme="minorHAnsi" w:hAnsiTheme="minorHAnsi"/>
              </w:rPr>
              <w:t>utilité pour l</w:t>
            </w:r>
            <w:r w:rsidR="006332FA">
              <w:rPr>
                <w:rFonts w:asciiTheme="minorHAnsi" w:hAnsiTheme="minorHAnsi"/>
              </w:rPr>
              <w:t>’</w:t>
            </w:r>
            <w:r>
              <w:rPr>
                <w:rFonts w:asciiTheme="minorHAnsi" w:hAnsiTheme="minorHAnsi"/>
              </w:rPr>
              <w:t>action publique et les institutions du processus d</w:t>
            </w:r>
            <w:r w:rsidR="006332FA">
              <w:rPr>
                <w:rFonts w:asciiTheme="minorHAnsi" w:hAnsiTheme="minorHAnsi"/>
              </w:rPr>
              <w:t>’</w:t>
            </w:r>
            <w:r>
              <w:rPr>
                <w:rFonts w:asciiTheme="minorHAnsi" w:hAnsiTheme="minorHAnsi"/>
              </w:rPr>
              <w:t xml:space="preserve">INZH </w:t>
            </w:r>
          </w:p>
        </w:tc>
        <w:tc>
          <w:tcPr>
            <w:tcW w:w="1795" w:type="dxa"/>
          </w:tcPr>
          <w:p w14:paraId="08937E61" w14:textId="4D7FBBE4" w:rsidR="005A2438" w:rsidRPr="005A2438" w:rsidRDefault="005A2438" w:rsidP="00763DA6">
            <w:pPr>
              <w:ind w:left="0" w:firstLine="0"/>
              <w:rPr>
                <w:rFonts w:asciiTheme="minorHAnsi" w:hAnsiTheme="minorHAnsi" w:cstheme="minorBidi"/>
              </w:rPr>
            </w:pPr>
            <w:r>
              <w:rPr>
                <w:rFonts w:asciiTheme="minorHAnsi" w:hAnsiTheme="minorHAnsi"/>
              </w:rPr>
              <w:t>Définition des éléments communs de l</w:t>
            </w:r>
            <w:r w:rsidR="006332FA">
              <w:rPr>
                <w:rFonts w:asciiTheme="minorHAnsi" w:hAnsiTheme="minorHAnsi"/>
              </w:rPr>
              <w:t>’</w:t>
            </w:r>
            <w:r>
              <w:rPr>
                <w:rFonts w:asciiTheme="minorHAnsi" w:hAnsiTheme="minorHAnsi"/>
              </w:rPr>
              <w:t xml:space="preserve">INZH, y compris les </w:t>
            </w:r>
            <w:r>
              <w:rPr>
                <w:rFonts w:asciiTheme="minorHAnsi" w:hAnsiTheme="minorHAnsi"/>
              </w:rPr>
              <w:lastRenderedPageBreak/>
              <w:t>données/indicateurs de base</w:t>
            </w:r>
          </w:p>
        </w:tc>
        <w:tc>
          <w:tcPr>
            <w:tcW w:w="1795" w:type="dxa"/>
          </w:tcPr>
          <w:p w14:paraId="1D640185" w14:textId="77777777" w:rsidR="00763DA6" w:rsidRPr="003F00E3" w:rsidRDefault="00763DA6" w:rsidP="00763DA6">
            <w:pPr>
              <w:ind w:left="0" w:firstLine="0"/>
            </w:pPr>
            <w:r>
              <w:lastRenderedPageBreak/>
              <w:t>40 000</w:t>
            </w:r>
          </w:p>
        </w:tc>
        <w:tc>
          <w:tcPr>
            <w:tcW w:w="1796" w:type="dxa"/>
          </w:tcPr>
          <w:p w14:paraId="209AFA39" w14:textId="77777777" w:rsidR="00763DA6" w:rsidRPr="003F00E3" w:rsidRDefault="00763DA6" w:rsidP="00763DA6">
            <w:pPr>
              <w:ind w:left="0" w:firstLine="0"/>
            </w:pPr>
          </w:p>
        </w:tc>
      </w:tr>
      <w:tr w:rsidR="00763DA6" w:rsidRPr="003F00E3" w14:paraId="610B84BF" w14:textId="77777777" w:rsidTr="00DA36E1">
        <w:tc>
          <w:tcPr>
            <w:tcW w:w="1701" w:type="dxa"/>
            <w:vMerge/>
          </w:tcPr>
          <w:p w14:paraId="27503DEF" w14:textId="77777777" w:rsidR="00763DA6" w:rsidRPr="00CD6968" w:rsidRDefault="00763DA6" w:rsidP="00763DA6">
            <w:pPr>
              <w:ind w:left="0" w:firstLine="0"/>
            </w:pPr>
          </w:p>
        </w:tc>
        <w:tc>
          <w:tcPr>
            <w:tcW w:w="2127" w:type="dxa"/>
          </w:tcPr>
          <w:p w14:paraId="4C64B132" w14:textId="220ECE94" w:rsidR="00763DA6" w:rsidRPr="003F00E3" w:rsidRDefault="005A2438" w:rsidP="00763DA6">
            <w:pPr>
              <w:autoSpaceDE w:val="0"/>
              <w:autoSpaceDN w:val="0"/>
              <w:adjustRightInd w:val="0"/>
              <w:ind w:left="0" w:firstLine="0"/>
              <w:rPr>
                <w:rFonts w:asciiTheme="minorHAnsi" w:hAnsiTheme="minorHAnsi" w:cstheme="minorBidi"/>
              </w:rPr>
            </w:pPr>
            <w:r>
              <w:rPr>
                <w:rFonts w:asciiTheme="minorHAnsi" w:hAnsiTheme="minorHAnsi"/>
              </w:rPr>
              <w:t>Améliorer la qualité, la cohérence et l</w:t>
            </w:r>
            <w:r w:rsidR="006332FA">
              <w:rPr>
                <w:rFonts w:asciiTheme="minorHAnsi" w:hAnsiTheme="minorHAnsi"/>
              </w:rPr>
              <w:t>’</w:t>
            </w:r>
            <w:r>
              <w:rPr>
                <w:rFonts w:asciiTheme="minorHAnsi" w:hAnsiTheme="minorHAnsi"/>
              </w:rPr>
              <w:t>interopérabilité des données de l</w:t>
            </w:r>
            <w:r w:rsidR="006332FA">
              <w:rPr>
                <w:rFonts w:asciiTheme="minorHAnsi" w:hAnsiTheme="minorHAnsi"/>
              </w:rPr>
              <w:t>’</w:t>
            </w:r>
            <w:r>
              <w:rPr>
                <w:rFonts w:asciiTheme="minorHAnsi" w:hAnsiTheme="minorHAnsi"/>
              </w:rPr>
              <w:t>INZH</w:t>
            </w:r>
          </w:p>
        </w:tc>
        <w:tc>
          <w:tcPr>
            <w:tcW w:w="1795" w:type="dxa"/>
          </w:tcPr>
          <w:p w14:paraId="4DEEADEB" w14:textId="2D17CA80" w:rsidR="005A2438" w:rsidRPr="00CD6968" w:rsidRDefault="005A2438" w:rsidP="00763DA6">
            <w:pPr>
              <w:ind w:left="0" w:firstLine="0"/>
            </w:pPr>
            <w:r>
              <w:rPr>
                <w:rFonts w:asciiTheme="minorHAnsi" w:hAnsiTheme="minorHAnsi"/>
              </w:rPr>
              <w:t>Orientations sur les protocoles de gestion des données de l</w:t>
            </w:r>
            <w:r w:rsidR="006332FA">
              <w:rPr>
                <w:rFonts w:asciiTheme="minorHAnsi" w:hAnsiTheme="minorHAnsi"/>
              </w:rPr>
              <w:t>’</w:t>
            </w:r>
            <w:r>
              <w:rPr>
                <w:rFonts w:asciiTheme="minorHAnsi" w:hAnsiTheme="minorHAnsi"/>
              </w:rPr>
              <w:t>INZH</w:t>
            </w:r>
          </w:p>
        </w:tc>
        <w:tc>
          <w:tcPr>
            <w:tcW w:w="1795" w:type="dxa"/>
          </w:tcPr>
          <w:p w14:paraId="5892F9A5" w14:textId="77777777" w:rsidR="00763DA6" w:rsidRPr="00CD6968" w:rsidRDefault="00763DA6" w:rsidP="00763DA6">
            <w:pPr>
              <w:ind w:left="0" w:firstLine="0"/>
            </w:pPr>
            <w:r>
              <w:t>40 000</w:t>
            </w:r>
          </w:p>
        </w:tc>
        <w:tc>
          <w:tcPr>
            <w:tcW w:w="1796" w:type="dxa"/>
          </w:tcPr>
          <w:p w14:paraId="198010A7" w14:textId="77777777" w:rsidR="00763DA6" w:rsidRPr="00CD6968" w:rsidRDefault="00763DA6" w:rsidP="00763DA6">
            <w:pPr>
              <w:ind w:left="0" w:firstLine="0"/>
            </w:pPr>
          </w:p>
        </w:tc>
      </w:tr>
      <w:tr w:rsidR="00763DA6" w:rsidRPr="003F00E3" w14:paraId="29948AE4" w14:textId="77777777" w:rsidTr="00DA36E1">
        <w:tc>
          <w:tcPr>
            <w:tcW w:w="1701" w:type="dxa"/>
            <w:vMerge/>
          </w:tcPr>
          <w:p w14:paraId="11F0886E" w14:textId="77777777" w:rsidR="00763DA6" w:rsidRPr="00CD6968" w:rsidRDefault="00763DA6" w:rsidP="00763DA6">
            <w:pPr>
              <w:ind w:left="0" w:firstLine="0"/>
            </w:pPr>
          </w:p>
        </w:tc>
        <w:tc>
          <w:tcPr>
            <w:tcW w:w="2127" w:type="dxa"/>
          </w:tcPr>
          <w:p w14:paraId="53AE8CCC" w14:textId="04C055F6" w:rsidR="00763DA6" w:rsidRPr="003F00E3" w:rsidRDefault="00763DA6" w:rsidP="00763DA6">
            <w:pPr>
              <w:ind w:left="0" w:firstLine="0"/>
            </w:pPr>
            <w:r>
              <w:t>Renforcer les rôles et les responsabilités dans le processus d</w:t>
            </w:r>
            <w:r w:rsidR="006332FA">
              <w:t>’</w:t>
            </w:r>
            <w:r>
              <w:t>INZH</w:t>
            </w:r>
          </w:p>
        </w:tc>
        <w:tc>
          <w:tcPr>
            <w:tcW w:w="1795" w:type="dxa"/>
          </w:tcPr>
          <w:p w14:paraId="6A5C47B9" w14:textId="61AE8074" w:rsidR="00763DA6" w:rsidRPr="00CD6968" w:rsidRDefault="00763DA6" w:rsidP="00763DA6">
            <w:pPr>
              <w:ind w:left="0" w:firstLine="0"/>
            </w:pPr>
            <w:r>
              <w:rPr>
                <w:rFonts w:asciiTheme="minorHAnsi" w:hAnsiTheme="minorHAnsi"/>
              </w:rPr>
              <w:t>Orientations sur le processus structuré d</w:t>
            </w:r>
            <w:r w:rsidR="006332FA">
              <w:rPr>
                <w:rFonts w:asciiTheme="minorHAnsi" w:hAnsiTheme="minorHAnsi"/>
              </w:rPr>
              <w:t>’</w:t>
            </w:r>
            <w:r>
              <w:rPr>
                <w:rFonts w:asciiTheme="minorHAnsi" w:hAnsiTheme="minorHAnsi"/>
              </w:rPr>
              <w:t>INZH</w:t>
            </w:r>
          </w:p>
        </w:tc>
        <w:tc>
          <w:tcPr>
            <w:tcW w:w="1795" w:type="dxa"/>
          </w:tcPr>
          <w:p w14:paraId="71386756" w14:textId="77777777" w:rsidR="00763DA6" w:rsidRPr="00CD6968" w:rsidRDefault="00763DA6" w:rsidP="00763DA6">
            <w:pPr>
              <w:ind w:left="0" w:firstLine="0"/>
            </w:pPr>
          </w:p>
        </w:tc>
        <w:tc>
          <w:tcPr>
            <w:tcW w:w="1796" w:type="dxa"/>
          </w:tcPr>
          <w:p w14:paraId="1BE133FF" w14:textId="77777777" w:rsidR="00763DA6" w:rsidRPr="00CD6968" w:rsidRDefault="005801A1" w:rsidP="00763DA6">
            <w:pPr>
              <w:ind w:left="0" w:firstLine="0"/>
            </w:pPr>
            <w:r>
              <w:t>50 000</w:t>
            </w:r>
          </w:p>
        </w:tc>
      </w:tr>
      <w:tr w:rsidR="00763DA6" w14:paraId="2295C556" w14:textId="77777777" w:rsidTr="00DA36E1">
        <w:tc>
          <w:tcPr>
            <w:tcW w:w="1701" w:type="dxa"/>
            <w:vMerge w:val="restart"/>
          </w:tcPr>
          <w:p w14:paraId="42A10AB8" w14:textId="77777777" w:rsidR="00763DA6" w:rsidRPr="00CD6968" w:rsidRDefault="00763DA6" w:rsidP="00763DA6">
            <w:pPr>
              <w:ind w:left="0" w:firstLine="0"/>
            </w:pPr>
            <w:r>
              <w:t>Renforcement des capacités</w:t>
            </w:r>
          </w:p>
        </w:tc>
        <w:tc>
          <w:tcPr>
            <w:tcW w:w="2127" w:type="dxa"/>
          </w:tcPr>
          <w:p w14:paraId="37251008" w14:textId="79A31025" w:rsidR="00763DA6" w:rsidRPr="003F00E3" w:rsidRDefault="00763DA6" w:rsidP="00763DA6">
            <w:pPr>
              <w:ind w:left="0" w:firstLine="0"/>
            </w:pPr>
            <w:r>
              <w:t>Renforcer les capacités de réalisation d</w:t>
            </w:r>
            <w:r w:rsidR="006332FA">
              <w:t>’</w:t>
            </w:r>
            <w:r>
              <w:t>un processus complet d</w:t>
            </w:r>
            <w:r w:rsidR="006332FA">
              <w:t>’</w:t>
            </w:r>
            <w:r>
              <w:t>INZH</w:t>
            </w:r>
          </w:p>
        </w:tc>
        <w:tc>
          <w:tcPr>
            <w:tcW w:w="1795" w:type="dxa"/>
          </w:tcPr>
          <w:p w14:paraId="23E4DEEC" w14:textId="513CE068" w:rsidR="00763DA6" w:rsidRPr="003F00E3" w:rsidRDefault="00763DA6" w:rsidP="00763DA6">
            <w:pPr>
              <w:ind w:left="0" w:firstLine="0"/>
            </w:pPr>
            <w:r>
              <w:t>Module 1</w:t>
            </w:r>
            <w:r>
              <w:br/>
              <w:t>formation en présentiel</w:t>
            </w:r>
          </w:p>
        </w:tc>
        <w:tc>
          <w:tcPr>
            <w:tcW w:w="1795" w:type="dxa"/>
          </w:tcPr>
          <w:p w14:paraId="1E48B94F" w14:textId="77777777" w:rsidR="00763DA6" w:rsidRPr="003F00E3" w:rsidRDefault="00763DA6" w:rsidP="00763DA6">
            <w:pPr>
              <w:ind w:left="0" w:firstLine="0"/>
            </w:pPr>
            <w:r>
              <w:t>60 000 pour la session en anglais</w:t>
            </w:r>
          </w:p>
          <w:p w14:paraId="66F9E0AA" w14:textId="77777777" w:rsidR="00763DA6" w:rsidRPr="003F00E3" w:rsidRDefault="00763DA6" w:rsidP="00763DA6">
            <w:pPr>
              <w:ind w:left="0" w:firstLine="0"/>
            </w:pPr>
            <w:r>
              <w:t>120 000 euros pour les sessions en français et en espagnol</w:t>
            </w:r>
          </w:p>
        </w:tc>
        <w:tc>
          <w:tcPr>
            <w:tcW w:w="1796" w:type="dxa"/>
          </w:tcPr>
          <w:p w14:paraId="1B2CD937" w14:textId="77777777" w:rsidR="00763DA6" w:rsidRPr="003F00E3" w:rsidRDefault="00763DA6" w:rsidP="00763DA6">
            <w:pPr>
              <w:ind w:left="0" w:firstLine="0"/>
            </w:pPr>
          </w:p>
        </w:tc>
      </w:tr>
      <w:tr w:rsidR="00763DA6" w14:paraId="7D58BE5B" w14:textId="77777777" w:rsidTr="00DA36E1">
        <w:tc>
          <w:tcPr>
            <w:tcW w:w="1701" w:type="dxa"/>
            <w:vMerge/>
          </w:tcPr>
          <w:p w14:paraId="66C02A1D" w14:textId="77777777" w:rsidR="00763DA6" w:rsidRPr="00CD6968" w:rsidRDefault="00763DA6" w:rsidP="00763DA6">
            <w:pPr>
              <w:ind w:left="0" w:firstLine="0"/>
            </w:pPr>
          </w:p>
        </w:tc>
        <w:tc>
          <w:tcPr>
            <w:tcW w:w="2127" w:type="dxa"/>
          </w:tcPr>
          <w:p w14:paraId="751C8B60" w14:textId="03113513" w:rsidR="00763DA6" w:rsidRPr="003F00E3" w:rsidRDefault="00081A18" w:rsidP="00763DA6">
            <w:pPr>
              <w:ind w:left="0" w:firstLine="0"/>
            </w:pPr>
            <w:r>
              <w:t xml:space="preserve">Accroître </w:t>
            </w:r>
            <w:r w:rsidR="00763DA6">
              <w:t>l</w:t>
            </w:r>
            <w:r w:rsidR="006332FA">
              <w:t>’</w:t>
            </w:r>
            <w:r w:rsidR="00763DA6">
              <w:t>utilisation adéquate des techniques d</w:t>
            </w:r>
            <w:r w:rsidR="006332FA">
              <w:t>’</w:t>
            </w:r>
            <w:r w:rsidR="00763DA6">
              <w:t>observation de la Terre</w:t>
            </w:r>
          </w:p>
        </w:tc>
        <w:tc>
          <w:tcPr>
            <w:tcW w:w="1795" w:type="dxa"/>
          </w:tcPr>
          <w:p w14:paraId="631BD0D8" w14:textId="2779D577" w:rsidR="00763DA6" w:rsidRPr="003F00E3" w:rsidRDefault="00763DA6" w:rsidP="00763DA6">
            <w:pPr>
              <w:ind w:left="0" w:firstLine="0"/>
            </w:pPr>
            <w:r>
              <w:t>Module 2</w:t>
            </w:r>
            <w:r>
              <w:br/>
              <w:t>formation en présentiel</w:t>
            </w:r>
          </w:p>
        </w:tc>
        <w:tc>
          <w:tcPr>
            <w:tcW w:w="1795" w:type="dxa"/>
          </w:tcPr>
          <w:p w14:paraId="3D27C8C2" w14:textId="77777777" w:rsidR="00763DA6" w:rsidRPr="003F00E3" w:rsidRDefault="00763DA6" w:rsidP="00763DA6">
            <w:pPr>
              <w:ind w:left="0" w:firstLine="0"/>
            </w:pPr>
            <w:r>
              <w:t>60 000 pour la session en anglais</w:t>
            </w:r>
          </w:p>
          <w:p w14:paraId="3A4D8F99" w14:textId="77777777" w:rsidR="00763DA6" w:rsidRPr="003F00E3" w:rsidRDefault="00763DA6" w:rsidP="00763DA6">
            <w:pPr>
              <w:ind w:left="0" w:firstLine="0"/>
            </w:pPr>
          </w:p>
        </w:tc>
        <w:tc>
          <w:tcPr>
            <w:tcW w:w="1796" w:type="dxa"/>
          </w:tcPr>
          <w:p w14:paraId="4C8AA13F" w14:textId="77777777" w:rsidR="00763DA6" w:rsidRPr="003F00E3" w:rsidRDefault="00763DA6" w:rsidP="00763DA6">
            <w:pPr>
              <w:ind w:left="0" w:firstLine="0"/>
            </w:pPr>
            <w:r>
              <w:t>120 000 euros pour les sessions en français et en espagnol</w:t>
            </w:r>
          </w:p>
        </w:tc>
      </w:tr>
      <w:tr w:rsidR="00763DA6" w14:paraId="74E6AD78" w14:textId="77777777" w:rsidTr="00DA36E1">
        <w:tc>
          <w:tcPr>
            <w:tcW w:w="1701" w:type="dxa"/>
            <w:vMerge/>
          </w:tcPr>
          <w:p w14:paraId="508BAC68" w14:textId="77777777" w:rsidR="00763DA6" w:rsidRPr="00CD6968" w:rsidRDefault="00763DA6" w:rsidP="00763DA6">
            <w:pPr>
              <w:ind w:left="0" w:firstLine="0"/>
            </w:pPr>
          </w:p>
        </w:tc>
        <w:tc>
          <w:tcPr>
            <w:tcW w:w="2127" w:type="dxa"/>
          </w:tcPr>
          <w:p w14:paraId="1961FBA8" w14:textId="77777777" w:rsidR="00763DA6" w:rsidRPr="003F00E3" w:rsidRDefault="00763DA6" w:rsidP="00763DA6">
            <w:pPr>
              <w:ind w:left="0" w:firstLine="0"/>
            </w:pPr>
            <w:r>
              <w:t>Améliorer les mises à jour des INZH</w:t>
            </w:r>
          </w:p>
        </w:tc>
        <w:tc>
          <w:tcPr>
            <w:tcW w:w="1795" w:type="dxa"/>
          </w:tcPr>
          <w:p w14:paraId="5F0028C2" w14:textId="5B0FF185" w:rsidR="00763DA6" w:rsidRPr="003F00E3" w:rsidRDefault="00763DA6" w:rsidP="00763DA6">
            <w:pPr>
              <w:ind w:left="0" w:firstLine="0"/>
            </w:pPr>
            <w:r>
              <w:t>Module 3</w:t>
            </w:r>
            <w:r>
              <w:br/>
              <w:t>formation en présentiel</w:t>
            </w:r>
          </w:p>
        </w:tc>
        <w:tc>
          <w:tcPr>
            <w:tcW w:w="1795" w:type="dxa"/>
          </w:tcPr>
          <w:p w14:paraId="24287451" w14:textId="77777777" w:rsidR="00763DA6" w:rsidRPr="003F00E3" w:rsidRDefault="00763DA6" w:rsidP="00763DA6">
            <w:pPr>
              <w:ind w:left="0" w:firstLine="0"/>
            </w:pPr>
            <w:r>
              <w:t>60 000 pour la session en anglais</w:t>
            </w:r>
          </w:p>
        </w:tc>
        <w:tc>
          <w:tcPr>
            <w:tcW w:w="1796" w:type="dxa"/>
          </w:tcPr>
          <w:p w14:paraId="3F031919" w14:textId="77777777" w:rsidR="00763DA6" w:rsidRPr="003F00E3" w:rsidRDefault="00763DA6" w:rsidP="00763DA6">
            <w:pPr>
              <w:ind w:left="0" w:firstLine="0"/>
            </w:pPr>
            <w:r>
              <w:t>120 000 euros pour les sessions en français et en espagnol</w:t>
            </w:r>
          </w:p>
        </w:tc>
      </w:tr>
      <w:tr w:rsidR="00763DA6" w14:paraId="0CC9435F" w14:textId="77777777" w:rsidTr="00DA36E1">
        <w:tc>
          <w:tcPr>
            <w:tcW w:w="1701" w:type="dxa"/>
            <w:vMerge/>
          </w:tcPr>
          <w:p w14:paraId="5099C92E" w14:textId="77777777" w:rsidR="00763DA6" w:rsidRPr="00CD6968" w:rsidRDefault="00763DA6" w:rsidP="00763DA6">
            <w:pPr>
              <w:ind w:left="0" w:firstLine="0"/>
            </w:pPr>
          </w:p>
        </w:tc>
        <w:tc>
          <w:tcPr>
            <w:tcW w:w="2127" w:type="dxa"/>
          </w:tcPr>
          <w:p w14:paraId="36C7DBD4" w14:textId="462DD0AD" w:rsidR="00763DA6" w:rsidRPr="003F00E3" w:rsidRDefault="00763DA6" w:rsidP="00763DA6">
            <w:pPr>
              <w:ind w:left="0" w:firstLine="0"/>
            </w:pPr>
            <w:r>
              <w:t>Développer des connaissances sur le processus de réalisation d</w:t>
            </w:r>
            <w:r w:rsidR="006332FA">
              <w:t>’</w:t>
            </w:r>
            <w:r>
              <w:t>INZH</w:t>
            </w:r>
          </w:p>
        </w:tc>
        <w:tc>
          <w:tcPr>
            <w:tcW w:w="1795" w:type="dxa"/>
          </w:tcPr>
          <w:p w14:paraId="2C491FFF" w14:textId="77777777" w:rsidR="00763DA6" w:rsidRPr="003F00E3" w:rsidRDefault="00763DA6" w:rsidP="00763DA6">
            <w:pPr>
              <w:ind w:left="0" w:firstLine="0"/>
            </w:pPr>
            <w:r>
              <w:t>Supports de formation en ligne</w:t>
            </w:r>
          </w:p>
        </w:tc>
        <w:tc>
          <w:tcPr>
            <w:tcW w:w="1795" w:type="dxa"/>
          </w:tcPr>
          <w:p w14:paraId="0C5D3429" w14:textId="77777777" w:rsidR="00763DA6" w:rsidRPr="003F00E3" w:rsidRDefault="00790671" w:rsidP="00763DA6">
            <w:pPr>
              <w:ind w:left="0" w:firstLine="0"/>
            </w:pPr>
            <w:r>
              <w:t xml:space="preserve">20 000 </w:t>
            </w:r>
          </w:p>
        </w:tc>
        <w:tc>
          <w:tcPr>
            <w:tcW w:w="1796" w:type="dxa"/>
          </w:tcPr>
          <w:p w14:paraId="6EA6B70C" w14:textId="77777777" w:rsidR="00763DA6" w:rsidRPr="00910830" w:rsidRDefault="00790671" w:rsidP="00763DA6">
            <w:pPr>
              <w:ind w:left="0" w:firstLine="0"/>
            </w:pPr>
            <w:r>
              <w:t>20 000</w:t>
            </w:r>
          </w:p>
        </w:tc>
      </w:tr>
      <w:tr w:rsidR="00763DA6" w14:paraId="3F4C3F91" w14:textId="77777777" w:rsidTr="00DA36E1">
        <w:tc>
          <w:tcPr>
            <w:tcW w:w="1701" w:type="dxa"/>
            <w:vMerge w:val="restart"/>
          </w:tcPr>
          <w:p w14:paraId="202A384E" w14:textId="39169360" w:rsidR="00763DA6" w:rsidRPr="00CD6968" w:rsidRDefault="00763DA6" w:rsidP="00763DA6">
            <w:pPr>
              <w:ind w:left="0" w:firstLine="0"/>
            </w:pPr>
            <w:r>
              <w:t>Appui à la mise en œuvre</w:t>
            </w:r>
          </w:p>
        </w:tc>
        <w:tc>
          <w:tcPr>
            <w:tcW w:w="2127" w:type="dxa"/>
          </w:tcPr>
          <w:p w14:paraId="0EBEC2EF" w14:textId="66AB4E38" w:rsidR="00763DA6" w:rsidRPr="00CD6968" w:rsidRDefault="00763DA6" w:rsidP="00763DA6">
            <w:pPr>
              <w:ind w:left="0" w:firstLine="0"/>
            </w:pPr>
            <w:r>
              <w:t>Aider les Parties à collecter les données nécessaires à l</w:t>
            </w:r>
            <w:r w:rsidR="006332FA">
              <w:t>’</w:t>
            </w:r>
            <w:r>
              <w:t>INZH</w:t>
            </w:r>
          </w:p>
        </w:tc>
        <w:tc>
          <w:tcPr>
            <w:tcW w:w="1795" w:type="dxa"/>
          </w:tcPr>
          <w:p w14:paraId="4748FFF3" w14:textId="45379B10" w:rsidR="00763DA6" w:rsidRPr="00CD6968" w:rsidRDefault="00763DA6" w:rsidP="00763DA6">
            <w:pPr>
              <w:ind w:left="0" w:firstLine="0"/>
            </w:pPr>
            <w:r>
              <w:t>Étude de faisabilité et consultation pour une initiative consacrée à l</w:t>
            </w:r>
            <w:r w:rsidR="006332FA">
              <w:t>’</w:t>
            </w:r>
            <w:r>
              <w:t xml:space="preserve">appui </w:t>
            </w:r>
            <w:r w:rsidR="00283411">
              <w:t>aux</w:t>
            </w:r>
            <w:r w:rsidR="00063283">
              <w:t xml:space="preserve"> techniques</w:t>
            </w:r>
            <w:r>
              <w:t xml:space="preserve"> </w:t>
            </w:r>
            <w:r w:rsidR="00063283">
              <w:t>d</w:t>
            </w:r>
            <w:r w:rsidR="006332FA">
              <w:t>’</w:t>
            </w:r>
            <w:r>
              <w:t>observation de la Terre</w:t>
            </w:r>
          </w:p>
        </w:tc>
        <w:tc>
          <w:tcPr>
            <w:tcW w:w="1795" w:type="dxa"/>
          </w:tcPr>
          <w:p w14:paraId="568FDECC" w14:textId="77777777" w:rsidR="00763DA6" w:rsidRPr="00CD6968" w:rsidRDefault="00763DA6" w:rsidP="00763DA6">
            <w:pPr>
              <w:ind w:left="0" w:firstLine="0"/>
            </w:pPr>
          </w:p>
        </w:tc>
        <w:tc>
          <w:tcPr>
            <w:tcW w:w="1796" w:type="dxa"/>
          </w:tcPr>
          <w:p w14:paraId="686329EC" w14:textId="77777777" w:rsidR="00763DA6" w:rsidRPr="00885E33" w:rsidRDefault="00763DA6" w:rsidP="00763DA6">
            <w:pPr>
              <w:ind w:left="0" w:firstLine="0"/>
            </w:pPr>
            <w:r>
              <w:t>40 000</w:t>
            </w:r>
          </w:p>
        </w:tc>
      </w:tr>
      <w:tr w:rsidR="00763DA6" w14:paraId="34B88A7A" w14:textId="77777777" w:rsidTr="00DA36E1">
        <w:tc>
          <w:tcPr>
            <w:tcW w:w="1701" w:type="dxa"/>
            <w:vMerge/>
          </w:tcPr>
          <w:p w14:paraId="6B2F68AD" w14:textId="77777777" w:rsidR="00763DA6" w:rsidRDefault="00763DA6" w:rsidP="00763DA6">
            <w:pPr>
              <w:ind w:left="0" w:firstLine="0"/>
              <w:rPr>
                <w:u w:val="single"/>
              </w:rPr>
            </w:pPr>
          </w:p>
        </w:tc>
        <w:tc>
          <w:tcPr>
            <w:tcW w:w="2127" w:type="dxa"/>
          </w:tcPr>
          <w:p w14:paraId="14CFAE3C" w14:textId="179C01F1" w:rsidR="00763DA6" w:rsidRPr="00CD6968" w:rsidRDefault="00763DA6" w:rsidP="00763DA6">
            <w:pPr>
              <w:ind w:left="0" w:firstLine="0"/>
            </w:pPr>
            <w:r>
              <w:t>Accompagner les Parties africaines dans la conception et la réalisation d</w:t>
            </w:r>
            <w:r w:rsidR="006332FA">
              <w:t>’</w:t>
            </w:r>
            <w:r>
              <w:t>un processus d</w:t>
            </w:r>
            <w:r w:rsidR="006332FA">
              <w:t>’</w:t>
            </w:r>
            <w:r>
              <w:t>INZH</w:t>
            </w:r>
          </w:p>
        </w:tc>
        <w:tc>
          <w:tcPr>
            <w:tcW w:w="1795" w:type="dxa"/>
          </w:tcPr>
          <w:p w14:paraId="7E5BF129" w14:textId="570333CB" w:rsidR="00763DA6" w:rsidRPr="00CD6968" w:rsidRDefault="00954457" w:rsidP="00763DA6">
            <w:pPr>
              <w:ind w:left="0" w:firstLine="0"/>
            </w:pPr>
            <w:r>
              <w:t>Soutien technique au processus d</w:t>
            </w:r>
            <w:r w:rsidR="006332FA">
              <w:t>’</w:t>
            </w:r>
            <w:r>
              <w:t>INZH dans certains pays africains</w:t>
            </w:r>
          </w:p>
        </w:tc>
        <w:tc>
          <w:tcPr>
            <w:tcW w:w="1795" w:type="dxa"/>
          </w:tcPr>
          <w:p w14:paraId="283FA908" w14:textId="77777777" w:rsidR="00763DA6" w:rsidRPr="00CD6968" w:rsidRDefault="00763DA6" w:rsidP="00763DA6">
            <w:pPr>
              <w:ind w:left="0" w:firstLine="0"/>
            </w:pPr>
            <w:r>
              <w:t>135 000</w:t>
            </w:r>
          </w:p>
        </w:tc>
        <w:tc>
          <w:tcPr>
            <w:tcW w:w="1796" w:type="dxa"/>
          </w:tcPr>
          <w:p w14:paraId="2D446A8E" w14:textId="0029D79F" w:rsidR="00763DA6" w:rsidRPr="00885E33" w:rsidRDefault="00C80988" w:rsidP="00763DA6">
            <w:pPr>
              <w:ind w:left="0" w:firstLine="0"/>
            </w:pPr>
            <w:r>
              <w:rPr>
                <w:rFonts w:cs="Calibri"/>
              </w:rPr>
              <w:t>À</w:t>
            </w:r>
            <w:r w:rsidR="00763DA6">
              <w:t xml:space="preserve"> déterminer en fonction des nouvelles demandes des pays</w:t>
            </w:r>
          </w:p>
        </w:tc>
      </w:tr>
    </w:tbl>
    <w:p w14:paraId="31BA6FD0" w14:textId="3FBE310A" w:rsidR="00D95133" w:rsidRDefault="00D95133">
      <w:pPr>
        <w:rPr>
          <w:bCs/>
        </w:rPr>
      </w:pPr>
    </w:p>
    <w:sectPr w:rsidR="00D95133" w:rsidSect="00733CA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1FE22" w14:textId="77777777" w:rsidR="00C35117" w:rsidRPr="00ED6A4F" w:rsidRDefault="00C35117" w:rsidP="00DF2386">
      <w:r w:rsidRPr="00ED6A4F">
        <w:separator/>
      </w:r>
    </w:p>
  </w:endnote>
  <w:endnote w:type="continuationSeparator" w:id="0">
    <w:p w14:paraId="7D9585AA" w14:textId="77777777" w:rsidR="00C35117" w:rsidRPr="00ED6A4F" w:rsidRDefault="00C35117" w:rsidP="00DF2386">
      <w:r w:rsidRPr="00ED6A4F">
        <w:continuationSeparator/>
      </w:r>
    </w:p>
  </w:endnote>
  <w:endnote w:type="continuationNotice" w:id="1">
    <w:p w14:paraId="7F80CCBC" w14:textId="77777777" w:rsidR="00C35117" w:rsidRDefault="00C35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184C4" w14:textId="77777777" w:rsidR="0046373D" w:rsidRDefault="00463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D491" w14:textId="77777777" w:rsidR="00F73E71" w:rsidRPr="00ED6A4F" w:rsidRDefault="00E07553" w:rsidP="002137E0">
    <w:pPr>
      <w:pStyle w:val="Header"/>
    </w:pPr>
    <w:r>
      <w:rPr>
        <w:sz w:val="20"/>
      </w:rPr>
      <w:t>SC63 Doc.10</w:t>
    </w:r>
    <w:r>
      <w:tab/>
    </w:r>
    <w:r>
      <w:tab/>
    </w:r>
    <w:sdt>
      <w:sdtPr>
        <w:id w:val="-1790969534"/>
        <w:docPartObj>
          <w:docPartGallery w:val="Page Numbers (Top of Page)"/>
          <w:docPartUnique/>
        </w:docPartObj>
      </w:sdtPr>
      <w:sdtEndPr/>
      <w:sdtContent>
        <w:r w:rsidR="00F73E71" w:rsidRPr="00ED6A4F">
          <w:rPr>
            <w:sz w:val="20"/>
          </w:rPr>
          <w:fldChar w:fldCharType="begin"/>
        </w:r>
        <w:r w:rsidR="00F73E71" w:rsidRPr="00ED6A4F">
          <w:rPr>
            <w:sz w:val="20"/>
          </w:rPr>
          <w:instrText xml:space="preserve"> PAGE   \* MERGEFORMAT </w:instrText>
        </w:r>
        <w:r w:rsidR="00F73E71" w:rsidRPr="00ED6A4F">
          <w:rPr>
            <w:sz w:val="20"/>
          </w:rPr>
          <w:fldChar w:fldCharType="separate"/>
        </w:r>
        <w:r w:rsidR="007201C7" w:rsidRPr="00ED6A4F">
          <w:rPr>
            <w:sz w:val="20"/>
          </w:rPr>
          <w:t>4</w:t>
        </w:r>
        <w:r w:rsidR="00F73E71" w:rsidRPr="00ED6A4F">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B2A3" w14:textId="77777777" w:rsidR="0046373D" w:rsidRDefault="00463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C08E9" w14:textId="77777777" w:rsidR="00C35117" w:rsidRPr="00ED6A4F" w:rsidRDefault="00C35117" w:rsidP="00DF2386">
      <w:r w:rsidRPr="00ED6A4F">
        <w:separator/>
      </w:r>
    </w:p>
  </w:footnote>
  <w:footnote w:type="continuationSeparator" w:id="0">
    <w:p w14:paraId="6BB5F337" w14:textId="77777777" w:rsidR="00C35117" w:rsidRPr="00ED6A4F" w:rsidRDefault="00C35117" w:rsidP="00DF2386">
      <w:r w:rsidRPr="00ED6A4F">
        <w:continuationSeparator/>
      </w:r>
    </w:p>
  </w:footnote>
  <w:footnote w:type="continuationNotice" w:id="1">
    <w:p w14:paraId="12172E39" w14:textId="77777777" w:rsidR="00C35117" w:rsidRDefault="00C35117"/>
  </w:footnote>
  <w:footnote w:id="2">
    <w:p w14:paraId="43A0EB95" w14:textId="313B962F" w:rsidR="0019088C" w:rsidRPr="00ED6A4F" w:rsidRDefault="0019088C" w:rsidP="00DA36E1">
      <w:pPr>
        <w:pStyle w:val="FootnoteText"/>
        <w:ind w:left="0" w:firstLine="0"/>
      </w:pPr>
      <w:r>
        <w:rPr>
          <w:rStyle w:val="FootnoteReference"/>
        </w:rPr>
        <w:footnoteRef/>
      </w:r>
      <w:r w:rsidR="00E41A26">
        <w:t xml:space="preserve"> </w:t>
      </w:r>
      <w:r>
        <w:t>Le PNUE est co-dépositaire de l</w:t>
      </w:r>
      <w:r w:rsidR="006332FA">
        <w:t>’</w:t>
      </w:r>
      <w:r>
        <w:t xml:space="preserve">Indicateur 6.6.1. </w:t>
      </w:r>
      <w:r w:rsidR="00775BF8">
        <w:t>Il</w:t>
      </w:r>
      <w:r>
        <w:t xml:space="preserve"> fournit des données d</w:t>
      </w:r>
      <w:r w:rsidR="006332FA">
        <w:t>’</w:t>
      </w:r>
      <w:r>
        <w:t>observation de la Terre sur les lacs, les rivières et les réservoirs, l</w:t>
      </w:r>
      <w:r w:rsidR="006332FA">
        <w:t>’</w:t>
      </w:r>
      <w:r>
        <w:t>étendue des eaux de surface, l</w:t>
      </w:r>
      <w:r w:rsidR="006332FA">
        <w:t>’</w:t>
      </w:r>
      <w:r>
        <w:t>étendue des mangroves, l</w:t>
      </w:r>
      <w:r w:rsidR="006332FA">
        <w:t>’</w:t>
      </w:r>
      <w:r>
        <w:t>étendue des zones humides végétalisées et la qualité de l</w:t>
      </w:r>
      <w:r w:rsidR="006332FA">
        <w:t>’</w:t>
      </w:r>
      <w:r>
        <w:t>eau (en utilisant la chlorophylle a et la turbidité comme indicateur) pour chacun des États membres des Nations Unies. Pour plus d</w:t>
      </w:r>
      <w:r w:rsidR="006332FA">
        <w:t>’</w:t>
      </w:r>
      <w:r>
        <w:t xml:space="preserve">informations sur la méthodologie : </w:t>
      </w:r>
      <w:hyperlink r:id="rId1" w:history="1">
        <w:r>
          <w:rPr>
            <w:rStyle w:val="Hyperlink"/>
          </w:rPr>
          <w:t>Metadata-06-06-01a.pdf (un.org)</w:t>
        </w:r>
      </w:hyperlink>
      <w:r>
        <w:t xml:space="preserve"> ; et pour accéder aux données : </w:t>
      </w:r>
      <w:hyperlink r:id="rId2" w:history="1">
        <w:r>
          <w:rPr>
            <w:rStyle w:val="Hyperlink"/>
          </w:rPr>
          <w:t>SDG 6.6.1 (sdg661.app)</w:t>
        </w:r>
      </w:hyperlink>
      <w:r>
        <w:t>. Pour plus d</w:t>
      </w:r>
      <w:r w:rsidR="006332FA">
        <w:t>’</w:t>
      </w:r>
      <w:r>
        <w:t xml:space="preserve">informations sur la méthodologie de la Convention : </w:t>
      </w:r>
      <w:hyperlink r:id="rId3" w:history="1">
        <w:r>
          <w:rPr>
            <w:rStyle w:val="Hyperlink"/>
          </w:rPr>
          <w:t>Metadata-06-06-01b.pdf (un.org)</w:t>
        </w:r>
      </w:hyperlink>
      <w:r>
        <w:t>.</w:t>
      </w:r>
    </w:p>
  </w:footnote>
  <w:footnote w:id="3">
    <w:p w14:paraId="78BAC6BC" w14:textId="308465C0" w:rsidR="00943608" w:rsidRDefault="00943608" w:rsidP="00A71D09">
      <w:pPr>
        <w:pStyle w:val="FootnoteText"/>
        <w:ind w:left="0" w:firstLine="0"/>
      </w:pPr>
      <w:r>
        <w:rPr>
          <w:rStyle w:val="FootnoteReference"/>
        </w:rPr>
        <w:footnoteRef/>
      </w:r>
      <w:r>
        <w:t xml:space="preserve"> Voir </w:t>
      </w:r>
      <w:hyperlink r:id="rId4" w:history="1">
        <w:r w:rsidR="002B42EB" w:rsidRPr="00863B70">
          <w:rPr>
            <w:rStyle w:val="Hyperlink"/>
          </w:rPr>
          <w:t>https://www.ramsar.org/fr/document/sc63-inf2-national-wetland-inventories-synthesis-13-depth-interviews-further</w:t>
        </w:r>
      </w:hyperlink>
      <w:r>
        <w:t>.</w:t>
      </w:r>
    </w:p>
  </w:footnote>
  <w:footnote w:id="4">
    <w:p w14:paraId="2B23F54E" w14:textId="5E42ACFC" w:rsidR="0033234A" w:rsidRPr="00DA36E1" w:rsidRDefault="0033234A" w:rsidP="00DA36E1">
      <w:pPr>
        <w:ind w:left="0" w:firstLine="0"/>
        <w:rPr>
          <w:sz w:val="20"/>
          <w:szCs w:val="20"/>
        </w:rPr>
      </w:pPr>
      <w:r>
        <w:rPr>
          <w:rStyle w:val="FootnoteReference"/>
          <w:sz w:val="20"/>
          <w:szCs w:val="20"/>
        </w:rPr>
        <w:footnoteRef/>
      </w:r>
      <w:r>
        <w:rPr>
          <w:sz w:val="20"/>
        </w:rPr>
        <w:t xml:space="preserve"> La communauté internationale des chercheurs a élaboré les principes directeurs FAIR (</w:t>
      </w:r>
      <w:r>
        <w:rPr>
          <w:i/>
          <w:iCs/>
          <w:sz w:val="20"/>
        </w:rPr>
        <w:t>Findable, Accessible, Interoperable, Reusable</w:t>
      </w:r>
      <w:r>
        <w:rPr>
          <w:sz w:val="20"/>
        </w:rPr>
        <w:t xml:space="preserve">) pour la gestion des données scientifiques afin de fournir des lignes directrices pour que les contenus numériques soient plus facilement accessibles, compris, échangeables et réutilisables </w:t>
      </w:r>
      <w:r w:rsidRPr="00DA36E1">
        <w:rPr>
          <w:sz w:val="20"/>
        </w:rPr>
        <w:fldChar w:fldCharType="begin"/>
      </w:r>
      <w:r w:rsidRPr="00DA36E1">
        <w:rPr>
          <w:sz w:val="20"/>
        </w:rPr>
        <w:instrText xml:space="preserve"> ADDIN ZOTERO_ITEM CSL_CITATION {"citationID":"a5Tr2WUR","properties":{"formattedCitation":"(Wilkinson et al., 2016)","plainCitation":"(Wilkinson et al., 2016)","noteIndex":0},"citationItems":[{"id":2642,"uris":["http://zotero.org/users/11854005/items/V8B6XQND"],"itemData":{"id":2642,"type":"article-journal","abstract":"Abstract\n            There is an urgent need to improve the infrastructure supporting the reuse of scholarly data. A diverse set of stakeholders—representing academia, industry, funding agencies, and scholarly publishers—have come together to design and jointly endorse a concise and measureable set of principles that we refer to as the FAIR Data Principles. The intent is that these may act as a guideline for those wishing to enhance the reusability of their data holdings. Distinct from peer initiatives that focus on the human scholar, the FAIR Principles put specific emphasis on enhancing the ability of machines to automatically find and use the data, in addition to supporting its reuse by individuals. This Comment is the first formal publication of the FAIR Principles, and includes the rationale behind them, and some exemplar implementations in the community.","container-title":"Scientific Data","DOI":"10.1038/sdata.2016.18","ISSN":"2052-4463","issue":"1","journalAbbreviation":"Sci Data","language":"en","page":"160018","source":"DOI.org (Crossref)","title":"The FAIR Guiding Principles for scientific data management and stewardship","URL":"https://www.nature.com/articles/sdata201618","volume":"3","author":[{"family":"Wilkinson","given":"M.D."},{"family":"Dumontier","given":"Michel"},{"family":"Aalbersberg","given":"I."},{"family":"Appleton","given":"G."},{"family":"Axton","given":"M."},{"family":"Baak","given":"Arie"},{"family":"Blomberg","given":"Niklas"},{"family":"Boiten","given":"Jan-Willem"},{"family":"Da Silva Santos","given":"Luiz Bonino"},{"family":"Bourne","given":"Philip E."},{"family":"Bouwman","given":"Jildau"},{"family":"Brookes","given":"Anthony J."},{"family":"Clark","given":"Tim"},{"family":"Crosas","given":"Mercè"},{"family":"Dillo","given":"Ingrid"},{"family":"Dumon","given":"Olivier"},{"family":"Edmunds","given":"Scott"},{"family":"Evelo","given":"Chris T."},{"family":"Finkers","given":"Richard"},{"family":"Gonzalez-Beltran","given":"Alejandra"},{"family":"Gray","given":"Alasdair J.G."},{"family":"Groth","given":"Paul"},{"family":"Goble","given":"Carole"},{"family":"Grethe","given":"Jeffrey S."},{"family":"Heringa","given":"Jaap"},{"family":"’T Hoen","given":"Peter A.C"},{"family":"Hooft","given":"Rob"},{"family":"Kuhn","given":"Tobias"},{"family":"Kok","given":"Ruben"},{"family":"Kok","given":"Joost"},{"family":"Lusher","given":"Scott J."},{"family":"Martone","given":"Maryann E."},{"family":"Mons","given":"Albert"},{"family":"Packer","given":"Abel L."},{"family":"Persson","given":"Bengt"},{"family":"Rocca-Serra","given":"Philippe"},{"family":"Roos","given":"Marco"},{"family":"Van Schaik","given":"Rene"},{"family":"Sansone","given":"Susanna-Assunta"},{"family":"Schultes","given":"Erik"},{"family":"Sengstag","given":"Thierry"},{"family":"Slater","given":"Ted"},{"family":"Strawn","given":"George"},{"family":"Swertz","given":"Morris A."},{"family":"Thompson","given":"Mark"},{"family":"Van Der Lei","given":"Johan"},{"family":"Van Mulligen","given":"Erik"},{"family":"Velterop","given":"Jan"},{"family":"Waagmeester","given":"Andra"},{"family":"Wittenburg","given":"Peter"},{"family":"Wolstencroft","given":"Katherine"},{"family":"Zhao","given":"Jun"},{"family":"Mons","given":"Barend"}],"accessed":{"date-parts":[["2023",11,27]]},"issued":{"date-parts":[["2016",3,15]]}}}],"schema":"https://github.com/citation-style-language/schema/raw/master/csl-citation.json"} </w:instrText>
      </w:r>
      <w:r w:rsidRPr="00DA36E1">
        <w:rPr>
          <w:sz w:val="20"/>
        </w:rPr>
        <w:fldChar w:fldCharType="separate"/>
      </w:r>
      <w:hyperlink r:id="rId5" w:history="1">
        <w:r w:rsidR="007F09CD" w:rsidRPr="007F09CD">
          <w:rPr>
            <w:rStyle w:val="Hyperlink"/>
            <w:sz w:val="20"/>
          </w:rPr>
          <w:t>https://www.nature.com/articles/sdata201618</w:t>
        </w:r>
      </w:hyperlink>
      <w:r w:rsidRPr="00DA36E1">
        <w:rPr>
          <w:sz w:val="20"/>
        </w:rPr>
        <w:t>)</w:t>
      </w:r>
      <w:r w:rsidRPr="00DA36E1">
        <w:rPr>
          <w:sz w:val="20"/>
        </w:rPr>
        <w:fldChar w:fldCharType="end"/>
      </w:r>
      <w:r>
        <w:rPr>
          <w:sz w:val="20"/>
        </w:rPr>
        <w:t>. Les principes TRUST proposent un cadre pour faciliter l</w:t>
      </w:r>
      <w:r w:rsidR="006332FA">
        <w:rPr>
          <w:sz w:val="20"/>
        </w:rPr>
        <w:t>’</w:t>
      </w:r>
      <w:r>
        <w:rPr>
          <w:sz w:val="20"/>
        </w:rPr>
        <w:t>application des meilleures pratiques en matière de conservation numérique en ce qui concerne la transparence (</w:t>
      </w:r>
      <w:r>
        <w:rPr>
          <w:i/>
          <w:iCs/>
          <w:sz w:val="20"/>
        </w:rPr>
        <w:t>Transparency</w:t>
      </w:r>
      <w:r>
        <w:rPr>
          <w:sz w:val="20"/>
        </w:rPr>
        <w:t>), la responsabilité (</w:t>
      </w:r>
      <w:r>
        <w:rPr>
          <w:i/>
          <w:iCs/>
          <w:sz w:val="20"/>
        </w:rPr>
        <w:t>Responsability</w:t>
      </w:r>
      <w:r>
        <w:rPr>
          <w:sz w:val="20"/>
        </w:rPr>
        <w:t>), l</w:t>
      </w:r>
      <w:r w:rsidR="006332FA">
        <w:rPr>
          <w:sz w:val="20"/>
        </w:rPr>
        <w:t>’</w:t>
      </w:r>
      <w:r>
        <w:rPr>
          <w:sz w:val="20"/>
        </w:rPr>
        <w:t>attention portée à l</w:t>
      </w:r>
      <w:r w:rsidR="006332FA">
        <w:rPr>
          <w:sz w:val="20"/>
        </w:rPr>
        <w:t>’</w:t>
      </w:r>
      <w:r>
        <w:rPr>
          <w:sz w:val="20"/>
        </w:rPr>
        <w:t>utilisateur (</w:t>
      </w:r>
      <w:r>
        <w:rPr>
          <w:i/>
          <w:iCs/>
          <w:sz w:val="20"/>
        </w:rPr>
        <w:t>User focus</w:t>
      </w:r>
      <w:r>
        <w:rPr>
          <w:sz w:val="20"/>
        </w:rPr>
        <w:t>), la durabilité (</w:t>
      </w:r>
      <w:r>
        <w:rPr>
          <w:i/>
          <w:iCs/>
          <w:sz w:val="20"/>
        </w:rPr>
        <w:t>Sustainability</w:t>
      </w:r>
      <w:r>
        <w:rPr>
          <w:sz w:val="20"/>
        </w:rPr>
        <w:t>) et la technologie (</w:t>
      </w:r>
      <w:r>
        <w:rPr>
          <w:i/>
          <w:iCs/>
          <w:sz w:val="20"/>
        </w:rPr>
        <w:t>Technology</w:t>
      </w:r>
      <w:r>
        <w:rPr>
          <w:sz w:val="20"/>
        </w:rPr>
        <w:t xml:space="preserve">). Si les principes FAIR sont principalement axés sur les aspects des métadonnées, notamment les identifiants pérennes, les principes TRUST portent sur la conservation et la préservation des données et des ressources connexes </w:t>
      </w:r>
      <w:r w:rsidRPr="00DA36E1">
        <w:rPr>
          <w:sz w:val="20"/>
        </w:rPr>
        <w:fldChar w:fldCharType="begin"/>
      </w:r>
      <w:r w:rsidRPr="00DA36E1">
        <w:rPr>
          <w:sz w:val="20"/>
        </w:rPr>
        <w:instrText xml:space="preserve"> ADDIN ZOTERO_ITEM CSL_CITATION {"citationID":"hXyVaDUH","properties":{"formattedCitation":"(Lin et al., 2020)","plainCitation":"(Lin et al., 2020)","noteIndex":0},"citationItems":[{"id":2645,"uris":["http://zotero.org/users/11854005/items/HZMTLREB"],"itemData":{"id":2645,"type":"article-journal","container-title":"Scientific Data","DOI":"10.1038/s41597-020-0486-7","ISSN":"2052-4463","issue":"1","journalAbbreviation":"Sci Data","language":"en","page":"144","source":"DOI.org (Crossref)","title":"The TRUST Principles for digital repositories","URL":"https://www.nature.com/articles/s41597-020-0486-7","volume":"7","author":[{"family":"Lin","given":"D."},{"family":"Crabtree","given":"J."},{"family":"Dillo","given":"I."},{"family":"Downs","given":"Robert R."},{"family":"Edmunds","given":"R."},{"family":"Giaretta","given":"David"},{"family":"De Giusti","given":"Marisa"},{"family":"L’Hours","given":"Hervé"},{"family":"Hugo","given":"Wim"},{"family":"Jenkyns","given":"Reyna"},{"family":"Khodiyar","given":"Varsha"},{"family":"Martone","given":"Maryann E."},{"family":"Mokrane","given":"Mustapha"},{"family":"Navale","given":"Vivek"},{"family":"Petters","given":"Jonathan"},{"family":"Sierman","given":"Barbara"},{"family":"Sokolova","given":"Dina V."},{"family":"Stockhause","given":"Martina"},{"family":"Westbrook","given":"John"}],"accessed":{"date-parts":[["2023",11,27]]},"issued":{"date-parts":[["2020",5,14]]}}}],"schema":"https://github.com/citation-style-language/schema/raw/master/csl-citation.json"} </w:instrText>
      </w:r>
      <w:r w:rsidRPr="00DA36E1">
        <w:rPr>
          <w:sz w:val="20"/>
        </w:rPr>
        <w:fldChar w:fldCharType="separate"/>
      </w:r>
      <w:r w:rsidRPr="00DA36E1">
        <w:rPr>
          <w:sz w:val="20"/>
        </w:rPr>
        <w:t>(Lin et al., 2020</w:t>
      </w:r>
      <w:r w:rsidR="00161CC3" w:rsidRPr="00DA36E1">
        <w:rPr>
          <w:sz w:val="20"/>
        </w:rPr>
        <w:t xml:space="preserve">, </w:t>
      </w:r>
      <w:hyperlink r:id="rId6" w:history="1">
        <w:r w:rsidR="007F09CD" w:rsidRPr="007F09CD">
          <w:rPr>
            <w:rStyle w:val="Hyperlink"/>
            <w:sz w:val="20"/>
          </w:rPr>
          <w:t>https://www.nature.com/articles/s41597-020-0486-7</w:t>
        </w:r>
      </w:hyperlink>
      <w:r w:rsidRPr="00DA36E1">
        <w:rPr>
          <w:sz w:val="20"/>
        </w:rPr>
        <w:t>)</w:t>
      </w:r>
      <w:r w:rsidRPr="00DA36E1">
        <w:rPr>
          <w:sz w:val="20"/>
        </w:rPr>
        <w:fldChar w:fldCharType="end"/>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E4A9" w14:textId="77777777" w:rsidR="0046373D" w:rsidRDefault="00463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5F93" w14:textId="77777777" w:rsidR="00F73E71" w:rsidRPr="00ED6A4F" w:rsidRDefault="00F73E71">
    <w:pPr>
      <w:pStyle w:val="Header"/>
    </w:pPr>
  </w:p>
  <w:p w14:paraId="7DAF5075" w14:textId="77777777" w:rsidR="00F73E71" w:rsidRPr="00ED6A4F" w:rsidRDefault="00F73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FC2F" w14:textId="77777777" w:rsidR="0046373D" w:rsidRDefault="00463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2950C2"/>
    <w:multiLevelType w:val="hybridMultilevel"/>
    <w:tmpl w:val="E2EACEF4"/>
    <w:lvl w:ilvl="0" w:tplc="6F62616E">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4039DE"/>
    <w:multiLevelType w:val="hybridMultilevel"/>
    <w:tmpl w:val="74B23C2E"/>
    <w:lvl w:ilvl="0" w:tplc="61EE56CE">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C768A"/>
    <w:multiLevelType w:val="hybridMultilevel"/>
    <w:tmpl w:val="D4961A06"/>
    <w:lvl w:ilvl="0" w:tplc="0409000F">
      <w:start w:val="1"/>
      <w:numFmt w:val="decimal"/>
      <w:lvlText w:val="%1."/>
      <w:lvlJc w:val="left"/>
      <w:pPr>
        <w:ind w:left="720" w:hanging="360"/>
      </w:pPr>
      <w:rPr>
        <w:rFonts w:hint="default"/>
      </w:rPr>
    </w:lvl>
    <w:lvl w:ilvl="1" w:tplc="CFE067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A6E1EBC"/>
    <w:multiLevelType w:val="hybridMultilevel"/>
    <w:tmpl w:val="9440C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9" w15:restartNumberingAfterBreak="0">
    <w:nsid w:val="6CB4095A"/>
    <w:multiLevelType w:val="hybridMultilevel"/>
    <w:tmpl w:val="47AE4A62"/>
    <w:lvl w:ilvl="0" w:tplc="1D689D7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7"/>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4"/>
  </w:num>
  <w:num w:numId="13">
    <w:abstractNumId w:val="18"/>
  </w:num>
  <w:num w:numId="14">
    <w:abstractNumId w:val="12"/>
  </w:num>
  <w:num w:numId="15">
    <w:abstractNumId w:val="2"/>
  </w:num>
  <w:num w:numId="16">
    <w:abstractNumId w:val="15"/>
  </w:num>
  <w:num w:numId="17">
    <w:abstractNumId w:val="22"/>
  </w:num>
  <w:num w:numId="18">
    <w:abstractNumId w:val="31"/>
  </w:num>
  <w:num w:numId="19">
    <w:abstractNumId w:val="30"/>
  </w:num>
  <w:num w:numId="20">
    <w:abstractNumId w:val="24"/>
  </w:num>
  <w:num w:numId="21">
    <w:abstractNumId w:val="26"/>
  </w:num>
  <w:num w:numId="22">
    <w:abstractNumId w:val="16"/>
  </w:num>
  <w:num w:numId="23">
    <w:abstractNumId w:val="23"/>
  </w:num>
  <w:num w:numId="24">
    <w:abstractNumId w:val="20"/>
  </w:num>
  <w:num w:numId="25">
    <w:abstractNumId w:val="28"/>
  </w:num>
  <w:num w:numId="26">
    <w:abstractNumId w:val="8"/>
  </w:num>
  <w:num w:numId="27">
    <w:abstractNumId w:val="0"/>
  </w:num>
  <w:num w:numId="28">
    <w:abstractNumId w:val="11"/>
  </w:num>
  <w:num w:numId="29">
    <w:abstractNumId w:val="3"/>
  </w:num>
  <w:num w:numId="30">
    <w:abstractNumId w:val="29"/>
  </w:num>
  <w:num w:numId="31">
    <w:abstractNumId w:val="19"/>
  </w:num>
  <w:num w:numId="32">
    <w:abstractNumId w:val="13"/>
  </w:num>
  <w:num w:numId="33">
    <w:abstractNumId w:val="9"/>
  </w:num>
  <w:num w:numId="34">
    <w:abstractNumId w:val="2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258F"/>
    <w:rsid w:val="00002D31"/>
    <w:rsid w:val="0000572F"/>
    <w:rsid w:val="00006949"/>
    <w:rsid w:val="00006BAF"/>
    <w:rsid w:val="00010BDF"/>
    <w:rsid w:val="00010F04"/>
    <w:rsid w:val="00012C9D"/>
    <w:rsid w:val="00014168"/>
    <w:rsid w:val="00014B1D"/>
    <w:rsid w:val="000155D7"/>
    <w:rsid w:val="000156EF"/>
    <w:rsid w:val="000160C8"/>
    <w:rsid w:val="00016314"/>
    <w:rsid w:val="00017A16"/>
    <w:rsid w:val="00023A8D"/>
    <w:rsid w:val="000244CB"/>
    <w:rsid w:val="000269CA"/>
    <w:rsid w:val="00026E09"/>
    <w:rsid w:val="0002765E"/>
    <w:rsid w:val="000314B6"/>
    <w:rsid w:val="00033D74"/>
    <w:rsid w:val="0003404E"/>
    <w:rsid w:val="000364F2"/>
    <w:rsid w:val="00037CE0"/>
    <w:rsid w:val="00041A66"/>
    <w:rsid w:val="00041E47"/>
    <w:rsid w:val="00042C65"/>
    <w:rsid w:val="00042CCC"/>
    <w:rsid w:val="00052219"/>
    <w:rsid w:val="00053929"/>
    <w:rsid w:val="00054679"/>
    <w:rsid w:val="0005522B"/>
    <w:rsid w:val="00056244"/>
    <w:rsid w:val="000605F9"/>
    <w:rsid w:val="00063283"/>
    <w:rsid w:val="000641D8"/>
    <w:rsid w:val="0006702D"/>
    <w:rsid w:val="0006790D"/>
    <w:rsid w:val="00070E9E"/>
    <w:rsid w:val="00072AE8"/>
    <w:rsid w:val="00074DE8"/>
    <w:rsid w:val="00075856"/>
    <w:rsid w:val="00076C43"/>
    <w:rsid w:val="00077419"/>
    <w:rsid w:val="00080AA2"/>
    <w:rsid w:val="0008163D"/>
    <w:rsid w:val="00081A18"/>
    <w:rsid w:val="000832D0"/>
    <w:rsid w:val="00085890"/>
    <w:rsid w:val="000921EE"/>
    <w:rsid w:val="00094035"/>
    <w:rsid w:val="000944EB"/>
    <w:rsid w:val="00096EC3"/>
    <w:rsid w:val="000A3E3E"/>
    <w:rsid w:val="000A5BB5"/>
    <w:rsid w:val="000A7209"/>
    <w:rsid w:val="000A77B8"/>
    <w:rsid w:val="000B09CF"/>
    <w:rsid w:val="000B0DF9"/>
    <w:rsid w:val="000B10E8"/>
    <w:rsid w:val="000B1119"/>
    <w:rsid w:val="000C0EA8"/>
    <w:rsid w:val="000C1FB9"/>
    <w:rsid w:val="000C2489"/>
    <w:rsid w:val="000C7AA8"/>
    <w:rsid w:val="000D2C9D"/>
    <w:rsid w:val="000D32B6"/>
    <w:rsid w:val="000D5C76"/>
    <w:rsid w:val="000D6ADB"/>
    <w:rsid w:val="000D6D0F"/>
    <w:rsid w:val="000E0504"/>
    <w:rsid w:val="000E2FA0"/>
    <w:rsid w:val="000E47E9"/>
    <w:rsid w:val="000E4FA6"/>
    <w:rsid w:val="000E5E9E"/>
    <w:rsid w:val="000E6887"/>
    <w:rsid w:val="000F071D"/>
    <w:rsid w:val="000F2409"/>
    <w:rsid w:val="000F39DC"/>
    <w:rsid w:val="000F3EDC"/>
    <w:rsid w:val="000F684B"/>
    <w:rsid w:val="00100571"/>
    <w:rsid w:val="001009A8"/>
    <w:rsid w:val="001022C5"/>
    <w:rsid w:val="00103503"/>
    <w:rsid w:val="00105BCD"/>
    <w:rsid w:val="00106B6E"/>
    <w:rsid w:val="00107857"/>
    <w:rsid w:val="00110DBF"/>
    <w:rsid w:val="00115D6F"/>
    <w:rsid w:val="001163FB"/>
    <w:rsid w:val="00116427"/>
    <w:rsid w:val="0012096C"/>
    <w:rsid w:val="00125217"/>
    <w:rsid w:val="00125D49"/>
    <w:rsid w:val="001267AF"/>
    <w:rsid w:val="00127828"/>
    <w:rsid w:val="00132539"/>
    <w:rsid w:val="00133470"/>
    <w:rsid w:val="001338FC"/>
    <w:rsid w:val="00136976"/>
    <w:rsid w:val="00136E3B"/>
    <w:rsid w:val="00137C03"/>
    <w:rsid w:val="0014028B"/>
    <w:rsid w:val="00142621"/>
    <w:rsid w:val="00142A19"/>
    <w:rsid w:val="001452DC"/>
    <w:rsid w:val="00150021"/>
    <w:rsid w:val="00155D36"/>
    <w:rsid w:val="00157844"/>
    <w:rsid w:val="0016013A"/>
    <w:rsid w:val="00161BDA"/>
    <w:rsid w:val="00161CC3"/>
    <w:rsid w:val="00165451"/>
    <w:rsid w:val="00171618"/>
    <w:rsid w:val="0017308B"/>
    <w:rsid w:val="00175AC8"/>
    <w:rsid w:val="00176BE9"/>
    <w:rsid w:val="001819B1"/>
    <w:rsid w:val="001820B7"/>
    <w:rsid w:val="001829C0"/>
    <w:rsid w:val="0019088C"/>
    <w:rsid w:val="00190C96"/>
    <w:rsid w:val="00191207"/>
    <w:rsid w:val="00191640"/>
    <w:rsid w:val="00191719"/>
    <w:rsid w:val="00191D0C"/>
    <w:rsid w:val="0019524F"/>
    <w:rsid w:val="001A2D10"/>
    <w:rsid w:val="001A33D6"/>
    <w:rsid w:val="001A3492"/>
    <w:rsid w:val="001A3B00"/>
    <w:rsid w:val="001B1E4D"/>
    <w:rsid w:val="001B26F2"/>
    <w:rsid w:val="001C3E3F"/>
    <w:rsid w:val="001C4803"/>
    <w:rsid w:val="001C4D78"/>
    <w:rsid w:val="001C5E41"/>
    <w:rsid w:val="001C6294"/>
    <w:rsid w:val="001C77BC"/>
    <w:rsid w:val="001D0207"/>
    <w:rsid w:val="001D0F83"/>
    <w:rsid w:val="001D344C"/>
    <w:rsid w:val="001D48BB"/>
    <w:rsid w:val="001E00E3"/>
    <w:rsid w:val="001E067F"/>
    <w:rsid w:val="001E76B4"/>
    <w:rsid w:val="001F2349"/>
    <w:rsid w:val="001F52A2"/>
    <w:rsid w:val="001F52AB"/>
    <w:rsid w:val="001F785F"/>
    <w:rsid w:val="002005D2"/>
    <w:rsid w:val="002008CB"/>
    <w:rsid w:val="00200B6A"/>
    <w:rsid w:val="0020298B"/>
    <w:rsid w:val="00202DEA"/>
    <w:rsid w:val="00205321"/>
    <w:rsid w:val="00206111"/>
    <w:rsid w:val="002066B8"/>
    <w:rsid w:val="002119AA"/>
    <w:rsid w:val="00212F28"/>
    <w:rsid w:val="002137E0"/>
    <w:rsid w:val="0021625B"/>
    <w:rsid w:val="002216E2"/>
    <w:rsid w:val="00221720"/>
    <w:rsid w:val="00222AF5"/>
    <w:rsid w:val="00223702"/>
    <w:rsid w:val="00225F65"/>
    <w:rsid w:val="00226F15"/>
    <w:rsid w:val="00233883"/>
    <w:rsid w:val="00242839"/>
    <w:rsid w:val="00242D0A"/>
    <w:rsid w:val="00245E7B"/>
    <w:rsid w:val="0024722E"/>
    <w:rsid w:val="0025605B"/>
    <w:rsid w:val="0025630F"/>
    <w:rsid w:val="00256477"/>
    <w:rsid w:val="00256B9C"/>
    <w:rsid w:val="002572C8"/>
    <w:rsid w:val="00262A79"/>
    <w:rsid w:val="00264968"/>
    <w:rsid w:val="00267D8F"/>
    <w:rsid w:val="002704C9"/>
    <w:rsid w:val="002741AC"/>
    <w:rsid w:val="00274EB1"/>
    <w:rsid w:val="00275F13"/>
    <w:rsid w:val="00280168"/>
    <w:rsid w:val="002802A0"/>
    <w:rsid w:val="002809C6"/>
    <w:rsid w:val="002819C0"/>
    <w:rsid w:val="00282591"/>
    <w:rsid w:val="00283411"/>
    <w:rsid w:val="00287016"/>
    <w:rsid w:val="00287A23"/>
    <w:rsid w:val="00287DA4"/>
    <w:rsid w:val="00290795"/>
    <w:rsid w:val="00295556"/>
    <w:rsid w:val="00295BB5"/>
    <w:rsid w:val="00295D42"/>
    <w:rsid w:val="00295F1E"/>
    <w:rsid w:val="00296E98"/>
    <w:rsid w:val="002A01BD"/>
    <w:rsid w:val="002A3389"/>
    <w:rsid w:val="002A4B0C"/>
    <w:rsid w:val="002A5A4D"/>
    <w:rsid w:val="002A5D44"/>
    <w:rsid w:val="002A62D8"/>
    <w:rsid w:val="002A733D"/>
    <w:rsid w:val="002B1F21"/>
    <w:rsid w:val="002B3D13"/>
    <w:rsid w:val="002B4262"/>
    <w:rsid w:val="002B42EB"/>
    <w:rsid w:val="002C1B5D"/>
    <w:rsid w:val="002C49C8"/>
    <w:rsid w:val="002C73B8"/>
    <w:rsid w:val="002D0952"/>
    <w:rsid w:val="002D0AC0"/>
    <w:rsid w:val="002D2157"/>
    <w:rsid w:val="002D5A4D"/>
    <w:rsid w:val="002D609D"/>
    <w:rsid w:val="002D628E"/>
    <w:rsid w:val="002E0577"/>
    <w:rsid w:val="002E22AF"/>
    <w:rsid w:val="002E4597"/>
    <w:rsid w:val="002E540D"/>
    <w:rsid w:val="002E60BF"/>
    <w:rsid w:val="002E7C5C"/>
    <w:rsid w:val="002F0AAC"/>
    <w:rsid w:val="002F17AD"/>
    <w:rsid w:val="002F1F4C"/>
    <w:rsid w:val="002F5169"/>
    <w:rsid w:val="002F5942"/>
    <w:rsid w:val="002F6155"/>
    <w:rsid w:val="002F6C82"/>
    <w:rsid w:val="002F6E3B"/>
    <w:rsid w:val="002F7266"/>
    <w:rsid w:val="003004CE"/>
    <w:rsid w:val="00300A9C"/>
    <w:rsid w:val="0030160F"/>
    <w:rsid w:val="003030D4"/>
    <w:rsid w:val="00306C3D"/>
    <w:rsid w:val="00313CD7"/>
    <w:rsid w:val="00321B16"/>
    <w:rsid w:val="00324398"/>
    <w:rsid w:val="0033234A"/>
    <w:rsid w:val="00335270"/>
    <w:rsid w:val="00337BCD"/>
    <w:rsid w:val="00343186"/>
    <w:rsid w:val="0034532C"/>
    <w:rsid w:val="0034638E"/>
    <w:rsid w:val="00346855"/>
    <w:rsid w:val="0035716A"/>
    <w:rsid w:val="00360F0D"/>
    <w:rsid w:val="0036114A"/>
    <w:rsid w:val="00367EB2"/>
    <w:rsid w:val="00370AF7"/>
    <w:rsid w:val="003731CD"/>
    <w:rsid w:val="003742E6"/>
    <w:rsid w:val="00374D15"/>
    <w:rsid w:val="003752D3"/>
    <w:rsid w:val="0037668C"/>
    <w:rsid w:val="00376B01"/>
    <w:rsid w:val="00376ED0"/>
    <w:rsid w:val="003846F8"/>
    <w:rsid w:val="00384FC3"/>
    <w:rsid w:val="00386A65"/>
    <w:rsid w:val="00386AE8"/>
    <w:rsid w:val="00386E31"/>
    <w:rsid w:val="00386EC6"/>
    <w:rsid w:val="003939E1"/>
    <w:rsid w:val="00395D52"/>
    <w:rsid w:val="00397561"/>
    <w:rsid w:val="003A0964"/>
    <w:rsid w:val="003A15B7"/>
    <w:rsid w:val="003A236D"/>
    <w:rsid w:val="003A35C4"/>
    <w:rsid w:val="003A3804"/>
    <w:rsid w:val="003A4B8D"/>
    <w:rsid w:val="003A52BE"/>
    <w:rsid w:val="003A5866"/>
    <w:rsid w:val="003A5E1C"/>
    <w:rsid w:val="003A6E9F"/>
    <w:rsid w:val="003B1DD7"/>
    <w:rsid w:val="003B4166"/>
    <w:rsid w:val="003B418D"/>
    <w:rsid w:val="003B4930"/>
    <w:rsid w:val="003B5405"/>
    <w:rsid w:val="003B5624"/>
    <w:rsid w:val="003B7DAD"/>
    <w:rsid w:val="003C0965"/>
    <w:rsid w:val="003C25FF"/>
    <w:rsid w:val="003C2BE1"/>
    <w:rsid w:val="003C2D9F"/>
    <w:rsid w:val="003C3625"/>
    <w:rsid w:val="003C5E2F"/>
    <w:rsid w:val="003D448D"/>
    <w:rsid w:val="003D44FC"/>
    <w:rsid w:val="003D4CD6"/>
    <w:rsid w:val="003D75A4"/>
    <w:rsid w:val="003E008D"/>
    <w:rsid w:val="003E0E0B"/>
    <w:rsid w:val="003E2DCD"/>
    <w:rsid w:val="003E3E2D"/>
    <w:rsid w:val="003F00E3"/>
    <w:rsid w:val="003F39D3"/>
    <w:rsid w:val="003F6F06"/>
    <w:rsid w:val="003F6FCD"/>
    <w:rsid w:val="00400EB1"/>
    <w:rsid w:val="004023C9"/>
    <w:rsid w:val="00407E8A"/>
    <w:rsid w:val="0041214A"/>
    <w:rsid w:val="004174BC"/>
    <w:rsid w:val="00421C5A"/>
    <w:rsid w:val="00422309"/>
    <w:rsid w:val="004228C7"/>
    <w:rsid w:val="00424E44"/>
    <w:rsid w:val="00426E36"/>
    <w:rsid w:val="00427189"/>
    <w:rsid w:val="0042798B"/>
    <w:rsid w:val="004322A8"/>
    <w:rsid w:val="00432F84"/>
    <w:rsid w:val="0043309C"/>
    <w:rsid w:val="00434913"/>
    <w:rsid w:val="00441415"/>
    <w:rsid w:val="004428E9"/>
    <w:rsid w:val="00442CF9"/>
    <w:rsid w:val="004450C0"/>
    <w:rsid w:val="004453A4"/>
    <w:rsid w:val="00445EAD"/>
    <w:rsid w:val="004461EB"/>
    <w:rsid w:val="004474F8"/>
    <w:rsid w:val="004503F5"/>
    <w:rsid w:val="00451745"/>
    <w:rsid w:val="004535B0"/>
    <w:rsid w:val="00462276"/>
    <w:rsid w:val="004626C1"/>
    <w:rsid w:val="00463725"/>
    <w:rsid w:val="0046373D"/>
    <w:rsid w:val="00464F02"/>
    <w:rsid w:val="00465892"/>
    <w:rsid w:val="004712D4"/>
    <w:rsid w:val="00473246"/>
    <w:rsid w:val="0047444E"/>
    <w:rsid w:val="00477178"/>
    <w:rsid w:val="00477550"/>
    <w:rsid w:val="00480C5D"/>
    <w:rsid w:val="0048131C"/>
    <w:rsid w:val="004844A8"/>
    <w:rsid w:val="004855B5"/>
    <w:rsid w:val="00485DF1"/>
    <w:rsid w:val="00491D2A"/>
    <w:rsid w:val="00493013"/>
    <w:rsid w:val="004936DE"/>
    <w:rsid w:val="004967D2"/>
    <w:rsid w:val="00496803"/>
    <w:rsid w:val="00497A87"/>
    <w:rsid w:val="004A2DE0"/>
    <w:rsid w:val="004A3E68"/>
    <w:rsid w:val="004A66FA"/>
    <w:rsid w:val="004A70F7"/>
    <w:rsid w:val="004A7368"/>
    <w:rsid w:val="004B134C"/>
    <w:rsid w:val="004B2438"/>
    <w:rsid w:val="004B6688"/>
    <w:rsid w:val="004B6DF7"/>
    <w:rsid w:val="004C2F99"/>
    <w:rsid w:val="004C35D9"/>
    <w:rsid w:val="004C368F"/>
    <w:rsid w:val="004C701B"/>
    <w:rsid w:val="004C7C64"/>
    <w:rsid w:val="004D2F18"/>
    <w:rsid w:val="004D4595"/>
    <w:rsid w:val="004D6C86"/>
    <w:rsid w:val="004D7EA5"/>
    <w:rsid w:val="004E1148"/>
    <w:rsid w:val="004E1E55"/>
    <w:rsid w:val="004E50A6"/>
    <w:rsid w:val="004E51B8"/>
    <w:rsid w:val="004F078E"/>
    <w:rsid w:val="004F0B36"/>
    <w:rsid w:val="004F1FE9"/>
    <w:rsid w:val="004F265B"/>
    <w:rsid w:val="004F2997"/>
    <w:rsid w:val="00500B14"/>
    <w:rsid w:val="00502302"/>
    <w:rsid w:val="00504D3F"/>
    <w:rsid w:val="00507667"/>
    <w:rsid w:val="00507F28"/>
    <w:rsid w:val="00511DB6"/>
    <w:rsid w:val="00512ABE"/>
    <w:rsid w:val="00513F03"/>
    <w:rsid w:val="00514C76"/>
    <w:rsid w:val="0052114B"/>
    <w:rsid w:val="00523C6E"/>
    <w:rsid w:val="005244A4"/>
    <w:rsid w:val="005273F4"/>
    <w:rsid w:val="00527783"/>
    <w:rsid w:val="00536368"/>
    <w:rsid w:val="005371DF"/>
    <w:rsid w:val="005376D8"/>
    <w:rsid w:val="00541D94"/>
    <w:rsid w:val="0054258F"/>
    <w:rsid w:val="00546409"/>
    <w:rsid w:val="00546F81"/>
    <w:rsid w:val="005500DC"/>
    <w:rsid w:val="00552BDA"/>
    <w:rsid w:val="0055706D"/>
    <w:rsid w:val="00564D17"/>
    <w:rsid w:val="005672A5"/>
    <w:rsid w:val="005801A1"/>
    <w:rsid w:val="005814B5"/>
    <w:rsid w:val="00582D15"/>
    <w:rsid w:val="00582EA0"/>
    <w:rsid w:val="00582F89"/>
    <w:rsid w:val="005832BE"/>
    <w:rsid w:val="00585648"/>
    <w:rsid w:val="00585E2F"/>
    <w:rsid w:val="005875A2"/>
    <w:rsid w:val="00591F76"/>
    <w:rsid w:val="00592B57"/>
    <w:rsid w:val="0059469A"/>
    <w:rsid w:val="00595F93"/>
    <w:rsid w:val="005A1342"/>
    <w:rsid w:val="005A2438"/>
    <w:rsid w:val="005A40DE"/>
    <w:rsid w:val="005A47D2"/>
    <w:rsid w:val="005A4DA7"/>
    <w:rsid w:val="005A4DF3"/>
    <w:rsid w:val="005A587C"/>
    <w:rsid w:val="005B09CE"/>
    <w:rsid w:val="005B0FB2"/>
    <w:rsid w:val="005C0940"/>
    <w:rsid w:val="005C1CF1"/>
    <w:rsid w:val="005C200B"/>
    <w:rsid w:val="005C56A9"/>
    <w:rsid w:val="005D2C6C"/>
    <w:rsid w:val="005D3E9D"/>
    <w:rsid w:val="005D5B0A"/>
    <w:rsid w:val="005D7026"/>
    <w:rsid w:val="005E05A3"/>
    <w:rsid w:val="005E1BE1"/>
    <w:rsid w:val="005E7B2A"/>
    <w:rsid w:val="005F17B4"/>
    <w:rsid w:val="005F1AE6"/>
    <w:rsid w:val="005F1C86"/>
    <w:rsid w:val="005F2319"/>
    <w:rsid w:val="005F4706"/>
    <w:rsid w:val="005F6257"/>
    <w:rsid w:val="005F645F"/>
    <w:rsid w:val="006045E9"/>
    <w:rsid w:val="00605F9A"/>
    <w:rsid w:val="00606D7E"/>
    <w:rsid w:val="0060733B"/>
    <w:rsid w:val="00616033"/>
    <w:rsid w:val="00617010"/>
    <w:rsid w:val="006256D3"/>
    <w:rsid w:val="00627BB7"/>
    <w:rsid w:val="00631D08"/>
    <w:rsid w:val="006332FA"/>
    <w:rsid w:val="00637801"/>
    <w:rsid w:val="006418AE"/>
    <w:rsid w:val="0064198A"/>
    <w:rsid w:val="00643BE9"/>
    <w:rsid w:val="00643D54"/>
    <w:rsid w:val="00644A13"/>
    <w:rsid w:val="0064723E"/>
    <w:rsid w:val="00647BAF"/>
    <w:rsid w:val="0065136E"/>
    <w:rsid w:val="006647BE"/>
    <w:rsid w:val="006651BB"/>
    <w:rsid w:val="00670D71"/>
    <w:rsid w:val="006717CA"/>
    <w:rsid w:val="00671F85"/>
    <w:rsid w:val="006735DB"/>
    <w:rsid w:val="00673989"/>
    <w:rsid w:val="00676EA9"/>
    <w:rsid w:val="0067731A"/>
    <w:rsid w:val="00680409"/>
    <w:rsid w:val="00681BE9"/>
    <w:rsid w:val="00684656"/>
    <w:rsid w:val="00686247"/>
    <w:rsid w:val="00692A41"/>
    <w:rsid w:val="0069382D"/>
    <w:rsid w:val="006942B2"/>
    <w:rsid w:val="006953D7"/>
    <w:rsid w:val="00695E77"/>
    <w:rsid w:val="00696BBE"/>
    <w:rsid w:val="006A05AC"/>
    <w:rsid w:val="006A18AE"/>
    <w:rsid w:val="006A20F3"/>
    <w:rsid w:val="006A21A2"/>
    <w:rsid w:val="006A241E"/>
    <w:rsid w:val="006A2AA3"/>
    <w:rsid w:val="006A3C50"/>
    <w:rsid w:val="006A62DC"/>
    <w:rsid w:val="006A7BD7"/>
    <w:rsid w:val="006C0DFB"/>
    <w:rsid w:val="006C0FE8"/>
    <w:rsid w:val="006C2001"/>
    <w:rsid w:val="006C383A"/>
    <w:rsid w:val="006C6EBD"/>
    <w:rsid w:val="006C7D6F"/>
    <w:rsid w:val="006D3B9E"/>
    <w:rsid w:val="006D6B86"/>
    <w:rsid w:val="006D7479"/>
    <w:rsid w:val="006D75AF"/>
    <w:rsid w:val="006E2176"/>
    <w:rsid w:val="006E49C8"/>
    <w:rsid w:val="006E5A00"/>
    <w:rsid w:val="006E7DCE"/>
    <w:rsid w:val="006F18FD"/>
    <w:rsid w:val="006F2328"/>
    <w:rsid w:val="006F630C"/>
    <w:rsid w:val="007029AB"/>
    <w:rsid w:val="00702FBA"/>
    <w:rsid w:val="007050FF"/>
    <w:rsid w:val="0070532B"/>
    <w:rsid w:val="00710A12"/>
    <w:rsid w:val="00711670"/>
    <w:rsid w:val="007129E2"/>
    <w:rsid w:val="00713613"/>
    <w:rsid w:val="007160D4"/>
    <w:rsid w:val="00716A75"/>
    <w:rsid w:val="007201C7"/>
    <w:rsid w:val="007203CA"/>
    <w:rsid w:val="00722C9C"/>
    <w:rsid w:val="007259FB"/>
    <w:rsid w:val="00733CA7"/>
    <w:rsid w:val="00743AD6"/>
    <w:rsid w:val="00744E7F"/>
    <w:rsid w:val="0074514D"/>
    <w:rsid w:val="0074783C"/>
    <w:rsid w:val="00747CC6"/>
    <w:rsid w:val="00752764"/>
    <w:rsid w:val="00754A19"/>
    <w:rsid w:val="00754A96"/>
    <w:rsid w:val="007555F8"/>
    <w:rsid w:val="007571CF"/>
    <w:rsid w:val="00757FF7"/>
    <w:rsid w:val="00762912"/>
    <w:rsid w:val="00762EA8"/>
    <w:rsid w:val="00763DA6"/>
    <w:rsid w:val="007645EE"/>
    <w:rsid w:val="0076549F"/>
    <w:rsid w:val="00766962"/>
    <w:rsid w:val="00767FCB"/>
    <w:rsid w:val="00770F3E"/>
    <w:rsid w:val="00772576"/>
    <w:rsid w:val="007748D6"/>
    <w:rsid w:val="00775174"/>
    <w:rsid w:val="00775287"/>
    <w:rsid w:val="00775BF8"/>
    <w:rsid w:val="00776CCB"/>
    <w:rsid w:val="007809F8"/>
    <w:rsid w:val="007824D4"/>
    <w:rsid w:val="00790671"/>
    <w:rsid w:val="00790A6C"/>
    <w:rsid w:val="00792BA5"/>
    <w:rsid w:val="00793EA5"/>
    <w:rsid w:val="00797222"/>
    <w:rsid w:val="007975FE"/>
    <w:rsid w:val="007A61EC"/>
    <w:rsid w:val="007A6AA5"/>
    <w:rsid w:val="007B455E"/>
    <w:rsid w:val="007B5504"/>
    <w:rsid w:val="007B5F8E"/>
    <w:rsid w:val="007C0044"/>
    <w:rsid w:val="007C022F"/>
    <w:rsid w:val="007C7665"/>
    <w:rsid w:val="007D0298"/>
    <w:rsid w:val="007D1C5A"/>
    <w:rsid w:val="007D2101"/>
    <w:rsid w:val="007D33F4"/>
    <w:rsid w:val="007D3EE3"/>
    <w:rsid w:val="007D4773"/>
    <w:rsid w:val="007D6776"/>
    <w:rsid w:val="007E4F76"/>
    <w:rsid w:val="007F09CD"/>
    <w:rsid w:val="007F3ABE"/>
    <w:rsid w:val="007F3B95"/>
    <w:rsid w:val="007F7F39"/>
    <w:rsid w:val="00800606"/>
    <w:rsid w:val="008027C0"/>
    <w:rsid w:val="00802C56"/>
    <w:rsid w:val="00810A24"/>
    <w:rsid w:val="0081119C"/>
    <w:rsid w:val="00811CA2"/>
    <w:rsid w:val="00811E60"/>
    <w:rsid w:val="0081249F"/>
    <w:rsid w:val="00815A20"/>
    <w:rsid w:val="00815D8F"/>
    <w:rsid w:val="00816BF7"/>
    <w:rsid w:val="00817615"/>
    <w:rsid w:val="008237C3"/>
    <w:rsid w:val="00824535"/>
    <w:rsid w:val="008265DF"/>
    <w:rsid w:val="00827142"/>
    <w:rsid w:val="008328E9"/>
    <w:rsid w:val="008343DF"/>
    <w:rsid w:val="00835BCB"/>
    <w:rsid w:val="00835CDC"/>
    <w:rsid w:val="00835FA1"/>
    <w:rsid w:val="00836CB6"/>
    <w:rsid w:val="00836D4E"/>
    <w:rsid w:val="008378CD"/>
    <w:rsid w:val="0084226A"/>
    <w:rsid w:val="00843405"/>
    <w:rsid w:val="00844407"/>
    <w:rsid w:val="008446B7"/>
    <w:rsid w:val="00850B09"/>
    <w:rsid w:val="00853201"/>
    <w:rsid w:val="00853287"/>
    <w:rsid w:val="008536B0"/>
    <w:rsid w:val="00854B30"/>
    <w:rsid w:val="00854B56"/>
    <w:rsid w:val="00855CE0"/>
    <w:rsid w:val="00855FDC"/>
    <w:rsid w:val="0085724E"/>
    <w:rsid w:val="00861F29"/>
    <w:rsid w:val="00861F5C"/>
    <w:rsid w:val="00862BF1"/>
    <w:rsid w:val="00863B9D"/>
    <w:rsid w:val="00863BE6"/>
    <w:rsid w:val="00863E88"/>
    <w:rsid w:val="00863EF0"/>
    <w:rsid w:val="00866DD4"/>
    <w:rsid w:val="00871119"/>
    <w:rsid w:val="008725A0"/>
    <w:rsid w:val="0087679E"/>
    <w:rsid w:val="008775BC"/>
    <w:rsid w:val="00882F1B"/>
    <w:rsid w:val="00885E33"/>
    <w:rsid w:val="008867BA"/>
    <w:rsid w:val="00891AEA"/>
    <w:rsid w:val="00892E8C"/>
    <w:rsid w:val="00892F49"/>
    <w:rsid w:val="008946AA"/>
    <w:rsid w:val="008A000D"/>
    <w:rsid w:val="008A0594"/>
    <w:rsid w:val="008A1892"/>
    <w:rsid w:val="008A5E35"/>
    <w:rsid w:val="008A70CE"/>
    <w:rsid w:val="008B1122"/>
    <w:rsid w:val="008B13AB"/>
    <w:rsid w:val="008B74BA"/>
    <w:rsid w:val="008C0E75"/>
    <w:rsid w:val="008C14DB"/>
    <w:rsid w:val="008C1A48"/>
    <w:rsid w:val="008C1DBC"/>
    <w:rsid w:val="008C25E4"/>
    <w:rsid w:val="008C2DAE"/>
    <w:rsid w:val="008C3E63"/>
    <w:rsid w:val="008C5C09"/>
    <w:rsid w:val="008D1012"/>
    <w:rsid w:val="008D2090"/>
    <w:rsid w:val="008D4DDF"/>
    <w:rsid w:val="008D6648"/>
    <w:rsid w:val="008E1E2A"/>
    <w:rsid w:val="008E5C4F"/>
    <w:rsid w:val="008F1181"/>
    <w:rsid w:val="008F2144"/>
    <w:rsid w:val="008F3785"/>
    <w:rsid w:val="008F55B2"/>
    <w:rsid w:val="008F655E"/>
    <w:rsid w:val="008F6D3F"/>
    <w:rsid w:val="008F75D1"/>
    <w:rsid w:val="008F79CE"/>
    <w:rsid w:val="00900ECB"/>
    <w:rsid w:val="009021B9"/>
    <w:rsid w:val="009037AA"/>
    <w:rsid w:val="009059A9"/>
    <w:rsid w:val="00906157"/>
    <w:rsid w:val="00906AA0"/>
    <w:rsid w:val="00907958"/>
    <w:rsid w:val="00910830"/>
    <w:rsid w:val="00913EA8"/>
    <w:rsid w:val="00913F95"/>
    <w:rsid w:val="00915160"/>
    <w:rsid w:val="009159A8"/>
    <w:rsid w:val="00915CA9"/>
    <w:rsid w:val="009171B4"/>
    <w:rsid w:val="00923141"/>
    <w:rsid w:val="00923D8F"/>
    <w:rsid w:val="0092421E"/>
    <w:rsid w:val="00924FFD"/>
    <w:rsid w:val="0092515E"/>
    <w:rsid w:val="00926588"/>
    <w:rsid w:val="009300C5"/>
    <w:rsid w:val="0093195D"/>
    <w:rsid w:val="00931AE7"/>
    <w:rsid w:val="00934FCC"/>
    <w:rsid w:val="00935D97"/>
    <w:rsid w:val="00937FC9"/>
    <w:rsid w:val="0094098E"/>
    <w:rsid w:val="00942FBD"/>
    <w:rsid w:val="00943608"/>
    <w:rsid w:val="00944ADD"/>
    <w:rsid w:val="009458D1"/>
    <w:rsid w:val="0094770B"/>
    <w:rsid w:val="0095099D"/>
    <w:rsid w:val="00950D96"/>
    <w:rsid w:val="00952179"/>
    <w:rsid w:val="00953A52"/>
    <w:rsid w:val="00954457"/>
    <w:rsid w:val="00954D1C"/>
    <w:rsid w:val="00956139"/>
    <w:rsid w:val="00960A93"/>
    <w:rsid w:val="00962435"/>
    <w:rsid w:val="009632C7"/>
    <w:rsid w:val="009714D7"/>
    <w:rsid w:val="00971F82"/>
    <w:rsid w:val="00973340"/>
    <w:rsid w:val="00973EC1"/>
    <w:rsid w:val="009776B6"/>
    <w:rsid w:val="00980492"/>
    <w:rsid w:val="0098123A"/>
    <w:rsid w:val="00982729"/>
    <w:rsid w:val="00982CDA"/>
    <w:rsid w:val="00983B0A"/>
    <w:rsid w:val="009840DC"/>
    <w:rsid w:val="00985764"/>
    <w:rsid w:val="0098771D"/>
    <w:rsid w:val="009910EA"/>
    <w:rsid w:val="00992387"/>
    <w:rsid w:val="00992493"/>
    <w:rsid w:val="00992DC6"/>
    <w:rsid w:val="00993FC8"/>
    <w:rsid w:val="00994718"/>
    <w:rsid w:val="00996121"/>
    <w:rsid w:val="009A0CC6"/>
    <w:rsid w:val="009A1D84"/>
    <w:rsid w:val="009A29AA"/>
    <w:rsid w:val="009A29BB"/>
    <w:rsid w:val="009A4263"/>
    <w:rsid w:val="009A5D78"/>
    <w:rsid w:val="009A71FE"/>
    <w:rsid w:val="009A7D34"/>
    <w:rsid w:val="009B2267"/>
    <w:rsid w:val="009B6931"/>
    <w:rsid w:val="009B6A8A"/>
    <w:rsid w:val="009B6F49"/>
    <w:rsid w:val="009C249D"/>
    <w:rsid w:val="009C2F34"/>
    <w:rsid w:val="009C371B"/>
    <w:rsid w:val="009D3547"/>
    <w:rsid w:val="009D4FFD"/>
    <w:rsid w:val="009E0AE8"/>
    <w:rsid w:val="009E1242"/>
    <w:rsid w:val="009E19F2"/>
    <w:rsid w:val="009E2B6D"/>
    <w:rsid w:val="009E5374"/>
    <w:rsid w:val="009E57DE"/>
    <w:rsid w:val="009E5832"/>
    <w:rsid w:val="009E6206"/>
    <w:rsid w:val="009F0F6C"/>
    <w:rsid w:val="009F21D1"/>
    <w:rsid w:val="009F24C4"/>
    <w:rsid w:val="009F2C44"/>
    <w:rsid w:val="009F2DBE"/>
    <w:rsid w:val="009F345D"/>
    <w:rsid w:val="009F37A8"/>
    <w:rsid w:val="009F6F8E"/>
    <w:rsid w:val="00A048E2"/>
    <w:rsid w:val="00A06D74"/>
    <w:rsid w:val="00A07AD8"/>
    <w:rsid w:val="00A110C3"/>
    <w:rsid w:val="00A13218"/>
    <w:rsid w:val="00A20604"/>
    <w:rsid w:val="00A227A3"/>
    <w:rsid w:val="00A22A3F"/>
    <w:rsid w:val="00A22C13"/>
    <w:rsid w:val="00A250E8"/>
    <w:rsid w:val="00A301B0"/>
    <w:rsid w:val="00A337D7"/>
    <w:rsid w:val="00A341FB"/>
    <w:rsid w:val="00A34A6E"/>
    <w:rsid w:val="00A35E4A"/>
    <w:rsid w:val="00A373BD"/>
    <w:rsid w:val="00A46B4C"/>
    <w:rsid w:val="00A46DC1"/>
    <w:rsid w:val="00A5191C"/>
    <w:rsid w:val="00A52E68"/>
    <w:rsid w:val="00A54E54"/>
    <w:rsid w:val="00A56B4D"/>
    <w:rsid w:val="00A60B73"/>
    <w:rsid w:val="00A61C58"/>
    <w:rsid w:val="00A62CDE"/>
    <w:rsid w:val="00A63608"/>
    <w:rsid w:val="00A64150"/>
    <w:rsid w:val="00A653C8"/>
    <w:rsid w:val="00A71D09"/>
    <w:rsid w:val="00A742A5"/>
    <w:rsid w:val="00A76021"/>
    <w:rsid w:val="00A7720D"/>
    <w:rsid w:val="00A80080"/>
    <w:rsid w:val="00A8027C"/>
    <w:rsid w:val="00A85B9C"/>
    <w:rsid w:val="00A911BB"/>
    <w:rsid w:val="00A93013"/>
    <w:rsid w:val="00A95AB2"/>
    <w:rsid w:val="00A95ABF"/>
    <w:rsid w:val="00A97363"/>
    <w:rsid w:val="00AA08BF"/>
    <w:rsid w:val="00AA2D8F"/>
    <w:rsid w:val="00AA3C94"/>
    <w:rsid w:val="00AA48DF"/>
    <w:rsid w:val="00AB4511"/>
    <w:rsid w:val="00AB4951"/>
    <w:rsid w:val="00AC042C"/>
    <w:rsid w:val="00AC2463"/>
    <w:rsid w:val="00AC2567"/>
    <w:rsid w:val="00AC25C6"/>
    <w:rsid w:val="00AC6727"/>
    <w:rsid w:val="00AC6DAA"/>
    <w:rsid w:val="00AD18B7"/>
    <w:rsid w:val="00AD4E9D"/>
    <w:rsid w:val="00AD61E7"/>
    <w:rsid w:val="00AE142D"/>
    <w:rsid w:val="00AE3A87"/>
    <w:rsid w:val="00AE3CF6"/>
    <w:rsid w:val="00AF0286"/>
    <w:rsid w:val="00AF0F23"/>
    <w:rsid w:val="00AF1DD6"/>
    <w:rsid w:val="00AF2133"/>
    <w:rsid w:val="00AF5C81"/>
    <w:rsid w:val="00B0069A"/>
    <w:rsid w:val="00B02CDD"/>
    <w:rsid w:val="00B0321E"/>
    <w:rsid w:val="00B04129"/>
    <w:rsid w:val="00B045DC"/>
    <w:rsid w:val="00B05B70"/>
    <w:rsid w:val="00B10CDD"/>
    <w:rsid w:val="00B11A4E"/>
    <w:rsid w:val="00B11AD7"/>
    <w:rsid w:val="00B13FE0"/>
    <w:rsid w:val="00B17063"/>
    <w:rsid w:val="00B2439B"/>
    <w:rsid w:val="00B25C57"/>
    <w:rsid w:val="00B262D4"/>
    <w:rsid w:val="00B2702D"/>
    <w:rsid w:val="00B27275"/>
    <w:rsid w:val="00B315A0"/>
    <w:rsid w:val="00B32084"/>
    <w:rsid w:val="00B34A18"/>
    <w:rsid w:val="00B368F8"/>
    <w:rsid w:val="00B37912"/>
    <w:rsid w:val="00B40E55"/>
    <w:rsid w:val="00B468CE"/>
    <w:rsid w:val="00B472B9"/>
    <w:rsid w:val="00B559BD"/>
    <w:rsid w:val="00B5719B"/>
    <w:rsid w:val="00B578A2"/>
    <w:rsid w:val="00B579CB"/>
    <w:rsid w:val="00B57A3B"/>
    <w:rsid w:val="00B624B0"/>
    <w:rsid w:val="00B626CD"/>
    <w:rsid w:val="00B65120"/>
    <w:rsid w:val="00B70083"/>
    <w:rsid w:val="00B70B04"/>
    <w:rsid w:val="00B72D23"/>
    <w:rsid w:val="00B7359B"/>
    <w:rsid w:val="00B739E2"/>
    <w:rsid w:val="00B7572E"/>
    <w:rsid w:val="00B81095"/>
    <w:rsid w:val="00B83EF9"/>
    <w:rsid w:val="00B85178"/>
    <w:rsid w:val="00B852E5"/>
    <w:rsid w:val="00B915B9"/>
    <w:rsid w:val="00B91A40"/>
    <w:rsid w:val="00B9629F"/>
    <w:rsid w:val="00B96D24"/>
    <w:rsid w:val="00BA0374"/>
    <w:rsid w:val="00BA093D"/>
    <w:rsid w:val="00BA0DE3"/>
    <w:rsid w:val="00BA1CFC"/>
    <w:rsid w:val="00BA285A"/>
    <w:rsid w:val="00BA4C28"/>
    <w:rsid w:val="00BA64EF"/>
    <w:rsid w:val="00BA6F75"/>
    <w:rsid w:val="00BA78AC"/>
    <w:rsid w:val="00BB0E97"/>
    <w:rsid w:val="00BB28F6"/>
    <w:rsid w:val="00BB4E2C"/>
    <w:rsid w:val="00BB598E"/>
    <w:rsid w:val="00BB5D7E"/>
    <w:rsid w:val="00BB61B4"/>
    <w:rsid w:val="00BC2609"/>
    <w:rsid w:val="00BC3E70"/>
    <w:rsid w:val="00BD08E3"/>
    <w:rsid w:val="00BD4859"/>
    <w:rsid w:val="00BD7228"/>
    <w:rsid w:val="00BE01AF"/>
    <w:rsid w:val="00BE0378"/>
    <w:rsid w:val="00BE48FE"/>
    <w:rsid w:val="00BE5B03"/>
    <w:rsid w:val="00BE75F3"/>
    <w:rsid w:val="00BF0DB0"/>
    <w:rsid w:val="00BF1D68"/>
    <w:rsid w:val="00BF1DC4"/>
    <w:rsid w:val="00BF29DE"/>
    <w:rsid w:val="00BF3EF6"/>
    <w:rsid w:val="00BF7EC3"/>
    <w:rsid w:val="00C031BF"/>
    <w:rsid w:val="00C042F8"/>
    <w:rsid w:val="00C0528F"/>
    <w:rsid w:val="00C05F8B"/>
    <w:rsid w:val="00C11235"/>
    <w:rsid w:val="00C13145"/>
    <w:rsid w:val="00C24BD7"/>
    <w:rsid w:val="00C30957"/>
    <w:rsid w:val="00C34D18"/>
    <w:rsid w:val="00C35117"/>
    <w:rsid w:val="00C351F3"/>
    <w:rsid w:val="00C43C4D"/>
    <w:rsid w:val="00C47C76"/>
    <w:rsid w:val="00C51BDD"/>
    <w:rsid w:val="00C51EB5"/>
    <w:rsid w:val="00C5408B"/>
    <w:rsid w:val="00C54D94"/>
    <w:rsid w:val="00C54FB4"/>
    <w:rsid w:val="00C564D9"/>
    <w:rsid w:val="00C57ED8"/>
    <w:rsid w:val="00C606A8"/>
    <w:rsid w:val="00C62251"/>
    <w:rsid w:val="00C676B8"/>
    <w:rsid w:val="00C70702"/>
    <w:rsid w:val="00C74D3A"/>
    <w:rsid w:val="00C7717B"/>
    <w:rsid w:val="00C773CE"/>
    <w:rsid w:val="00C80988"/>
    <w:rsid w:val="00C80E2A"/>
    <w:rsid w:val="00C839DC"/>
    <w:rsid w:val="00C84B18"/>
    <w:rsid w:val="00C87630"/>
    <w:rsid w:val="00C90623"/>
    <w:rsid w:val="00C91725"/>
    <w:rsid w:val="00C939BF"/>
    <w:rsid w:val="00C939EF"/>
    <w:rsid w:val="00C948F0"/>
    <w:rsid w:val="00C956A3"/>
    <w:rsid w:val="00C9758E"/>
    <w:rsid w:val="00C9764E"/>
    <w:rsid w:val="00CA03FB"/>
    <w:rsid w:val="00CA07DD"/>
    <w:rsid w:val="00CA0D09"/>
    <w:rsid w:val="00CA5225"/>
    <w:rsid w:val="00CA55A9"/>
    <w:rsid w:val="00CA5DD5"/>
    <w:rsid w:val="00CA71DE"/>
    <w:rsid w:val="00CB1132"/>
    <w:rsid w:val="00CB6582"/>
    <w:rsid w:val="00CB66EB"/>
    <w:rsid w:val="00CB6A16"/>
    <w:rsid w:val="00CB73A3"/>
    <w:rsid w:val="00CC18C4"/>
    <w:rsid w:val="00CC1C27"/>
    <w:rsid w:val="00CC30AD"/>
    <w:rsid w:val="00CC46AA"/>
    <w:rsid w:val="00CC570C"/>
    <w:rsid w:val="00CD000B"/>
    <w:rsid w:val="00CD0CCA"/>
    <w:rsid w:val="00CD39CE"/>
    <w:rsid w:val="00CD6968"/>
    <w:rsid w:val="00CE3173"/>
    <w:rsid w:val="00CE371F"/>
    <w:rsid w:val="00CE6DA7"/>
    <w:rsid w:val="00CE750F"/>
    <w:rsid w:val="00CF4AA1"/>
    <w:rsid w:val="00D01F87"/>
    <w:rsid w:val="00D02C42"/>
    <w:rsid w:val="00D07153"/>
    <w:rsid w:val="00D07971"/>
    <w:rsid w:val="00D12C47"/>
    <w:rsid w:val="00D13269"/>
    <w:rsid w:val="00D146DA"/>
    <w:rsid w:val="00D152D6"/>
    <w:rsid w:val="00D160CB"/>
    <w:rsid w:val="00D1748A"/>
    <w:rsid w:val="00D209DD"/>
    <w:rsid w:val="00D2249D"/>
    <w:rsid w:val="00D245A1"/>
    <w:rsid w:val="00D31FC5"/>
    <w:rsid w:val="00D3474A"/>
    <w:rsid w:val="00D34DF0"/>
    <w:rsid w:val="00D35AFB"/>
    <w:rsid w:val="00D37D36"/>
    <w:rsid w:val="00D415E2"/>
    <w:rsid w:val="00D42055"/>
    <w:rsid w:val="00D50FE5"/>
    <w:rsid w:val="00D57F2F"/>
    <w:rsid w:val="00D61EFE"/>
    <w:rsid w:val="00D63535"/>
    <w:rsid w:val="00D647C3"/>
    <w:rsid w:val="00D714E7"/>
    <w:rsid w:val="00D72E41"/>
    <w:rsid w:val="00D80F57"/>
    <w:rsid w:val="00D81D48"/>
    <w:rsid w:val="00D81FB2"/>
    <w:rsid w:val="00D826D3"/>
    <w:rsid w:val="00D842B5"/>
    <w:rsid w:val="00D87099"/>
    <w:rsid w:val="00D87F45"/>
    <w:rsid w:val="00D90104"/>
    <w:rsid w:val="00D913C3"/>
    <w:rsid w:val="00D95133"/>
    <w:rsid w:val="00D9633A"/>
    <w:rsid w:val="00D96E32"/>
    <w:rsid w:val="00DA0955"/>
    <w:rsid w:val="00DA16D2"/>
    <w:rsid w:val="00DA182F"/>
    <w:rsid w:val="00DA1DCE"/>
    <w:rsid w:val="00DA2130"/>
    <w:rsid w:val="00DA28C7"/>
    <w:rsid w:val="00DA36E1"/>
    <w:rsid w:val="00DA7C00"/>
    <w:rsid w:val="00DB1CBE"/>
    <w:rsid w:val="00DB593C"/>
    <w:rsid w:val="00DB659A"/>
    <w:rsid w:val="00DC4351"/>
    <w:rsid w:val="00DC4DC6"/>
    <w:rsid w:val="00DC6A9D"/>
    <w:rsid w:val="00DC6BC0"/>
    <w:rsid w:val="00DD150C"/>
    <w:rsid w:val="00DD6577"/>
    <w:rsid w:val="00DD6AEB"/>
    <w:rsid w:val="00DD7D81"/>
    <w:rsid w:val="00DE151B"/>
    <w:rsid w:val="00DE1A71"/>
    <w:rsid w:val="00DE6353"/>
    <w:rsid w:val="00DF2386"/>
    <w:rsid w:val="00DF3187"/>
    <w:rsid w:val="00DF3F5C"/>
    <w:rsid w:val="00DF4B2A"/>
    <w:rsid w:val="00DF51DF"/>
    <w:rsid w:val="00DF5306"/>
    <w:rsid w:val="00DF5A30"/>
    <w:rsid w:val="00DF7FE7"/>
    <w:rsid w:val="00E01949"/>
    <w:rsid w:val="00E0241A"/>
    <w:rsid w:val="00E03CEA"/>
    <w:rsid w:val="00E073CD"/>
    <w:rsid w:val="00E07553"/>
    <w:rsid w:val="00E10151"/>
    <w:rsid w:val="00E10D9F"/>
    <w:rsid w:val="00E11618"/>
    <w:rsid w:val="00E125E5"/>
    <w:rsid w:val="00E13022"/>
    <w:rsid w:val="00E13FB9"/>
    <w:rsid w:val="00E17E83"/>
    <w:rsid w:val="00E217C6"/>
    <w:rsid w:val="00E302EB"/>
    <w:rsid w:val="00E31BEA"/>
    <w:rsid w:val="00E34BF1"/>
    <w:rsid w:val="00E34EAB"/>
    <w:rsid w:val="00E41A26"/>
    <w:rsid w:val="00E41C27"/>
    <w:rsid w:val="00E42F6A"/>
    <w:rsid w:val="00E46367"/>
    <w:rsid w:val="00E50A6F"/>
    <w:rsid w:val="00E51095"/>
    <w:rsid w:val="00E5196D"/>
    <w:rsid w:val="00E52412"/>
    <w:rsid w:val="00E5268C"/>
    <w:rsid w:val="00E52F38"/>
    <w:rsid w:val="00E54DDD"/>
    <w:rsid w:val="00E55207"/>
    <w:rsid w:val="00E55849"/>
    <w:rsid w:val="00E560E3"/>
    <w:rsid w:val="00E56C9F"/>
    <w:rsid w:val="00E635BA"/>
    <w:rsid w:val="00E63F0B"/>
    <w:rsid w:val="00E65F2F"/>
    <w:rsid w:val="00E66D25"/>
    <w:rsid w:val="00E7686B"/>
    <w:rsid w:val="00E8459A"/>
    <w:rsid w:val="00E85378"/>
    <w:rsid w:val="00E85DE5"/>
    <w:rsid w:val="00E86C11"/>
    <w:rsid w:val="00E90EE1"/>
    <w:rsid w:val="00E91E9E"/>
    <w:rsid w:val="00E95AEC"/>
    <w:rsid w:val="00EA0C65"/>
    <w:rsid w:val="00EA0D3B"/>
    <w:rsid w:val="00EA3A7F"/>
    <w:rsid w:val="00EA6022"/>
    <w:rsid w:val="00EA7F15"/>
    <w:rsid w:val="00EB2187"/>
    <w:rsid w:val="00EB4CEF"/>
    <w:rsid w:val="00EB5154"/>
    <w:rsid w:val="00EB5D0C"/>
    <w:rsid w:val="00EB6B98"/>
    <w:rsid w:val="00EB6BA7"/>
    <w:rsid w:val="00EB7BC7"/>
    <w:rsid w:val="00EC08E3"/>
    <w:rsid w:val="00EC4185"/>
    <w:rsid w:val="00EC6E85"/>
    <w:rsid w:val="00EC7A15"/>
    <w:rsid w:val="00EC7C8E"/>
    <w:rsid w:val="00ED0D08"/>
    <w:rsid w:val="00ED4B3D"/>
    <w:rsid w:val="00ED554C"/>
    <w:rsid w:val="00ED5B91"/>
    <w:rsid w:val="00ED6A4F"/>
    <w:rsid w:val="00EE0F6C"/>
    <w:rsid w:val="00EE1940"/>
    <w:rsid w:val="00EE2F80"/>
    <w:rsid w:val="00EE4EDF"/>
    <w:rsid w:val="00EE64F5"/>
    <w:rsid w:val="00EE72B3"/>
    <w:rsid w:val="00EF1559"/>
    <w:rsid w:val="00EF2A39"/>
    <w:rsid w:val="00EF38E3"/>
    <w:rsid w:val="00EF559E"/>
    <w:rsid w:val="00F00CD7"/>
    <w:rsid w:val="00F00D2F"/>
    <w:rsid w:val="00F04C6A"/>
    <w:rsid w:val="00F078F1"/>
    <w:rsid w:val="00F109CF"/>
    <w:rsid w:val="00F1221F"/>
    <w:rsid w:val="00F15B71"/>
    <w:rsid w:val="00F15F51"/>
    <w:rsid w:val="00F15FCC"/>
    <w:rsid w:val="00F17CF6"/>
    <w:rsid w:val="00F21612"/>
    <w:rsid w:val="00F25B36"/>
    <w:rsid w:val="00F32D03"/>
    <w:rsid w:val="00F33306"/>
    <w:rsid w:val="00F344DE"/>
    <w:rsid w:val="00F37750"/>
    <w:rsid w:val="00F40934"/>
    <w:rsid w:val="00F43BD9"/>
    <w:rsid w:val="00F446DC"/>
    <w:rsid w:val="00F44B3F"/>
    <w:rsid w:val="00F50C1D"/>
    <w:rsid w:val="00F52322"/>
    <w:rsid w:val="00F54F2B"/>
    <w:rsid w:val="00F56914"/>
    <w:rsid w:val="00F60B89"/>
    <w:rsid w:val="00F6171B"/>
    <w:rsid w:val="00F61F24"/>
    <w:rsid w:val="00F62E18"/>
    <w:rsid w:val="00F719E6"/>
    <w:rsid w:val="00F73E71"/>
    <w:rsid w:val="00F74CF4"/>
    <w:rsid w:val="00F7724E"/>
    <w:rsid w:val="00F80702"/>
    <w:rsid w:val="00F80AC4"/>
    <w:rsid w:val="00F85161"/>
    <w:rsid w:val="00F900CA"/>
    <w:rsid w:val="00F93AAD"/>
    <w:rsid w:val="00FB040E"/>
    <w:rsid w:val="00FB1FDC"/>
    <w:rsid w:val="00FB22B4"/>
    <w:rsid w:val="00FB22E0"/>
    <w:rsid w:val="00FB2C6D"/>
    <w:rsid w:val="00FC02EF"/>
    <w:rsid w:val="00FC1ADA"/>
    <w:rsid w:val="00FC7D55"/>
    <w:rsid w:val="00FD03D3"/>
    <w:rsid w:val="00FD295D"/>
    <w:rsid w:val="00FD2C2D"/>
    <w:rsid w:val="00FE5DA0"/>
    <w:rsid w:val="00FE6B34"/>
    <w:rsid w:val="00FE7B4F"/>
    <w:rsid w:val="00FF00EE"/>
    <w:rsid w:val="00FF28EE"/>
    <w:rsid w:val="00FF3F00"/>
    <w:rsid w:val="00FF4E24"/>
    <w:rsid w:val="00FF5058"/>
    <w:rsid w:val="00FF5B21"/>
    <w:rsid w:val="00FF5CC0"/>
    <w:rsid w:val="038F3BC9"/>
    <w:rsid w:val="4C4A0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44614"/>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3752D3"/>
    <w:pPr>
      <w:autoSpaceDE w:val="0"/>
      <w:autoSpaceDN w:val="0"/>
      <w:adjustRightInd w:val="0"/>
      <w:ind w:left="357" w:hanging="357"/>
      <w:jc w:val="both"/>
    </w:pPr>
    <w:rPr>
      <w:rFonts w:ascii="Palatino Linotype" w:hAnsi="Palatino Linotype" w:cs="Palatino Linotype"/>
      <w:color w:val="000000"/>
      <w:sz w:val="24"/>
      <w:szCs w:val="24"/>
    </w:rPr>
  </w:style>
  <w:style w:type="character" w:customStyle="1" w:styleId="cf01">
    <w:name w:val="cf01"/>
    <w:basedOn w:val="DefaultParagraphFont"/>
    <w:rsid w:val="003752D3"/>
    <w:rPr>
      <w:rFonts w:ascii="Segoe UI" w:hAnsi="Segoe UI" w:cs="Segoe UI" w:hint="default"/>
      <w:sz w:val="18"/>
      <w:szCs w:val="18"/>
    </w:rPr>
  </w:style>
  <w:style w:type="paragraph" w:customStyle="1" w:styleId="pf0">
    <w:name w:val="pf0"/>
    <w:basedOn w:val="Normal"/>
    <w:rsid w:val="0016013A"/>
    <w:pPr>
      <w:spacing w:before="100" w:beforeAutospacing="1" w:after="100" w:afterAutospacing="1"/>
      <w:ind w:left="420" w:firstLine="0"/>
    </w:pPr>
    <w:rPr>
      <w:rFonts w:ascii="Times New Roman" w:eastAsia="Times New Roman" w:hAnsi="Times New Roman"/>
      <w:sz w:val="24"/>
      <w:szCs w:val="24"/>
      <w:lang w:eastAsia="en-GB"/>
    </w:rPr>
  </w:style>
  <w:style w:type="character" w:customStyle="1" w:styleId="xapple-tab-span">
    <w:name w:val="x_apple-tab-span"/>
    <w:basedOn w:val="DefaultParagraphFont"/>
    <w:rsid w:val="00052219"/>
  </w:style>
  <w:style w:type="character" w:styleId="UnresolvedMention">
    <w:name w:val="Unresolved Mention"/>
    <w:basedOn w:val="DefaultParagraphFont"/>
    <w:uiPriority w:val="99"/>
    <w:semiHidden/>
    <w:unhideWhenUsed/>
    <w:rsid w:val="007F09CD"/>
    <w:rPr>
      <w:color w:val="605E5C"/>
      <w:shd w:val="clear" w:color="auto" w:fill="E1DFDD"/>
    </w:rPr>
  </w:style>
  <w:style w:type="character" w:styleId="FollowedHyperlink">
    <w:name w:val="FollowedHyperlink"/>
    <w:basedOn w:val="DefaultParagraphFont"/>
    <w:uiPriority w:val="99"/>
    <w:semiHidden/>
    <w:unhideWhenUsed/>
    <w:rsid w:val="00E55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2555">
      <w:bodyDiv w:val="1"/>
      <w:marLeft w:val="0"/>
      <w:marRight w:val="0"/>
      <w:marTop w:val="0"/>
      <w:marBottom w:val="0"/>
      <w:divBdr>
        <w:top w:val="none" w:sz="0" w:space="0" w:color="auto"/>
        <w:left w:val="none" w:sz="0" w:space="0" w:color="auto"/>
        <w:bottom w:val="none" w:sz="0" w:space="0" w:color="auto"/>
        <w:right w:val="none" w:sz="0" w:space="0" w:color="auto"/>
      </w:divBdr>
    </w:div>
    <w:div w:id="23779080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8005516">
      <w:bodyDiv w:val="1"/>
      <w:marLeft w:val="0"/>
      <w:marRight w:val="0"/>
      <w:marTop w:val="0"/>
      <w:marBottom w:val="0"/>
      <w:divBdr>
        <w:top w:val="none" w:sz="0" w:space="0" w:color="auto"/>
        <w:left w:val="none" w:sz="0" w:space="0" w:color="auto"/>
        <w:bottom w:val="none" w:sz="0" w:space="0" w:color="auto"/>
        <w:right w:val="none" w:sz="0" w:space="0" w:color="auto"/>
      </w:divBdr>
    </w:div>
    <w:div w:id="346837503">
      <w:bodyDiv w:val="1"/>
      <w:marLeft w:val="0"/>
      <w:marRight w:val="0"/>
      <w:marTop w:val="0"/>
      <w:marBottom w:val="0"/>
      <w:divBdr>
        <w:top w:val="none" w:sz="0" w:space="0" w:color="auto"/>
        <w:left w:val="none" w:sz="0" w:space="0" w:color="auto"/>
        <w:bottom w:val="none" w:sz="0" w:space="0" w:color="auto"/>
        <w:right w:val="none" w:sz="0" w:space="0" w:color="auto"/>
      </w:divBdr>
    </w:div>
    <w:div w:id="418647656">
      <w:bodyDiv w:val="1"/>
      <w:marLeft w:val="0"/>
      <w:marRight w:val="0"/>
      <w:marTop w:val="0"/>
      <w:marBottom w:val="0"/>
      <w:divBdr>
        <w:top w:val="none" w:sz="0" w:space="0" w:color="auto"/>
        <w:left w:val="none" w:sz="0" w:space="0" w:color="auto"/>
        <w:bottom w:val="none" w:sz="0" w:space="0" w:color="auto"/>
        <w:right w:val="none" w:sz="0" w:space="0" w:color="auto"/>
      </w:divBdr>
    </w:div>
    <w:div w:id="474297232">
      <w:bodyDiv w:val="1"/>
      <w:marLeft w:val="0"/>
      <w:marRight w:val="0"/>
      <w:marTop w:val="0"/>
      <w:marBottom w:val="0"/>
      <w:divBdr>
        <w:top w:val="none" w:sz="0" w:space="0" w:color="auto"/>
        <w:left w:val="none" w:sz="0" w:space="0" w:color="auto"/>
        <w:bottom w:val="none" w:sz="0" w:space="0" w:color="auto"/>
        <w:right w:val="none" w:sz="0" w:space="0" w:color="auto"/>
      </w:divBdr>
    </w:div>
    <w:div w:id="635111655">
      <w:bodyDiv w:val="1"/>
      <w:marLeft w:val="0"/>
      <w:marRight w:val="0"/>
      <w:marTop w:val="0"/>
      <w:marBottom w:val="0"/>
      <w:divBdr>
        <w:top w:val="none" w:sz="0" w:space="0" w:color="auto"/>
        <w:left w:val="none" w:sz="0" w:space="0" w:color="auto"/>
        <w:bottom w:val="none" w:sz="0" w:space="0" w:color="auto"/>
        <w:right w:val="none" w:sz="0" w:space="0" w:color="auto"/>
      </w:divBdr>
    </w:div>
    <w:div w:id="1126777620">
      <w:bodyDiv w:val="1"/>
      <w:marLeft w:val="0"/>
      <w:marRight w:val="0"/>
      <w:marTop w:val="0"/>
      <w:marBottom w:val="0"/>
      <w:divBdr>
        <w:top w:val="none" w:sz="0" w:space="0" w:color="auto"/>
        <w:left w:val="none" w:sz="0" w:space="0" w:color="auto"/>
        <w:bottom w:val="none" w:sz="0" w:space="0" w:color="auto"/>
        <w:right w:val="none" w:sz="0" w:space="0" w:color="auto"/>
      </w:divBdr>
    </w:div>
    <w:div w:id="1637488198">
      <w:bodyDiv w:val="1"/>
      <w:marLeft w:val="0"/>
      <w:marRight w:val="0"/>
      <w:marTop w:val="0"/>
      <w:marBottom w:val="0"/>
      <w:divBdr>
        <w:top w:val="none" w:sz="0" w:space="0" w:color="auto"/>
        <w:left w:val="none" w:sz="0" w:space="0" w:color="auto"/>
        <w:bottom w:val="none" w:sz="0" w:space="0" w:color="auto"/>
        <w:right w:val="none" w:sz="0" w:space="0" w:color="auto"/>
      </w:divBdr>
    </w:div>
    <w:div w:id="1729065270">
      <w:bodyDiv w:val="1"/>
      <w:marLeft w:val="0"/>
      <w:marRight w:val="0"/>
      <w:marTop w:val="0"/>
      <w:marBottom w:val="0"/>
      <w:divBdr>
        <w:top w:val="none" w:sz="0" w:space="0" w:color="auto"/>
        <w:left w:val="none" w:sz="0" w:space="0" w:color="auto"/>
        <w:bottom w:val="none" w:sz="0" w:space="0" w:color="auto"/>
        <w:right w:val="none" w:sz="0" w:space="0" w:color="auto"/>
      </w:divBdr>
    </w:div>
    <w:div w:id="1796096136">
      <w:bodyDiv w:val="1"/>
      <w:marLeft w:val="0"/>
      <w:marRight w:val="0"/>
      <w:marTop w:val="0"/>
      <w:marBottom w:val="0"/>
      <w:divBdr>
        <w:top w:val="none" w:sz="0" w:space="0" w:color="auto"/>
        <w:left w:val="none" w:sz="0" w:space="0" w:color="auto"/>
        <w:bottom w:val="none" w:sz="0" w:space="0" w:color="auto"/>
        <w:right w:val="none" w:sz="0" w:space="0" w:color="auto"/>
      </w:divBdr>
      <w:divsChild>
        <w:div w:id="1353608986">
          <w:marLeft w:val="0"/>
          <w:marRight w:val="0"/>
          <w:marTop w:val="0"/>
          <w:marBottom w:val="0"/>
          <w:divBdr>
            <w:top w:val="none" w:sz="0" w:space="0" w:color="auto"/>
            <w:left w:val="none" w:sz="0" w:space="0" w:color="auto"/>
            <w:bottom w:val="none" w:sz="0" w:space="0" w:color="auto"/>
            <w:right w:val="none" w:sz="0" w:space="0" w:color="auto"/>
          </w:divBdr>
          <w:divsChild>
            <w:div w:id="1055197490">
              <w:marLeft w:val="0"/>
              <w:marRight w:val="0"/>
              <w:marTop w:val="0"/>
              <w:marBottom w:val="0"/>
              <w:divBdr>
                <w:top w:val="none" w:sz="0" w:space="0" w:color="auto"/>
                <w:left w:val="none" w:sz="0" w:space="0" w:color="auto"/>
                <w:bottom w:val="none" w:sz="0" w:space="0" w:color="auto"/>
                <w:right w:val="none" w:sz="0" w:space="0" w:color="auto"/>
              </w:divBdr>
              <w:divsChild>
                <w:div w:id="17450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unstats.un.org/sdgs/metadata/files/Metadata-06-06-01b.pdf" TargetMode="External"/><Relationship Id="rId2" Type="http://schemas.openxmlformats.org/officeDocument/2006/relationships/hyperlink" Target="https://www.sdg661.app/" TargetMode="External"/><Relationship Id="rId1" Type="http://schemas.openxmlformats.org/officeDocument/2006/relationships/hyperlink" Target="https://unstats.un.org/sdgs/metadata/files/Metadata-06-06-01a.pdf" TargetMode="External"/><Relationship Id="rId6" Type="http://schemas.openxmlformats.org/officeDocument/2006/relationships/hyperlink" Target="https://www.nature.com/articles/s41597-020-0486-7" TargetMode="External"/><Relationship Id="rId5" Type="http://schemas.openxmlformats.org/officeDocument/2006/relationships/hyperlink" Target="https://www.nature.com/articles/sdata201618" TargetMode="External"/><Relationship Id="rId4" Type="http://schemas.openxmlformats.org/officeDocument/2006/relationships/hyperlink" Target="https://www.ramsar.org/fr/document/sc63-inf2-national-wetland-inventories-synthesis-13-depth-interviews-fur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6AF51-C134-4C82-BBB9-9C1BC84B9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6C104-9E3F-42D7-A978-021CE9F6B2E5}">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aedd258d-19a7-41ba-8260-b0918f25313d"/>
    <ds:schemaRef ds:uri="http://purl.org/dc/elements/1.1/"/>
    <ds:schemaRef ds:uri="http://schemas.microsoft.com/office/infopath/2007/PartnerControls"/>
    <ds:schemaRef ds:uri="8c0b6b05-eb82-4bda-97e8-cd82d0d6b453"/>
    <ds:schemaRef ds:uri="http://www.w3.org/XML/1998/namespace"/>
    <ds:schemaRef ds:uri="http://purl.org/dc/dcmitype/"/>
  </ds:schemaRefs>
</ds:datastoreItem>
</file>

<file path=customXml/itemProps3.xml><?xml version="1.0" encoding="utf-8"?>
<ds:datastoreItem xmlns:ds="http://schemas.openxmlformats.org/officeDocument/2006/customXml" ds:itemID="{F42D8BB8-6588-4BB8-B217-3D43AC5EF2A6}">
  <ds:schemaRefs>
    <ds:schemaRef ds:uri="http://schemas.microsoft.com/sharepoint/v3/contenttype/forms"/>
  </ds:schemaRefs>
</ds:datastoreItem>
</file>

<file path=customXml/itemProps4.xml><?xml version="1.0" encoding="utf-8"?>
<ds:datastoreItem xmlns:ds="http://schemas.openxmlformats.org/officeDocument/2006/customXml" ds:itemID="{E39EF5BE-64CA-462A-ABF7-1F59D5C3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Convention on Wetlands</dc:creator>
  <cp:lastModifiedBy>JENNINGS Edmund</cp:lastModifiedBy>
  <cp:revision>1</cp:revision>
  <cp:lastPrinted>2016-10-06T12:08:00Z</cp:lastPrinted>
  <dcterms:created xsi:type="dcterms:W3CDTF">2024-04-05T14:29:00Z</dcterms:created>
  <dcterms:modified xsi:type="dcterms:W3CDTF">2024-04-05T14:35:00Z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