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320F6" w14:textId="77777777" w:rsidR="005E4511" w:rsidRPr="00BC1287" w:rsidRDefault="005E4511" w:rsidP="00825FBA">
      <w:pPr>
        <w:pBdr>
          <w:top w:val="single" w:sz="12" w:space="0" w:color="auto" w:shadow="1"/>
          <w:left w:val="single" w:sz="12" w:space="4" w:color="auto" w:shadow="1"/>
          <w:bottom w:val="single" w:sz="12" w:space="1" w:color="auto" w:shadow="1"/>
          <w:right w:val="single" w:sz="12" w:space="7" w:color="auto" w:shadow="1"/>
        </w:pBdr>
        <w:ind w:right="4064"/>
        <w:rPr>
          <w:bCs/>
        </w:rPr>
      </w:pPr>
      <w:r>
        <w:t xml:space="preserve">LA CONVENCIÓN SOBRE LOS HUMEDALES </w:t>
      </w:r>
    </w:p>
    <w:p w14:paraId="6CA4406D" w14:textId="77777777" w:rsidR="005E4511" w:rsidRPr="00BC1287" w:rsidRDefault="005E4511" w:rsidP="00825FBA">
      <w:pPr>
        <w:pBdr>
          <w:top w:val="single" w:sz="12" w:space="0" w:color="auto" w:shadow="1"/>
          <w:left w:val="single" w:sz="12" w:space="4" w:color="auto" w:shadow="1"/>
          <w:bottom w:val="single" w:sz="12" w:space="1" w:color="auto" w:shadow="1"/>
          <w:right w:val="single" w:sz="12" w:space="7" w:color="auto" w:shadow="1"/>
        </w:pBdr>
        <w:ind w:right="4064"/>
        <w:rPr>
          <w:bCs/>
        </w:rPr>
      </w:pPr>
      <w:r>
        <w:t>63ª reunión del Comité Permanente</w:t>
      </w:r>
    </w:p>
    <w:p w14:paraId="7448853D" w14:textId="77777777" w:rsidR="005E4511" w:rsidRPr="0058643C" w:rsidRDefault="005E4511" w:rsidP="00825FBA">
      <w:pPr>
        <w:pBdr>
          <w:top w:val="single" w:sz="12" w:space="0" w:color="auto" w:shadow="1"/>
          <w:left w:val="single" w:sz="12" w:space="4" w:color="auto" w:shadow="1"/>
          <w:bottom w:val="single" w:sz="12" w:space="1" w:color="auto" w:shadow="1"/>
          <w:right w:val="single" w:sz="12" w:space="7" w:color="auto" w:shadow="1"/>
        </w:pBdr>
        <w:ind w:right="4064"/>
        <w:rPr>
          <w:bCs/>
        </w:rPr>
      </w:pPr>
      <w:r>
        <w:t>Gland, Suiza, 3 a 7 de junio de 2024</w:t>
      </w:r>
    </w:p>
    <w:p w14:paraId="1D2C67E1" w14:textId="77777777" w:rsidR="005E4511" w:rsidRPr="008701C4" w:rsidRDefault="005E4511" w:rsidP="005E4511">
      <w:pPr>
        <w:outlineLvl w:val="0"/>
        <w:rPr>
          <w:rFonts w:cstheme="minorHAnsi"/>
          <w:b/>
          <w:lang w:val="de-CH"/>
        </w:rPr>
      </w:pPr>
    </w:p>
    <w:p w14:paraId="4B99D9CF" w14:textId="77777777" w:rsidR="005E4511" w:rsidRPr="0058643C" w:rsidRDefault="005E4511" w:rsidP="005E4511">
      <w:pPr>
        <w:tabs>
          <w:tab w:val="center" w:pos="4513"/>
          <w:tab w:val="right" w:pos="9026"/>
        </w:tabs>
        <w:jc w:val="right"/>
        <w:rPr>
          <w:rFonts w:cs="Arial"/>
          <w:sz w:val="28"/>
          <w:szCs w:val="28"/>
        </w:rPr>
      </w:pPr>
      <w:r>
        <w:rPr>
          <w:b/>
          <w:sz w:val="28"/>
        </w:rPr>
        <w:t>SC63 Doc.16.1</w:t>
      </w:r>
    </w:p>
    <w:p w14:paraId="6845C771" w14:textId="77777777" w:rsidR="005E4511" w:rsidRPr="00630203" w:rsidRDefault="005E4511" w:rsidP="005E4511">
      <w:pPr>
        <w:rPr>
          <w:rFonts w:cstheme="minorHAnsi"/>
          <w:b/>
          <w:sz w:val="28"/>
          <w:szCs w:val="28"/>
        </w:rPr>
      </w:pPr>
    </w:p>
    <w:p w14:paraId="580133CF" w14:textId="77777777" w:rsidR="00DD371D" w:rsidRDefault="005E4511" w:rsidP="00B07C5B">
      <w:pPr>
        <w:jc w:val="center"/>
        <w:rPr>
          <w:rFonts w:ascii="Calibri" w:hAnsi="Calibri" w:cs="Calibri"/>
          <w:b/>
          <w:kern w:val="0"/>
          <w:sz w:val="28"/>
          <w:szCs w:val="28"/>
        </w:rPr>
      </w:pPr>
      <w:r>
        <w:rPr>
          <w:rFonts w:ascii="Calibri" w:hAnsi="Calibri"/>
          <w:b/>
          <w:sz w:val="28"/>
        </w:rPr>
        <w:t>Examen y consolidación de las resoluciones en vigor:</w:t>
      </w:r>
    </w:p>
    <w:p w14:paraId="412D6C68" w14:textId="77777777" w:rsidR="00A51C6C" w:rsidRDefault="00825FBA" w:rsidP="00B07C5B">
      <w:pPr>
        <w:jc w:val="center"/>
        <w:rPr>
          <w:rFonts w:cstheme="minorHAnsi"/>
          <w:b/>
          <w:sz w:val="28"/>
          <w:szCs w:val="28"/>
        </w:rPr>
      </w:pPr>
      <w:r>
        <w:rPr>
          <w:b/>
          <w:sz w:val="28"/>
        </w:rPr>
        <w:t>Introducción</w:t>
      </w:r>
    </w:p>
    <w:p w14:paraId="06A4B451" w14:textId="77777777" w:rsidR="00DD371D" w:rsidRDefault="00DD371D" w:rsidP="005B0254">
      <w:pPr>
        <w:jc w:val="center"/>
        <w:rPr>
          <w:rFonts w:cstheme="minorHAnsi"/>
          <w:b/>
          <w:bCs/>
          <w:sz w:val="28"/>
          <w:szCs w:val="28"/>
        </w:rPr>
      </w:pPr>
    </w:p>
    <w:p w14:paraId="77A6356E" w14:textId="77777777" w:rsidR="005E4511" w:rsidRPr="005624E6" w:rsidRDefault="005E4511" w:rsidP="005E4511">
      <w:pPr>
        <w:autoSpaceDE w:val="0"/>
        <w:autoSpaceDN w:val="0"/>
        <w:adjustRightInd w:val="0"/>
        <w:rPr>
          <w:rFonts w:cstheme="minorHAnsi"/>
          <w:b/>
          <w:bCs/>
        </w:rPr>
      </w:pPr>
      <w:r>
        <w:rPr>
          <w:noProof/>
        </w:rPr>
        <mc:AlternateContent>
          <mc:Choice Requires="wps">
            <w:drawing>
              <wp:inline distT="0" distB="0" distL="0" distR="0" wp14:anchorId="1E76E01A" wp14:editId="517FFD57">
                <wp:extent cx="5731510" cy="1016710"/>
                <wp:effectExtent l="0" t="0" r="8890"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16710"/>
                        </a:xfrm>
                        <a:prstGeom prst="rect">
                          <a:avLst/>
                        </a:prstGeom>
                        <a:solidFill>
                          <a:srgbClr val="FFFFFF"/>
                        </a:solidFill>
                        <a:ln w="9525">
                          <a:solidFill>
                            <a:srgbClr val="000000"/>
                          </a:solidFill>
                          <a:miter lim="800000"/>
                          <a:headEnd/>
                          <a:tailEnd/>
                        </a:ln>
                      </wps:spPr>
                      <wps:txbx>
                        <w:txbxContent>
                          <w:p w14:paraId="52B316F4" w14:textId="77777777" w:rsidR="008B238A" w:rsidRDefault="008B238A" w:rsidP="005E4511">
                            <w:r>
                              <w:rPr>
                                <w:b/>
                              </w:rPr>
                              <w:t xml:space="preserve">Acciones solicitadas: </w:t>
                            </w:r>
                          </w:p>
                          <w:p w14:paraId="3B84657C" w14:textId="77777777" w:rsidR="008B238A" w:rsidRDefault="008B238A" w:rsidP="005E4511">
                            <w:pPr>
                              <w:pStyle w:val="ColorfulList-Accent11"/>
                              <w:ind w:left="0" w:firstLine="0"/>
                            </w:pPr>
                          </w:p>
                          <w:p w14:paraId="61360D87" w14:textId="77777777" w:rsidR="008B238A" w:rsidRDefault="008B238A" w:rsidP="005E4511">
                            <w:pPr>
                              <w:pStyle w:val="ColorfulList-Accent11"/>
                              <w:ind w:left="0" w:firstLine="0"/>
                            </w:pPr>
                            <w:r>
                              <w:t>Se invita al Comité Permanente a examinar los cuatro proyectos de resoluciones consolidadas que figuran en los documentos SC63 Doc.16.2, SC63 Doc.16.3, SC63 Doc.16.4 y SC63 Doc.16.5, y presentarlos a la 15ª reunión de la Conferencia de las Partes para su adopción.</w:t>
                            </w:r>
                          </w:p>
                        </w:txbxContent>
                      </wps:txbx>
                      <wps:bodyPr rot="0" vert="horz" wrap="square" lIns="91440" tIns="45720" rIns="91440" bIns="45720" anchor="t" anchorCtr="0" upright="1">
                        <a:noAutofit/>
                      </wps:bodyPr>
                    </wps:wsp>
                  </a:graphicData>
                </a:graphic>
              </wp:inline>
            </w:drawing>
          </mc:Choice>
          <mc:Fallback>
            <w:pict>
              <v:shapetype w14:anchorId="1E76E01A" id="_x0000_t202" coordsize="21600,21600" o:spt="202" path="m,l,21600r21600,l21600,xe">
                <v:stroke joinstyle="miter"/>
                <v:path gradientshapeok="t" o:connecttype="rect"/>
              </v:shapetype>
              <v:shape id="Text Box 2" o:spid="_x0000_s1026" type="#_x0000_t202" style="width:451.3pt;height: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">
                <v:textbox>
                  <w:txbxContent>
                    <w:p w14:paraId="52B316F4" w14:textId="77777777" w:rsidR="008B238A" w:rsidRDefault="008B238A" w:rsidP="005E4511">
                      <w:r>
                        <w:rPr>
                          <w:b/>
                        </w:rPr>
                        <w:t xml:space="preserve">Acciones solicitadas: </w:t>
                      </w:r>
                    </w:p>
                    <w:p w14:paraId="3B84657C" w14:textId="77777777" w:rsidR="008B238A" w:rsidRDefault="008B238A" w:rsidP="005E4511">
                      <w:pPr>
                        <w:pStyle w:val="ColorfulList-Accent11"/>
                        <w:ind w:left="0" w:firstLine="0"/>
                      </w:pPr>
                    </w:p>
                    <w:p w14:paraId="61360D87" w14:textId="77777777" w:rsidR="008B238A" w:rsidRDefault="008B238A" w:rsidP="005E4511">
                      <w:pPr>
                        <w:pStyle w:val="ColorfulList-Accent11"/>
                        <w:ind w:left="0" w:firstLine="0"/>
                      </w:pPr>
                      <w:r>
                        <w:t>Se invita al Comité Permanente a examinar los cuatro proyectos de resoluciones consolidadas que figuran en los documentos SC63 Doc.16.2, SC63 Doc.16.3, SC63 Doc.16.4 y SC63 Doc.16.5, y presentarlos a la 15ª reunión de la Conferencia de las Partes para su adopción.</w:t>
                      </w:r>
                    </w:p>
                  </w:txbxContent>
                </v:textbox>
                <w10:anchorlock/>
              </v:shape>
            </w:pict>
          </mc:Fallback>
        </mc:AlternateContent>
      </w:r>
    </w:p>
    <w:p w14:paraId="3E5CAB08" w14:textId="77777777" w:rsidR="00AF1142" w:rsidRDefault="00AF1142" w:rsidP="008C2D1E">
      <w:pPr>
        <w:jc w:val="right"/>
        <w:rPr>
          <w:sz w:val="22"/>
          <w:szCs w:val="22"/>
        </w:rPr>
      </w:pPr>
    </w:p>
    <w:p w14:paraId="041A254E" w14:textId="77777777" w:rsidR="005E4511" w:rsidRPr="00605CB1" w:rsidRDefault="005E4511">
      <w:pPr>
        <w:rPr>
          <w:sz w:val="22"/>
          <w:szCs w:val="22"/>
        </w:rPr>
      </w:pPr>
    </w:p>
    <w:p w14:paraId="7A15DB2D" w14:textId="77777777" w:rsidR="00B522FE" w:rsidRDefault="00605CB1" w:rsidP="00B02D1F">
      <w:pPr>
        <w:ind w:left="397" w:hanging="397"/>
        <w:rPr>
          <w:rFonts w:cstheme="minorHAnsi"/>
          <w:sz w:val="22"/>
          <w:szCs w:val="22"/>
        </w:rPr>
      </w:pPr>
      <w:r>
        <w:rPr>
          <w:sz w:val="22"/>
        </w:rPr>
        <w:t>1.</w:t>
      </w:r>
      <w:r>
        <w:rPr>
          <w:sz w:val="22"/>
        </w:rPr>
        <w:tab/>
        <w:t xml:space="preserve">En su 59ª reunión (SC59, 2021), el Comité Permanente consideró una serie de documentos relativos al inicio de un procedimiento de consolidación de las resoluciones y recomendaciones adoptadas anteriormente por la Conferencia de las Partes Contratantes. Entre los documentos que se consideraron se incluían los siguientes: </w:t>
      </w:r>
    </w:p>
    <w:p w14:paraId="3386563E" w14:textId="16C97CD2" w:rsidR="00B522FE" w:rsidRPr="00A51C6C" w:rsidRDefault="00B02D1F" w:rsidP="00A51C6C">
      <w:pPr>
        <w:pStyle w:val="ListParagraph"/>
        <w:numPr>
          <w:ilvl w:val="0"/>
          <w:numId w:val="15"/>
        </w:numPr>
        <w:rPr>
          <w:rFonts w:cstheme="minorHAnsi"/>
          <w:sz w:val="22"/>
          <w:szCs w:val="22"/>
        </w:rPr>
      </w:pPr>
      <w:r>
        <w:rPr>
          <w:sz w:val="22"/>
        </w:rPr>
        <w:t xml:space="preserve">documento SC59 Doc.13.1 </w:t>
      </w:r>
      <w:r w:rsidR="007F18AB" w:rsidRPr="007F18AB">
        <w:rPr>
          <w:i/>
          <w:sz w:val="22"/>
          <w:szCs w:val="22"/>
        </w:rPr>
        <w:t>Examen de todas las resoluciones y decisiones anteriores</w:t>
      </w:r>
      <w:r w:rsidR="007F18AB" w:rsidRPr="007F18AB">
        <w:rPr>
          <w:i/>
          <w:sz w:val="22"/>
          <w:szCs w:val="22"/>
        </w:rPr>
        <w:t xml:space="preserve">: </w:t>
      </w:r>
      <w:r w:rsidR="007F18AB" w:rsidRPr="007F18AB">
        <w:rPr>
          <w:i/>
          <w:sz w:val="22"/>
          <w:szCs w:val="22"/>
        </w:rPr>
        <w:t>Procedimiento para realizar el examen</w:t>
      </w:r>
      <w:r>
        <w:rPr>
          <w:sz w:val="22"/>
        </w:rPr>
        <w:t xml:space="preserve">, que contenía, como Anexo 1, un proyecto de resolución sobre este tema; y </w:t>
      </w:r>
    </w:p>
    <w:p w14:paraId="43A75CF8" w14:textId="77777777" w:rsidR="00F75AEC" w:rsidRPr="00A51C6C" w:rsidRDefault="00B02D1F" w:rsidP="00A51C6C">
      <w:pPr>
        <w:pStyle w:val="ListParagraph"/>
        <w:numPr>
          <w:ilvl w:val="0"/>
          <w:numId w:val="15"/>
        </w:numPr>
        <w:rPr>
          <w:rFonts w:cstheme="minorHAnsi"/>
          <w:sz w:val="22"/>
          <w:szCs w:val="22"/>
        </w:rPr>
      </w:pPr>
      <w:r>
        <w:rPr>
          <w:sz w:val="22"/>
        </w:rPr>
        <w:t xml:space="preserve">documento SC59 Doc. 13.3, sobre </w:t>
      </w:r>
      <w:r>
        <w:rPr>
          <w:i/>
          <w:iCs/>
          <w:sz w:val="22"/>
        </w:rPr>
        <w:t>Proyecto de resolución consolidada sobre “Inventarios”</w:t>
      </w:r>
      <w:r>
        <w:rPr>
          <w:sz w:val="22"/>
        </w:rPr>
        <w:t xml:space="preserve">. </w:t>
      </w:r>
    </w:p>
    <w:p w14:paraId="06A664C6" w14:textId="77777777" w:rsidR="00B02D1F" w:rsidRDefault="00F75AEC" w:rsidP="00B02D1F">
      <w:pPr>
        <w:ind w:left="397" w:hanging="397"/>
        <w:rPr>
          <w:rFonts w:cstheme="minorHAnsi"/>
          <w:sz w:val="22"/>
          <w:szCs w:val="22"/>
        </w:rPr>
      </w:pPr>
      <w:r>
        <w:rPr>
          <w:sz w:val="22"/>
        </w:rPr>
        <w:tab/>
        <w:t>Tras el debate, el Comité Permanente acordó presentar el proyecto de resolución sobre el procedimiento de consolidación para su consideración en la 14ª reunión de la Conferencia de las Partes.</w:t>
      </w:r>
    </w:p>
    <w:p w14:paraId="3874A8C4" w14:textId="77777777" w:rsidR="0035188B" w:rsidRDefault="0035188B" w:rsidP="00B02D1F">
      <w:pPr>
        <w:ind w:left="397" w:hanging="397"/>
        <w:rPr>
          <w:rFonts w:cstheme="minorHAnsi"/>
          <w:sz w:val="22"/>
          <w:szCs w:val="22"/>
        </w:rPr>
      </w:pPr>
    </w:p>
    <w:p w14:paraId="6E7B40D1" w14:textId="77777777" w:rsidR="00DD371D" w:rsidRDefault="0035188B" w:rsidP="00C938A5">
      <w:pPr>
        <w:ind w:left="397" w:hanging="397"/>
        <w:rPr>
          <w:rFonts w:cstheme="minorHAnsi"/>
          <w:sz w:val="22"/>
          <w:szCs w:val="22"/>
        </w:rPr>
      </w:pPr>
      <w:r>
        <w:rPr>
          <w:sz w:val="22"/>
        </w:rPr>
        <w:t>2.</w:t>
      </w:r>
      <w:r>
        <w:rPr>
          <w:sz w:val="22"/>
        </w:rPr>
        <w:tab/>
        <w:t xml:space="preserve">En su 14ª reunión (COP14, 2022), la Conferencia de las Partes Contratantes consideró el proyecto de resolución relativo al examen y consolidación de las resoluciones existentes, así como las opciones que se presentaron, y adoptó la Resolución XIV.5, sobre </w:t>
      </w:r>
      <w:r>
        <w:rPr>
          <w:i/>
          <w:iCs/>
          <w:sz w:val="22"/>
        </w:rPr>
        <w:t>Examen de las resoluciones y recomendaciones de la Conferencia de las Partes Contratantes</w:t>
      </w:r>
      <w:r>
        <w:rPr>
          <w:sz w:val="22"/>
        </w:rPr>
        <w:t xml:space="preserve">, en la que se establece el procedimiento de consolidación. </w:t>
      </w:r>
    </w:p>
    <w:p w14:paraId="0972750F" w14:textId="77777777" w:rsidR="00243FD4" w:rsidRDefault="00243FD4" w:rsidP="00C938A5">
      <w:pPr>
        <w:ind w:left="397" w:hanging="397"/>
        <w:rPr>
          <w:rFonts w:cstheme="minorHAnsi"/>
          <w:sz w:val="22"/>
          <w:szCs w:val="22"/>
        </w:rPr>
      </w:pPr>
    </w:p>
    <w:p w14:paraId="07017FEB" w14:textId="77777777" w:rsidR="00A03709" w:rsidRDefault="00243FD4" w:rsidP="00A03709">
      <w:pPr>
        <w:ind w:left="397" w:hanging="397"/>
        <w:rPr>
          <w:rFonts w:cstheme="minorHAnsi"/>
          <w:sz w:val="22"/>
          <w:szCs w:val="22"/>
        </w:rPr>
      </w:pPr>
      <w:r>
        <w:rPr>
          <w:sz w:val="22"/>
        </w:rPr>
        <w:t>3.</w:t>
      </w:r>
      <w:r>
        <w:rPr>
          <w:sz w:val="22"/>
        </w:rPr>
        <w:tab/>
        <w:t xml:space="preserve">Uno de los elementos fundamentales de la Resolución XIV.5 es la decisión de establecer un procedimiento para la consolidación de las resoluciones y recomendaciones existentes de la Conferencia de las Partes. Como se indica en el párrafo 10 de la Resolución: </w:t>
      </w:r>
    </w:p>
    <w:p w14:paraId="5F950813" w14:textId="77777777" w:rsidR="00A03709" w:rsidRDefault="00A03709" w:rsidP="00A03709">
      <w:pPr>
        <w:ind w:left="397" w:hanging="397"/>
        <w:rPr>
          <w:rFonts w:cstheme="minorHAnsi"/>
          <w:sz w:val="22"/>
          <w:szCs w:val="22"/>
        </w:rPr>
      </w:pPr>
    </w:p>
    <w:p w14:paraId="7363B976" w14:textId="77777777" w:rsidR="0009737A" w:rsidRPr="00A03709" w:rsidRDefault="00A51C6C" w:rsidP="00A03709">
      <w:pPr>
        <w:ind w:left="794" w:hanging="397"/>
        <w:rPr>
          <w:rFonts w:cstheme="minorHAnsi"/>
          <w:i/>
          <w:iCs/>
          <w:sz w:val="22"/>
          <w:szCs w:val="22"/>
        </w:rPr>
      </w:pPr>
      <w:r>
        <w:rPr>
          <w:sz w:val="22"/>
        </w:rPr>
        <w:t>“a)</w:t>
      </w:r>
      <w:r>
        <w:rPr>
          <w:sz w:val="22"/>
        </w:rPr>
        <w:tab/>
      </w:r>
      <w:r>
        <w:rPr>
          <w:i/>
          <w:iCs/>
          <w:sz w:val="22"/>
        </w:rPr>
        <w:t>el objetivo general de la consolidación es facilitar la comprensión y aplicación de las resoluciones, combinando en una única resolución los textos de las resoluciones existentes que tratan sobre un mismo tema, o subtema, utilizando el texto de las resoluciones existentes en la medida de lo posible y eliminando discrepancias e incoherencias, aclarando el significado, normalizando los términos utilizados, corrigiendo los errores gramaticales, actualizando las partes que son obsoletas y suprimiendo las partes que ya no son aplicables</w:t>
      </w:r>
      <w:r>
        <w:rPr>
          <w:sz w:val="22"/>
        </w:rPr>
        <w:t>;</w:t>
      </w:r>
      <w:r>
        <w:rPr>
          <w:i/>
          <w:sz w:val="22"/>
        </w:rPr>
        <w:t xml:space="preserve"> </w:t>
      </w:r>
    </w:p>
    <w:p w14:paraId="53CEC7AC" w14:textId="77777777" w:rsidR="0009737A" w:rsidRPr="0009737A" w:rsidRDefault="0009737A" w:rsidP="0009737A">
      <w:pPr>
        <w:ind w:left="397" w:hanging="397"/>
        <w:rPr>
          <w:rFonts w:cstheme="minorHAnsi"/>
          <w:sz w:val="22"/>
          <w:szCs w:val="22"/>
        </w:rPr>
      </w:pPr>
    </w:p>
    <w:p w14:paraId="3ECEE93A" w14:textId="77777777" w:rsidR="0009737A" w:rsidRPr="00F70AD1" w:rsidRDefault="0009737A" w:rsidP="00F70AD1">
      <w:pPr>
        <w:ind w:left="794" w:hanging="397"/>
        <w:rPr>
          <w:rFonts w:cstheme="minorHAnsi"/>
          <w:i/>
          <w:iCs/>
          <w:sz w:val="22"/>
          <w:szCs w:val="22"/>
        </w:rPr>
      </w:pPr>
      <w:r>
        <w:rPr>
          <w:i/>
          <w:sz w:val="22"/>
        </w:rPr>
        <w:t>b)</w:t>
      </w:r>
      <w:r>
        <w:rPr>
          <w:i/>
          <w:sz w:val="22"/>
        </w:rPr>
        <w:tab/>
        <w:t xml:space="preserve">después de cada una de las reuniones de la COP, el Comité Permanente seleccionará un número reducido de categorías por temas (por lo general, entre dos y cuatro categorías) de la lista de categorías de resoluciones que figuran en el anexo 2 de la presente resolución, </w:t>
      </w:r>
      <w:r>
        <w:rPr>
          <w:i/>
          <w:sz w:val="22"/>
        </w:rPr>
        <w:lastRenderedPageBreak/>
        <w:t xml:space="preserve">sobre las que la Secretaría (o su consultor) preparará proyectos de resoluciones consolidadas para someterlos a la consideración de la siguiente COP; </w:t>
      </w:r>
    </w:p>
    <w:p w14:paraId="22D62473" w14:textId="77777777" w:rsidR="0009737A" w:rsidRPr="00F70AD1" w:rsidRDefault="0009737A" w:rsidP="00F70AD1">
      <w:pPr>
        <w:ind w:left="794" w:hanging="397"/>
        <w:rPr>
          <w:rFonts w:cstheme="minorHAnsi"/>
          <w:i/>
          <w:iCs/>
          <w:sz w:val="22"/>
          <w:szCs w:val="22"/>
        </w:rPr>
      </w:pPr>
    </w:p>
    <w:p w14:paraId="0C41031B" w14:textId="77777777" w:rsidR="0009737A" w:rsidRPr="00F70AD1" w:rsidRDefault="0009737A" w:rsidP="00F70AD1">
      <w:pPr>
        <w:ind w:left="794" w:hanging="397"/>
        <w:rPr>
          <w:rFonts w:cstheme="minorHAnsi"/>
          <w:i/>
          <w:iCs/>
          <w:sz w:val="22"/>
          <w:szCs w:val="22"/>
        </w:rPr>
      </w:pPr>
      <w:r>
        <w:rPr>
          <w:i/>
          <w:sz w:val="22"/>
        </w:rPr>
        <w:t>c)</w:t>
      </w:r>
      <w:r>
        <w:rPr>
          <w:i/>
          <w:sz w:val="22"/>
        </w:rPr>
        <w:tab/>
        <w:t>en el documento en que se presenta cada proyecto de resolución consolidada se indicará el origen de los textos presentados y se explicarán las diferencias respecto a las resoluciones existentes;</w:t>
      </w:r>
    </w:p>
    <w:p w14:paraId="3520E68B" w14:textId="77777777" w:rsidR="0009737A" w:rsidRPr="00F70AD1" w:rsidRDefault="0009737A" w:rsidP="00F70AD1">
      <w:pPr>
        <w:ind w:left="794" w:hanging="397"/>
        <w:rPr>
          <w:rFonts w:cstheme="minorHAnsi"/>
          <w:i/>
          <w:iCs/>
          <w:sz w:val="22"/>
          <w:szCs w:val="22"/>
        </w:rPr>
      </w:pPr>
    </w:p>
    <w:p w14:paraId="4A394421" w14:textId="77777777" w:rsidR="0009737A" w:rsidRPr="00F70AD1" w:rsidRDefault="0009737A" w:rsidP="00F70AD1">
      <w:pPr>
        <w:ind w:left="794" w:hanging="397"/>
        <w:rPr>
          <w:rFonts w:cstheme="minorHAnsi"/>
          <w:i/>
          <w:iCs/>
          <w:sz w:val="22"/>
          <w:szCs w:val="22"/>
        </w:rPr>
      </w:pPr>
      <w:r>
        <w:rPr>
          <w:i/>
          <w:sz w:val="22"/>
        </w:rPr>
        <w:t>d)</w:t>
      </w:r>
      <w:r>
        <w:rPr>
          <w:i/>
          <w:sz w:val="22"/>
        </w:rPr>
        <w:tab/>
        <w:t>los proyectos de resoluciones consolidadas no incluirán ningún concepto, política, norma u orientación nuevos que no hayan sido acordados anteriormente por la COP;</w:t>
      </w:r>
    </w:p>
    <w:p w14:paraId="11F77378" w14:textId="77777777" w:rsidR="0009737A" w:rsidRPr="00F70AD1" w:rsidRDefault="0009737A" w:rsidP="00F70AD1">
      <w:pPr>
        <w:ind w:left="794" w:hanging="397"/>
        <w:rPr>
          <w:rFonts w:cstheme="minorHAnsi"/>
          <w:i/>
          <w:iCs/>
          <w:sz w:val="22"/>
          <w:szCs w:val="22"/>
        </w:rPr>
      </w:pPr>
    </w:p>
    <w:p w14:paraId="5D156F06" w14:textId="77777777" w:rsidR="0009737A" w:rsidRPr="00F70AD1" w:rsidRDefault="0009737A" w:rsidP="00F70AD1">
      <w:pPr>
        <w:ind w:left="794" w:hanging="397"/>
        <w:rPr>
          <w:rFonts w:cstheme="minorHAnsi"/>
          <w:i/>
          <w:iCs/>
          <w:sz w:val="22"/>
          <w:szCs w:val="22"/>
        </w:rPr>
      </w:pPr>
      <w:r>
        <w:rPr>
          <w:i/>
          <w:sz w:val="22"/>
        </w:rPr>
        <w:t>e)</w:t>
      </w:r>
      <w:r>
        <w:rPr>
          <w:i/>
          <w:sz w:val="22"/>
        </w:rPr>
        <w:tab/>
        <w:t>el texto de cada proyecto de resolución consolidada indicará que deroga las resoluciones que se están consolidando y que dicha resolución reemplazará;</w:t>
      </w:r>
    </w:p>
    <w:p w14:paraId="1A512E5F" w14:textId="77777777" w:rsidR="0009737A" w:rsidRPr="00F70AD1" w:rsidRDefault="0009737A" w:rsidP="00F70AD1">
      <w:pPr>
        <w:ind w:left="794" w:hanging="397"/>
        <w:rPr>
          <w:rFonts w:cstheme="minorHAnsi"/>
          <w:i/>
          <w:iCs/>
          <w:sz w:val="22"/>
          <w:szCs w:val="22"/>
        </w:rPr>
      </w:pPr>
    </w:p>
    <w:p w14:paraId="376CA949" w14:textId="285FA828" w:rsidR="0009737A" w:rsidRPr="0009737A" w:rsidRDefault="0009737A" w:rsidP="00F70AD1">
      <w:pPr>
        <w:ind w:left="794" w:hanging="397"/>
        <w:rPr>
          <w:rFonts w:cstheme="minorHAnsi"/>
          <w:sz w:val="22"/>
          <w:szCs w:val="22"/>
        </w:rPr>
      </w:pPr>
      <w:r>
        <w:rPr>
          <w:i/>
          <w:iCs/>
          <w:sz w:val="22"/>
        </w:rPr>
        <w:t>f)</w:t>
      </w:r>
      <w:r>
        <w:rPr>
          <w:i/>
          <w:iCs/>
          <w:sz w:val="22"/>
        </w:rPr>
        <w:tab/>
        <w:t>cada proyecto de resolución consolidada preparado por la Secretaría se presentará al Comité Permanente, que asesorará a la Secretaría y aprobará el proyecto para que sea presentado para su adopción por la Conferencia de las Partes una vez que haya comprobado que el proyecto se ha preparado correctamente</w:t>
      </w:r>
      <w:r w:rsidR="0063785A">
        <w:rPr>
          <w:i/>
          <w:iCs/>
          <w:sz w:val="22"/>
        </w:rPr>
        <w:t xml:space="preserve"> </w:t>
      </w:r>
      <w:r>
        <w:rPr>
          <w:i/>
          <w:iCs/>
          <w:sz w:val="22"/>
        </w:rPr>
        <w:t>[.</w:t>
      </w:r>
      <w:bookmarkStart w:id="0" w:name="_GoBack"/>
      <w:bookmarkEnd w:id="0"/>
      <w:r>
        <w:rPr>
          <w:i/>
          <w:iCs/>
          <w:sz w:val="22"/>
        </w:rPr>
        <w:t>...]</w:t>
      </w:r>
      <w:r>
        <w:rPr>
          <w:sz w:val="22"/>
        </w:rPr>
        <w:t>”</w:t>
      </w:r>
    </w:p>
    <w:p w14:paraId="5EA726E4" w14:textId="77777777" w:rsidR="0009737A" w:rsidRDefault="0009737A" w:rsidP="0009737A">
      <w:pPr>
        <w:ind w:left="397" w:hanging="397"/>
        <w:rPr>
          <w:rFonts w:cstheme="minorHAnsi"/>
          <w:sz w:val="22"/>
          <w:szCs w:val="22"/>
        </w:rPr>
      </w:pPr>
    </w:p>
    <w:p w14:paraId="4D8BDCB5" w14:textId="77777777" w:rsidR="00445754" w:rsidRDefault="00D44588" w:rsidP="0009737A">
      <w:pPr>
        <w:ind w:left="397" w:hanging="397"/>
        <w:rPr>
          <w:rFonts w:cstheme="minorHAnsi"/>
          <w:sz w:val="22"/>
          <w:szCs w:val="22"/>
        </w:rPr>
      </w:pPr>
      <w:r>
        <w:rPr>
          <w:sz w:val="22"/>
        </w:rPr>
        <w:t>4.</w:t>
      </w:r>
      <w:r>
        <w:rPr>
          <w:sz w:val="22"/>
        </w:rPr>
        <w:tab/>
        <w:t>En su 62ª reunión (SC62, septiembre de 2023), de conformidad con el apartado 10.b) de la Resolución XIV.5, el Comité Permanente adoptó la Decisión SC62-25, que se reproduce a continuación:</w:t>
      </w:r>
    </w:p>
    <w:p w14:paraId="099EEA78" w14:textId="77777777" w:rsidR="00957EAD" w:rsidRPr="00957EAD" w:rsidRDefault="00957EAD" w:rsidP="00957EAD">
      <w:pPr>
        <w:ind w:left="794" w:hanging="397"/>
        <w:rPr>
          <w:rFonts w:cstheme="minorHAnsi"/>
          <w:i/>
          <w:iCs/>
          <w:sz w:val="22"/>
          <w:szCs w:val="22"/>
        </w:rPr>
      </w:pPr>
      <w:r>
        <w:rPr>
          <w:sz w:val="22"/>
        </w:rPr>
        <w:tab/>
      </w:r>
      <w:r>
        <w:rPr>
          <w:i/>
          <w:sz w:val="22"/>
        </w:rPr>
        <w:t>El Comité Permanente seleccionó las categorías “Inventarios”, “CECoP”, “Agua, recursos hídricos y gestión de recursos hídricos” y “Evaluación de los valores y servicios de los humedales”, para las que se elaborarían proyectos de consolidación que se examinarían en la reunión SC63.</w:t>
      </w:r>
    </w:p>
    <w:p w14:paraId="3095A17C" w14:textId="77777777" w:rsidR="00D44588" w:rsidRPr="0009737A" w:rsidRDefault="00D44588" w:rsidP="0009737A">
      <w:pPr>
        <w:ind w:left="397" w:hanging="397"/>
        <w:rPr>
          <w:rFonts w:cstheme="minorHAnsi"/>
          <w:sz w:val="22"/>
          <w:szCs w:val="22"/>
        </w:rPr>
      </w:pPr>
    </w:p>
    <w:p w14:paraId="7760EC1C" w14:textId="77777777" w:rsidR="00265B81" w:rsidRDefault="00265B81" w:rsidP="0009737A">
      <w:pPr>
        <w:ind w:left="397" w:hanging="397"/>
        <w:rPr>
          <w:rFonts w:cstheme="minorHAnsi"/>
          <w:sz w:val="22"/>
          <w:szCs w:val="22"/>
        </w:rPr>
      </w:pPr>
      <w:r>
        <w:rPr>
          <w:sz w:val="22"/>
        </w:rPr>
        <w:t>5.</w:t>
      </w:r>
      <w:r>
        <w:rPr>
          <w:sz w:val="22"/>
        </w:rPr>
        <w:tab/>
        <w:t xml:space="preserve">Por consiguiente, la Secretaría contrató a un consultor para que preparara un proyecto de resolución consolidada sobre cada uno de estos temas. Los proyectos se presentan en los documentos SC63 Doc.16.2, SC63 Doc.16.3, SC63 Doc.16.4 y SC63 Doc.16.5. </w:t>
      </w:r>
    </w:p>
    <w:p w14:paraId="5C4ED4BF" w14:textId="77777777" w:rsidR="002F6D1B" w:rsidRDefault="002F6D1B" w:rsidP="0009737A">
      <w:pPr>
        <w:ind w:left="397" w:hanging="397"/>
        <w:rPr>
          <w:rFonts w:cstheme="minorHAnsi"/>
          <w:sz w:val="22"/>
          <w:szCs w:val="22"/>
        </w:rPr>
      </w:pPr>
    </w:p>
    <w:p w14:paraId="574496DA" w14:textId="77777777" w:rsidR="00030D1B" w:rsidRDefault="002F6D1B" w:rsidP="0009737A">
      <w:pPr>
        <w:ind w:left="397" w:hanging="397"/>
        <w:rPr>
          <w:rFonts w:cstheme="minorHAnsi"/>
          <w:sz w:val="22"/>
          <w:szCs w:val="22"/>
        </w:rPr>
      </w:pPr>
      <w:r>
        <w:rPr>
          <w:sz w:val="22"/>
        </w:rPr>
        <w:t>6.</w:t>
      </w:r>
      <w:r>
        <w:rPr>
          <w:sz w:val="22"/>
        </w:rPr>
        <w:tab/>
        <w:t xml:space="preserve">Aunque el procedimiento de consolidación de resoluciones ya se ha iniciado en varias convenciones sobre el medio ambiente, es la primera vez que se aplica para la Convención sobre los Humedales. Por este motivo, se ha adoptado un enfoque muy prudente para garantizar que las Partes puedan confiar en que —en el proceso de compilación de los acuerdos existentes en un único documento sobre cada tema general— no se esté perdiendo nada de lo que aún pueda estar en vigor. </w:t>
      </w:r>
    </w:p>
    <w:p w14:paraId="7D5BFF82" w14:textId="77777777" w:rsidR="00030D1B" w:rsidRDefault="00030D1B" w:rsidP="0009737A">
      <w:pPr>
        <w:ind w:left="397" w:hanging="397"/>
        <w:rPr>
          <w:rFonts w:cstheme="minorHAnsi"/>
          <w:sz w:val="22"/>
          <w:szCs w:val="22"/>
        </w:rPr>
      </w:pPr>
    </w:p>
    <w:p w14:paraId="4D662805" w14:textId="77777777" w:rsidR="002A22B9" w:rsidRDefault="003F265D" w:rsidP="0009737A">
      <w:pPr>
        <w:ind w:left="397" w:hanging="397"/>
        <w:rPr>
          <w:rFonts w:cstheme="minorHAnsi"/>
          <w:sz w:val="22"/>
          <w:szCs w:val="22"/>
        </w:rPr>
      </w:pPr>
      <w:r>
        <w:rPr>
          <w:sz w:val="22"/>
        </w:rPr>
        <w:t>7.</w:t>
      </w:r>
      <w:r>
        <w:rPr>
          <w:sz w:val="22"/>
        </w:rPr>
        <w:tab/>
        <w:t>La función del Comité Permanente en la fase actual, y de la Conferencia de las Partes Contratantes en el examen de los textos, consiste únicamente en garantizar que la consolidación de las resoluciones y recomendaciones se haya realizado correctamente, que no se haya introducido nada nuevo y que no haya cambios de fondo, de modo que el texto consolidado refleje efectivamente lo que ya ha sido acordado por la Conferencia de las Partes y que sigue estando en vigor. La Conferencia de las Partes ha aclarado este punto en la Resolución XIV.5, párrafo 10.g), como sigue:</w:t>
      </w:r>
    </w:p>
    <w:p w14:paraId="631A2327" w14:textId="77777777" w:rsidR="00265B81" w:rsidRDefault="00265B81" w:rsidP="0009737A">
      <w:pPr>
        <w:ind w:left="397" w:hanging="397"/>
        <w:rPr>
          <w:rFonts w:cstheme="minorHAnsi"/>
          <w:sz w:val="22"/>
          <w:szCs w:val="22"/>
        </w:rPr>
      </w:pPr>
    </w:p>
    <w:p w14:paraId="7CC3791D" w14:textId="6560429D" w:rsidR="002A22B9" w:rsidRPr="002A22B9" w:rsidRDefault="002A22B9" w:rsidP="002A22B9">
      <w:pPr>
        <w:ind w:left="794" w:hanging="397"/>
        <w:rPr>
          <w:rFonts w:cstheme="minorHAnsi"/>
          <w:i/>
          <w:iCs/>
          <w:sz w:val="22"/>
          <w:szCs w:val="22"/>
        </w:rPr>
      </w:pPr>
      <w:r>
        <w:rPr>
          <w:i/>
          <w:iCs/>
          <w:sz w:val="22"/>
        </w:rPr>
        <w:t>g)</w:t>
      </w:r>
      <w:r>
        <w:rPr>
          <w:i/>
          <w:iCs/>
          <w:sz w:val="22"/>
        </w:rPr>
        <w:tab/>
        <w:t xml:space="preserve">dado que el proceso de consolidación de resoluciones no tiene la finalidad de revisar el contenido de las decisiones adoptadas anteriormente por la Conferencia de las Partes, el reglamento para la consideración y adopción de proyectos de resoluciones consolidadas será diferente de aquel aplicado para la consideración de otros proyectos de resolución en el sentido de que, como norma general, el contenido no se presentaría para el debate, dado </w:t>
      </w:r>
      <w:r>
        <w:rPr>
          <w:i/>
          <w:iCs/>
          <w:sz w:val="22"/>
        </w:rPr>
        <w:lastRenderedPageBreak/>
        <w:t>que, en principio, ya ha sido acordado por las Partes</w:t>
      </w:r>
      <w:r>
        <w:rPr>
          <w:sz w:val="22"/>
        </w:rPr>
        <w:t>.</w:t>
      </w:r>
      <w:r>
        <w:rPr>
          <w:i/>
          <w:sz w:val="22"/>
        </w:rPr>
        <w:t xml:space="preserve"> </w:t>
      </w:r>
      <w:r>
        <w:rPr>
          <w:i/>
          <w:sz w:val="22"/>
          <w:u w:val="single"/>
        </w:rPr>
        <w:t>La decisión principal que deberá adoptar la Conferencia es si la consolidación se ha llevado a cabo correctamente</w:t>
      </w:r>
      <w:r w:rsidR="00B5690F" w:rsidRPr="00B5690F">
        <w:rPr>
          <w:rStyle w:val="FootnoteReference"/>
          <w:rFonts w:cstheme="minorHAnsi"/>
          <w:iCs/>
          <w:sz w:val="22"/>
          <w:szCs w:val="22"/>
          <w:u w:val="single"/>
        </w:rPr>
        <w:footnoteReference w:id="1"/>
      </w:r>
      <w:r w:rsidR="0063785A">
        <w:rPr>
          <w:i/>
          <w:sz w:val="22"/>
          <w:u w:val="single"/>
        </w:rPr>
        <w:t>.</w:t>
      </w:r>
    </w:p>
    <w:p w14:paraId="720A4797" w14:textId="77777777" w:rsidR="002A22B9" w:rsidRDefault="002A22B9" w:rsidP="002A22B9">
      <w:pPr>
        <w:ind w:left="397" w:hanging="397"/>
        <w:rPr>
          <w:rFonts w:cstheme="minorHAnsi"/>
          <w:sz w:val="22"/>
          <w:szCs w:val="22"/>
        </w:rPr>
      </w:pPr>
    </w:p>
    <w:p w14:paraId="0F696804" w14:textId="77777777" w:rsidR="004574A0" w:rsidRDefault="002A22B9" w:rsidP="002A22B9">
      <w:pPr>
        <w:ind w:left="397" w:hanging="397"/>
        <w:rPr>
          <w:rFonts w:cstheme="minorHAnsi"/>
          <w:sz w:val="22"/>
          <w:szCs w:val="22"/>
        </w:rPr>
      </w:pPr>
      <w:r>
        <w:rPr>
          <w:sz w:val="22"/>
        </w:rPr>
        <w:t>8.</w:t>
      </w:r>
      <w:r>
        <w:rPr>
          <w:sz w:val="22"/>
        </w:rPr>
        <w:tab/>
        <w:t xml:space="preserve">Se entiende que puede existir el deseo de modificar el fondo de lo que se ha acordado previamente. De conformidad con el procedimiento de consolidación, el momento para proponer dichos cambios es después de que la Conferencia de las Partes haya adoptado el proyecto de resolución consolidada. </w:t>
      </w:r>
    </w:p>
    <w:p w14:paraId="59C8142E" w14:textId="77777777" w:rsidR="004574A0" w:rsidRDefault="004574A0" w:rsidP="002A22B9">
      <w:pPr>
        <w:ind w:left="397" w:hanging="397"/>
        <w:rPr>
          <w:rFonts w:cstheme="minorHAnsi"/>
          <w:sz w:val="22"/>
          <w:szCs w:val="22"/>
        </w:rPr>
      </w:pPr>
    </w:p>
    <w:p w14:paraId="6BBB016C" w14:textId="77777777" w:rsidR="004574A0" w:rsidRDefault="004574A0" w:rsidP="002A22B9">
      <w:pPr>
        <w:ind w:left="397" w:hanging="397"/>
        <w:rPr>
          <w:rFonts w:cstheme="minorHAnsi"/>
          <w:sz w:val="22"/>
          <w:szCs w:val="22"/>
        </w:rPr>
      </w:pPr>
      <w:r>
        <w:rPr>
          <w:sz w:val="22"/>
        </w:rPr>
        <w:t>9.</w:t>
      </w:r>
      <w:r>
        <w:rPr>
          <w:sz w:val="22"/>
        </w:rPr>
        <w:tab/>
        <w:t xml:space="preserve">Es importante destacar que la finalidad del procedimiento de consolidación es reunir en un único documento todas las decisiones, interpretaciones y recomendaciones de la Conferencia de las Partes relativas a un mismo tema. De este modo se garantiza que las Partes tengan que consultar solo un texto para obtener orientación sobre ese tema. </w:t>
      </w:r>
    </w:p>
    <w:p w14:paraId="00328ED7" w14:textId="77777777" w:rsidR="004574A0" w:rsidRDefault="004574A0" w:rsidP="002A22B9">
      <w:pPr>
        <w:ind w:left="397" w:hanging="397"/>
        <w:rPr>
          <w:rFonts w:cstheme="minorHAnsi"/>
          <w:sz w:val="22"/>
          <w:szCs w:val="22"/>
        </w:rPr>
      </w:pPr>
    </w:p>
    <w:p w14:paraId="2E9E724C" w14:textId="77777777" w:rsidR="00777DB4" w:rsidRDefault="004574A0" w:rsidP="002A22B9">
      <w:pPr>
        <w:ind w:left="397" w:hanging="397"/>
        <w:rPr>
          <w:rFonts w:cstheme="minorHAnsi"/>
          <w:sz w:val="22"/>
          <w:szCs w:val="22"/>
        </w:rPr>
      </w:pPr>
      <w:r>
        <w:rPr>
          <w:sz w:val="22"/>
        </w:rPr>
        <w:t>10.</w:t>
      </w:r>
      <w:r>
        <w:rPr>
          <w:sz w:val="22"/>
        </w:rPr>
        <w:tab/>
        <w:t>El primer paso a estos efectos es consolidar todas las orientaciones existentes sin tratar cuestiones de fondo, de modo que las decisiones que ya ha tomado la Conferencia de las Partes y que siguen estando en vigor sean claras y constituyan la base de cualquier otra consideración. Por ello, en el procedimiento de acuerdo sobre los proyectos en los que se consolidan las decisiones y recomendaciones existentes no se tratan las cuestiones de fondo en sí mismas.</w:t>
      </w:r>
    </w:p>
    <w:p w14:paraId="0F939D30" w14:textId="77777777" w:rsidR="00777DB4" w:rsidRDefault="00777DB4" w:rsidP="002A22B9">
      <w:pPr>
        <w:ind w:left="397" w:hanging="397"/>
        <w:rPr>
          <w:rFonts w:cstheme="minorHAnsi"/>
          <w:sz w:val="22"/>
          <w:szCs w:val="22"/>
        </w:rPr>
      </w:pPr>
    </w:p>
    <w:p w14:paraId="2D01F88E" w14:textId="77777777" w:rsidR="00655F66" w:rsidRDefault="00777DB4" w:rsidP="00777DB4">
      <w:pPr>
        <w:ind w:left="397" w:hanging="397"/>
        <w:rPr>
          <w:rFonts w:cstheme="minorHAnsi"/>
          <w:sz w:val="22"/>
          <w:szCs w:val="22"/>
        </w:rPr>
      </w:pPr>
      <w:r>
        <w:rPr>
          <w:sz w:val="22"/>
        </w:rPr>
        <w:t>11.</w:t>
      </w:r>
      <w:r>
        <w:rPr>
          <w:sz w:val="22"/>
        </w:rPr>
        <w:tab/>
        <w:t xml:space="preserve">Para garantizar que quede solo una resolución sobre cada tema para el que se ha iniciado la consolidación, cualquier otro texto sobre el mismo tema debe proponerse como enmienda de la resolución consolidada, y no como una nueva resolución. </w:t>
      </w:r>
    </w:p>
    <w:p w14:paraId="3FA92951" w14:textId="77777777" w:rsidR="00655F66" w:rsidRDefault="00655F66" w:rsidP="00777DB4">
      <w:pPr>
        <w:ind w:left="397" w:hanging="397"/>
        <w:rPr>
          <w:rFonts w:cstheme="minorHAnsi"/>
          <w:sz w:val="22"/>
          <w:szCs w:val="22"/>
        </w:rPr>
      </w:pPr>
    </w:p>
    <w:p w14:paraId="57A2D813" w14:textId="77777777" w:rsidR="002A22B9" w:rsidRDefault="00655F66" w:rsidP="00777DB4">
      <w:pPr>
        <w:ind w:left="397" w:hanging="397"/>
        <w:rPr>
          <w:rFonts w:cstheme="minorHAnsi"/>
          <w:sz w:val="22"/>
          <w:szCs w:val="22"/>
        </w:rPr>
      </w:pPr>
      <w:r>
        <w:rPr>
          <w:sz w:val="22"/>
        </w:rPr>
        <w:t>12.</w:t>
      </w:r>
      <w:r>
        <w:rPr>
          <w:sz w:val="22"/>
        </w:rPr>
        <w:tab/>
        <w:t>Este es el enfoque que se sigue en otras convenciones sobre el medio ambiente, como la Convención sobre el Comercio Internacional de Especies Amenazadas de Fauna y Flora Silvestres, el Convenio sobre la Diversidad Biológica y la Convención sobre las Especies Migratorias.</w:t>
      </w:r>
    </w:p>
    <w:p w14:paraId="1D482DF7" w14:textId="77777777" w:rsidR="002A22B9" w:rsidRDefault="002A22B9" w:rsidP="002A22B9">
      <w:pPr>
        <w:ind w:left="397" w:hanging="397"/>
        <w:rPr>
          <w:rFonts w:cstheme="minorHAnsi"/>
          <w:sz w:val="22"/>
          <w:szCs w:val="22"/>
        </w:rPr>
      </w:pPr>
    </w:p>
    <w:p w14:paraId="75182722" w14:textId="77777777" w:rsidR="007930B4" w:rsidRDefault="00777DB4" w:rsidP="002A22B9">
      <w:pPr>
        <w:ind w:left="397" w:hanging="397"/>
        <w:rPr>
          <w:rFonts w:cstheme="minorHAnsi"/>
          <w:sz w:val="22"/>
          <w:szCs w:val="22"/>
        </w:rPr>
      </w:pPr>
      <w:r>
        <w:rPr>
          <w:sz w:val="22"/>
        </w:rPr>
        <w:t>13.</w:t>
      </w:r>
      <w:r>
        <w:rPr>
          <w:sz w:val="22"/>
        </w:rPr>
        <w:tab/>
        <w:t xml:space="preserve">Se invita al Comité Permanente a considerar y aprobar los cuatro proyectos de resoluciones consolidadas que acompañan el presente documento. </w:t>
      </w:r>
    </w:p>
    <w:p w14:paraId="3AA22B5A" w14:textId="77777777" w:rsidR="0009737A" w:rsidRDefault="0009737A" w:rsidP="0009737A">
      <w:pPr>
        <w:ind w:left="397" w:hanging="397"/>
        <w:rPr>
          <w:rFonts w:cstheme="minorHAnsi"/>
          <w:sz w:val="22"/>
          <w:szCs w:val="22"/>
        </w:rPr>
      </w:pPr>
    </w:p>
    <w:p w14:paraId="7A65FA07" w14:textId="77777777" w:rsidR="002F6D1B" w:rsidRDefault="002F6D1B" w:rsidP="0009737A">
      <w:pPr>
        <w:ind w:left="397" w:hanging="397"/>
        <w:rPr>
          <w:rFonts w:cstheme="minorHAnsi"/>
          <w:sz w:val="22"/>
          <w:szCs w:val="22"/>
        </w:rPr>
      </w:pPr>
    </w:p>
    <w:p w14:paraId="3535D2AF" w14:textId="77777777" w:rsidR="002F6D1B" w:rsidRDefault="002F6D1B" w:rsidP="0009737A">
      <w:pPr>
        <w:ind w:left="397" w:hanging="397"/>
        <w:rPr>
          <w:rFonts w:cstheme="minorHAnsi"/>
          <w:sz w:val="22"/>
          <w:szCs w:val="22"/>
        </w:rPr>
      </w:pPr>
    </w:p>
    <w:p w14:paraId="6CE04C07" w14:textId="77777777" w:rsidR="0009737A" w:rsidRDefault="0009737A" w:rsidP="00C938A5">
      <w:pPr>
        <w:ind w:left="397" w:hanging="397"/>
        <w:rPr>
          <w:rFonts w:cstheme="minorHAnsi"/>
          <w:sz w:val="22"/>
          <w:szCs w:val="22"/>
        </w:rPr>
      </w:pPr>
    </w:p>
    <w:p w14:paraId="73D19B2E" w14:textId="77777777" w:rsidR="0009737A" w:rsidRDefault="0009737A" w:rsidP="00C938A5">
      <w:pPr>
        <w:ind w:left="397" w:hanging="397"/>
        <w:rPr>
          <w:rFonts w:cstheme="minorHAnsi"/>
          <w:sz w:val="22"/>
          <w:szCs w:val="22"/>
        </w:rPr>
      </w:pPr>
    </w:p>
    <w:p w14:paraId="4B3B309E" w14:textId="77777777" w:rsidR="0009737A" w:rsidRDefault="0009737A" w:rsidP="00C938A5">
      <w:pPr>
        <w:ind w:left="397" w:hanging="397"/>
        <w:rPr>
          <w:rFonts w:cstheme="minorHAnsi"/>
          <w:sz w:val="22"/>
          <w:szCs w:val="22"/>
        </w:rPr>
      </w:pPr>
    </w:p>
    <w:p w14:paraId="38C4EF72" w14:textId="77777777" w:rsidR="0009737A" w:rsidRDefault="0009737A" w:rsidP="00C938A5">
      <w:pPr>
        <w:ind w:left="397" w:hanging="397"/>
        <w:rPr>
          <w:rFonts w:cstheme="minorHAnsi"/>
          <w:sz w:val="22"/>
          <w:szCs w:val="22"/>
        </w:rPr>
      </w:pPr>
    </w:p>
    <w:p w14:paraId="7622BE47" w14:textId="77777777" w:rsidR="0009737A" w:rsidRDefault="0009737A" w:rsidP="00C938A5">
      <w:pPr>
        <w:ind w:left="397" w:hanging="397"/>
        <w:rPr>
          <w:rFonts w:cstheme="minorHAnsi"/>
          <w:sz w:val="22"/>
          <w:szCs w:val="22"/>
        </w:rPr>
      </w:pPr>
    </w:p>
    <w:p w14:paraId="2DEAB024" w14:textId="77777777" w:rsidR="0009737A" w:rsidRDefault="0009737A" w:rsidP="00C938A5">
      <w:pPr>
        <w:ind w:left="397" w:hanging="397"/>
        <w:rPr>
          <w:rFonts w:cstheme="minorHAnsi"/>
          <w:sz w:val="22"/>
          <w:szCs w:val="22"/>
        </w:rPr>
      </w:pPr>
    </w:p>
    <w:p w14:paraId="1F7422C8" w14:textId="77777777" w:rsidR="0009737A" w:rsidRDefault="0009737A" w:rsidP="00C938A5">
      <w:pPr>
        <w:ind w:left="397" w:hanging="397"/>
        <w:rPr>
          <w:rFonts w:cstheme="minorHAnsi"/>
          <w:sz w:val="22"/>
          <w:szCs w:val="22"/>
        </w:rPr>
      </w:pPr>
    </w:p>
    <w:p w14:paraId="456713FE" w14:textId="77777777" w:rsidR="00B07C5B" w:rsidRDefault="00B07C5B" w:rsidP="00380B5F">
      <w:pPr>
        <w:ind w:left="397" w:hanging="397"/>
        <w:rPr>
          <w:rFonts w:cstheme="minorHAnsi"/>
          <w:sz w:val="22"/>
          <w:szCs w:val="22"/>
        </w:rPr>
      </w:pPr>
    </w:p>
    <w:sectPr w:rsidR="00B07C5B" w:rsidSect="007C524F">
      <w:footerReference w:type="even"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90874" w14:textId="77777777" w:rsidR="007C524F" w:rsidRDefault="007C524F" w:rsidP="00C56D2D">
      <w:r>
        <w:separator/>
      </w:r>
    </w:p>
  </w:endnote>
  <w:endnote w:type="continuationSeparator" w:id="0">
    <w:p w14:paraId="683ADF93" w14:textId="77777777" w:rsidR="007C524F" w:rsidRDefault="007C524F"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367370"/>
      <w:docPartObj>
        <w:docPartGallery w:val="Page Numbers (Bottom of Page)"/>
        <w:docPartUnique/>
      </w:docPartObj>
    </w:sdtPr>
    <w:sdtEndPr>
      <w:rPr>
        <w:rStyle w:val="PageNumber"/>
      </w:rPr>
    </w:sdtEndPr>
    <w:sdtContent>
      <w:p w14:paraId="4A0D0F2E" w14:textId="77777777" w:rsidR="008B238A" w:rsidRDefault="008B238A" w:rsidP="00A7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0C29AE" w14:textId="77777777" w:rsidR="008B238A" w:rsidRDefault="008B2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1F22" w14:textId="522CDB30" w:rsidR="008B238A" w:rsidRPr="007F18AB" w:rsidRDefault="007F18AB" w:rsidP="007F18AB">
    <w:pPr>
      <w:tabs>
        <w:tab w:val="center" w:pos="4513"/>
        <w:tab w:val="right" w:pos="9026"/>
      </w:tabs>
      <w:rPr>
        <w:sz w:val="20"/>
      </w:rPr>
    </w:pPr>
    <w:r>
      <w:rPr>
        <w:sz w:val="20"/>
      </w:rPr>
      <w:t>SC63 Doc.16.1</w:t>
    </w:r>
    <w:r>
      <w:rPr>
        <w:sz w:val="20"/>
      </w:rPr>
      <w:tab/>
    </w:r>
    <w:r>
      <w:rPr>
        <w:sz w:val="20"/>
      </w:rPr>
      <w:tab/>
    </w:r>
    <w:r w:rsidRPr="007A1C2D">
      <w:rPr>
        <w:rFonts w:cs="Arial"/>
        <w:sz w:val="20"/>
      </w:rPr>
      <w:fldChar w:fldCharType="begin"/>
    </w:r>
    <w:r w:rsidRPr="007A1C2D">
      <w:rPr>
        <w:rFonts w:cs="Arial"/>
        <w:sz w:val="20"/>
      </w:rPr>
      <w:instrText xml:space="preserve"> PAGE   \* MERGEFORMAT </w:instrText>
    </w:r>
    <w:r w:rsidRPr="007A1C2D">
      <w:rPr>
        <w:rFonts w:cs="Arial"/>
        <w:sz w:val="20"/>
      </w:rPr>
      <w:fldChar w:fldCharType="separate"/>
    </w:r>
    <w:r>
      <w:rPr>
        <w:rFonts w:cs="Arial"/>
        <w:sz w:val="20"/>
      </w:rPr>
      <w:t>3</w:t>
    </w:r>
    <w:r w:rsidRPr="007A1C2D">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1D80B" w14:textId="77777777" w:rsidR="007C524F" w:rsidRDefault="007C524F" w:rsidP="00C56D2D">
      <w:r>
        <w:separator/>
      </w:r>
    </w:p>
  </w:footnote>
  <w:footnote w:type="continuationSeparator" w:id="0">
    <w:p w14:paraId="24C61ACB" w14:textId="77777777" w:rsidR="007C524F" w:rsidRDefault="007C524F" w:rsidP="00C56D2D">
      <w:r>
        <w:continuationSeparator/>
      </w:r>
    </w:p>
  </w:footnote>
  <w:footnote w:id="1">
    <w:p w14:paraId="333A3F91" w14:textId="77777777" w:rsidR="00B5690F" w:rsidRPr="00B5690F" w:rsidRDefault="00B5690F">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rPr>
        <w:t xml:space="preserve"> Sin subrayado en el original; añadido por la Secretaría a los fines del presente documento.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 w15:restartNumberingAfterBreak="0">
    <w:nsid w:val="350E208A"/>
    <w:multiLevelType w:val="hybridMultilevel"/>
    <w:tmpl w:val="33D6EC3C"/>
    <w:lvl w:ilvl="0" w:tplc="0E96EC8A">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 w15:restartNumberingAfterBreak="0">
    <w:nsid w:val="42155D07"/>
    <w:multiLevelType w:val="multilevel"/>
    <w:tmpl w:val="37A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B3C27"/>
    <w:multiLevelType w:val="hybridMultilevel"/>
    <w:tmpl w:val="A5F67BB2"/>
    <w:lvl w:ilvl="0" w:tplc="E7B6F832">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tplc="39BE75C4">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7D663496">
      <w:numFmt w:val="bullet"/>
      <w:lvlText w:val="•"/>
      <w:lvlJc w:val="left"/>
      <w:pPr>
        <w:ind w:left="1921" w:hanging="568"/>
      </w:pPr>
      <w:rPr>
        <w:rFonts w:ascii="Arial" w:eastAsia="Arial" w:hAnsi="Arial" w:cs="Arial" w:hint="default"/>
        <w:spacing w:val="0"/>
        <w:w w:val="131"/>
        <w:lang w:val="en-US" w:eastAsia="en-US" w:bidi="ar-SA"/>
      </w:rPr>
    </w:lvl>
    <w:lvl w:ilvl="3" w:tplc="AA66B12A">
      <w:numFmt w:val="bullet"/>
      <w:lvlText w:val="•"/>
      <w:lvlJc w:val="left"/>
      <w:pPr>
        <w:ind w:left="2850" w:hanging="568"/>
      </w:pPr>
      <w:rPr>
        <w:rFonts w:hint="default"/>
        <w:lang w:val="en-US" w:eastAsia="en-US" w:bidi="ar-SA"/>
      </w:rPr>
    </w:lvl>
    <w:lvl w:ilvl="4" w:tplc="2B966FE0">
      <w:numFmt w:val="bullet"/>
      <w:lvlText w:val="•"/>
      <w:lvlJc w:val="left"/>
      <w:pPr>
        <w:ind w:left="3780" w:hanging="568"/>
      </w:pPr>
      <w:rPr>
        <w:rFonts w:hint="default"/>
        <w:lang w:val="en-US" w:eastAsia="en-US" w:bidi="ar-SA"/>
      </w:rPr>
    </w:lvl>
    <w:lvl w:ilvl="5" w:tplc="50E849BA">
      <w:numFmt w:val="bullet"/>
      <w:lvlText w:val="•"/>
      <w:lvlJc w:val="left"/>
      <w:pPr>
        <w:ind w:left="4710" w:hanging="568"/>
      </w:pPr>
      <w:rPr>
        <w:rFonts w:hint="default"/>
        <w:lang w:val="en-US" w:eastAsia="en-US" w:bidi="ar-SA"/>
      </w:rPr>
    </w:lvl>
    <w:lvl w:ilvl="6" w:tplc="EB7C9774">
      <w:numFmt w:val="bullet"/>
      <w:lvlText w:val="•"/>
      <w:lvlJc w:val="left"/>
      <w:pPr>
        <w:ind w:left="5640" w:hanging="568"/>
      </w:pPr>
      <w:rPr>
        <w:rFonts w:hint="default"/>
        <w:lang w:val="en-US" w:eastAsia="en-US" w:bidi="ar-SA"/>
      </w:rPr>
    </w:lvl>
    <w:lvl w:ilvl="7" w:tplc="C65AF4A4">
      <w:numFmt w:val="bullet"/>
      <w:lvlText w:val="•"/>
      <w:lvlJc w:val="left"/>
      <w:pPr>
        <w:ind w:left="6570" w:hanging="568"/>
      </w:pPr>
      <w:rPr>
        <w:rFonts w:hint="default"/>
        <w:lang w:val="en-US" w:eastAsia="en-US" w:bidi="ar-SA"/>
      </w:rPr>
    </w:lvl>
    <w:lvl w:ilvl="8" w:tplc="FAB6E28A">
      <w:numFmt w:val="bullet"/>
      <w:lvlText w:val="•"/>
      <w:lvlJc w:val="left"/>
      <w:pPr>
        <w:ind w:left="7500" w:hanging="568"/>
      </w:pPr>
      <w:rPr>
        <w:rFonts w:hint="default"/>
        <w:lang w:val="en-US" w:eastAsia="en-US" w:bidi="ar-SA"/>
      </w:rPr>
    </w:lvl>
  </w:abstractNum>
  <w:abstractNum w:abstractNumId="4" w15:restartNumberingAfterBreak="0">
    <w:nsid w:val="55277969"/>
    <w:multiLevelType w:val="hybridMultilevel"/>
    <w:tmpl w:val="2D34853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55B95A7E"/>
    <w:multiLevelType w:val="hybridMultilevel"/>
    <w:tmpl w:val="993E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AE5A37"/>
    <w:multiLevelType w:val="hybridMultilevel"/>
    <w:tmpl w:val="BB66AEF2"/>
    <w:lvl w:ilvl="0" w:tplc="08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CA45C5"/>
    <w:multiLevelType w:val="hybridMultilevel"/>
    <w:tmpl w:val="BA7CD286"/>
    <w:lvl w:ilvl="0" w:tplc="0809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60AD225F"/>
    <w:multiLevelType w:val="hybridMultilevel"/>
    <w:tmpl w:val="8432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6324E"/>
    <w:multiLevelType w:val="hybridMultilevel"/>
    <w:tmpl w:val="EC02CEDE"/>
    <w:lvl w:ilvl="0" w:tplc="08090001">
      <w:start w:val="1"/>
      <w:numFmt w:val="bullet"/>
      <w:lvlText w:val=""/>
      <w:lvlJc w:val="left"/>
      <w:pPr>
        <w:ind w:left="1150" w:hanging="360"/>
      </w:pPr>
      <w:rPr>
        <w:rFonts w:ascii="Symbol" w:hAnsi="Symbol" w:hint="default"/>
        <w:b w:val="0"/>
        <w:bCs w:val="0"/>
        <w:i w:val="0"/>
        <w:iCs w:val="0"/>
        <w:spacing w:val="-1"/>
        <w:w w:val="100"/>
        <w:sz w:val="24"/>
        <w:szCs w:val="24"/>
        <w:lang w:val="en-US" w:eastAsia="en-US" w:bidi="ar-SA"/>
      </w:rPr>
    </w:lvl>
    <w:lvl w:ilvl="1" w:tplc="FFFFFFFF">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tplc="FFFFFFFF">
      <w:numFmt w:val="bullet"/>
      <w:lvlText w:val="•"/>
      <w:lvlJc w:val="left"/>
      <w:pPr>
        <w:ind w:left="1921" w:hanging="568"/>
      </w:pPr>
      <w:rPr>
        <w:rFonts w:ascii="Arial" w:eastAsia="Arial" w:hAnsi="Arial" w:cs="Arial" w:hint="default"/>
        <w:spacing w:val="0"/>
        <w:w w:val="131"/>
        <w:lang w:val="en-US" w:eastAsia="en-US" w:bidi="ar-SA"/>
      </w:rPr>
    </w:lvl>
    <w:lvl w:ilvl="3" w:tplc="FFFFFFFF">
      <w:numFmt w:val="bullet"/>
      <w:lvlText w:val="•"/>
      <w:lvlJc w:val="left"/>
      <w:pPr>
        <w:ind w:left="2850" w:hanging="568"/>
      </w:pPr>
      <w:rPr>
        <w:rFonts w:hint="default"/>
        <w:lang w:val="en-US" w:eastAsia="en-US" w:bidi="ar-SA"/>
      </w:rPr>
    </w:lvl>
    <w:lvl w:ilvl="4" w:tplc="FFFFFFFF">
      <w:numFmt w:val="bullet"/>
      <w:lvlText w:val="•"/>
      <w:lvlJc w:val="left"/>
      <w:pPr>
        <w:ind w:left="3780" w:hanging="568"/>
      </w:pPr>
      <w:rPr>
        <w:rFonts w:hint="default"/>
        <w:lang w:val="en-US" w:eastAsia="en-US" w:bidi="ar-SA"/>
      </w:rPr>
    </w:lvl>
    <w:lvl w:ilvl="5" w:tplc="FFFFFFFF">
      <w:numFmt w:val="bullet"/>
      <w:lvlText w:val="•"/>
      <w:lvlJc w:val="left"/>
      <w:pPr>
        <w:ind w:left="4710" w:hanging="568"/>
      </w:pPr>
      <w:rPr>
        <w:rFonts w:hint="default"/>
        <w:lang w:val="en-US" w:eastAsia="en-US" w:bidi="ar-SA"/>
      </w:rPr>
    </w:lvl>
    <w:lvl w:ilvl="6" w:tplc="FFFFFFFF">
      <w:numFmt w:val="bullet"/>
      <w:lvlText w:val="•"/>
      <w:lvlJc w:val="left"/>
      <w:pPr>
        <w:ind w:left="5640" w:hanging="568"/>
      </w:pPr>
      <w:rPr>
        <w:rFonts w:hint="default"/>
        <w:lang w:val="en-US" w:eastAsia="en-US" w:bidi="ar-SA"/>
      </w:rPr>
    </w:lvl>
    <w:lvl w:ilvl="7" w:tplc="FFFFFFFF">
      <w:numFmt w:val="bullet"/>
      <w:lvlText w:val="•"/>
      <w:lvlJc w:val="left"/>
      <w:pPr>
        <w:ind w:left="6570" w:hanging="568"/>
      </w:pPr>
      <w:rPr>
        <w:rFonts w:hint="default"/>
        <w:lang w:val="en-US" w:eastAsia="en-US" w:bidi="ar-SA"/>
      </w:rPr>
    </w:lvl>
    <w:lvl w:ilvl="8" w:tplc="FFFFFFFF">
      <w:numFmt w:val="bullet"/>
      <w:lvlText w:val="•"/>
      <w:lvlJc w:val="left"/>
      <w:pPr>
        <w:ind w:left="7500" w:hanging="568"/>
      </w:pPr>
      <w:rPr>
        <w:rFonts w:hint="default"/>
        <w:lang w:val="en-US" w:eastAsia="en-US" w:bidi="ar-SA"/>
      </w:rPr>
    </w:lvl>
  </w:abstractNum>
  <w:abstractNum w:abstractNumId="10" w15:restartNumberingAfterBreak="0">
    <w:nsid w:val="63591CF4"/>
    <w:multiLevelType w:val="hybridMultilevel"/>
    <w:tmpl w:val="F2A65640"/>
    <w:lvl w:ilvl="0" w:tplc="511AADC6">
      <w:numFmt w:val="bullet"/>
      <w:lvlText w:val="-"/>
      <w:lvlJc w:val="left"/>
      <w:pPr>
        <w:ind w:left="1440" w:hanging="650"/>
      </w:pPr>
      <w:rPr>
        <w:rFonts w:ascii="Calibri" w:eastAsiaTheme="minorHAnsi" w:hAnsi="Calibri" w:cs="Calibri"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1" w15:restartNumberingAfterBreak="0">
    <w:nsid w:val="65F95EED"/>
    <w:multiLevelType w:val="hybridMultilevel"/>
    <w:tmpl w:val="2CA2B284"/>
    <w:lvl w:ilvl="0" w:tplc="3C726B48">
      <w:numFmt w:val="bullet"/>
      <w:lvlText w:val="-"/>
      <w:lvlJc w:val="left"/>
      <w:pPr>
        <w:ind w:left="750" w:hanging="360"/>
      </w:pPr>
      <w:rPr>
        <w:rFonts w:ascii="Calibri" w:eastAsiaTheme="minorHAnsi" w:hAnsi="Calibri" w:cs="Calibri"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2" w15:restartNumberingAfterBreak="0">
    <w:nsid w:val="6D791172"/>
    <w:multiLevelType w:val="hybridMultilevel"/>
    <w:tmpl w:val="CC06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CA5F8E"/>
    <w:multiLevelType w:val="hybridMultilevel"/>
    <w:tmpl w:val="32F8BD14"/>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4" w15:restartNumberingAfterBreak="0">
    <w:nsid w:val="7F0067EF"/>
    <w:multiLevelType w:val="multilevel"/>
    <w:tmpl w:val="A5F67BB2"/>
    <w:styleLink w:val="CurrentList1"/>
    <w:lvl w:ilvl="0">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numFmt w:val="bullet"/>
      <w:lvlText w:val="•"/>
      <w:lvlJc w:val="left"/>
      <w:pPr>
        <w:ind w:left="1921" w:hanging="568"/>
      </w:pPr>
      <w:rPr>
        <w:rFonts w:ascii="Arial" w:eastAsia="Arial" w:hAnsi="Arial" w:cs="Arial" w:hint="default"/>
        <w:spacing w:val="0"/>
        <w:w w:val="131"/>
        <w:lang w:val="en-US" w:eastAsia="en-US" w:bidi="ar-SA"/>
      </w:rPr>
    </w:lvl>
    <w:lvl w:ilvl="3">
      <w:numFmt w:val="bullet"/>
      <w:lvlText w:val="•"/>
      <w:lvlJc w:val="left"/>
      <w:pPr>
        <w:ind w:left="2850" w:hanging="568"/>
      </w:pPr>
      <w:rPr>
        <w:rFonts w:hint="default"/>
        <w:lang w:val="en-US" w:eastAsia="en-US" w:bidi="ar-SA"/>
      </w:rPr>
    </w:lvl>
    <w:lvl w:ilvl="4">
      <w:numFmt w:val="bullet"/>
      <w:lvlText w:val="•"/>
      <w:lvlJc w:val="left"/>
      <w:pPr>
        <w:ind w:left="3780" w:hanging="568"/>
      </w:pPr>
      <w:rPr>
        <w:rFonts w:hint="default"/>
        <w:lang w:val="en-US" w:eastAsia="en-US" w:bidi="ar-SA"/>
      </w:rPr>
    </w:lvl>
    <w:lvl w:ilvl="5">
      <w:numFmt w:val="bullet"/>
      <w:lvlText w:val="•"/>
      <w:lvlJc w:val="left"/>
      <w:pPr>
        <w:ind w:left="4710" w:hanging="568"/>
      </w:pPr>
      <w:rPr>
        <w:rFonts w:hint="default"/>
        <w:lang w:val="en-US" w:eastAsia="en-US" w:bidi="ar-SA"/>
      </w:rPr>
    </w:lvl>
    <w:lvl w:ilvl="6">
      <w:numFmt w:val="bullet"/>
      <w:lvlText w:val="•"/>
      <w:lvlJc w:val="left"/>
      <w:pPr>
        <w:ind w:left="5640" w:hanging="568"/>
      </w:pPr>
      <w:rPr>
        <w:rFonts w:hint="default"/>
        <w:lang w:val="en-US" w:eastAsia="en-US" w:bidi="ar-SA"/>
      </w:rPr>
    </w:lvl>
    <w:lvl w:ilvl="7">
      <w:numFmt w:val="bullet"/>
      <w:lvlText w:val="•"/>
      <w:lvlJc w:val="left"/>
      <w:pPr>
        <w:ind w:left="6570" w:hanging="568"/>
      </w:pPr>
      <w:rPr>
        <w:rFonts w:hint="default"/>
        <w:lang w:val="en-US" w:eastAsia="en-US" w:bidi="ar-SA"/>
      </w:rPr>
    </w:lvl>
    <w:lvl w:ilvl="8">
      <w:numFmt w:val="bullet"/>
      <w:lvlText w:val="•"/>
      <w:lvlJc w:val="left"/>
      <w:pPr>
        <w:ind w:left="7500" w:hanging="568"/>
      </w:pPr>
      <w:rPr>
        <w:rFonts w:hint="default"/>
        <w:lang w:val="en-US" w:eastAsia="en-US" w:bidi="ar-SA"/>
      </w:rPr>
    </w:lvl>
  </w:abstractNum>
  <w:num w:numId="1">
    <w:abstractNumId w:val="2"/>
  </w:num>
  <w:num w:numId="2">
    <w:abstractNumId w:val="12"/>
  </w:num>
  <w:num w:numId="3">
    <w:abstractNumId w:val="10"/>
  </w:num>
  <w:num w:numId="4">
    <w:abstractNumId w:val="13"/>
  </w:num>
  <w:num w:numId="5">
    <w:abstractNumId w:val="8"/>
  </w:num>
  <w:num w:numId="6">
    <w:abstractNumId w:val="1"/>
  </w:num>
  <w:num w:numId="7">
    <w:abstractNumId w:val="0"/>
  </w:num>
  <w:num w:numId="8">
    <w:abstractNumId w:val="3"/>
  </w:num>
  <w:num w:numId="9">
    <w:abstractNumId w:val="14"/>
  </w:num>
  <w:num w:numId="10">
    <w:abstractNumId w:val="9"/>
  </w:num>
  <w:num w:numId="11">
    <w:abstractNumId w:val="6"/>
  </w:num>
  <w:num w:numId="12">
    <w:abstractNumId w:val="7"/>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42"/>
    <w:rsid w:val="0000279C"/>
    <w:rsid w:val="00012AEC"/>
    <w:rsid w:val="000130A6"/>
    <w:rsid w:val="00013572"/>
    <w:rsid w:val="00016BDF"/>
    <w:rsid w:val="00025655"/>
    <w:rsid w:val="00026B90"/>
    <w:rsid w:val="00030D1B"/>
    <w:rsid w:val="00033FFE"/>
    <w:rsid w:val="00043F1B"/>
    <w:rsid w:val="000502E4"/>
    <w:rsid w:val="000556F2"/>
    <w:rsid w:val="00057C68"/>
    <w:rsid w:val="00062C8D"/>
    <w:rsid w:val="000727C3"/>
    <w:rsid w:val="00076F46"/>
    <w:rsid w:val="00077AC5"/>
    <w:rsid w:val="00093233"/>
    <w:rsid w:val="00094082"/>
    <w:rsid w:val="0009737A"/>
    <w:rsid w:val="000978F7"/>
    <w:rsid w:val="000A0BD8"/>
    <w:rsid w:val="000A3DD2"/>
    <w:rsid w:val="000A49AD"/>
    <w:rsid w:val="000A71F3"/>
    <w:rsid w:val="000B1BCD"/>
    <w:rsid w:val="000B32B1"/>
    <w:rsid w:val="000C178A"/>
    <w:rsid w:val="000C5690"/>
    <w:rsid w:val="000C5C30"/>
    <w:rsid w:val="000D1B89"/>
    <w:rsid w:val="000D364B"/>
    <w:rsid w:val="000E58C7"/>
    <w:rsid w:val="000F6AAB"/>
    <w:rsid w:val="00112303"/>
    <w:rsid w:val="00114D5F"/>
    <w:rsid w:val="00114F16"/>
    <w:rsid w:val="001226F1"/>
    <w:rsid w:val="00123B36"/>
    <w:rsid w:val="00125D9B"/>
    <w:rsid w:val="00135328"/>
    <w:rsid w:val="00135AB1"/>
    <w:rsid w:val="00136169"/>
    <w:rsid w:val="00141467"/>
    <w:rsid w:val="001432D0"/>
    <w:rsid w:val="00145B1E"/>
    <w:rsid w:val="00154EE9"/>
    <w:rsid w:val="00156292"/>
    <w:rsid w:val="001618EB"/>
    <w:rsid w:val="001640AE"/>
    <w:rsid w:val="00165A89"/>
    <w:rsid w:val="001663F7"/>
    <w:rsid w:val="00166D00"/>
    <w:rsid w:val="00177C9C"/>
    <w:rsid w:val="0018082B"/>
    <w:rsid w:val="0018212E"/>
    <w:rsid w:val="001846E4"/>
    <w:rsid w:val="00185234"/>
    <w:rsid w:val="00186E5D"/>
    <w:rsid w:val="001905F9"/>
    <w:rsid w:val="00196226"/>
    <w:rsid w:val="001A1B79"/>
    <w:rsid w:val="001A26CF"/>
    <w:rsid w:val="001A3674"/>
    <w:rsid w:val="001A49D5"/>
    <w:rsid w:val="001B2C92"/>
    <w:rsid w:val="001B4961"/>
    <w:rsid w:val="001B5A1B"/>
    <w:rsid w:val="001C1596"/>
    <w:rsid w:val="001C26D9"/>
    <w:rsid w:val="001D0153"/>
    <w:rsid w:val="001D4C27"/>
    <w:rsid w:val="001D655D"/>
    <w:rsid w:val="001E5EBB"/>
    <w:rsid w:val="001F34EF"/>
    <w:rsid w:val="00201438"/>
    <w:rsid w:val="00216850"/>
    <w:rsid w:val="0021698D"/>
    <w:rsid w:val="002201EB"/>
    <w:rsid w:val="00220883"/>
    <w:rsid w:val="0022649C"/>
    <w:rsid w:val="00243FD4"/>
    <w:rsid w:val="00245027"/>
    <w:rsid w:val="00247BE7"/>
    <w:rsid w:val="00251B2B"/>
    <w:rsid w:val="00253B03"/>
    <w:rsid w:val="002540CA"/>
    <w:rsid w:val="002547F4"/>
    <w:rsid w:val="0025651F"/>
    <w:rsid w:val="00256787"/>
    <w:rsid w:val="00257375"/>
    <w:rsid w:val="00264CD6"/>
    <w:rsid w:val="002650DE"/>
    <w:rsid w:val="00265B81"/>
    <w:rsid w:val="00271021"/>
    <w:rsid w:val="00273A3E"/>
    <w:rsid w:val="00280C7E"/>
    <w:rsid w:val="002904DD"/>
    <w:rsid w:val="0029564F"/>
    <w:rsid w:val="002A0B4B"/>
    <w:rsid w:val="002A0D48"/>
    <w:rsid w:val="002A22B9"/>
    <w:rsid w:val="002A3648"/>
    <w:rsid w:val="002A5D38"/>
    <w:rsid w:val="002A7735"/>
    <w:rsid w:val="002A77EC"/>
    <w:rsid w:val="002B3690"/>
    <w:rsid w:val="002B4865"/>
    <w:rsid w:val="002B6511"/>
    <w:rsid w:val="002B67CB"/>
    <w:rsid w:val="002C008C"/>
    <w:rsid w:val="002C2C82"/>
    <w:rsid w:val="002C398A"/>
    <w:rsid w:val="002C53B2"/>
    <w:rsid w:val="002D0631"/>
    <w:rsid w:val="002D3832"/>
    <w:rsid w:val="002D46D0"/>
    <w:rsid w:val="002F421E"/>
    <w:rsid w:val="002F4843"/>
    <w:rsid w:val="002F6D1B"/>
    <w:rsid w:val="002F7C50"/>
    <w:rsid w:val="00302FB8"/>
    <w:rsid w:val="00305536"/>
    <w:rsid w:val="00305CFE"/>
    <w:rsid w:val="003166CB"/>
    <w:rsid w:val="00320266"/>
    <w:rsid w:val="00323654"/>
    <w:rsid w:val="003259F0"/>
    <w:rsid w:val="00326224"/>
    <w:rsid w:val="003363D5"/>
    <w:rsid w:val="00336459"/>
    <w:rsid w:val="00345C5C"/>
    <w:rsid w:val="00345E58"/>
    <w:rsid w:val="00350F87"/>
    <w:rsid w:val="0035188B"/>
    <w:rsid w:val="003521B0"/>
    <w:rsid w:val="003526A4"/>
    <w:rsid w:val="00356DBC"/>
    <w:rsid w:val="003576C3"/>
    <w:rsid w:val="00360941"/>
    <w:rsid w:val="00361BC3"/>
    <w:rsid w:val="00362D99"/>
    <w:rsid w:val="003631DC"/>
    <w:rsid w:val="00363F70"/>
    <w:rsid w:val="00374007"/>
    <w:rsid w:val="00374326"/>
    <w:rsid w:val="00376243"/>
    <w:rsid w:val="00380B5F"/>
    <w:rsid w:val="00383CD2"/>
    <w:rsid w:val="003844EC"/>
    <w:rsid w:val="00384A53"/>
    <w:rsid w:val="00385B33"/>
    <w:rsid w:val="003936A0"/>
    <w:rsid w:val="00396DCB"/>
    <w:rsid w:val="003A0634"/>
    <w:rsid w:val="003A27C9"/>
    <w:rsid w:val="003A4F62"/>
    <w:rsid w:val="003A6761"/>
    <w:rsid w:val="003A7FD2"/>
    <w:rsid w:val="003B077E"/>
    <w:rsid w:val="003B1A33"/>
    <w:rsid w:val="003B4003"/>
    <w:rsid w:val="003B5C2D"/>
    <w:rsid w:val="003B63B3"/>
    <w:rsid w:val="003C1539"/>
    <w:rsid w:val="003C56B4"/>
    <w:rsid w:val="003C79B9"/>
    <w:rsid w:val="003D1B42"/>
    <w:rsid w:val="003D39B9"/>
    <w:rsid w:val="003D3D37"/>
    <w:rsid w:val="003E1305"/>
    <w:rsid w:val="003E3D64"/>
    <w:rsid w:val="003E4BE3"/>
    <w:rsid w:val="003E7B30"/>
    <w:rsid w:val="003F0C43"/>
    <w:rsid w:val="003F1C98"/>
    <w:rsid w:val="003F265D"/>
    <w:rsid w:val="003F3FD8"/>
    <w:rsid w:val="00402B08"/>
    <w:rsid w:val="004052AF"/>
    <w:rsid w:val="0041404B"/>
    <w:rsid w:val="00414EA5"/>
    <w:rsid w:val="004168CD"/>
    <w:rsid w:val="00420403"/>
    <w:rsid w:val="004214B6"/>
    <w:rsid w:val="00423CB9"/>
    <w:rsid w:val="0042420A"/>
    <w:rsid w:val="00430422"/>
    <w:rsid w:val="00436C50"/>
    <w:rsid w:val="00441869"/>
    <w:rsid w:val="00445754"/>
    <w:rsid w:val="00446CA6"/>
    <w:rsid w:val="00450155"/>
    <w:rsid w:val="00455418"/>
    <w:rsid w:val="004574A0"/>
    <w:rsid w:val="004578AE"/>
    <w:rsid w:val="00463CA5"/>
    <w:rsid w:val="0046614C"/>
    <w:rsid w:val="00475E80"/>
    <w:rsid w:val="00477B24"/>
    <w:rsid w:val="004809BF"/>
    <w:rsid w:val="00482BEC"/>
    <w:rsid w:val="00482C1C"/>
    <w:rsid w:val="00486EC0"/>
    <w:rsid w:val="0049218F"/>
    <w:rsid w:val="004943A0"/>
    <w:rsid w:val="004A1117"/>
    <w:rsid w:val="004A1C4D"/>
    <w:rsid w:val="004A68F2"/>
    <w:rsid w:val="004A6F35"/>
    <w:rsid w:val="004B0571"/>
    <w:rsid w:val="004B6BED"/>
    <w:rsid w:val="004C4149"/>
    <w:rsid w:val="004C4F35"/>
    <w:rsid w:val="004C5339"/>
    <w:rsid w:val="004C54C2"/>
    <w:rsid w:val="004D46CD"/>
    <w:rsid w:val="004E206D"/>
    <w:rsid w:val="004E302B"/>
    <w:rsid w:val="004E3871"/>
    <w:rsid w:val="004F57D3"/>
    <w:rsid w:val="00503F7C"/>
    <w:rsid w:val="005107D1"/>
    <w:rsid w:val="00512556"/>
    <w:rsid w:val="00513C73"/>
    <w:rsid w:val="005319D6"/>
    <w:rsid w:val="00531F25"/>
    <w:rsid w:val="00533BE2"/>
    <w:rsid w:val="00535CD5"/>
    <w:rsid w:val="00545B3F"/>
    <w:rsid w:val="00546017"/>
    <w:rsid w:val="005518DB"/>
    <w:rsid w:val="00560188"/>
    <w:rsid w:val="00564DAF"/>
    <w:rsid w:val="005702FE"/>
    <w:rsid w:val="00570532"/>
    <w:rsid w:val="00571DD2"/>
    <w:rsid w:val="00572937"/>
    <w:rsid w:val="00581223"/>
    <w:rsid w:val="005A1DC5"/>
    <w:rsid w:val="005A29DF"/>
    <w:rsid w:val="005A4870"/>
    <w:rsid w:val="005A5192"/>
    <w:rsid w:val="005B0254"/>
    <w:rsid w:val="005B1282"/>
    <w:rsid w:val="005B1601"/>
    <w:rsid w:val="005B702B"/>
    <w:rsid w:val="005C0800"/>
    <w:rsid w:val="005C0C45"/>
    <w:rsid w:val="005C47D8"/>
    <w:rsid w:val="005E3719"/>
    <w:rsid w:val="005E4511"/>
    <w:rsid w:val="005E7A44"/>
    <w:rsid w:val="005F7AFC"/>
    <w:rsid w:val="00601CFD"/>
    <w:rsid w:val="00605CB1"/>
    <w:rsid w:val="00606BBB"/>
    <w:rsid w:val="00610D18"/>
    <w:rsid w:val="00615C01"/>
    <w:rsid w:val="00616CAE"/>
    <w:rsid w:val="00622637"/>
    <w:rsid w:val="0062347D"/>
    <w:rsid w:val="00626BD3"/>
    <w:rsid w:val="00632AFD"/>
    <w:rsid w:val="0063785A"/>
    <w:rsid w:val="006412BC"/>
    <w:rsid w:val="006443DA"/>
    <w:rsid w:val="00655474"/>
    <w:rsid w:val="00655F66"/>
    <w:rsid w:val="00660013"/>
    <w:rsid w:val="00670D1D"/>
    <w:rsid w:val="00672651"/>
    <w:rsid w:val="00672A64"/>
    <w:rsid w:val="00674884"/>
    <w:rsid w:val="00677698"/>
    <w:rsid w:val="00677924"/>
    <w:rsid w:val="00694743"/>
    <w:rsid w:val="006A2850"/>
    <w:rsid w:val="006A38CF"/>
    <w:rsid w:val="006A3ACE"/>
    <w:rsid w:val="006B1723"/>
    <w:rsid w:val="006B401C"/>
    <w:rsid w:val="006B5262"/>
    <w:rsid w:val="006B7224"/>
    <w:rsid w:val="006C292E"/>
    <w:rsid w:val="006D5323"/>
    <w:rsid w:val="006E12D9"/>
    <w:rsid w:val="006E1EF2"/>
    <w:rsid w:val="006E7C06"/>
    <w:rsid w:val="006F3E59"/>
    <w:rsid w:val="006F3EDE"/>
    <w:rsid w:val="006F3F0C"/>
    <w:rsid w:val="006F53DE"/>
    <w:rsid w:val="006F7A30"/>
    <w:rsid w:val="00700894"/>
    <w:rsid w:val="00701335"/>
    <w:rsid w:val="00701A48"/>
    <w:rsid w:val="00701DD8"/>
    <w:rsid w:val="00701F20"/>
    <w:rsid w:val="00706115"/>
    <w:rsid w:val="007126ED"/>
    <w:rsid w:val="00714844"/>
    <w:rsid w:val="007266A0"/>
    <w:rsid w:val="00731111"/>
    <w:rsid w:val="007348C2"/>
    <w:rsid w:val="0074235F"/>
    <w:rsid w:val="00744390"/>
    <w:rsid w:val="00754418"/>
    <w:rsid w:val="00755A7A"/>
    <w:rsid w:val="00761B10"/>
    <w:rsid w:val="00761CD3"/>
    <w:rsid w:val="00763662"/>
    <w:rsid w:val="00765E6C"/>
    <w:rsid w:val="007712AB"/>
    <w:rsid w:val="00771641"/>
    <w:rsid w:val="007717EE"/>
    <w:rsid w:val="00777DB4"/>
    <w:rsid w:val="007930B4"/>
    <w:rsid w:val="007955B6"/>
    <w:rsid w:val="007958CC"/>
    <w:rsid w:val="007959CC"/>
    <w:rsid w:val="0079778E"/>
    <w:rsid w:val="007A648F"/>
    <w:rsid w:val="007B40ED"/>
    <w:rsid w:val="007B74BD"/>
    <w:rsid w:val="007C2AC1"/>
    <w:rsid w:val="007C46F7"/>
    <w:rsid w:val="007C524F"/>
    <w:rsid w:val="007C6B5F"/>
    <w:rsid w:val="007C7960"/>
    <w:rsid w:val="007D23BA"/>
    <w:rsid w:val="007E0261"/>
    <w:rsid w:val="007E2366"/>
    <w:rsid w:val="007F0CA6"/>
    <w:rsid w:val="007F18AB"/>
    <w:rsid w:val="00802F9A"/>
    <w:rsid w:val="008040B3"/>
    <w:rsid w:val="008064F5"/>
    <w:rsid w:val="00806BE4"/>
    <w:rsid w:val="00807569"/>
    <w:rsid w:val="008131DA"/>
    <w:rsid w:val="008142E0"/>
    <w:rsid w:val="00822863"/>
    <w:rsid w:val="00824755"/>
    <w:rsid w:val="00825FBA"/>
    <w:rsid w:val="008274D5"/>
    <w:rsid w:val="008327CB"/>
    <w:rsid w:val="00834EE5"/>
    <w:rsid w:val="0084084B"/>
    <w:rsid w:val="00845378"/>
    <w:rsid w:val="00845C2A"/>
    <w:rsid w:val="00853A89"/>
    <w:rsid w:val="00857530"/>
    <w:rsid w:val="00857D48"/>
    <w:rsid w:val="00861EB4"/>
    <w:rsid w:val="00862144"/>
    <w:rsid w:val="008755C0"/>
    <w:rsid w:val="00881207"/>
    <w:rsid w:val="0088473D"/>
    <w:rsid w:val="00887844"/>
    <w:rsid w:val="00892D88"/>
    <w:rsid w:val="0089365D"/>
    <w:rsid w:val="008952D0"/>
    <w:rsid w:val="008A4AC1"/>
    <w:rsid w:val="008B238A"/>
    <w:rsid w:val="008B439C"/>
    <w:rsid w:val="008B677A"/>
    <w:rsid w:val="008C2720"/>
    <w:rsid w:val="008C2D1E"/>
    <w:rsid w:val="008C34D7"/>
    <w:rsid w:val="008C506E"/>
    <w:rsid w:val="008D0466"/>
    <w:rsid w:val="008D715E"/>
    <w:rsid w:val="008E15CE"/>
    <w:rsid w:val="008E261B"/>
    <w:rsid w:val="00905391"/>
    <w:rsid w:val="00905EE9"/>
    <w:rsid w:val="009178DC"/>
    <w:rsid w:val="0092093E"/>
    <w:rsid w:val="00923DE6"/>
    <w:rsid w:val="009249E0"/>
    <w:rsid w:val="00925735"/>
    <w:rsid w:val="0093223C"/>
    <w:rsid w:val="00933AC5"/>
    <w:rsid w:val="00937A30"/>
    <w:rsid w:val="009434B0"/>
    <w:rsid w:val="00953661"/>
    <w:rsid w:val="00954A69"/>
    <w:rsid w:val="0095744F"/>
    <w:rsid w:val="00957EAD"/>
    <w:rsid w:val="009753FF"/>
    <w:rsid w:val="00977DEA"/>
    <w:rsid w:val="0098171D"/>
    <w:rsid w:val="00990BF7"/>
    <w:rsid w:val="00990F71"/>
    <w:rsid w:val="00994C71"/>
    <w:rsid w:val="00995654"/>
    <w:rsid w:val="009977C1"/>
    <w:rsid w:val="009B09E8"/>
    <w:rsid w:val="009B2881"/>
    <w:rsid w:val="009B5CC2"/>
    <w:rsid w:val="009B7F7D"/>
    <w:rsid w:val="009D52B9"/>
    <w:rsid w:val="009D5BE8"/>
    <w:rsid w:val="009D63EA"/>
    <w:rsid w:val="009E2057"/>
    <w:rsid w:val="009E7FF3"/>
    <w:rsid w:val="009F0F6C"/>
    <w:rsid w:val="009F188B"/>
    <w:rsid w:val="009F3CCD"/>
    <w:rsid w:val="009F44BA"/>
    <w:rsid w:val="009F4575"/>
    <w:rsid w:val="009F7F58"/>
    <w:rsid w:val="00A00D11"/>
    <w:rsid w:val="00A03709"/>
    <w:rsid w:val="00A063FB"/>
    <w:rsid w:val="00A114C5"/>
    <w:rsid w:val="00A159D4"/>
    <w:rsid w:val="00A15C0C"/>
    <w:rsid w:val="00A20480"/>
    <w:rsid w:val="00A21CC7"/>
    <w:rsid w:val="00A227BE"/>
    <w:rsid w:val="00A2552B"/>
    <w:rsid w:val="00A3085B"/>
    <w:rsid w:val="00A319FE"/>
    <w:rsid w:val="00A32B59"/>
    <w:rsid w:val="00A33B61"/>
    <w:rsid w:val="00A4241F"/>
    <w:rsid w:val="00A469B5"/>
    <w:rsid w:val="00A51C6C"/>
    <w:rsid w:val="00A52AEC"/>
    <w:rsid w:val="00A52DFF"/>
    <w:rsid w:val="00A53185"/>
    <w:rsid w:val="00A60F89"/>
    <w:rsid w:val="00A6326A"/>
    <w:rsid w:val="00A7040C"/>
    <w:rsid w:val="00A7057F"/>
    <w:rsid w:val="00A75CFE"/>
    <w:rsid w:val="00A8218C"/>
    <w:rsid w:val="00A82456"/>
    <w:rsid w:val="00A87A15"/>
    <w:rsid w:val="00A9090D"/>
    <w:rsid w:val="00A90E5E"/>
    <w:rsid w:val="00A92A89"/>
    <w:rsid w:val="00A9402C"/>
    <w:rsid w:val="00A941D9"/>
    <w:rsid w:val="00A954D3"/>
    <w:rsid w:val="00AA53CC"/>
    <w:rsid w:val="00AA5D1D"/>
    <w:rsid w:val="00AA76A1"/>
    <w:rsid w:val="00AA7EBF"/>
    <w:rsid w:val="00AB054A"/>
    <w:rsid w:val="00AB59AD"/>
    <w:rsid w:val="00AB7D64"/>
    <w:rsid w:val="00AC42AD"/>
    <w:rsid w:val="00AC4E8F"/>
    <w:rsid w:val="00AD0A42"/>
    <w:rsid w:val="00AD1C9E"/>
    <w:rsid w:val="00AD3C5F"/>
    <w:rsid w:val="00AD609A"/>
    <w:rsid w:val="00AE01BB"/>
    <w:rsid w:val="00AE1DC6"/>
    <w:rsid w:val="00AF039B"/>
    <w:rsid w:val="00AF0BA3"/>
    <w:rsid w:val="00AF1142"/>
    <w:rsid w:val="00AF6FC3"/>
    <w:rsid w:val="00B00504"/>
    <w:rsid w:val="00B01FDC"/>
    <w:rsid w:val="00B02D1F"/>
    <w:rsid w:val="00B05C50"/>
    <w:rsid w:val="00B07C5B"/>
    <w:rsid w:val="00B11C5B"/>
    <w:rsid w:val="00B17C8E"/>
    <w:rsid w:val="00B2004E"/>
    <w:rsid w:val="00B20987"/>
    <w:rsid w:val="00B21375"/>
    <w:rsid w:val="00B2331A"/>
    <w:rsid w:val="00B23DB8"/>
    <w:rsid w:val="00B247C0"/>
    <w:rsid w:val="00B30392"/>
    <w:rsid w:val="00B332EC"/>
    <w:rsid w:val="00B35005"/>
    <w:rsid w:val="00B4513F"/>
    <w:rsid w:val="00B464E7"/>
    <w:rsid w:val="00B522FE"/>
    <w:rsid w:val="00B536E7"/>
    <w:rsid w:val="00B5690F"/>
    <w:rsid w:val="00B6474E"/>
    <w:rsid w:val="00B6699B"/>
    <w:rsid w:val="00B6703E"/>
    <w:rsid w:val="00B74684"/>
    <w:rsid w:val="00B74FCA"/>
    <w:rsid w:val="00B75B0B"/>
    <w:rsid w:val="00B92339"/>
    <w:rsid w:val="00B950FC"/>
    <w:rsid w:val="00BA3D49"/>
    <w:rsid w:val="00BA5F83"/>
    <w:rsid w:val="00BA77AF"/>
    <w:rsid w:val="00BB6AE2"/>
    <w:rsid w:val="00BC2980"/>
    <w:rsid w:val="00BC2ED2"/>
    <w:rsid w:val="00BC3B33"/>
    <w:rsid w:val="00BC59D7"/>
    <w:rsid w:val="00BE2E5D"/>
    <w:rsid w:val="00BE463E"/>
    <w:rsid w:val="00BE5902"/>
    <w:rsid w:val="00BF3534"/>
    <w:rsid w:val="00BF697F"/>
    <w:rsid w:val="00C001B1"/>
    <w:rsid w:val="00C0370F"/>
    <w:rsid w:val="00C05095"/>
    <w:rsid w:val="00C17395"/>
    <w:rsid w:val="00C21411"/>
    <w:rsid w:val="00C21FED"/>
    <w:rsid w:val="00C25FD9"/>
    <w:rsid w:val="00C30B9E"/>
    <w:rsid w:val="00C37E5E"/>
    <w:rsid w:val="00C43302"/>
    <w:rsid w:val="00C5040E"/>
    <w:rsid w:val="00C512BD"/>
    <w:rsid w:val="00C51FF4"/>
    <w:rsid w:val="00C56156"/>
    <w:rsid w:val="00C56D2D"/>
    <w:rsid w:val="00C57945"/>
    <w:rsid w:val="00C625A8"/>
    <w:rsid w:val="00C629AF"/>
    <w:rsid w:val="00C664A8"/>
    <w:rsid w:val="00C72C2B"/>
    <w:rsid w:val="00C740E5"/>
    <w:rsid w:val="00C80AF3"/>
    <w:rsid w:val="00C81E19"/>
    <w:rsid w:val="00C84D45"/>
    <w:rsid w:val="00C9294F"/>
    <w:rsid w:val="00C938A5"/>
    <w:rsid w:val="00C95681"/>
    <w:rsid w:val="00CA2747"/>
    <w:rsid w:val="00CA34A8"/>
    <w:rsid w:val="00CA5AF2"/>
    <w:rsid w:val="00CA6120"/>
    <w:rsid w:val="00CA7173"/>
    <w:rsid w:val="00CB05B5"/>
    <w:rsid w:val="00CB28B8"/>
    <w:rsid w:val="00CB77DC"/>
    <w:rsid w:val="00CC1A3E"/>
    <w:rsid w:val="00CD14BC"/>
    <w:rsid w:val="00CE36B1"/>
    <w:rsid w:val="00CE3EF3"/>
    <w:rsid w:val="00CF06C0"/>
    <w:rsid w:val="00CF30C0"/>
    <w:rsid w:val="00D019B7"/>
    <w:rsid w:val="00D02066"/>
    <w:rsid w:val="00D02369"/>
    <w:rsid w:val="00D04004"/>
    <w:rsid w:val="00D10814"/>
    <w:rsid w:val="00D11C18"/>
    <w:rsid w:val="00D12504"/>
    <w:rsid w:val="00D15EE7"/>
    <w:rsid w:val="00D20048"/>
    <w:rsid w:val="00D21161"/>
    <w:rsid w:val="00D22402"/>
    <w:rsid w:val="00D326A5"/>
    <w:rsid w:val="00D33B7E"/>
    <w:rsid w:val="00D35197"/>
    <w:rsid w:val="00D35DEF"/>
    <w:rsid w:val="00D4196E"/>
    <w:rsid w:val="00D44588"/>
    <w:rsid w:val="00D448E6"/>
    <w:rsid w:val="00D460A4"/>
    <w:rsid w:val="00D47BCA"/>
    <w:rsid w:val="00D50528"/>
    <w:rsid w:val="00D52EEC"/>
    <w:rsid w:val="00D570D7"/>
    <w:rsid w:val="00D60E5B"/>
    <w:rsid w:val="00D65076"/>
    <w:rsid w:val="00D714C3"/>
    <w:rsid w:val="00D72AC5"/>
    <w:rsid w:val="00D83D92"/>
    <w:rsid w:val="00D85010"/>
    <w:rsid w:val="00D8573D"/>
    <w:rsid w:val="00D86A6B"/>
    <w:rsid w:val="00D92BF6"/>
    <w:rsid w:val="00D94A42"/>
    <w:rsid w:val="00D9768C"/>
    <w:rsid w:val="00DB0951"/>
    <w:rsid w:val="00DB24DE"/>
    <w:rsid w:val="00DB38BC"/>
    <w:rsid w:val="00DB5DF8"/>
    <w:rsid w:val="00DB6C1D"/>
    <w:rsid w:val="00DB7DD0"/>
    <w:rsid w:val="00DC5688"/>
    <w:rsid w:val="00DC7CDB"/>
    <w:rsid w:val="00DD0499"/>
    <w:rsid w:val="00DD0EE4"/>
    <w:rsid w:val="00DD371D"/>
    <w:rsid w:val="00DD45E2"/>
    <w:rsid w:val="00DD4A53"/>
    <w:rsid w:val="00DD5863"/>
    <w:rsid w:val="00DF2A11"/>
    <w:rsid w:val="00DF5E7E"/>
    <w:rsid w:val="00DF67FE"/>
    <w:rsid w:val="00DF77B7"/>
    <w:rsid w:val="00E010DA"/>
    <w:rsid w:val="00E0116D"/>
    <w:rsid w:val="00E013C8"/>
    <w:rsid w:val="00E02C62"/>
    <w:rsid w:val="00E06332"/>
    <w:rsid w:val="00E1029C"/>
    <w:rsid w:val="00E10962"/>
    <w:rsid w:val="00E12FB6"/>
    <w:rsid w:val="00E20532"/>
    <w:rsid w:val="00E23001"/>
    <w:rsid w:val="00E30BE8"/>
    <w:rsid w:val="00E30D52"/>
    <w:rsid w:val="00E3695C"/>
    <w:rsid w:val="00E41B7B"/>
    <w:rsid w:val="00E44728"/>
    <w:rsid w:val="00E4569C"/>
    <w:rsid w:val="00E47856"/>
    <w:rsid w:val="00E52DC5"/>
    <w:rsid w:val="00E56ACE"/>
    <w:rsid w:val="00E61FE2"/>
    <w:rsid w:val="00E64C27"/>
    <w:rsid w:val="00E6602B"/>
    <w:rsid w:val="00E66320"/>
    <w:rsid w:val="00E66E86"/>
    <w:rsid w:val="00E71F2B"/>
    <w:rsid w:val="00E72411"/>
    <w:rsid w:val="00E72988"/>
    <w:rsid w:val="00E747B6"/>
    <w:rsid w:val="00E747C1"/>
    <w:rsid w:val="00E76740"/>
    <w:rsid w:val="00E774C6"/>
    <w:rsid w:val="00E87D96"/>
    <w:rsid w:val="00E87E50"/>
    <w:rsid w:val="00E93E5F"/>
    <w:rsid w:val="00EA4A33"/>
    <w:rsid w:val="00EB153D"/>
    <w:rsid w:val="00EB3295"/>
    <w:rsid w:val="00EB5327"/>
    <w:rsid w:val="00EC6EBB"/>
    <w:rsid w:val="00ED01B4"/>
    <w:rsid w:val="00ED0D73"/>
    <w:rsid w:val="00ED0FEC"/>
    <w:rsid w:val="00ED1ED4"/>
    <w:rsid w:val="00ED2F44"/>
    <w:rsid w:val="00ED3414"/>
    <w:rsid w:val="00EE23CB"/>
    <w:rsid w:val="00EE31AB"/>
    <w:rsid w:val="00EF22D5"/>
    <w:rsid w:val="00EF3FF5"/>
    <w:rsid w:val="00EF49F2"/>
    <w:rsid w:val="00EF632F"/>
    <w:rsid w:val="00EF6650"/>
    <w:rsid w:val="00EF66E9"/>
    <w:rsid w:val="00F1503F"/>
    <w:rsid w:val="00F15658"/>
    <w:rsid w:val="00F21002"/>
    <w:rsid w:val="00F2113D"/>
    <w:rsid w:val="00F222E4"/>
    <w:rsid w:val="00F3710F"/>
    <w:rsid w:val="00F37F93"/>
    <w:rsid w:val="00F45E48"/>
    <w:rsid w:val="00F5367D"/>
    <w:rsid w:val="00F6471F"/>
    <w:rsid w:val="00F70AD1"/>
    <w:rsid w:val="00F75AEC"/>
    <w:rsid w:val="00F83F28"/>
    <w:rsid w:val="00F8559C"/>
    <w:rsid w:val="00F90D37"/>
    <w:rsid w:val="00F92C0F"/>
    <w:rsid w:val="00FA516D"/>
    <w:rsid w:val="00FA6780"/>
    <w:rsid w:val="00FB0804"/>
    <w:rsid w:val="00FB4AB8"/>
    <w:rsid w:val="00FB4C85"/>
    <w:rsid w:val="00FC05CA"/>
    <w:rsid w:val="00FC34B3"/>
    <w:rsid w:val="00FC4985"/>
    <w:rsid w:val="00FC7668"/>
    <w:rsid w:val="00FD364A"/>
    <w:rsid w:val="00FD43EE"/>
    <w:rsid w:val="00FD44BE"/>
    <w:rsid w:val="00FD4769"/>
    <w:rsid w:val="00FE48D5"/>
    <w:rsid w:val="00FE7510"/>
    <w:rsid w:val="00FF3421"/>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8E9F"/>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rsid w:val="00C56D2D"/>
    <w:rPr>
      <w:rFonts w:ascii="Times New Roman" w:eastAsiaTheme="minorEastAsia" w:hAnsi="Times New Roman" w:cs="Times New Roman"/>
      <w:kern w:val="0"/>
      <w:sz w:val="20"/>
      <w:szCs w:val="20"/>
      <w14:ligatures w14:val="none"/>
    </w:rPr>
  </w:style>
  <w:style w:type="character" w:customStyle="1" w:styleId="FootnoteTextChar">
    <w:name w:val="Footnote Text Char"/>
    <w:aliases w:val="Geneva 9 Char,Font: Geneva 9 Char,Boston 10 Char,f Char"/>
    <w:basedOn w:val="DefaultParagraphFont"/>
    <w:link w:val="FootnoteText"/>
    <w:rsid w:val="00C56D2D"/>
    <w:rPr>
      <w:rFonts w:ascii="Times New Roman" w:eastAsiaTheme="minorEastAsia" w:hAnsi="Times New Roman" w:cs="Times New Roman"/>
      <w:kern w:val="0"/>
      <w:sz w:val="20"/>
      <w:szCs w:val="20"/>
      <w:lang w:val="es-ES"/>
      <w14:ligatures w14:val="none"/>
    </w:rPr>
  </w:style>
  <w:style w:type="character" w:styleId="FootnoteReference">
    <w:name w:val="footnote reference"/>
    <w:aliases w:val="16 Point,Superscript 6 Point"/>
    <w:rsid w:val="00C56D2D"/>
    <w:rPr>
      <w:vertAlign w:val="superscript"/>
    </w:rPr>
  </w:style>
  <w:style w:type="paragraph" w:styleId="Footer">
    <w:name w:val="footer"/>
    <w:basedOn w:val="Normal"/>
    <w:link w:val="FooterChar"/>
    <w:uiPriority w:val="99"/>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iPriority w:val="99"/>
    <w:semiHidden/>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D33B7E"/>
    <w:rPr>
      <w:sz w:val="20"/>
      <w:szCs w:val="20"/>
    </w:rPr>
  </w:style>
  <w:style w:type="paragraph" w:styleId="CommentSubject">
    <w:name w:val="annotation subject"/>
    <w:basedOn w:val="CommentText"/>
    <w:next w:val="CommentText"/>
    <w:link w:val="CommentSubjectChar"/>
    <w:uiPriority w:val="99"/>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uiPriority w:val="99"/>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iPriority w:val="99"/>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 w:type="paragraph" w:styleId="BodyText">
    <w:name w:val="Body Text"/>
    <w:basedOn w:val="Normal"/>
    <w:link w:val="BodyTextChar"/>
    <w:uiPriority w:val="1"/>
    <w:qFormat/>
    <w:rsid w:val="00D02066"/>
    <w:pPr>
      <w:widowControl w:val="0"/>
      <w:autoSpaceDE w:val="0"/>
      <w:autoSpaceDN w:val="0"/>
      <w:ind w:left="787" w:hanging="568"/>
    </w:pPr>
    <w:rPr>
      <w:rFonts w:ascii="Garamond" w:eastAsia="Garamond" w:hAnsi="Garamond" w:cs="Garamond"/>
      <w:kern w:val="0"/>
      <w14:ligatures w14:val="none"/>
    </w:rPr>
  </w:style>
  <w:style w:type="character" w:customStyle="1" w:styleId="BodyTextChar">
    <w:name w:val="Body Text Char"/>
    <w:basedOn w:val="DefaultParagraphFont"/>
    <w:link w:val="BodyText"/>
    <w:uiPriority w:val="99"/>
    <w:rsid w:val="00D02066"/>
    <w:rPr>
      <w:rFonts w:ascii="Garamond" w:eastAsia="Garamond" w:hAnsi="Garamond" w:cs="Garamond"/>
      <w:kern w:val="0"/>
      <w:lang w:val="es-ES"/>
      <w14:ligatures w14:val="none"/>
    </w:rPr>
  </w:style>
  <w:style w:type="numbering" w:customStyle="1" w:styleId="CurrentList1">
    <w:name w:val="Current List1"/>
    <w:uiPriority w:val="99"/>
    <w:rsid w:val="004168CD"/>
    <w:pPr>
      <w:numPr>
        <w:numId w:val="9"/>
      </w:numPr>
    </w:pPr>
  </w:style>
  <w:style w:type="paragraph" w:customStyle="1" w:styleId="Listavistosa-nfasis11">
    <w:name w:val="Lista vistosa - Énfasis 11"/>
    <w:basedOn w:val="Normal"/>
    <w:uiPriority w:val="34"/>
    <w:qFormat/>
    <w:rsid w:val="00990BF7"/>
    <w:pPr>
      <w:ind w:left="720"/>
      <w:contextualSpacing/>
    </w:pPr>
    <w:rPr>
      <w:rFonts w:ascii="Times New Roman" w:eastAsia="Times New Roman" w:hAnsi="Times New Roman" w:cs="Times New Roman"/>
      <w:kern w:val="0"/>
      <w:lang w:eastAsia="es-ES"/>
      <w14:ligatures w14:val="none"/>
    </w:rPr>
  </w:style>
  <w:style w:type="character" w:styleId="Hyperlink">
    <w:name w:val="Hyperlink"/>
    <w:basedOn w:val="DefaultParagraphFont"/>
    <w:uiPriority w:val="99"/>
    <w:unhideWhenUsed/>
    <w:rsid w:val="00302FB8"/>
    <w:rPr>
      <w:color w:val="0563C1" w:themeColor="hyperlink"/>
      <w:u w:val="single"/>
    </w:rPr>
  </w:style>
  <w:style w:type="character" w:styleId="UnresolvedMention">
    <w:name w:val="Unresolved Mention"/>
    <w:basedOn w:val="DefaultParagraphFont"/>
    <w:uiPriority w:val="99"/>
    <w:semiHidden/>
    <w:unhideWhenUsed/>
    <w:rsid w:val="0030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6505">
      <w:bodyDiv w:val="1"/>
      <w:marLeft w:val="0"/>
      <w:marRight w:val="0"/>
      <w:marTop w:val="0"/>
      <w:marBottom w:val="0"/>
      <w:divBdr>
        <w:top w:val="none" w:sz="0" w:space="0" w:color="auto"/>
        <w:left w:val="none" w:sz="0" w:space="0" w:color="auto"/>
        <w:bottom w:val="none" w:sz="0" w:space="0" w:color="auto"/>
        <w:right w:val="none" w:sz="0" w:space="0" w:color="auto"/>
      </w:divBdr>
    </w:div>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7024-E7C9-499D-8CDF-9411040C500C}">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8c0b6b05-eb82-4bda-97e8-cd82d0d6b453"/>
    <ds:schemaRef ds:uri="aedd258d-19a7-41ba-8260-b0918f25313d"/>
    <ds:schemaRef ds:uri="http://purl.org/dc/terms/"/>
  </ds:schemaRefs>
</ds:datastoreItem>
</file>

<file path=customXml/itemProps2.xml><?xml version="1.0" encoding="utf-8"?>
<ds:datastoreItem xmlns:ds="http://schemas.openxmlformats.org/officeDocument/2006/customXml" ds:itemID="{7FD63953-58D6-46D9-8619-67B9065AE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8B688-505B-4E91-A4B2-A28DDB779CAB}">
  <ds:schemaRefs>
    <ds:schemaRef ds:uri="http://schemas.microsoft.com/sharepoint/v3/contenttype/forms"/>
  </ds:schemaRefs>
</ds:datastoreItem>
</file>

<file path=customXml/itemProps4.xml><?xml version="1.0" encoding="utf-8"?>
<ds:datastoreItem xmlns:ds="http://schemas.openxmlformats.org/officeDocument/2006/customXml" ds:itemID="{481781EF-0EED-4696-B213-C47F606E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2023-11-17T14:30:00Z</cp:lastPrinted>
  <dcterms:created xsi:type="dcterms:W3CDTF">2024-03-18T15:50:00Z</dcterms:created>
  <dcterms:modified xsi:type="dcterms:W3CDTF">2024-03-18T15:50:00Z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