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CA17" w14:textId="77777777" w:rsidR="00322A6F" w:rsidRPr="00451C38" w:rsidRDefault="00322A6F" w:rsidP="00322A6F">
      <w:pPr>
        <w:pBdr>
          <w:top w:val="single" w:sz="12" w:space="0" w:color="auto" w:shadow="1"/>
          <w:left w:val="single" w:sz="12" w:space="4" w:color="auto" w:shadow="1"/>
          <w:bottom w:val="single" w:sz="12" w:space="1" w:color="auto" w:shadow="1"/>
          <w:right w:val="single" w:sz="12" w:space="7" w:color="auto" w:shadow="1"/>
        </w:pBdr>
        <w:ind w:right="4490"/>
        <w:rPr>
          <w:bCs/>
        </w:rPr>
      </w:pPr>
      <w:r w:rsidRPr="00451C38">
        <w:t xml:space="preserve">LA CONVENCIÓN SOBRE LOS HUMEDALES </w:t>
      </w:r>
    </w:p>
    <w:p w14:paraId="764FA1C1" w14:textId="77777777" w:rsidR="00322A6F" w:rsidRPr="00451C38" w:rsidRDefault="00322A6F" w:rsidP="00322A6F">
      <w:pPr>
        <w:pBdr>
          <w:top w:val="single" w:sz="12" w:space="0" w:color="auto" w:shadow="1"/>
          <w:left w:val="single" w:sz="12" w:space="4" w:color="auto" w:shadow="1"/>
          <w:bottom w:val="single" w:sz="12" w:space="1" w:color="auto" w:shadow="1"/>
          <w:right w:val="single" w:sz="12" w:space="7" w:color="auto" w:shadow="1"/>
        </w:pBdr>
        <w:ind w:right="4490"/>
        <w:rPr>
          <w:bCs/>
        </w:rPr>
      </w:pPr>
      <w:r w:rsidRPr="00451C38">
        <w:t>63ª reunión del Comité Permanente</w:t>
      </w:r>
    </w:p>
    <w:p w14:paraId="67FD5B4D" w14:textId="77777777" w:rsidR="00322A6F" w:rsidRPr="00451C38" w:rsidRDefault="00322A6F" w:rsidP="00322A6F">
      <w:pPr>
        <w:pBdr>
          <w:top w:val="single" w:sz="12" w:space="0" w:color="auto" w:shadow="1"/>
          <w:left w:val="single" w:sz="12" w:space="4" w:color="auto" w:shadow="1"/>
          <w:bottom w:val="single" w:sz="12" w:space="1" w:color="auto" w:shadow="1"/>
          <w:right w:val="single" w:sz="12" w:space="7" w:color="auto" w:shadow="1"/>
        </w:pBdr>
        <w:ind w:right="4490"/>
        <w:rPr>
          <w:bCs/>
        </w:rPr>
      </w:pPr>
      <w:proofErr w:type="spellStart"/>
      <w:r w:rsidRPr="00451C38">
        <w:t>Gland</w:t>
      </w:r>
      <w:proofErr w:type="spellEnd"/>
      <w:r w:rsidRPr="00451C38">
        <w:t>, Suiza, 3 a 7 de junio de 2024</w:t>
      </w:r>
    </w:p>
    <w:p w14:paraId="4C33891B" w14:textId="77777777" w:rsidR="00DF2386" w:rsidRPr="00796C83" w:rsidRDefault="00DF2386" w:rsidP="00014168">
      <w:pPr>
        <w:outlineLvl w:val="0"/>
        <w:rPr>
          <w:b/>
          <w:noProof/>
        </w:rPr>
      </w:pPr>
    </w:p>
    <w:p w14:paraId="701FAAF2" w14:textId="78819EA0" w:rsidR="00DF2386" w:rsidRPr="00796C83" w:rsidRDefault="00B83EF9" w:rsidP="00014168">
      <w:pPr>
        <w:jc w:val="right"/>
        <w:rPr>
          <w:rFonts w:cs="Arial"/>
          <w:noProof/>
          <w:sz w:val="28"/>
          <w:szCs w:val="28"/>
        </w:rPr>
      </w:pPr>
      <w:r w:rsidRPr="00796C83">
        <w:rPr>
          <w:b/>
          <w:noProof/>
          <w:sz w:val="28"/>
          <w:szCs w:val="28"/>
        </w:rPr>
        <w:t>SC</w:t>
      </w:r>
      <w:r w:rsidR="000E5D1E" w:rsidRPr="00796C83">
        <w:rPr>
          <w:b/>
          <w:noProof/>
          <w:sz w:val="28"/>
          <w:szCs w:val="28"/>
        </w:rPr>
        <w:t>63</w:t>
      </w:r>
      <w:r w:rsidRPr="00796C83">
        <w:rPr>
          <w:b/>
          <w:noProof/>
          <w:sz w:val="28"/>
          <w:szCs w:val="28"/>
        </w:rPr>
        <w:t xml:space="preserve"> Doc.</w:t>
      </w:r>
      <w:r w:rsidR="000E5D1E" w:rsidRPr="00796C83">
        <w:rPr>
          <w:b/>
          <w:noProof/>
          <w:sz w:val="28"/>
          <w:szCs w:val="28"/>
        </w:rPr>
        <w:t>21.3</w:t>
      </w:r>
    </w:p>
    <w:p w14:paraId="09EDF376" w14:textId="77777777" w:rsidR="00DF2386" w:rsidRPr="00796C83" w:rsidRDefault="00DF2386" w:rsidP="00014168">
      <w:pPr>
        <w:rPr>
          <w:rFonts w:cs="Arial"/>
          <w:b/>
          <w:noProof/>
          <w:sz w:val="28"/>
          <w:szCs w:val="28"/>
        </w:rPr>
      </w:pPr>
    </w:p>
    <w:p w14:paraId="418F0D5F" w14:textId="77777777" w:rsidR="00750C37" w:rsidRDefault="00750C37" w:rsidP="00014168">
      <w:pPr>
        <w:jc w:val="center"/>
        <w:rPr>
          <w:b/>
          <w:noProof/>
          <w:sz w:val="28"/>
          <w:szCs w:val="28"/>
        </w:rPr>
      </w:pPr>
      <w:r w:rsidRPr="00750C37">
        <w:rPr>
          <w:b/>
          <w:noProof/>
          <w:sz w:val="28"/>
          <w:szCs w:val="28"/>
        </w:rPr>
        <w:t>Preparación de la 15ª reunión de la Conferencia de las Partes Contratantes (COP15)</w:t>
      </w:r>
      <w:r>
        <w:rPr>
          <w:b/>
          <w:noProof/>
          <w:sz w:val="28"/>
          <w:szCs w:val="28"/>
        </w:rPr>
        <w:t>:</w:t>
      </w:r>
    </w:p>
    <w:p w14:paraId="08A1BEED" w14:textId="4F0302CB" w:rsidR="00DF2386" w:rsidRPr="00796C83" w:rsidRDefault="00E77F2D" w:rsidP="00014168">
      <w:pPr>
        <w:jc w:val="center"/>
        <w:rPr>
          <w:rFonts w:cs="Arial"/>
          <w:b/>
          <w:noProof/>
          <w:sz w:val="28"/>
          <w:szCs w:val="28"/>
        </w:rPr>
      </w:pPr>
      <w:r w:rsidRPr="00796C83">
        <w:rPr>
          <w:b/>
          <w:noProof/>
          <w:sz w:val="28"/>
          <w:szCs w:val="28"/>
        </w:rPr>
        <w:t>Procedimiento para la preparación</w:t>
      </w:r>
      <w:r w:rsidR="00A92B90" w:rsidRPr="00796C83">
        <w:rPr>
          <w:b/>
          <w:noProof/>
          <w:sz w:val="28"/>
          <w:szCs w:val="28"/>
        </w:rPr>
        <w:t>, la presentación</w:t>
      </w:r>
      <w:r w:rsidRPr="00796C83">
        <w:rPr>
          <w:b/>
          <w:noProof/>
          <w:sz w:val="28"/>
          <w:szCs w:val="28"/>
        </w:rPr>
        <w:t xml:space="preserve"> y el examen </w:t>
      </w:r>
      <w:r w:rsidR="005205AA" w:rsidRPr="00796C83">
        <w:rPr>
          <w:b/>
          <w:noProof/>
          <w:sz w:val="28"/>
          <w:szCs w:val="28"/>
        </w:rPr>
        <w:br/>
      </w:r>
      <w:r w:rsidRPr="00796C83">
        <w:rPr>
          <w:b/>
          <w:noProof/>
          <w:sz w:val="28"/>
          <w:szCs w:val="28"/>
        </w:rPr>
        <w:t>de proyectos de resolución</w:t>
      </w:r>
    </w:p>
    <w:p w14:paraId="40264165" w14:textId="77777777" w:rsidR="00DF2386" w:rsidRPr="00796C83" w:rsidRDefault="00DF2386" w:rsidP="00014168">
      <w:pPr>
        <w:rPr>
          <w:rFonts w:ascii="Garamond" w:hAnsi="Garamond" w:cs="Arial"/>
          <w:noProof/>
        </w:rPr>
      </w:pPr>
    </w:p>
    <w:p w14:paraId="16A79B7B" w14:textId="77777777" w:rsidR="000C2489" w:rsidRPr="00796C83" w:rsidRDefault="000C2489" w:rsidP="00014168">
      <w:pPr>
        <w:autoSpaceDE w:val="0"/>
        <w:autoSpaceDN w:val="0"/>
        <w:adjustRightInd w:val="0"/>
        <w:rPr>
          <w:rFonts w:asciiTheme="minorHAnsi" w:eastAsiaTheme="minorHAnsi" w:hAnsiTheme="minorHAnsi" w:cs="Calibri-Bold"/>
          <w:b/>
          <w:bCs/>
          <w:noProof/>
        </w:rPr>
      </w:pPr>
      <w:r w:rsidRPr="00796C83">
        <w:rPr>
          <w:noProof/>
          <w:lang w:eastAsia="en-GB"/>
        </w:rPr>
        <mc:AlternateContent>
          <mc:Choice Requires="wps">
            <w:drawing>
              <wp:inline distT="0" distB="0" distL="0" distR="0" wp14:anchorId="719B9D86" wp14:editId="74DD202C">
                <wp:extent cx="5731510" cy="3427200"/>
                <wp:effectExtent l="0" t="0" r="889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27200"/>
                        </a:xfrm>
                        <a:prstGeom prst="rect">
                          <a:avLst/>
                        </a:prstGeom>
                        <a:solidFill>
                          <a:srgbClr val="FFFFFF"/>
                        </a:solidFill>
                        <a:ln w="9525">
                          <a:solidFill>
                            <a:srgbClr val="000000"/>
                          </a:solidFill>
                          <a:miter lim="800000"/>
                          <a:headEnd/>
                          <a:tailEnd/>
                        </a:ln>
                      </wps:spPr>
                      <wps:txbx>
                        <w:txbxContent>
                          <w:p w14:paraId="7ADD69AF" w14:textId="096BFC6B" w:rsidR="008B52E0" w:rsidRDefault="00322A6F" w:rsidP="000C2489">
                            <w:pPr>
                              <w:rPr>
                                <w:b/>
                                <w:bCs/>
                              </w:rPr>
                            </w:pPr>
                            <w:r w:rsidRPr="00322A6F">
                              <w:rPr>
                                <w:b/>
                                <w:bCs/>
                              </w:rPr>
                              <w:t>Acción solicitada</w:t>
                            </w:r>
                            <w:r w:rsidR="008B52E0">
                              <w:rPr>
                                <w:b/>
                                <w:bCs/>
                              </w:rPr>
                              <w:t xml:space="preserve">: </w:t>
                            </w:r>
                          </w:p>
                          <w:p w14:paraId="1B2C51D1" w14:textId="77777777" w:rsidR="008B52E0" w:rsidRDefault="008B52E0" w:rsidP="000C2489">
                            <w:pPr>
                              <w:pStyle w:val="ColorfulList-Accent11"/>
                              <w:ind w:left="0"/>
                            </w:pPr>
                          </w:p>
                          <w:p w14:paraId="0E4B807E" w14:textId="3932A093" w:rsidR="008B52E0" w:rsidRDefault="008B52E0" w:rsidP="00275F13">
                            <w:pPr>
                              <w:pStyle w:val="ColorfulList-Accent11"/>
                              <w:ind w:left="0" w:firstLine="0"/>
                              <w:rPr>
                                <w:rFonts w:cs="Calibri"/>
                              </w:rPr>
                            </w:pPr>
                            <w:r w:rsidRPr="00A8092E">
                              <w:t>Se invita al Comité Permanente a hacer lo siguiente</w:t>
                            </w:r>
                            <w:r w:rsidR="00965535" w:rsidRPr="00A8092E">
                              <w:t>:</w:t>
                            </w:r>
                          </w:p>
                          <w:p w14:paraId="018D12C8" w14:textId="77777777" w:rsidR="008B52E0" w:rsidRDefault="008B52E0" w:rsidP="006959B5">
                            <w:pPr>
                              <w:pStyle w:val="ColorfulList-Accent11"/>
                              <w:ind w:left="426"/>
                              <w:rPr>
                                <w:rFonts w:cs="Calibri"/>
                              </w:rPr>
                            </w:pPr>
                          </w:p>
                          <w:p w14:paraId="1C162E31" w14:textId="5E47AAF3" w:rsidR="008B52E0" w:rsidRPr="003F3CB1" w:rsidRDefault="008B52E0" w:rsidP="006959B5">
                            <w:pPr>
                              <w:pStyle w:val="ColorfulList-Accent11"/>
                              <w:numPr>
                                <w:ilvl w:val="0"/>
                                <w:numId w:val="35"/>
                              </w:numPr>
                              <w:ind w:left="426" w:hanging="425"/>
                              <w:rPr>
                                <w:rFonts w:cs="Calibri"/>
                              </w:rPr>
                            </w:pPr>
                            <w:r>
                              <w:t>tomar nota del calendario orientativo de los eventos relacionados con la 1</w:t>
                            </w:r>
                            <w:r w:rsidR="000E5D1E">
                              <w:t>5</w:t>
                            </w:r>
                            <w:r>
                              <w:t>ª reunión de la Conferencia de las Partes Contratantes (COP1</w:t>
                            </w:r>
                            <w:r w:rsidR="00D51EC8">
                              <w:t>5</w:t>
                            </w:r>
                            <w:r>
                              <w:t xml:space="preserve">), que figura en el párrafo 3; </w:t>
                            </w:r>
                          </w:p>
                          <w:p w14:paraId="4811099B" w14:textId="77777777" w:rsidR="008B52E0" w:rsidRPr="003F3CB1" w:rsidRDefault="008B52E0" w:rsidP="006959B5">
                            <w:pPr>
                              <w:pStyle w:val="ColorfulList-Accent11"/>
                              <w:ind w:left="426"/>
                              <w:rPr>
                                <w:rFonts w:cs="Calibri"/>
                              </w:rPr>
                            </w:pPr>
                          </w:p>
                          <w:p w14:paraId="3B4BFDA8" w14:textId="3029AB92" w:rsidR="000E5D1E" w:rsidRDefault="000E5D1E" w:rsidP="006959B5">
                            <w:pPr>
                              <w:pStyle w:val="ColorfulList-Accent11"/>
                              <w:numPr>
                                <w:ilvl w:val="0"/>
                                <w:numId w:val="35"/>
                              </w:numPr>
                              <w:ind w:left="426" w:hanging="425"/>
                            </w:pPr>
                            <w:r>
                              <w:t xml:space="preserve">encargar a la Secretaría que divulgue entre las Partes Contratantes las orientaciones que figuran en el Anexo 1 para la preparación de proyectos de resolución para la COP15, y que los plazos de presentación se actualicen para que reflejen las fechas que se decidieron para </w:t>
                            </w:r>
                            <w:r w:rsidR="00D51EC8">
                              <w:t xml:space="preserve">celebrar </w:t>
                            </w:r>
                            <w:r>
                              <w:t>la 64ª reunión del Comité Permanente (SC64);</w:t>
                            </w:r>
                          </w:p>
                          <w:p w14:paraId="19F6D5BC" w14:textId="77777777" w:rsidR="008B52E0" w:rsidRPr="003F3CB1" w:rsidRDefault="008B52E0" w:rsidP="000659DA">
                            <w:pPr>
                              <w:pStyle w:val="ColorfulList-Accent11"/>
                              <w:ind w:left="0" w:firstLine="0"/>
                            </w:pPr>
                          </w:p>
                          <w:p w14:paraId="2D725AA9" w14:textId="7477E643" w:rsidR="008B52E0" w:rsidRPr="003F3CB1" w:rsidRDefault="008B52E0" w:rsidP="006959B5">
                            <w:pPr>
                              <w:pStyle w:val="ColorfulList-Accent11"/>
                              <w:ind w:left="426"/>
                              <w:rPr>
                                <w:rFonts w:eastAsia="Times New Roman" w:cs="Calibri"/>
                                <w:color w:val="000000"/>
                              </w:rPr>
                            </w:pPr>
                            <w:proofErr w:type="spellStart"/>
                            <w:r>
                              <w:t>iii</w:t>
                            </w:r>
                            <w:proofErr w:type="spellEnd"/>
                            <w:r>
                              <w:t>.</w:t>
                            </w:r>
                            <w:r>
                              <w:tab/>
                            </w:r>
                            <w:r w:rsidR="002018DD">
                              <w:t>aprobar las orientaciones sobre la función de la Secretaría en materia d</w:t>
                            </w:r>
                            <w:r>
                              <w:t>e colaboración con las Partes Contratantes en la preparación de proyectos de resolución, y los procedimientos para hacerlo tanto antes como después de la SC</w:t>
                            </w:r>
                            <w:r w:rsidR="000659DA">
                              <w:t>64</w:t>
                            </w:r>
                            <w:r>
                              <w:t xml:space="preserve">, como se indica en los párrafos </w:t>
                            </w:r>
                            <w:r w:rsidR="000659DA">
                              <w:t>7</w:t>
                            </w:r>
                            <w:r>
                              <w:t xml:space="preserve"> a 1</w:t>
                            </w:r>
                            <w:r w:rsidR="000659DA">
                              <w:t>0</w:t>
                            </w:r>
                            <w:r>
                              <w:t>; y</w:t>
                            </w:r>
                          </w:p>
                          <w:p w14:paraId="170CE0EC" w14:textId="77777777" w:rsidR="008B52E0" w:rsidRPr="003F3CB1" w:rsidRDefault="008B52E0" w:rsidP="006959B5">
                            <w:pPr>
                              <w:pStyle w:val="ColorfulList-Accent11"/>
                              <w:ind w:left="426"/>
                              <w:rPr>
                                <w:rFonts w:eastAsia="Times New Roman" w:cs="Calibri"/>
                                <w:color w:val="000000"/>
                                <w:lang w:eastAsia="en-GB"/>
                              </w:rPr>
                            </w:pPr>
                          </w:p>
                          <w:p w14:paraId="5A49308C" w14:textId="2AB23E6E" w:rsidR="008B52E0" w:rsidRPr="00A92B90" w:rsidRDefault="008B52E0" w:rsidP="00A92B90">
                            <w:pPr>
                              <w:pStyle w:val="ColorfulList-Accent11"/>
                              <w:ind w:left="426"/>
                              <w:rPr>
                                <w:rFonts w:eastAsia="Times New Roman" w:cs="Calibri"/>
                                <w:color w:val="000000"/>
                              </w:rPr>
                            </w:pPr>
                            <w:proofErr w:type="spellStart"/>
                            <w:r>
                              <w:rPr>
                                <w:color w:val="000000"/>
                              </w:rPr>
                              <w:t>iv</w:t>
                            </w:r>
                            <w:proofErr w:type="spellEnd"/>
                            <w:r>
                              <w:rPr>
                                <w:color w:val="000000"/>
                              </w:rPr>
                              <w:t>.</w:t>
                            </w:r>
                            <w:r>
                              <w:rPr>
                                <w:color w:val="000000"/>
                              </w:rPr>
                              <w:tab/>
                            </w:r>
                            <w:r w:rsidRPr="002018DD">
                              <w:t>encargar a la Secretaría que haga un seguimiento para la COP1</w:t>
                            </w:r>
                            <w:r w:rsidR="000659DA">
                              <w:t>5</w:t>
                            </w:r>
                            <w:r w:rsidRPr="002018DD">
                              <w:t xml:space="preserve"> del procedimiento para el examen de los proyectos de resolución </w:t>
                            </w:r>
                            <w:r w:rsidR="00C24EC2">
                              <w:t>aplicado</w:t>
                            </w:r>
                            <w:r w:rsidRPr="002018DD">
                              <w:t xml:space="preserve"> en la COP1</w:t>
                            </w:r>
                            <w:r w:rsidR="000659DA">
                              <w:t>4</w:t>
                            </w:r>
                            <w:r w:rsidRPr="002018DD">
                              <w:t xml:space="preserve">, </w:t>
                            </w:r>
                            <w:r w:rsidR="00C24EC2">
                              <w:t>realizando</w:t>
                            </w:r>
                            <w:r w:rsidRPr="002018DD">
                              <w:t xml:space="preserve"> </w:t>
                            </w:r>
                            <w:r w:rsidR="00965535" w:rsidRPr="002018DD">
                              <w:t xml:space="preserve">las </w:t>
                            </w:r>
                            <w:r w:rsidRPr="002018DD">
                              <w:t xml:space="preserve">mejoras logísticas </w:t>
                            </w:r>
                            <w:r w:rsidR="00965535" w:rsidRPr="002018DD">
                              <w:t>que</w:t>
                            </w:r>
                            <w:r w:rsidRPr="002018DD">
                              <w:t xml:space="preserve"> proceda</w:t>
                            </w:r>
                            <w:r w:rsidR="00965535" w:rsidRPr="002018DD">
                              <w:t>n</w:t>
                            </w:r>
                            <w:r w:rsidRPr="002018DD">
                              <w:t>.</w:t>
                            </w:r>
                          </w:p>
                          <w:p w14:paraId="44D85C00" w14:textId="77777777" w:rsidR="008B52E0" w:rsidRDefault="008B52E0" w:rsidP="00275F13">
                            <w:pPr>
                              <w:pStyle w:val="ColorfulList-Accent11"/>
                              <w:ind w:left="360" w:firstLine="0"/>
                            </w:pPr>
                          </w:p>
                        </w:txbxContent>
                      </wps:txbx>
                      <wps:bodyPr rot="0" vert="horz" wrap="square" lIns="91440" tIns="45720" rIns="91440" bIns="45720" anchor="t" anchorCtr="0" upright="1">
                        <a:noAutofit/>
                      </wps:bodyPr>
                    </wps:wsp>
                  </a:graphicData>
                </a:graphic>
              </wp:inline>
            </w:drawing>
          </mc:Choice>
          <mc:Fallback>
            <w:pict>
              <v:shapetype w14:anchorId="719B9D86" id="_x0000_t202" coordsize="21600,21600" o:spt="202" path="m,l,21600r21600,l21600,xe">
                <v:stroke joinstyle="miter"/>
                <v:path gradientshapeok="t" o:connecttype="rect"/>
              </v:shapetype>
              <v:shape id="Text Box 1" o:spid="_x0000_s1026" type="#_x0000_t202" style="width:451.3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">
                <v:textbox>
                  <w:txbxContent>
                    <w:p w14:paraId="7ADD69AF" w14:textId="096BFC6B" w:rsidR="008B52E0" w:rsidRDefault="00322A6F" w:rsidP="000C2489">
                      <w:pPr>
                        <w:rPr>
                          <w:b/>
                          <w:bCs/>
                        </w:rPr>
                      </w:pPr>
                      <w:r w:rsidRPr="00322A6F">
                        <w:rPr>
                          <w:b/>
                          <w:bCs/>
                        </w:rPr>
                        <w:t>Acción solicitada</w:t>
                      </w:r>
                      <w:r w:rsidR="008B52E0">
                        <w:rPr>
                          <w:b/>
                          <w:bCs/>
                        </w:rPr>
                        <w:t xml:space="preserve">: </w:t>
                      </w:r>
                    </w:p>
                    <w:p w14:paraId="1B2C51D1" w14:textId="77777777" w:rsidR="008B52E0" w:rsidRDefault="008B52E0" w:rsidP="000C2489">
                      <w:pPr>
                        <w:pStyle w:val="ColorfulList-Accent11"/>
                        <w:ind w:left="0"/>
                      </w:pPr>
                    </w:p>
                    <w:p w14:paraId="0E4B807E" w14:textId="3932A093" w:rsidR="008B52E0" w:rsidRDefault="008B52E0" w:rsidP="00275F13">
                      <w:pPr>
                        <w:pStyle w:val="ColorfulList-Accent11"/>
                        <w:ind w:left="0" w:firstLine="0"/>
                        <w:rPr>
                          <w:rFonts w:cs="Calibri"/>
                        </w:rPr>
                      </w:pPr>
                      <w:r w:rsidRPr="00A8092E">
                        <w:t>Se invita al Comité Permanente a hacer lo siguiente</w:t>
                      </w:r>
                      <w:r w:rsidR="00965535" w:rsidRPr="00A8092E">
                        <w:t>:</w:t>
                      </w:r>
                    </w:p>
                    <w:p w14:paraId="018D12C8" w14:textId="77777777" w:rsidR="008B52E0" w:rsidRDefault="008B52E0" w:rsidP="006959B5">
                      <w:pPr>
                        <w:pStyle w:val="ColorfulList-Accent11"/>
                        <w:ind w:left="426"/>
                        <w:rPr>
                          <w:rFonts w:cs="Calibri"/>
                        </w:rPr>
                      </w:pPr>
                    </w:p>
                    <w:p w14:paraId="1C162E31" w14:textId="5E47AAF3" w:rsidR="008B52E0" w:rsidRPr="003F3CB1" w:rsidRDefault="008B52E0" w:rsidP="006959B5">
                      <w:pPr>
                        <w:pStyle w:val="ColorfulList-Accent11"/>
                        <w:numPr>
                          <w:ilvl w:val="0"/>
                          <w:numId w:val="35"/>
                        </w:numPr>
                        <w:ind w:left="426" w:hanging="425"/>
                        <w:rPr>
                          <w:rFonts w:cs="Calibri"/>
                        </w:rPr>
                      </w:pPr>
                      <w:r>
                        <w:t>tomar nota del calendario orientativo de los eventos relacionados con la 1</w:t>
                      </w:r>
                      <w:r w:rsidR="000E5D1E">
                        <w:t>5</w:t>
                      </w:r>
                      <w:r>
                        <w:t>ª reunión de la Conferencia de las Partes Contratantes (COP1</w:t>
                      </w:r>
                      <w:r w:rsidR="00D51EC8">
                        <w:t>5</w:t>
                      </w:r>
                      <w:r>
                        <w:t xml:space="preserve">), que figura en el párrafo 3; </w:t>
                      </w:r>
                    </w:p>
                    <w:p w14:paraId="4811099B" w14:textId="77777777" w:rsidR="008B52E0" w:rsidRPr="003F3CB1" w:rsidRDefault="008B52E0" w:rsidP="006959B5">
                      <w:pPr>
                        <w:pStyle w:val="ColorfulList-Accent11"/>
                        <w:ind w:left="426"/>
                        <w:rPr>
                          <w:rFonts w:cs="Calibri"/>
                        </w:rPr>
                      </w:pPr>
                    </w:p>
                    <w:p w14:paraId="3B4BFDA8" w14:textId="3029AB92" w:rsidR="000E5D1E" w:rsidRDefault="000E5D1E" w:rsidP="006959B5">
                      <w:pPr>
                        <w:pStyle w:val="ColorfulList-Accent11"/>
                        <w:numPr>
                          <w:ilvl w:val="0"/>
                          <w:numId w:val="35"/>
                        </w:numPr>
                        <w:ind w:left="426" w:hanging="425"/>
                      </w:pPr>
                      <w:r>
                        <w:t xml:space="preserve">encargar a la Secretaría que divulgue entre las Partes Contratantes las orientaciones que figuran en el Anexo 1 para la preparación de proyectos de resolución para la COP15, y que los plazos de presentación se actualicen para que reflejen las fechas que se decidieron para </w:t>
                      </w:r>
                      <w:r w:rsidR="00D51EC8">
                        <w:t xml:space="preserve">celebrar </w:t>
                      </w:r>
                      <w:r>
                        <w:t>la 64ª reunión del Comité Permanente (SC64);</w:t>
                      </w:r>
                    </w:p>
                    <w:p w14:paraId="19F6D5BC" w14:textId="77777777" w:rsidR="008B52E0" w:rsidRPr="003F3CB1" w:rsidRDefault="008B52E0" w:rsidP="000659DA">
                      <w:pPr>
                        <w:pStyle w:val="ColorfulList-Accent11"/>
                        <w:ind w:left="0" w:firstLine="0"/>
                      </w:pPr>
                    </w:p>
                    <w:p w14:paraId="2D725AA9" w14:textId="7477E643" w:rsidR="008B52E0" w:rsidRPr="003F3CB1" w:rsidRDefault="008B52E0" w:rsidP="006959B5">
                      <w:pPr>
                        <w:pStyle w:val="ColorfulList-Accent11"/>
                        <w:ind w:left="426"/>
                        <w:rPr>
                          <w:rFonts w:eastAsia="Times New Roman" w:cs="Calibri"/>
                          <w:color w:val="000000"/>
                        </w:rPr>
                      </w:pPr>
                      <w:proofErr w:type="spellStart"/>
                      <w:r>
                        <w:t>iii</w:t>
                      </w:r>
                      <w:proofErr w:type="spellEnd"/>
                      <w:r>
                        <w:t>.</w:t>
                      </w:r>
                      <w:r>
                        <w:tab/>
                      </w:r>
                      <w:r w:rsidR="002018DD">
                        <w:t>aprobar las orientaciones sobre la función de la Secretaría en materia d</w:t>
                      </w:r>
                      <w:r>
                        <w:t>e colaboración con las Partes Contratantes en la preparación de proyectos de resolución, y los procedimientos para hacerlo tanto antes como después de la SC</w:t>
                      </w:r>
                      <w:r w:rsidR="000659DA">
                        <w:t>64</w:t>
                      </w:r>
                      <w:r>
                        <w:t xml:space="preserve">, como se indica en los párrafos </w:t>
                      </w:r>
                      <w:r w:rsidR="000659DA">
                        <w:t>7</w:t>
                      </w:r>
                      <w:r>
                        <w:t xml:space="preserve"> a 1</w:t>
                      </w:r>
                      <w:r w:rsidR="000659DA">
                        <w:t>0</w:t>
                      </w:r>
                      <w:r>
                        <w:t>; y</w:t>
                      </w:r>
                    </w:p>
                    <w:p w14:paraId="170CE0EC" w14:textId="77777777" w:rsidR="008B52E0" w:rsidRPr="003F3CB1" w:rsidRDefault="008B52E0" w:rsidP="006959B5">
                      <w:pPr>
                        <w:pStyle w:val="ColorfulList-Accent11"/>
                        <w:ind w:left="426"/>
                        <w:rPr>
                          <w:rFonts w:eastAsia="Times New Roman" w:cs="Calibri"/>
                          <w:color w:val="000000"/>
                          <w:lang w:eastAsia="en-GB"/>
                        </w:rPr>
                      </w:pPr>
                    </w:p>
                    <w:p w14:paraId="5A49308C" w14:textId="2AB23E6E" w:rsidR="008B52E0" w:rsidRPr="00A92B90" w:rsidRDefault="008B52E0" w:rsidP="00A92B90">
                      <w:pPr>
                        <w:pStyle w:val="ColorfulList-Accent11"/>
                        <w:ind w:left="426"/>
                        <w:rPr>
                          <w:rFonts w:eastAsia="Times New Roman" w:cs="Calibri"/>
                          <w:color w:val="000000"/>
                        </w:rPr>
                      </w:pPr>
                      <w:proofErr w:type="spellStart"/>
                      <w:r>
                        <w:rPr>
                          <w:color w:val="000000"/>
                        </w:rPr>
                        <w:t>iv</w:t>
                      </w:r>
                      <w:proofErr w:type="spellEnd"/>
                      <w:r>
                        <w:rPr>
                          <w:color w:val="000000"/>
                        </w:rPr>
                        <w:t>.</w:t>
                      </w:r>
                      <w:r>
                        <w:rPr>
                          <w:color w:val="000000"/>
                        </w:rPr>
                        <w:tab/>
                      </w:r>
                      <w:r w:rsidRPr="002018DD">
                        <w:t>encargar a la Secretaría que haga un seguimiento para la COP1</w:t>
                      </w:r>
                      <w:r w:rsidR="000659DA">
                        <w:t>5</w:t>
                      </w:r>
                      <w:r w:rsidRPr="002018DD">
                        <w:t xml:space="preserve"> del procedimiento para el examen de los proyectos de resolución </w:t>
                      </w:r>
                      <w:r w:rsidR="00C24EC2">
                        <w:t>aplicado</w:t>
                      </w:r>
                      <w:r w:rsidRPr="002018DD">
                        <w:t xml:space="preserve"> en la COP1</w:t>
                      </w:r>
                      <w:r w:rsidR="000659DA">
                        <w:t>4</w:t>
                      </w:r>
                      <w:r w:rsidRPr="002018DD">
                        <w:t xml:space="preserve">, </w:t>
                      </w:r>
                      <w:r w:rsidR="00C24EC2">
                        <w:t>realizando</w:t>
                      </w:r>
                      <w:r w:rsidRPr="002018DD">
                        <w:t xml:space="preserve"> </w:t>
                      </w:r>
                      <w:r w:rsidR="00965535" w:rsidRPr="002018DD">
                        <w:t xml:space="preserve">las </w:t>
                      </w:r>
                      <w:r w:rsidRPr="002018DD">
                        <w:t xml:space="preserve">mejoras logísticas </w:t>
                      </w:r>
                      <w:r w:rsidR="00965535" w:rsidRPr="002018DD">
                        <w:t>que</w:t>
                      </w:r>
                      <w:r w:rsidRPr="002018DD">
                        <w:t xml:space="preserve"> proceda</w:t>
                      </w:r>
                      <w:r w:rsidR="00965535" w:rsidRPr="002018DD">
                        <w:t>n</w:t>
                      </w:r>
                      <w:r w:rsidRPr="002018DD">
                        <w:t>.</w:t>
                      </w:r>
                    </w:p>
                    <w:p w14:paraId="44D85C00" w14:textId="77777777" w:rsidR="008B52E0" w:rsidRDefault="008B52E0" w:rsidP="00275F13">
                      <w:pPr>
                        <w:pStyle w:val="ColorfulList-Accent11"/>
                        <w:ind w:left="360" w:firstLine="0"/>
                      </w:pPr>
                    </w:p>
                  </w:txbxContent>
                </v:textbox>
                <w10:anchorlock/>
              </v:shape>
            </w:pict>
          </mc:Fallback>
        </mc:AlternateContent>
      </w:r>
    </w:p>
    <w:p w14:paraId="370484B7" w14:textId="192DD02D" w:rsidR="009E0AE8" w:rsidRPr="00796C83" w:rsidRDefault="009E0AE8" w:rsidP="00014168">
      <w:pPr>
        <w:rPr>
          <w:rFonts w:cs="Arial"/>
          <w:b/>
          <w:noProof/>
        </w:rPr>
      </w:pPr>
    </w:p>
    <w:p w14:paraId="0D97FD1B" w14:textId="77777777" w:rsidR="006959B5" w:rsidRPr="00796C83" w:rsidRDefault="006959B5" w:rsidP="00014168">
      <w:pPr>
        <w:rPr>
          <w:rFonts w:cs="Arial"/>
          <w:b/>
          <w:noProof/>
        </w:rPr>
      </w:pPr>
    </w:p>
    <w:p w14:paraId="436441D0" w14:textId="77777777" w:rsidR="000C2489" w:rsidRPr="00796C83" w:rsidRDefault="00E77F2D" w:rsidP="00014168">
      <w:pPr>
        <w:rPr>
          <w:rFonts w:cs="Arial"/>
          <w:b/>
          <w:noProof/>
        </w:rPr>
      </w:pPr>
      <w:r w:rsidRPr="00796C83">
        <w:rPr>
          <w:b/>
          <w:noProof/>
        </w:rPr>
        <w:t>Introducción</w:t>
      </w:r>
    </w:p>
    <w:p w14:paraId="783DA086" w14:textId="77777777" w:rsidR="000C2489" w:rsidRPr="00796C83" w:rsidRDefault="000C2489" w:rsidP="00014168">
      <w:pPr>
        <w:rPr>
          <w:rFonts w:ascii="Garamond" w:hAnsi="Garamond" w:cs="Arial"/>
          <w:noProof/>
        </w:rPr>
      </w:pPr>
    </w:p>
    <w:p w14:paraId="696CF70E" w14:textId="502A0D59" w:rsidR="00377F61" w:rsidRPr="00796C83" w:rsidRDefault="00E77F2D" w:rsidP="004E7217">
      <w:pPr>
        <w:pStyle w:val="NoSpacing"/>
        <w:rPr>
          <w:noProof/>
        </w:rPr>
      </w:pPr>
      <w:r w:rsidRPr="00796C83">
        <w:rPr>
          <w:noProof/>
        </w:rPr>
        <w:t>1.</w:t>
      </w:r>
      <w:r w:rsidRPr="00796C83">
        <w:rPr>
          <w:noProof/>
        </w:rPr>
        <w:tab/>
        <w:t xml:space="preserve">La Secretaría presenta este documento como base para la </w:t>
      </w:r>
      <w:r w:rsidR="00A92B90" w:rsidRPr="00796C83">
        <w:rPr>
          <w:noProof/>
        </w:rPr>
        <w:t>preparación y el examen de proyectos de resolución</w:t>
      </w:r>
      <w:r w:rsidRPr="00796C83">
        <w:rPr>
          <w:noProof/>
        </w:rPr>
        <w:t xml:space="preserve"> p</w:t>
      </w:r>
      <w:bookmarkStart w:id="0" w:name="_GoBack"/>
      <w:bookmarkEnd w:id="0"/>
      <w:r w:rsidRPr="00796C83">
        <w:rPr>
          <w:noProof/>
        </w:rPr>
        <w:t>ara la 1</w:t>
      </w:r>
      <w:r w:rsidR="00377F61" w:rsidRPr="00796C83">
        <w:rPr>
          <w:noProof/>
        </w:rPr>
        <w:t>5</w:t>
      </w:r>
      <w:r w:rsidRPr="00796C83">
        <w:rPr>
          <w:noProof/>
          <w:vertAlign w:val="superscript"/>
        </w:rPr>
        <w:t>a</w:t>
      </w:r>
      <w:r w:rsidRPr="00796C83">
        <w:rPr>
          <w:noProof/>
        </w:rPr>
        <w:t xml:space="preserve"> reunión de la Conferencia de las Partes Contratantes (COP1</w:t>
      </w:r>
      <w:r w:rsidR="00377F61" w:rsidRPr="00796C83">
        <w:rPr>
          <w:noProof/>
        </w:rPr>
        <w:t>5</w:t>
      </w:r>
      <w:r w:rsidRPr="00796C83">
        <w:rPr>
          <w:noProof/>
        </w:rPr>
        <w:t xml:space="preserve">). </w:t>
      </w:r>
      <w:r w:rsidR="00377F61" w:rsidRPr="00796C83">
        <w:rPr>
          <w:noProof/>
        </w:rPr>
        <w:t xml:space="preserve">El proceso propuesto para la preparación, la presentación y el examen de los proyectos de resolución se basa en el proceso que se siguió con éxito en la COP14, descrito en el documento SC58 Doc.20.4 Rev.5, </w:t>
      </w:r>
      <w:r w:rsidR="00377F61" w:rsidRPr="00796C83">
        <w:rPr>
          <w:i/>
          <w:iCs/>
          <w:noProof/>
        </w:rPr>
        <w:t>Procedimiento para la preparación, la presentación y el examen de los proyectos de resolución</w:t>
      </w:r>
      <w:r w:rsidR="00377F61" w:rsidRPr="00796C83">
        <w:rPr>
          <w:noProof/>
        </w:rPr>
        <w:t xml:space="preserve">. Ese documento se elaboró </w:t>
      </w:r>
      <w:r w:rsidR="00D51EC8" w:rsidRPr="00796C83">
        <w:rPr>
          <w:noProof/>
        </w:rPr>
        <w:t>con arreglo a</w:t>
      </w:r>
      <w:r w:rsidR="00377F61" w:rsidRPr="00796C83">
        <w:rPr>
          <w:noProof/>
        </w:rPr>
        <w:t xml:space="preserve"> las instrucciones </w:t>
      </w:r>
      <w:r w:rsidR="00D51EC8" w:rsidRPr="00796C83">
        <w:rPr>
          <w:noProof/>
        </w:rPr>
        <w:t>que figuran en</w:t>
      </w:r>
      <w:r w:rsidR="00377F61" w:rsidRPr="00796C83">
        <w:rPr>
          <w:noProof/>
        </w:rPr>
        <w:t xml:space="preserve"> la Resolución XII.4, </w:t>
      </w:r>
      <w:r w:rsidR="00377F61" w:rsidRPr="00796C83">
        <w:rPr>
          <w:i/>
          <w:iCs/>
          <w:noProof/>
        </w:rPr>
        <w:t xml:space="preserve">Responsabilidades, funciones y composición del Comité Permanente y </w:t>
      </w:r>
      <w:r w:rsidR="00211E2C" w:rsidRPr="00796C83">
        <w:rPr>
          <w:i/>
          <w:iCs/>
          <w:noProof/>
        </w:rPr>
        <w:t>clasificación</w:t>
      </w:r>
      <w:r w:rsidR="00377F61" w:rsidRPr="00796C83">
        <w:rPr>
          <w:i/>
          <w:iCs/>
          <w:noProof/>
        </w:rPr>
        <w:t xml:space="preserve"> de los países </w:t>
      </w:r>
      <w:r w:rsidR="00211E2C" w:rsidRPr="00796C83">
        <w:rPr>
          <w:i/>
          <w:iCs/>
          <w:noProof/>
        </w:rPr>
        <w:t>por regiones en el marco de</w:t>
      </w:r>
      <w:r w:rsidR="00377F61" w:rsidRPr="00796C83">
        <w:rPr>
          <w:i/>
          <w:iCs/>
          <w:noProof/>
        </w:rPr>
        <w:t xml:space="preserve"> la Convención de Ramsar</w:t>
      </w:r>
      <w:r w:rsidR="00377F61" w:rsidRPr="00796C83">
        <w:rPr>
          <w:noProof/>
        </w:rPr>
        <w:t xml:space="preserve">. Este documento se ha actualizado a modo de incluir las instrucciones que </w:t>
      </w:r>
      <w:r w:rsidR="00D51EC8" w:rsidRPr="00796C83">
        <w:rPr>
          <w:noProof/>
        </w:rPr>
        <w:t>se encuentran</w:t>
      </w:r>
      <w:r w:rsidR="00377F61" w:rsidRPr="00796C83">
        <w:rPr>
          <w:noProof/>
        </w:rPr>
        <w:t xml:space="preserve"> en el párrafo 10 de la Resolución XIV.3, </w:t>
      </w:r>
      <w:r w:rsidR="00377F61" w:rsidRPr="00796C83">
        <w:rPr>
          <w:i/>
          <w:iCs/>
          <w:noProof/>
        </w:rPr>
        <w:t>Eficacia y eficiencia de la Convención sobre los Humedales,</w:t>
      </w:r>
      <w:r w:rsidR="00377F61" w:rsidRPr="00796C83">
        <w:rPr>
          <w:noProof/>
        </w:rPr>
        <w:t xml:space="preserve"> y los párrafos 11 y 12 y el Anexo 3 de la Resolución XIV.5, </w:t>
      </w:r>
      <w:r w:rsidR="00377F61" w:rsidRPr="00796C83">
        <w:rPr>
          <w:i/>
          <w:iCs/>
          <w:noProof/>
        </w:rPr>
        <w:t>Examen de las resoluciones y recomendaciones de la Conferencia de las Partes Contratantes</w:t>
      </w:r>
      <w:r w:rsidR="00377F61" w:rsidRPr="00796C83">
        <w:rPr>
          <w:noProof/>
        </w:rPr>
        <w:t>.</w:t>
      </w:r>
    </w:p>
    <w:p w14:paraId="2817C38E" w14:textId="74F31230" w:rsidR="00094D4A" w:rsidRPr="00796C83" w:rsidRDefault="00094D4A" w:rsidP="004E7217">
      <w:pPr>
        <w:pStyle w:val="NoSpacing"/>
        <w:rPr>
          <w:noProof/>
        </w:rPr>
      </w:pPr>
    </w:p>
    <w:p w14:paraId="32B5EA7D" w14:textId="1BEDD081" w:rsidR="00094D4A" w:rsidRPr="00796C83" w:rsidRDefault="00094D4A" w:rsidP="00CD0D4E">
      <w:pPr>
        <w:pStyle w:val="NoSpacing"/>
        <w:keepNext/>
        <w:rPr>
          <w:b/>
          <w:bCs/>
          <w:noProof/>
        </w:rPr>
      </w:pPr>
      <w:r w:rsidRPr="00796C83">
        <w:rPr>
          <w:b/>
          <w:bCs/>
          <w:noProof/>
        </w:rPr>
        <w:lastRenderedPageBreak/>
        <w:t>Calendario</w:t>
      </w:r>
      <w:r w:rsidR="00DE760E" w:rsidRPr="00796C83">
        <w:rPr>
          <w:b/>
          <w:bCs/>
          <w:noProof/>
        </w:rPr>
        <w:t xml:space="preserve"> indicativo para la preparación de los proyectos de resolución</w:t>
      </w:r>
    </w:p>
    <w:p w14:paraId="07F19754" w14:textId="77777777" w:rsidR="00094D4A" w:rsidRPr="00796C83" w:rsidRDefault="00094D4A" w:rsidP="00CD0D4E">
      <w:pPr>
        <w:pStyle w:val="NoSpacing"/>
        <w:keepNext/>
        <w:rPr>
          <w:noProof/>
        </w:rPr>
      </w:pPr>
    </w:p>
    <w:p w14:paraId="61C6EA84" w14:textId="31AEF019" w:rsidR="00DE760E" w:rsidRPr="00796C83" w:rsidRDefault="00E14626" w:rsidP="00CD0D4E">
      <w:pPr>
        <w:keepNext/>
        <w:rPr>
          <w:noProof/>
        </w:rPr>
      </w:pPr>
      <w:r w:rsidRPr="00796C83">
        <w:rPr>
          <w:noProof/>
        </w:rPr>
        <w:t>2.</w:t>
      </w:r>
      <w:r w:rsidRPr="00796C83">
        <w:rPr>
          <w:noProof/>
        </w:rPr>
        <w:tab/>
      </w:r>
      <w:r w:rsidR="00583222" w:rsidRPr="00796C83">
        <w:rPr>
          <w:noProof/>
        </w:rPr>
        <w:t>De conformidad con el</w:t>
      </w:r>
      <w:r w:rsidR="00DE760E" w:rsidRPr="00796C83">
        <w:rPr>
          <w:noProof/>
        </w:rPr>
        <w:t xml:space="preserve"> artículo 5.1 del reglamento:</w:t>
      </w:r>
    </w:p>
    <w:p w14:paraId="6F3876AF" w14:textId="359F293F" w:rsidR="00DE760E" w:rsidRPr="00796C83" w:rsidRDefault="00DE760E" w:rsidP="00DE760E">
      <w:pPr>
        <w:pStyle w:val="NormalWeb"/>
        <w:ind w:left="720"/>
        <w:rPr>
          <w:rFonts w:ascii="Calibri" w:hAnsi="Calibri" w:cs="Calibri"/>
          <w:i/>
          <w:iCs/>
          <w:noProof/>
          <w:sz w:val="22"/>
          <w:szCs w:val="22"/>
        </w:rPr>
      </w:pPr>
      <w:r w:rsidRPr="00796C83">
        <w:rPr>
          <w:rFonts w:ascii="Calibri" w:hAnsi="Calibri" w:cs="Calibri"/>
          <w:i/>
          <w:iCs/>
          <w:noProof/>
          <w:sz w:val="22"/>
          <w:szCs w:val="22"/>
        </w:rPr>
        <w:t xml:space="preserve">La Secretaría notificará las fechas, el lugar y el orden del día provisional de cualquier reunión ordinaria a todas las Partes Contratantes por lo menos 12 meses antes de la fecha en que la reunión deba comenzar. En la notificación se incluirá el proyecto de orden del día de la reunión y el plazo para que las Partes Contratantes presenten propuestas que, como norma, será de 60 días naturales antes de la apertura de la reunión del Comité Permanente en la que esté previsto formular recomendaciones sobre los documentos que examinarán las Partes Contratantes en la Conferencia de las Partes. </w:t>
      </w:r>
    </w:p>
    <w:p w14:paraId="6C7722CD" w14:textId="14230225" w:rsidR="00EB58D7" w:rsidRPr="00796C83" w:rsidRDefault="009011C7" w:rsidP="00F13D5F">
      <w:pPr>
        <w:pStyle w:val="NormalWeb"/>
        <w:ind w:left="426" w:hanging="426"/>
        <w:rPr>
          <w:rFonts w:ascii="Calibri" w:hAnsi="Calibri" w:cs="Calibri"/>
          <w:noProof/>
          <w:sz w:val="22"/>
          <w:szCs w:val="22"/>
        </w:rPr>
      </w:pPr>
      <w:r w:rsidRPr="00796C83">
        <w:rPr>
          <w:rFonts w:ascii="Calibri" w:hAnsi="Calibri" w:cs="Calibri"/>
          <w:noProof/>
          <w:sz w:val="22"/>
          <w:szCs w:val="22"/>
        </w:rPr>
        <w:t xml:space="preserve">3. </w:t>
      </w:r>
      <w:r w:rsidRPr="00796C83">
        <w:rPr>
          <w:rFonts w:ascii="Calibri" w:hAnsi="Calibri" w:cs="Calibri"/>
          <w:noProof/>
          <w:sz w:val="22"/>
          <w:szCs w:val="22"/>
        </w:rPr>
        <w:tab/>
        <w:t xml:space="preserve">En su 62ª reunión (SC62), </w:t>
      </w:r>
      <w:r w:rsidR="00482686" w:rsidRPr="00796C83">
        <w:rPr>
          <w:rFonts w:ascii="Calibri" w:hAnsi="Calibri" w:cs="Calibri"/>
          <w:noProof/>
          <w:sz w:val="22"/>
          <w:szCs w:val="22"/>
        </w:rPr>
        <w:t xml:space="preserve">el Comité Permanente aprobó mediante su Decisión SC62-08 que la COP15 se celebraría en Victoria Falls (Zimbabwe) entre el 23 y el 31 de julio de 2025. Asimismo, aprobó mediante su Decisión SC62-58 que la reunión SC63 se celebraría entre el 3 y el 7 de junio de 2024, pero decidió aplazar la decisión sobre las fechas de la reunión SC64 hasta la reunión SC63. Dado que todavía no se han fijado las fechas de la reunión SC64, en el </w:t>
      </w:r>
      <w:r w:rsidR="00F92DB3" w:rsidRPr="00796C83">
        <w:rPr>
          <w:rFonts w:ascii="Calibri" w:hAnsi="Calibri" w:cs="Calibri"/>
          <w:noProof/>
          <w:sz w:val="22"/>
          <w:szCs w:val="22"/>
        </w:rPr>
        <w:t>c</w:t>
      </w:r>
      <w:r w:rsidR="00482686" w:rsidRPr="00796C83">
        <w:rPr>
          <w:rFonts w:ascii="Calibri" w:hAnsi="Calibri" w:cs="Calibri"/>
          <w:noProof/>
          <w:sz w:val="22"/>
          <w:szCs w:val="22"/>
        </w:rPr>
        <w:t>uadro 1 se presenta, para efectos de planificación, un calendario indicativo en el que figuran las fechas y los plazos pertinentes para la elaboración de los proyectos de resolución, como sigue:</w:t>
      </w:r>
    </w:p>
    <w:p w14:paraId="7634F803" w14:textId="77DD5B91" w:rsidR="00E14626" w:rsidRPr="00796C83" w:rsidRDefault="00E14626" w:rsidP="009F6830">
      <w:pPr>
        <w:keepNext/>
        <w:ind w:left="0" w:firstLine="0"/>
        <w:rPr>
          <w:rFonts w:cs="Arial"/>
          <w:i/>
          <w:noProof/>
        </w:rPr>
      </w:pPr>
      <w:r w:rsidRPr="00796C83">
        <w:rPr>
          <w:i/>
          <w:noProof/>
        </w:rPr>
        <w:t xml:space="preserve">Cuadro 1: Calendario </w:t>
      </w:r>
      <w:r w:rsidR="00DE760E" w:rsidRPr="00796C83">
        <w:rPr>
          <w:b/>
          <w:i/>
          <w:noProof/>
        </w:rPr>
        <w:t>indicativo</w:t>
      </w:r>
      <w:r w:rsidRPr="00796C83">
        <w:rPr>
          <w:i/>
          <w:noProof/>
        </w:rPr>
        <w:t xml:space="preserve"> de eventos relacionados con el examen de proyectos de resolución para la COP1</w:t>
      </w:r>
      <w:r w:rsidR="00DE760E" w:rsidRPr="00796C83">
        <w:rPr>
          <w:i/>
          <w:noProof/>
        </w:rPr>
        <w:t>5</w:t>
      </w:r>
    </w:p>
    <w:tbl>
      <w:tblPr>
        <w:tblStyle w:val="TableGrid"/>
        <w:tblW w:w="9214" w:type="dxa"/>
        <w:tblInd w:w="-5" w:type="dxa"/>
        <w:tblLook w:val="04A0" w:firstRow="1" w:lastRow="0" w:firstColumn="1" w:lastColumn="0" w:noHBand="0" w:noVBand="1"/>
      </w:tblPr>
      <w:tblGrid>
        <w:gridCol w:w="5103"/>
        <w:gridCol w:w="4111"/>
      </w:tblGrid>
      <w:tr w:rsidR="00E14626" w:rsidRPr="00796C83" w14:paraId="79011E07" w14:textId="77777777" w:rsidTr="00FD0F76">
        <w:tc>
          <w:tcPr>
            <w:tcW w:w="5103" w:type="dxa"/>
          </w:tcPr>
          <w:p w14:paraId="691B800D" w14:textId="77777777" w:rsidR="00E14626" w:rsidRPr="00796C83" w:rsidRDefault="00BE5E9D" w:rsidP="003E35FA">
            <w:pPr>
              <w:keepNext/>
              <w:jc w:val="center"/>
              <w:rPr>
                <w:rFonts w:cs="Arial"/>
                <w:b/>
                <w:noProof/>
              </w:rPr>
            </w:pPr>
            <w:r w:rsidRPr="00796C83">
              <w:rPr>
                <w:b/>
                <w:noProof/>
              </w:rPr>
              <w:t>Fecha</w:t>
            </w:r>
          </w:p>
        </w:tc>
        <w:tc>
          <w:tcPr>
            <w:tcW w:w="4111" w:type="dxa"/>
          </w:tcPr>
          <w:p w14:paraId="5F0C6164" w14:textId="77777777" w:rsidR="00E14626" w:rsidRPr="00796C83" w:rsidRDefault="00BE5E9D" w:rsidP="008B52E0">
            <w:pPr>
              <w:jc w:val="center"/>
              <w:rPr>
                <w:rFonts w:cs="Arial"/>
                <w:b/>
                <w:noProof/>
              </w:rPr>
            </w:pPr>
            <w:r w:rsidRPr="00796C83">
              <w:rPr>
                <w:b/>
                <w:noProof/>
              </w:rPr>
              <w:t>Evento</w:t>
            </w:r>
          </w:p>
        </w:tc>
      </w:tr>
      <w:tr w:rsidR="00687C9B" w:rsidRPr="00796C83" w14:paraId="38D980B6" w14:textId="77777777" w:rsidTr="00FD0F76">
        <w:tc>
          <w:tcPr>
            <w:tcW w:w="5103" w:type="dxa"/>
          </w:tcPr>
          <w:p w14:paraId="3AE9F78B" w14:textId="164FB0EE" w:rsidR="00687C9B" w:rsidRPr="00796C83" w:rsidRDefault="00FD0F76" w:rsidP="00DD3103">
            <w:pPr>
              <w:keepNext/>
              <w:suppressLineNumbers/>
              <w:suppressAutoHyphens/>
              <w:spacing w:before="40" w:after="40"/>
              <w:ind w:left="38" w:firstLine="0"/>
              <w:rPr>
                <w:rFonts w:cs="Arial"/>
                <w:noProof/>
              </w:rPr>
            </w:pPr>
            <w:r w:rsidRPr="00796C83">
              <w:rPr>
                <w:rFonts w:cs="Arial"/>
                <w:noProof/>
              </w:rPr>
              <w:t>Octubre</w:t>
            </w:r>
            <w:r w:rsidRPr="00796C83">
              <w:rPr>
                <w:noProof/>
              </w:rPr>
              <w:t xml:space="preserve"> de 2024 (90 días antes de la reunión SC64)</w:t>
            </w:r>
          </w:p>
        </w:tc>
        <w:tc>
          <w:tcPr>
            <w:tcW w:w="4111" w:type="dxa"/>
          </w:tcPr>
          <w:p w14:paraId="3CCA52DB" w14:textId="13FCA2E5" w:rsidR="00687C9B" w:rsidRPr="00796C83" w:rsidRDefault="00FD0F76" w:rsidP="00DD3103">
            <w:pPr>
              <w:suppressLineNumbers/>
              <w:suppressAutoHyphens/>
              <w:spacing w:before="40" w:after="40"/>
              <w:ind w:left="38" w:firstLine="0"/>
              <w:rPr>
                <w:rFonts w:cs="Arial"/>
                <w:noProof/>
              </w:rPr>
            </w:pPr>
            <w:r w:rsidRPr="00796C83">
              <w:rPr>
                <w:rFonts w:asciiTheme="minorHAnsi" w:eastAsia="Times New Roman" w:hAnsiTheme="minorHAnsi" w:cstheme="minorHAnsi"/>
                <w:noProof/>
                <w:color w:val="000000"/>
              </w:rPr>
              <w:t>Publicación</w:t>
            </w:r>
            <w:r w:rsidRPr="00796C83">
              <w:rPr>
                <w:noProof/>
              </w:rPr>
              <w:t xml:space="preserve"> de los documentos de la reunión SC64</w:t>
            </w:r>
          </w:p>
        </w:tc>
      </w:tr>
      <w:tr w:rsidR="00687C9B" w:rsidRPr="00796C83" w14:paraId="53398536" w14:textId="77777777" w:rsidTr="00FD0F76">
        <w:tc>
          <w:tcPr>
            <w:tcW w:w="5103" w:type="dxa"/>
          </w:tcPr>
          <w:p w14:paraId="0B2BA834" w14:textId="0FE0176A" w:rsidR="00687C9B" w:rsidRPr="00796C83" w:rsidRDefault="00FD0F76" w:rsidP="00DD3103">
            <w:pPr>
              <w:keepNext/>
              <w:suppressLineNumbers/>
              <w:suppressAutoHyphens/>
              <w:spacing w:before="40" w:after="40"/>
              <w:ind w:left="38" w:firstLine="0"/>
              <w:rPr>
                <w:rFonts w:cs="Arial"/>
                <w:noProof/>
              </w:rPr>
            </w:pPr>
            <w:r w:rsidRPr="00796C83">
              <w:rPr>
                <w:rFonts w:cs="Arial"/>
                <w:noProof/>
              </w:rPr>
              <w:t>Noviembre de 2024 (60 días antes de la reunión SC64, artículo 5.1 del reglamento</w:t>
            </w:r>
            <w:r w:rsidRPr="00796C83">
              <w:rPr>
                <w:noProof/>
              </w:rPr>
              <w:t>)</w:t>
            </w:r>
          </w:p>
        </w:tc>
        <w:tc>
          <w:tcPr>
            <w:tcW w:w="4111" w:type="dxa"/>
          </w:tcPr>
          <w:p w14:paraId="24E07D74" w14:textId="7FC73FC2" w:rsidR="00687C9B" w:rsidRPr="00796C83" w:rsidRDefault="00FD0F76" w:rsidP="00DD3103">
            <w:pPr>
              <w:suppressLineNumbers/>
              <w:suppressAutoHyphens/>
              <w:spacing w:before="40" w:after="40"/>
              <w:ind w:left="38" w:firstLine="0"/>
              <w:rPr>
                <w:rFonts w:cs="Arial"/>
                <w:noProof/>
              </w:rPr>
            </w:pPr>
            <w:r w:rsidRPr="00796C83">
              <w:rPr>
                <w:rFonts w:asciiTheme="minorHAnsi" w:eastAsia="Times New Roman" w:hAnsiTheme="minorHAnsi" w:cstheme="minorHAnsi"/>
                <w:noProof/>
                <w:color w:val="000000"/>
              </w:rPr>
              <w:t>Presentación</w:t>
            </w:r>
            <w:r w:rsidRPr="00796C83">
              <w:rPr>
                <w:rFonts w:asciiTheme="minorHAnsi" w:hAnsiTheme="minorHAnsi"/>
                <w:noProof/>
                <w:color w:val="000000"/>
              </w:rPr>
              <w:t xml:space="preserve"> de los proyectos de resolución para su examen en la reunión SC64</w:t>
            </w:r>
          </w:p>
        </w:tc>
      </w:tr>
      <w:tr w:rsidR="00687C9B" w:rsidRPr="00796C83" w14:paraId="47ADB688" w14:textId="77777777" w:rsidTr="00FD0F76">
        <w:tc>
          <w:tcPr>
            <w:tcW w:w="5103" w:type="dxa"/>
          </w:tcPr>
          <w:p w14:paraId="60B839B0" w14:textId="151EA93D" w:rsidR="00687C9B" w:rsidRPr="00796C83" w:rsidRDefault="00FD0F76" w:rsidP="00DD3103">
            <w:pPr>
              <w:keepNext/>
              <w:suppressLineNumbers/>
              <w:suppressAutoHyphens/>
              <w:spacing w:before="40" w:after="40"/>
              <w:ind w:left="38" w:firstLine="0"/>
              <w:rPr>
                <w:rFonts w:cs="Arial"/>
                <w:noProof/>
              </w:rPr>
            </w:pPr>
            <w:r w:rsidRPr="00796C83">
              <w:rPr>
                <w:rFonts w:cs="Arial"/>
                <w:noProof/>
              </w:rPr>
              <w:t>Enero</w:t>
            </w:r>
            <w:r w:rsidRPr="00796C83">
              <w:rPr>
                <w:noProof/>
              </w:rPr>
              <w:t xml:space="preserve"> de 2025 (alrededor de seis meses antes de la COP15, de conformidad con el calendario indicativo aprobado mediante la Resolución XIV.2)</w:t>
            </w:r>
          </w:p>
        </w:tc>
        <w:tc>
          <w:tcPr>
            <w:tcW w:w="4111" w:type="dxa"/>
          </w:tcPr>
          <w:p w14:paraId="168A034F" w14:textId="1DD3AAD0" w:rsidR="00687C9B" w:rsidRPr="00796C83" w:rsidRDefault="00FD0F76" w:rsidP="00DD3103">
            <w:pPr>
              <w:suppressLineNumbers/>
              <w:suppressAutoHyphens/>
              <w:spacing w:before="40" w:after="40"/>
              <w:ind w:left="38" w:firstLine="0"/>
              <w:rPr>
                <w:rFonts w:cs="Arial"/>
                <w:noProof/>
              </w:rPr>
            </w:pPr>
            <w:r w:rsidRPr="00796C83">
              <w:rPr>
                <w:rFonts w:asciiTheme="minorHAnsi" w:eastAsia="Times New Roman" w:hAnsiTheme="minorHAnsi" w:cstheme="minorHAnsi"/>
                <w:noProof/>
                <w:color w:val="000000"/>
              </w:rPr>
              <w:t>Celebración</w:t>
            </w:r>
            <w:r w:rsidRPr="00796C83">
              <w:rPr>
                <w:rFonts w:asciiTheme="minorHAnsi" w:hAnsiTheme="minorHAnsi"/>
                <w:noProof/>
                <w:color w:val="000000"/>
              </w:rPr>
              <w:t xml:space="preserve"> de la </w:t>
            </w:r>
            <w:r w:rsidRPr="00796C83">
              <w:rPr>
                <w:noProof/>
              </w:rPr>
              <w:t>reunión SC64</w:t>
            </w:r>
          </w:p>
        </w:tc>
      </w:tr>
      <w:tr w:rsidR="00EB58D7" w:rsidRPr="00796C83" w14:paraId="0E804CA6" w14:textId="77777777" w:rsidTr="00FD0F76">
        <w:tc>
          <w:tcPr>
            <w:tcW w:w="5103" w:type="dxa"/>
          </w:tcPr>
          <w:p w14:paraId="493F9495" w14:textId="2A158254" w:rsidR="00EB58D7" w:rsidRPr="00796C83" w:rsidRDefault="00FD0F76" w:rsidP="00DD3103">
            <w:pPr>
              <w:keepNext/>
              <w:suppressLineNumbers/>
              <w:suppressAutoHyphens/>
              <w:spacing w:before="40" w:after="40"/>
              <w:ind w:left="38" w:firstLine="0"/>
              <w:rPr>
                <w:noProof/>
              </w:rPr>
            </w:pPr>
            <w:r w:rsidRPr="00796C83">
              <w:rPr>
                <w:rFonts w:cs="Arial"/>
                <w:noProof/>
              </w:rPr>
              <w:t>23</w:t>
            </w:r>
            <w:r w:rsidRPr="00796C83">
              <w:rPr>
                <w:noProof/>
              </w:rPr>
              <w:t xml:space="preserve"> de abril de 2025</w:t>
            </w:r>
          </w:p>
        </w:tc>
        <w:tc>
          <w:tcPr>
            <w:tcW w:w="4111" w:type="dxa"/>
          </w:tcPr>
          <w:p w14:paraId="2733EFB9" w14:textId="5F090D9F" w:rsidR="00EB58D7" w:rsidRPr="00796C83" w:rsidRDefault="00FD0F76" w:rsidP="00DD3103">
            <w:pPr>
              <w:suppressLineNumbers/>
              <w:suppressAutoHyphens/>
              <w:spacing w:before="40" w:after="40"/>
              <w:ind w:left="38" w:firstLine="0"/>
              <w:rPr>
                <w:rFonts w:asciiTheme="minorHAnsi" w:hAnsiTheme="minorHAnsi"/>
                <w:noProof/>
                <w:color w:val="000000"/>
              </w:rPr>
            </w:pPr>
            <w:r w:rsidRPr="00796C83">
              <w:rPr>
                <w:rFonts w:asciiTheme="minorHAnsi" w:eastAsia="Times New Roman" w:hAnsiTheme="minorHAnsi" w:cstheme="minorHAnsi"/>
                <w:noProof/>
                <w:color w:val="000000"/>
              </w:rPr>
              <w:t>Publicación</w:t>
            </w:r>
            <w:r w:rsidRPr="00796C83">
              <w:rPr>
                <w:rFonts w:asciiTheme="minorHAnsi" w:hAnsiTheme="minorHAnsi"/>
                <w:noProof/>
                <w:color w:val="000000"/>
              </w:rPr>
              <w:t xml:space="preserve"> de los documentos de la COP15, incluidos los proyectos de resolución</w:t>
            </w:r>
          </w:p>
        </w:tc>
      </w:tr>
      <w:tr w:rsidR="00EB58D7" w:rsidRPr="00796C83" w14:paraId="67431D78" w14:textId="77777777" w:rsidTr="00FD0F76">
        <w:tc>
          <w:tcPr>
            <w:tcW w:w="5103" w:type="dxa"/>
          </w:tcPr>
          <w:p w14:paraId="65B688C7" w14:textId="15C851FF" w:rsidR="00EB58D7" w:rsidRPr="00796C83" w:rsidRDefault="00FD0F76" w:rsidP="00DD3103">
            <w:pPr>
              <w:keepNext/>
              <w:suppressLineNumbers/>
              <w:suppressAutoHyphens/>
              <w:spacing w:before="40" w:after="40"/>
              <w:ind w:left="38" w:firstLine="0"/>
              <w:rPr>
                <w:noProof/>
              </w:rPr>
            </w:pPr>
            <w:r w:rsidRPr="00796C83">
              <w:rPr>
                <w:rFonts w:cs="Arial"/>
                <w:noProof/>
              </w:rPr>
              <w:t>23</w:t>
            </w:r>
            <w:r w:rsidRPr="00796C83">
              <w:rPr>
                <w:noProof/>
              </w:rPr>
              <w:t xml:space="preserve"> a 31 de julio de 2025</w:t>
            </w:r>
          </w:p>
        </w:tc>
        <w:tc>
          <w:tcPr>
            <w:tcW w:w="4111" w:type="dxa"/>
          </w:tcPr>
          <w:p w14:paraId="26AA1DBA" w14:textId="43E45277" w:rsidR="00EB58D7" w:rsidRPr="00796C83" w:rsidRDefault="00FD0F76" w:rsidP="00DD3103">
            <w:pPr>
              <w:suppressLineNumbers/>
              <w:suppressAutoHyphens/>
              <w:spacing w:before="40" w:after="40"/>
              <w:ind w:left="38" w:firstLine="0"/>
              <w:rPr>
                <w:rFonts w:asciiTheme="minorHAnsi" w:hAnsiTheme="minorHAnsi"/>
                <w:noProof/>
                <w:color w:val="000000"/>
              </w:rPr>
            </w:pPr>
            <w:r w:rsidRPr="00796C83">
              <w:rPr>
                <w:rFonts w:asciiTheme="minorHAnsi" w:eastAsia="Times New Roman" w:hAnsiTheme="minorHAnsi" w:cstheme="minorHAnsi"/>
                <w:noProof/>
                <w:color w:val="000000"/>
              </w:rPr>
              <w:t>Celebración</w:t>
            </w:r>
            <w:r w:rsidRPr="00796C83">
              <w:rPr>
                <w:rFonts w:asciiTheme="minorHAnsi" w:hAnsiTheme="minorHAnsi"/>
                <w:noProof/>
                <w:color w:val="000000"/>
              </w:rPr>
              <w:t xml:space="preserve"> de la COP15</w:t>
            </w:r>
          </w:p>
        </w:tc>
      </w:tr>
    </w:tbl>
    <w:p w14:paraId="65898FCB" w14:textId="6F05DBE3" w:rsidR="009422E2" w:rsidRPr="00796C83" w:rsidRDefault="009422E2" w:rsidP="00DD3103">
      <w:pPr>
        <w:pStyle w:val="NoSpacing"/>
        <w:ind w:left="0" w:firstLine="0"/>
        <w:rPr>
          <w:noProof/>
        </w:rPr>
      </w:pPr>
    </w:p>
    <w:p w14:paraId="4ED17E89" w14:textId="77777777" w:rsidR="00DD3103" w:rsidRPr="00796C83" w:rsidRDefault="00DD3103" w:rsidP="00DD3103">
      <w:pPr>
        <w:pStyle w:val="NoSpacing"/>
        <w:ind w:left="0" w:firstLine="0"/>
        <w:rPr>
          <w:noProof/>
        </w:rPr>
      </w:pPr>
    </w:p>
    <w:p w14:paraId="43ED652F" w14:textId="3761B51D" w:rsidR="00DD3103" w:rsidRPr="00796C83" w:rsidRDefault="00DD3103" w:rsidP="00DD3103">
      <w:pPr>
        <w:pStyle w:val="NoSpacing"/>
        <w:rPr>
          <w:noProof/>
        </w:rPr>
      </w:pPr>
      <w:r w:rsidRPr="00796C83">
        <w:rPr>
          <w:noProof/>
        </w:rPr>
        <w:t>4.</w:t>
      </w:r>
      <w:r w:rsidRPr="00796C83">
        <w:rPr>
          <w:noProof/>
        </w:rPr>
        <w:tab/>
        <w:t xml:space="preserve">En octubre de 2023, a través de la Nota Diplomática 2023/9, la Secretaría informó sobre las fechas de la COP15 y </w:t>
      </w:r>
      <w:r w:rsidR="0082529B" w:rsidRPr="00796C83">
        <w:rPr>
          <w:noProof/>
        </w:rPr>
        <w:t>presentó</w:t>
      </w:r>
      <w:r w:rsidR="00C84BA5" w:rsidRPr="00796C83">
        <w:rPr>
          <w:noProof/>
        </w:rPr>
        <w:t xml:space="preserve"> </w:t>
      </w:r>
      <w:r w:rsidRPr="00796C83">
        <w:rPr>
          <w:noProof/>
        </w:rPr>
        <w:t xml:space="preserve">el calendario indicativo que figura en el cuadro 1 </w:t>
      </w:r>
      <w:r w:rsidR="00C84BA5" w:rsidRPr="00796C83">
        <w:rPr>
          <w:noProof/>
        </w:rPr>
        <w:t>(véase arriba)</w:t>
      </w:r>
      <w:r w:rsidRPr="00796C83">
        <w:rPr>
          <w:noProof/>
        </w:rPr>
        <w:t xml:space="preserve">. </w:t>
      </w:r>
      <w:r w:rsidR="00FD4ED3" w:rsidRPr="00796C83">
        <w:rPr>
          <w:noProof/>
        </w:rPr>
        <w:t xml:space="preserve">Durante </w:t>
      </w:r>
      <w:r w:rsidR="00F92DB3" w:rsidRPr="00796C83">
        <w:rPr>
          <w:noProof/>
        </w:rPr>
        <w:t>la</w:t>
      </w:r>
      <w:r w:rsidR="00FD4ED3" w:rsidRPr="00796C83">
        <w:rPr>
          <w:noProof/>
        </w:rPr>
        <w:t xml:space="preserve"> reunión SC63, </w:t>
      </w:r>
      <w:r w:rsidR="00F92DB3" w:rsidRPr="00796C83">
        <w:rPr>
          <w:noProof/>
        </w:rPr>
        <w:t xml:space="preserve">el </w:t>
      </w:r>
      <w:r w:rsidR="00C84BA5" w:rsidRPr="00796C83">
        <w:rPr>
          <w:noProof/>
        </w:rPr>
        <w:t xml:space="preserve">Comité Permanente </w:t>
      </w:r>
      <w:r w:rsidR="00FD4ED3" w:rsidRPr="00796C83">
        <w:rPr>
          <w:noProof/>
        </w:rPr>
        <w:t>aprobará</w:t>
      </w:r>
      <w:r w:rsidR="00A923BD" w:rsidRPr="00796C83">
        <w:rPr>
          <w:noProof/>
        </w:rPr>
        <w:t xml:space="preserve"> </w:t>
      </w:r>
      <w:r w:rsidR="00FD4ED3" w:rsidRPr="00796C83">
        <w:rPr>
          <w:noProof/>
        </w:rPr>
        <w:t>las fechas en las que se celebrará</w:t>
      </w:r>
      <w:r w:rsidR="00A923BD" w:rsidRPr="00796C83">
        <w:rPr>
          <w:noProof/>
        </w:rPr>
        <w:t xml:space="preserve"> la reunión SC64</w:t>
      </w:r>
      <w:r w:rsidR="00FD4ED3" w:rsidRPr="00796C83">
        <w:rPr>
          <w:noProof/>
        </w:rPr>
        <w:t>. Luego,</w:t>
      </w:r>
      <w:r w:rsidR="00C84BA5" w:rsidRPr="00796C83">
        <w:rPr>
          <w:noProof/>
        </w:rPr>
        <w:t xml:space="preserve"> la Secretaría notificará</w:t>
      </w:r>
      <w:r w:rsidRPr="00796C83">
        <w:rPr>
          <w:noProof/>
        </w:rPr>
        <w:t xml:space="preserve"> a las Partes Contratantes </w:t>
      </w:r>
      <w:r w:rsidR="00C84BA5" w:rsidRPr="00796C83">
        <w:rPr>
          <w:noProof/>
        </w:rPr>
        <w:t xml:space="preserve">sobre </w:t>
      </w:r>
      <w:r w:rsidRPr="00796C83">
        <w:rPr>
          <w:noProof/>
        </w:rPr>
        <w:t xml:space="preserve">el plazo </w:t>
      </w:r>
      <w:r w:rsidR="00C84BA5" w:rsidRPr="00796C83">
        <w:rPr>
          <w:noProof/>
        </w:rPr>
        <w:t>concreto</w:t>
      </w:r>
      <w:r w:rsidRPr="00796C83">
        <w:rPr>
          <w:noProof/>
        </w:rPr>
        <w:t xml:space="preserve"> para la presentación de proyectos de resolución.</w:t>
      </w:r>
    </w:p>
    <w:p w14:paraId="5FE41632" w14:textId="77777777" w:rsidR="004E7217" w:rsidRPr="00796C83" w:rsidRDefault="004E7217" w:rsidP="004E7217">
      <w:pPr>
        <w:pStyle w:val="NoSpacing"/>
        <w:rPr>
          <w:noProof/>
        </w:rPr>
      </w:pPr>
    </w:p>
    <w:p w14:paraId="47D168BB" w14:textId="153A0C64" w:rsidR="00EB58D7" w:rsidRPr="00796C83" w:rsidRDefault="00EB58D7" w:rsidP="00EB58D7">
      <w:pPr>
        <w:pStyle w:val="NoSpacing"/>
        <w:keepNext/>
        <w:rPr>
          <w:b/>
          <w:bCs/>
          <w:noProof/>
        </w:rPr>
      </w:pPr>
      <w:r w:rsidRPr="00796C83">
        <w:rPr>
          <w:b/>
          <w:bCs/>
          <w:noProof/>
        </w:rPr>
        <w:t>Preparación y presentación de proyectos de resolución para la COP1</w:t>
      </w:r>
      <w:r w:rsidR="00FD4ED3" w:rsidRPr="00796C83">
        <w:rPr>
          <w:b/>
          <w:bCs/>
          <w:noProof/>
        </w:rPr>
        <w:t>5</w:t>
      </w:r>
    </w:p>
    <w:p w14:paraId="47ABA17A" w14:textId="77777777" w:rsidR="00EB58D7" w:rsidRPr="00796C83" w:rsidRDefault="00EB58D7" w:rsidP="00EB58D7">
      <w:pPr>
        <w:pStyle w:val="NoSpacing"/>
        <w:rPr>
          <w:noProof/>
        </w:rPr>
      </w:pPr>
    </w:p>
    <w:p w14:paraId="398296D7" w14:textId="0130567D" w:rsidR="00EB58D7" w:rsidRPr="00796C83" w:rsidRDefault="00EB58D7" w:rsidP="00EB58D7">
      <w:pPr>
        <w:pStyle w:val="NoSpacing"/>
        <w:rPr>
          <w:noProof/>
        </w:rPr>
      </w:pPr>
      <w:r w:rsidRPr="00796C83">
        <w:rPr>
          <w:noProof/>
        </w:rPr>
        <w:t>5.</w:t>
      </w:r>
      <w:r w:rsidRPr="00796C83">
        <w:rPr>
          <w:noProof/>
        </w:rPr>
        <w:tab/>
        <w:t xml:space="preserve">La Secretaría ha preparado orientaciones destinadas a las Partes Contratantes sobre la </w:t>
      </w:r>
      <w:r w:rsidR="00FD4ED3" w:rsidRPr="00796C83">
        <w:rPr>
          <w:noProof/>
        </w:rPr>
        <w:t>elabo</w:t>
      </w:r>
      <w:r w:rsidRPr="00796C83">
        <w:rPr>
          <w:noProof/>
        </w:rPr>
        <w:t>ración y presentación de proyectos de resolución y otros documentos para la COP1</w:t>
      </w:r>
      <w:r w:rsidR="00FD4ED3" w:rsidRPr="00796C83">
        <w:rPr>
          <w:noProof/>
        </w:rPr>
        <w:t>5.</w:t>
      </w:r>
      <w:r w:rsidRPr="00796C83">
        <w:rPr>
          <w:noProof/>
        </w:rPr>
        <w:t xml:space="preserve"> Estas orientaciones</w:t>
      </w:r>
      <w:r w:rsidR="00FD4ED3" w:rsidRPr="00796C83">
        <w:rPr>
          <w:noProof/>
        </w:rPr>
        <w:t xml:space="preserve"> </w:t>
      </w:r>
      <w:r w:rsidRPr="00796C83">
        <w:rPr>
          <w:noProof/>
        </w:rPr>
        <w:t>figuran en el Anexo 1</w:t>
      </w:r>
      <w:r w:rsidR="00FD4ED3" w:rsidRPr="00796C83">
        <w:rPr>
          <w:noProof/>
        </w:rPr>
        <w:t xml:space="preserve"> del presente documento y</w:t>
      </w:r>
      <w:r w:rsidRPr="00796C83">
        <w:rPr>
          <w:noProof/>
        </w:rPr>
        <w:t xml:space="preserve"> </w:t>
      </w:r>
      <w:r w:rsidR="00FD4ED3" w:rsidRPr="00796C83">
        <w:rPr>
          <w:noProof/>
        </w:rPr>
        <w:t>se basan</w:t>
      </w:r>
      <w:r w:rsidRPr="00796C83">
        <w:rPr>
          <w:noProof/>
        </w:rPr>
        <w:t xml:space="preserve"> en las orientaciones preparadas para la COP1</w:t>
      </w:r>
      <w:r w:rsidR="00FD4ED3" w:rsidRPr="00796C83">
        <w:rPr>
          <w:noProof/>
        </w:rPr>
        <w:t>4</w:t>
      </w:r>
      <w:r w:rsidRPr="00796C83">
        <w:rPr>
          <w:noProof/>
        </w:rPr>
        <w:t xml:space="preserve">, pero </w:t>
      </w:r>
      <w:r w:rsidR="00FD4ED3" w:rsidRPr="00796C83">
        <w:rPr>
          <w:noProof/>
        </w:rPr>
        <w:t>se han</w:t>
      </w:r>
      <w:r w:rsidRPr="00796C83">
        <w:rPr>
          <w:noProof/>
        </w:rPr>
        <w:t xml:space="preserve"> actualizad</w:t>
      </w:r>
      <w:r w:rsidR="00FD4ED3" w:rsidRPr="00796C83">
        <w:rPr>
          <w:noProof/>
        </w:rPr>
        <w:t>o</w:t>
      </w:r>
      <w:r w:rsidR="00C563BA" w:rsidRPr="00796C83">
        <w:rPr>
          <w:noProof/>
        </w:rPr>
        <w:t xml:space="preserve"> para </w:t>
      </w:r>
      <w:r w:rsidR="00FD4ED3" w:rsidRPr="00796C83">
        <w:rPr>
          <w:noProof/>
        </w:rPr>
        <w:t>que reflejen</w:t>
      </w:r>
      <w:r w:rsidR="00C563BA" w:rsidRPr="00796C83">
        <w:rPr>
          <w:noProof/>
        </w:rPr>
        <w:t xml:space="preserve"> </w:t>
      </w:r>
      <w:r w:rsidR="00FD4ED3" w:rsidRPr="00796C83">
        <w:rPr>
          <w:noProof/>
        </w:rPr>
        <w:t>las instrucciones que se encuentran en las Resoluciones XIV.3 y XIV.5, mencionadas anteriormente.</w:t>
      </w:r>
    </w:p>
    <w:p w14:paraId="54BC3AB6" w14:textId="77777777" w:rsidR="00EB58D7" w:rsidRPr="00796C83" w:rsidRDefault="00EB58D7" w:rsidP="00EB58D7">
      <w:pPr>
        <w:pStyle w:val="NoSpacing"/>
        <w:rPr>
          <w:noProof/>
        </w:rPr>
      </w:pPr>
    </w:p>
    <w:p w14:paraId="02B52FD2" w14:textId="7BF82B94" w:rsidR="00FB257B" w:rsidRPr="00CD0D4E" w:rsidRDefault="00596B13" w:rsidP="00CD0D4E">
      <w:pPr>
        <w:pStyle w:val="NoSpacing"/>
        <w:keepNext/>
        <w:rPr>
          <w:i/>
          <w:iCs/>
          <w:noProof/>
          <w:u w:val="single"/>
        </w:rPr>
      </w:pPr>
      <w:r w:rsidRPr="00CD0D4E">
        <w:rPr>
          <w:i/>
          <w:iCs/>
          <w:noProof/>
          <w:u w:val="single"/>
        </w:rPr>
        <w:t>Función de la Secretaría en la preparación de proyectos de resolución</w:t>
      </w:r>
    </w:p>
    <w:p w14:paraId="110D5C6F" w14:textId="77777777" w:rsidR="00596B13" w:rsidRPr="00796C83" w:rsidRDefault="00596B13" w:rsidP="00CD0D4E">
      <w:pPr>
        <w:pStyle w:val="NoSpacing"/>
        <w:keepNext/>
        <w:rPr>
          <w:noProof/>
        </w:rPr>
      </w:pPr>
    </w:p>
    <w:p w14:paraId="53E6BBD5" w14:textId="7054FD6A" w:rsidR="00FB257B" w:rsidRPr="00796C83" w:rsidRDefault="00EB58D7" w:rsidP="002275FA">
      <w:pPr>
        <w:pStyle w:val="NoSpacing"/>
        <w:rPr>
          <w:noProof/>
        </w:rPr>
      </w:pPr>
      <w:r w:rsidRPr="00796C83">
        <w:rPr>
          <w:noProof/>
        </w:rPr>
        <w:t>6</w:t>
      </w:r>
      <w:r w:rsidR="00C41160" w:rsidRPr="00796C83">
        <w:rPr>
          <w:noProof/>
        </w:rPr>
        <w:t>.</w:t>
      </w:r>
      <w:r w:rsidR="00C41160" w:rsidRPr="00796C83">
        <w:rPr>
          <w:noProof/>
        </w:rPr>
        <w:tab/>
      </w:r>
      <w:r w:rsidR="00FB257B" w:rsidRPr="00796C83">
        <w:rPr>
          <w:noProof/>
        </w:rPr>
        <w:t>El párrafo 10 de la Resolución XIV.3:</w:t>
      </w:r>
    </w:p>
    <w:p w14:paraId="5DA35072" w14:textId="77777777" w:rsidR="00FB257B" w:rsidRPr="00796C83" w:rsidRDefault="00FB257B" w:rsidP="002275FA">
      <w:pPr>
        <w:pStyle w:val="NoSpacing"/>
        <w:rPr>
          <w:noProof/>
        </w:rPr>
      </w:pPr>
    </w:p>
    <w:p w14:paraId="0C422091" w14:textId="56BC094E" w:rsidR="00FB257B" w:rsidRPr="00796C83" w:rsidRDefault="00FB257B" w:rsidP="00F30078">
      <w:pPr>
        <w:ind w:left="721" w:right="16" w:hanging="1"/>
        <w:rPr>
          <w:i/>
          <w:iCs/>
          <w:noProof/>
        </w:rPr>
      </w:pPr>
      <w:r w:rsidRPr="00796C83">
        <w:rPr>
          <w:rFonts w:asciiTheme="minorHAnsi" w:hAnsiTheme="minorHAnsi"/>
          <w:i/>
          <w:iCs/>
          <w:noProof/>
        </w:rPr>
        <w:t>ALIENTA</w:t>
      </w:r>
      <w:r w:rsidRPr="00796C83">
        <w:rPr>
          <w:noProof/>
        </w:rPr>
        <w:t xml:space="preserve"> </w:t>
      </w:r>
      <w:r w:rsidRPr="00796C83">
        <w:rPr>
          <w:i/>
          <w:iCs/>
          <w:noProof/>
        </w:rPr>
        <w:t>a la Secretaría a que preste apoyo administrativo a las Partes Contratantes, previa solicitud de estas, en la preparación de los proyectos de resolución, con el fin de proporcionar un asesoramiento transparente y oportuno en relación con el costo de la aplicación de los proyectos de resolución propuestos, y mejorar las referencias cruzadas, evitar la duplicación y apoyar la consolidación de los proyectos de resolución en el futuro;</w:t>
      </w:r>
    </w:p>
    <w:p w14:paraId="0DBE0F69" w14:textId="77777777" w:rsidR="002275FA" w:rsidRPr="00796C83" w:rsidRDefault="002275FA" w:rsidP="00FB257B">
      <w:pPr>
        <w:ind w:left="0" w:firstLine="0"/>
        <w:rPr>
          <w:rFonts w:cs="Arial"/>
          <w:noProof/>
        </w:rPr>
      </w:pPr>
    </w:p>
    <w:p w14:paraId="1EC52ACE" w14:textId="77777777" w:rsidR="007C3747" w:rsidRPr="00796C83" w:rsidRDefault="00E9254C" w:rsidP="007C3747">
      <w:pPr>
        <w:rPr>
          <w:noProof/>
        </w:rPr>
      </w:pPr>
      <w:r w:rsidRPr="00796C83">
        <w:rPr>
          <w:noProof/>
        </w:rPr>
        <w:t>7</w:t>
      </w:r>
      <w:r w:rsidR="00C41160" w:rsidRPr="00796C83">
        <w:rPr>
          <w:noProof/>
        </w:rPr>
        <w:t>.</w:t>
      </w:r>
      <w:r w:rsidR="00C41160" w:rsidRPr="00796C83">
        <w:rPr>
          <w:noProof/>
        </w:rPr>
        <w:tab/>
      </w:r>
      <w:r w:rsidR="007C3747" w:rsidRPr="00796C83">
        <w:rPr>
          <w:noProof/>
        </w:rPr>
        <w:t xml:space="preserve">A </w:t>
      </w:r>
      <w:r w:rsidR="00BA27B6" w:rsidRPr="00796C83">
        <w:rPr>
          <w:noProof/>
        </w:rPr>
        <w:t xml:space="preserve">petición del proponente o los proponentes de </w:t>
      </w:r>
      <w:r w:rsidR="007C3747" w:rsidRPr="00796C83">
        <w:rPr>
          <w:noProof/>
        </w:rPr>
        <w:t>los</w:t>
      </w:r>
      <w:r w:rsidR="00BA27B6" w:rsidRPr="00796C83">
        <w:rPr>
          <w:noProof/>
        </w:rPr>
        <w:t xml:space="preserve"> proyecto</w:t>
      </w:r>
      <w:r w:rsidR="007C3747" w:rsidRPr="00796C83">
        <w:rPr>
          <w:noProof/>
        </w:rPr>
        <w:t>s</w:t>
      </w:r>
      <w:r w:rsidR="00BA27B6" w:rsidRPr="00796C83">
        <w:rPr>
          <w:noProof/>
        </w:rPr>
        <w:t xml:space="preserve"> de resolución, </w:t>
      </w:r>
      <w:r w:rsidR="007C3747" w:rsidRPr="00796C83">
        <w:rPr>
          <w:noProof/>
        </w:rPr>
        <w:t>la Secretaría podrá prestar</w:t>
      </w:r>
      <w:r w:rsidR="00BA27B6" w:rsidRPr="00796C83">
        <w:rPr>
          <w:noProof/>
        </w:rPr>
        <w:t xml:space="preserve"> </w:t>
      </w:r>
      <w:r w:rsidR="007C3747" w:rsidRPr="00796C83">
        <w:rPr>
          <w:noProof/>
        </w:rPr>
        <w:t>cierto</w:t>
      </w:r>
      <w:r w:rsidR="00BA27B6" w:rsidRPr="00796C83">
        <w:rPr>
          <w:noProof/>
        </w:rPr>
        <w:t xml:space="preserve"> apoyo técnico </w:t>
      </w:r>
      <w:r w:rsidR="007C3747" w:rsidRPr="00796C83">
        <w:rPr>
          <w:noProof/>
        </w:rPr>
        <w:t>tras</w:t>
      </w:r>
      <w:r w:rsidR="00BA27B6" w:rsidRPr="00796C83">
        <w:rPr>
          <w:noProof/>
        </w:rPr>
        <w:t xml:space="preserve"> </w:t>
      </w:r>
      <w:r w:rsidR="007C3747" w:rsidRPr="00796C83">
        <w:rPr>
          <w:noProof/>
        </w:rPr>
        <w:t>su</w:t>
      </w:r>
      <w:r w:rsidR="00BA27B6" w:rsidRPr="00796C83">
        <w:rPr>
          <w:noProof/>
        </w:rPr>
        <w:t xml:space="preserve"> presentación, por ejemplo, para destacar </w:t>
      </w:r>
      <w:r w:rsidR="007C3747" w:rsidRPr="00796C83">
        <w:rPr>
          <w:noProof/>
        </w:rPr>
        <w:t>cuestiones relacionadas con errores de</w:t>
      </w:r>
      <w:r w:rsidR="00BA27B6" w:rsidRPr="00796C83">
        <w:rPr>
          <w:noProof/>
        </w:rPr>
        <w:t xml:space="preserve"> formato, </w:t>
      </w:r>
      <w:r w:rsidR="007C3747" w:rsidRPr="00796C83">
        <w:rPr>
          <w:noProof/>
        </w:rPr>
        <w:t>ambigüedades en el</w:t>
      </w:r>
      <w:r w:rsidR="00BA27B6" w:rsidRPr="00796C83">
        <w:rPr>
          <w:noProof/>
        </w:rPr>
        <w:t xml:space="preserve"> lenguaje</w:t>
      </w:r>
      <w:r w:rsidR="007C3747" w:rsidRPr="00796C83">
        <w:rPr>
          <w:noProof/>
        </w:rPr>
        <w:t xml:space="preserve"> utilizado</w:t>
      </w:r>
      <w:r w:rsidR="00BA27B6" w:rsidRPr="00796C83">
        <w:rPr>
          <w:noProof/>
        </w:rPr>
        <w:t xml:space="preserve"> o </w:t>
      </w:r>
      <w:r w:rsidR="007C3747" w:rsidRPr="00796C83">
        <w:rPr>
          <w:noProof/>
        </w:rPr>
        <w:t>errores en el</w:t>
      </w:r>
      <w:r w:rsidR="00BA27B6" w:rsidRPr="00796C83">
        <w:rPr>
          <w:noProof/>
        </w:rPr>
        <w:t xml:space="preserve"> uso de la terminología, y </w:t>
      </w:r>
      <w:r w:rsidR="007C3747" w:rsidRPr="00796C83">
        <w:rPr>
          <w:noProof/>
        </w:rPr>
        <w:t xml:space="preserve">podrá </w:t>
      </w:r>
      <w:r w:rsidR="00BA27B6" w:rsidRPr="00796C83">
        <w:rPr>
          <w:noProof/>
        </w:rPr>
        <w:t xml:space="preserve">sugerir </w:t>
      </w:r>
      <w:r w:rsidR="007C3747" w:rsidRPr="00796C83">
        <w:rPr>
          <w:noProof/>
        </w:rPr>
        <w:t xml:space="preserve">maneras para </w:t>
      </w:r>
      <w:r w:rsidR="00BA27B6" w:rsidRPr="00796C83">
        <w:rPr>
          <w:noProof/>
        </w:rPr>
        <w:t>resolver estos problemas</w:t>
      </w:r>
      <w:r w:rsidR="007C3747" w:rsidRPr="00796C83">
        <w:rPr>
          <w:noProof/>
        </w:rPr>
        <w:t xml:space="preserve"> con facilidad</w:t>
      </w:r>
      <w:r w:rsidR="00BA27B6" w:rsidRPr="00796C83">
        <w:rPr>
          <w:noProof/>
        </w:rPr>
        <w:t>.</w:t>
      </w:r>
    </w:p>
    <w:p w14:paraId="14641335" w14:textId="77777777" w:rsidR="00DD5651" w:rsidRPr="00796C83" w:rsidRDefault="00DD5651" w:rsidP="00DD5651">
      <w:pPr>
        <w:ind w:left="0" w:firstLine="0"/>
        <w:rPr>
          <w:rFonts w:cs="Arial"/>
          <w:noProof/>
        </w:rPr>
      </w:pPr>
    </w:p>
    <w:p w14:paraId="65EB569B" w14:textId="74AC18EF" w:rsidR="008A5567" w:rsidRPr="00796C83" w:rsidRDefault="001248CC" w:rsidP="002275FA">
      <w:pPr>
        <w:rPr>
          <w:noProof/>
        </w:rPr>
      </w:pPr>
      <w:r w:rsidRPr="00796C83">
        <w:rPr>
          <w:noProof/>
        </w:rPr>
        <w:t>8</w:t>
      </w:r>
      <w:r w:rsidR="00C41160" w:rsidRPr="00796C83">
        <w:rPr>
          <w:noProof/>
        </w:rPr>
        <w:t>.</w:t>
      </w:r>
      <w:r w:rsidR="00C41160" w:rsidRPr="00796C83">
        <w:rPr>
          <w:noProof/>
        </w:rPr>
        <w:tab/>
      </w:r>
      <w:r w:rsidR="008A5567" w:rsidRPr="00796C83">
        <w:rPr>
          <w:noProof/>
        </w:rPr>
        <w:t xml:space="preserve">La Secretaría </w:t>
      </w:r>
      <w:r w:rsidR="00206FFD" w:rsidRPr="00796C83">
        <w:rPr>
          <w:noProof/>
        </w:rPr>
        <w:t xml:space="preserve">también preparará </w:t>
      </w:r>
      <w:r w:rsidR="008A5567" w:rsidRPr="00796C83">
        <w:rPr>
          <w:noProof/>
        </w:rPr>
        <w:t>notas que acompañan cada proyecto de resolución</w:t>
      </w:r>
      <w:r w:rsidR="00206FFD" w:rsidRPr="00796C83">
        <w:rPr>
          <w:noProof/>
        </w:rPr>
        <w:t xml:space="preserve">. Estas notas </w:t>
      </w:r>
      <w:r w:rsidR="00B44396" w:rsidRPr="00796C83">
        <w:rPr>
          <w:noProof/>
        </w:rPr>
        <w:t xml:space="preserve">de presentación incluirán información sobre posible </w:t>
      </w:r>
      <w:r w:rsidR="008A5567" w:rsidRPr="00796C83">
        <w:rPr>
          <w:noProof/>
        </w:rPr>
        <w:t>solapamiento con otros proyectos de resolución</w:t>
      </w:r>
      <w:r w:rsidR="00B44396" w:rsidRPr="00796C83">
        <w:rPr>
          <w:noProof/>
        </w:rPr>
        <w:t>, inconsistencias y errores técnicos que la Secretaría considera que deben señalarse a la atención de las Partes Contratantes</w:t>
      </w:r>
      <w:r w:rsidR="00E1063E" w:rsidRPr="00796C83">
        <w:rPr>
          <w:noProof/>
        </w:rPr>
        <w:t>.</w:t>
      </w:r>
    </w:p>
    <w:p w14:paraId="449A7D3D" w14:textId="77777777" w:rsidR="008A5567" w:rsidRPr="00796C83" w:rsidRDefault="008A5567" w:rsidP="002275FA">
      <w:pPr>
        <w:rPr>
          <w:noProof/>
        </w:rPr>
      </w:pPr>
    </w:p>
    <w:p w14:paraId="5E419E3C" w14:textId="2E2DAEE8" w:rsidR="00461085" w:rsidRPr="00796C83" w:rsidRDefault="001248CC" w:rsidP="002275FA">
      <w:pPr>
        <w:rPr>
          <w:rFonts w:cs="Arial"/>
          <w:noProof/>
        </w:rPr>
      </w:pPr>
      <w:r w:rsidRPr="00796C83">
        <w:rPr>
          <w:noProof/>
        </w:rPr>
        <w:t>9</w:t>
      </w:r>
      <w:r w:rsidR="008A5567" w:rsidRPr="00796C83">
        <w:rPr>
          <w:noProof/>
        </w:rPr>
        <w:t>.</w:t>
      </w:r>
      <w:r w:rsidR="008A5567" w:rsidRPr="00796C83">
        <w:rPr>
          <w:noProof/>
        </w:rPr>
        <w:tab/>
      </w:r>
      <w:r w:rsidR="00C41160" w:rsidRPr="00796C83">
        <w:rPr>
          <w:noProof/>
        </w:rPr>
        <w:t>Es importante recordar que</w:t>
      </w:r>
      <w:r w:rsidR="000B1692" w:rsidRPr="00796C83">
        <w:rPr>
          <w:noProof/>
        </w:rPr>
        <w:t xml:space="preserve">, </w:t>
      </w:r>
      <w:r w:rsidR="00E9254C" w:rsidRPr="00796C83">
        <w:rPr>
          <w:noProof/>
        </w:rPr>
        <w:t>después de la reunión SC</w:t>
      </w:r>
      <w:r w:rsidRPr="00796C83">
        <w:rPr>
          <w:noProof/>
        </w:rPr>
        <w:t>64</w:t>
      </w:r>
      <w:r w:rsidR="00E9254C" w:rsidRPr="00796C83">
        <w:rPr>
          <w:noProof/>
        </w:rPr>
        <w:t xml:space="preserve">, </w:t>
      </w:r>
      <w:r w:rsidR="00C41160" w:rsidRPr="00796C83">
        <w:rPr>
          <w:noProof/>
        </w:rPr>
        <w:t xml:space="preserve">de conformidad con el artículo 34.3 del </w:t>
      </w:r>
      <w:r w:rsidR="000B1692" w:rsidRPr="00796C83">
        <w:rPr>
          <w:noProof/>
        </w:rPr>
        <w:t>r</w:t>
      </w:r>
      <w:r w:rsidR="00C41160" w:rsidRPr="00796C83">
        <w:rPr>
          <w:noProof/>
        </w:rPr>
        <w:t>eglamento de la Conferencia de las Partes Contratantes:</w:t>
      </w:r>
    </w:p>
    <w:p w14:paraId="166056AA" w14:textId="77777777" w:rsidR="00461085" w:rsidRPr="00796C83" w:rsidRDefault="00461085" w:rsidP="002275FA">
      <w:pPr>
        <w:rPr>
          <w:rFonts w:cs="Arial"/>
          <w:noProof/>
        </w:rPr>
      </w:pPr>
    </w:p>
    <w:p w14:paraId="08E97CB2" w14:textId="77777777" w:rsidR="00461085" w:rsidRPr="00796C83" w:rsidRDefault="00461085" w:rsidP="009422E2">
      <w:pPr>
        <w:ind w:left="851" w:firstLine="0"/>
        <w:rPr>
          <w:rFonts w:asciiTheme="minorHAnsi" w:hAnsiTheme="minorHAnsi"/>
          <w:i/>
          <w:iCs/>
          <w:noProof/>
        </w:rPr>
      </w:pPr>
      <w:r w:rsidRPr="00796C83">
        <w:rPr>
          <w:rFonts w:asciiTheme="minorHAnsi" w:hAnsiTheme="minorHAnsi"/>
          <w:i/>
          <w:iCs/>
          <w:noProof/>
        </w:rPr>
        <w:t>La Secretaría revisará y finalizará las propuestas, a partir de las recomendaciones del Comité Permanente, para distribuirlas a las Partes Contratantes en los idiomas oficiales al menos tres meses antes de la apertura de la Conferencia de las Partes, según se establece en el artículo 10.</w:t>
      </w:r>
    </w:p>
    <w:p w14:paraId="00617057" w14:textId="77777777" w:rsidR="00596B13" w:rsidRPr="00796C83" w:rsidRDefault="00596B13" w:rsidP="002275FA">
      <w:pPr>
        <w:rPr>
          <w:rFonts w:cs="Arial"/>
          <w:noProof/>
        </w:rPr>
      </w:pPr>
    </w:p>
    <w:p w14:paraId="351F6B82" w14:textId="24E666EC" w:rsidR="00DB7963" w:rsidRPr="00796C83" w:rsidRDefault="00C41160" w:rsidP="002275FA">
      <w:pPr>
        <w:rPr>
          <w:rFonts w:asciiTheme="minorHAnsi" w:hAnsiTheme="minorHAnsi"/>
          <w:iCs/>
          <w:noProof/>
        </w:rPr>
      </w:pPr>
      <w:r w:rsidRPr="00796C83">
        <w:rPr>
          <w:noProof/>
        </w:rPr>
        <w:t>1</w:t>
      </w:r>
      <w:r w:rsidR="001248CC" w:rsidRPr="00796C83">
        <w:rPr>
          <w:noProof/>
        </w:rPr>
        <w:t>0</w:t>
      </w:r>
      <w:r w:rsidRPr="00796C83">
        <w:rPr>
          <w:noProof/>
        </w:rPr>
        <w:t xml:space="preserve">. </w:t>
      </w:r>
      <w:r w:rsidRPr="00796C83">
        <w:rPr>
          <w:noProof/>
        </w:rPr>
        <w:tab/>
        <w:t>Habida cuenta de las disposiciones del artículo 34.3, el Comité Permanente, en su reunión SC</w:t>
      </w:r>
      <w:r w:rsidR="001248CC" w:rsidRPr="00796C83">
        <w:rPr>
          <w:noProof/>
        </w:rPr>
        <w:t>64</w:t>
      </w:r>
      <w:r w:rsidRPr="00796C83">
        <w:rPr>
          <w:noProof/>
        </w:rPr>
        <w:t>, estará en condiciones de dar instrucciones específicas a la Secretaría sobre</w:t>
      </w:r>
      <w:r w:rsidR="00E9254C" w:rsidRPr="00796C83">
        <w:rPr>
          <w:noProof/>
        </w:rPr>
        <w:t xml:space="preserve"> las revisiones de</w:t>
      </w:r>
      <w:r w:rsidRPr="00796C83">
        <w:rPr>
          <w:noProof/>
        </w:rPr>
        <w:t xml:space="preserve"> cada proyecto de resolución que se vaya a presentar a la COP1</w:t>
      </w:r>
      <w:r w:rsidR="00E4788E" w:rsidRPr="00796C83">
        <w:rPr>
          <w:noProof/>
        </w:rPr>
        <w:t>5</w:t>
      </w:r>
      <w:r w:rsidRPr="00796C83">
        <w:rPr>
          <w:noProof/>
        </w:rPr>
        <w:t xml:space="preserve">, que pueden incluir la colaboración con la Parte </w:t>
      </w:r>
      <w:r w:rsidR="00E9254C" w:rsidRPr="00796C83">
        <w:rPr>
          <w:noProof/>
        </w:rPr>
        <w:t xml:space="preserve">Contratante </w:t>
      </w:r>
      <w:r w:rsidRPr="00796C83">
        <w:rPr>
          <w:noProof/>
        </w:rPr>
        <w:t>proponente.</w:t>
      </w:r>
    </w:p>
    <w:p w14:paraId="21B0E737" w14:textId="77777777" w:rsidR="008240B9" w:rsidRPr="00796C83" w:rsidRDefault="008240B9" w:rsidP="001248CC">
      <w:pPr>
        <w:ind w:left="0" w:firstLine="0"/>
        <w:rPr>
          <w:rFonts w:cs="Arial"/>
          <w:noProof/>
        </w:rPr>
      </w:pPr>
    </w:p>
    <w:p w14:paraId="1AA2ECF1" w14:textId="7FB7CE7C" w:rsidR="008240B9" w:rsidRPr="00796C83" w:rsidRDefault="001248CC" w:rsidP="0028419A">
      <w:pPr>
        <w:rPr>
          <w:noProof/>
        </w:rPr>
      </w:pPr>
      <w:r w:rsidRPr="00796C83">
        <w:rPr>
          <w:noProof/>
        </w:rPr>
        <w:t>11.</w:t>
      </w:r>
      <w:r w:rsidRPr="00796C83">
        <w:rPr>
          <w:noProof/>
        </w:rPr>
        <w:tab/>
      </w:r>
      <w:r w:rsidR="00D20478" w:rsidRPr="00796C83">
        <w:rPr>
          <w:noProof/>
        </w:rPr>
        <w:t>Algun</w:t>
      </w:r>
      <w:r w:rsidRPr="00796C83">
        <w:rPr>
          <w:noProof/>
        </w:rPr>
        <w:t>as resolucione</w:t>
      </w:r>
      <w:r w:rsidR="00D20478" w:rsidRPr="00796C83">
        <w:rPr>
          <w:noProof/>
        </w:rPr>
        <w:t xml:space="preserve">s </w:t>
      </w:r>
      <w:r w:rsidR="008A5567" w:rsidRPr="00796C83">
        <w:rPr>
          <w:noProof/>
        </w:rPr>
        <w:t>son</w:t>
      </w:r>
      <w:r w:rsidR="00D20478" w:rsidRPr="00796C83">
        <w:rPr>
          <w:noProof/>
        </w:rPr>
        <w:t xml:space="preserve"> examinad</w:t>
      </w:r>
      <w:r w:rsidRPr="00796C83">
        <w:rPr>
          <w:noProof/>
        </w:rPr>
        <w:t>a</w:t>
      </w:r>
      <w:r w:rsidR="00D20478" w:rsidRPr="00796C83">
        <w:rPr>
          <w:noProof/>
        </w:rPr>
        <w:t>s por el Grupo de Examen Científico y Técnico</w:t>
      </w:r>
      <w:r w:rsidR="008A5567" w:rsidRPr="00796C83">
        <w:rPr>
          <w:noProof/>
        </w:rPr>
        <w:t xml:space="preserve">, según se contempla en </w:t>
      </w:r>
      <w:r w:rsidR="007847AC" w:rsidRPr="00796C83">
        <w:rPr>
          <w:noProof/>
        </w:rPr>
        <w:t>los</w:t>
      </w:r>
      <w:r w:rsidR="008A5567" w:rsidRPr="00796C83">
        <w:rPr>
          <w:noProof/>
        </w:rPr>
        <w:t xml:space="preserve"> párrafo</w:t>
      </w:r>
      <w:r w:rsidR="007847AC" w:rsidRPr="00796C83">
        <w:rPr>
          <w:noProof/>
        </w:rPr>
        <w:t>s 12 (iii) y 59</w:t>
      </w:r>
      <w:r w:rsidR="008A5567" w:rsidRPr="00796C83">
        <w:rPr>
          <w:noProof/>
        </w:rPr>
        <w:t xml:space="preserve"> </w:t>
      </w:r>
      <w:r w:rsidRPr="00796C83">
        <w:rPr>
          <w:noProof/>
        </w:rPr>
        <w:t xml:space="preserve">del Anexo 1 </w:t>
      </w:r>
      <w:r w:rsidR="0059561A" w:rsidRPr="00796C83">
        <w:rPr>
          <w:noProof/>
        </w:rPr>
        <w:t>de</w:t>
      </w:r>
      <w:r w:rsidRPr="00796C83">
        <w:rPr>
          <w:noProof/>
        </w:rPr>
        <w:t xml:space="preserve"> la Resolución XII.5, </w:t>
      </w:r>
      <w:r w:rsidRPr="00796C83">
        <w:rPr>
          <w:i/>
          <w:iCs/>
          <w:noProof/>
        </w:rPr>
        <w:t>Nuevo marco para la provisión de asesoramiento y orientaciones de carácter científico y técnico a la Convención</w:t>
      </w:r>
      <w:r w:rsidR="00C41160" w:rsidRPr="00796C83">
        <w:rPr>
          <w:noProof/>
        </w:rPr>
        <w:t xml:space="preserve">.   </w:t>
      </w:r>
    </w:p>
    <w:p w14:paraId="7B4679D5" w14:textId="77777777" w:rsidR="004E7217" w:rsidRPr="00796C83" w:rsidRDefault="004E7217" w:rsidP="001248CC">
      <w:pPr>
        <w:pStyle w:val="NoSpacing"/>
        <w:ind w:left="0" w:firstLine="0"/>
        <w:rPr>
          <w:noProof/>
        </w:rPr>
      </w:pPr>
    </w:p>
    <w:p w14:paraId="59BCCDEC" w14:textId="3C00AAAD" w:rsidR="007855D7" w:rsidRPr="00796C83" w:rsidRDefault="007855D7" w:rsidP="007855D7">
      <w:pPr>
        <w:pStyle w:val="NoSpacing"/>
        <w:keepNext/>
        <w:rPr>
          <w:b/>
          <w:bCs/>
          <w:noProof/>
        </w:rPr>
      </w:pPr>
      <w:r w:rsidRPr="00796C83">
        <w:rPr>
          <w:b/>
          <w:bCs/>
          <w:noProof/>
        </w:rPr>
        <w:t>Examen de los proyectos de resolución y otros documentos en la COP1</w:t>
      </w:r>
      <w:r w:rsidR="001248CC" w:rsidRPr="00796C83">
        <w:rPr>
          <w:b/>
          <w:bCs/>
          <w:noProof/>
        </w:rPr>
        <w:t>5</w:t>
      </w:r>
    </w:p>
    <w:p w14:paraId="3B34C627" w14:textId="4D91D68A" w:rsidR="007855D7" w:rsidRPr="00796C83" w:rsidRDefault="007855D7" w:rsidP="004E7217">
      <w:pPr>
        <w:pStyle w:val="NoSpacing"/>
        <w:rPr>
          <w:noProof/>
        </w:rPr>
      </w:pPr>
    </w:p>
    <w:p w14:paraId="0EB57B4A" w14:textId="77777777" w:rsidR="005D10F3" w:rsidRPr="00796C83" w:rsidRDefault="00E23569" w:rsidP="005D10F3">
      <w:pPr>
        <w:pStyle w:val="NoSpacing"/>
        <w:rPr>
          <w:noProof/>
        </w:rPr>
      </w:pPr>
      <w:r w:rsidRPr="00796C83">
        <w:rPr>
          <w:noProof/>
        </w:rPr>
        <w:t>12.</w:t>
      </w:r>
      <w:r w:rsidRPr="00796C83">
        <w:rPr>
          <w:noProof/>
        </w:rPr>
        <w:tab/>
        <w:t xml:space="preserve">En la COP14, tras la aprobación por el Comité Permanente </w:t>
      </w:r>
      <w:r w:rsidR="005D10F3" w:rsidRPr="00796C83">
        <w:rPr>
          <w:noProof/>
        </w:rPr>
        <w:t>mediante</w:t>
      </w:r>
      <w:r w:rsidRPr="00796C83">
        <w:rPr>
          <w:noProof/>
        </w:rPr>
        <w:t xml:space="preserve"> la Decisión SC60-04, la Secretaría siguió </w:t>
      </w:r>
      <w:r w:rsidR="005D10F3" w:rsidRPr="00796C83">
        <w:rPr>
          <w:noProof/>
        </w:rPr>
        <w:t>las orientaciones</w:t>
      </w:r>
      <w:r w:rsidRPr="00796C83">
        <w:rPr>
          <w:noProof/>
        </w:rPr>
        <w:t xml:space="preserve"> </w:t>
      </w:r>
      <w:r w:rsidR="005D10F3" w:rsidRPr="00796C83">
        <w:rPr>
          <w:noProof/>
        </w:rPr>
        <w:t>que figuran</w:t>
      </w:r>
      <w:r w:rsidRPr="00796C83">
        <w:rPr>
          <w:noProof/>
        </w:rPr>
        <w:t xml:space="preserve"> en el Anexo 2 del documento SC60 Doc.4.2</w:t>
      </w:r>
      <w:r w:rsidR="005D10F3" w:rsidRPr="00796C83">
        <w:rPr>
          <w:noProof/>
        </w:rPr>
        <w:t>,</w:t>
      </w:r>
      <w:r w:rsidRPr="00796C83">
        <w:rPr>
          <w:noProof/>
        </w:rPr>
        <w:t xml:space="preserve"> </w:t>
      </w:r>
      <w:r w:rsidR="005D10F3" w:rsidRPr="00796C83">
        <w:rPr>
          <w:i/>
          <w:iCs/>
          <w:noProof/>
        </w:rPr>
        <w:t>Preparativos</w:t>
      </w:r>
      <w:r w:rsidRPr="00796C83">
        <w:rPr>
          <w:i/>
          <w:iCs/>
          <w:noProof/>
        </w:rPr>
        <w:t xml:space="preserve"> para la COP14: </w:t>
      </w:r>
      <w:r w:rsidR="005D10F3" w:rsidRPr="00796C83">
        <w:rPr>
          <w:i/>
          <w:iCs/>
          <w:noProof/>
        </w:rPr>
        <w:t xml:space="preserve">Orden y procedimiento para el examen de los proyectos de resolución, </w:t>
      </w:r>
      <w:r w:rsidR="005D10F3" w:rsidRPr="00796C83">
        <w:rPr>
          <w:noProof/>
        </w:rPr>
        <w:t>para apoyar el proceso de examen, modificación y aprobación de los proyectos de resolución</w:t>
      </w:r>
      <w:r w:rsidRPr="00796C83">
        <w:rPr>
          <w:noProof/>
        </w:rPr>
        <w:t xml:space="preserve">. </w:t>
      </w:r>
      <w:r w:rsidR="005D10F3" w:rsidRPr="00796C83">
        <w:rPr>
          <w:noProof/>
        </w:rPr>
        <w:t xml:space="preserve">La Secretaría propone que se siga este mismo procedimiento para la COP15, aplicando las mejoras logísticas que procedan. </w:t>
      </w:r>
    </w:p>
    <w:p w14:paraId="1E73334A" w14:textId="77777777" w:rsidR="00397753" w:rsidRPr="00796C83" w:rsidRDefault="00397753" w:rsidP="005D10F3">
      <w:pPr>
        <w:pStyle w:val="NoSpacing"/>
        <w:ind w:left="0" w:firstLine="0"/>
        <w:rPr>
          <w:noProof/>
        </w:rPr>
      </w:pPr>
    </w:p>
    <w:p w14:paraId="448367B0" w14:textId="25DBFBAB" w:rsidR="001F6249" w:rsidRPr="00796C83" w:rsidRDefault="001F6249">
      <w:pPr>
        <w:rPr>
          <w:rFonts w:cs="Arial"/>
          <w:noProof/>
        </w:rPr>
      </w:pPr>
      <w:r w:rsidRPr="00796C83">
        <w:rPr>
          <w:noProof/>
        </w:rPr>
        <w:br w:type="page"/>
      </w:r>
    </w:p>
    <w:p w14:paraId="5D4FF07C" w14:textId="77777777" w:rsidR="001F6249" w:rsidRPr="00796C83" w:rsidRDefault="001F6249" w:rsidP="001F6249">
      <w:pPr>
        <w:ind w:left="0" w:firstLine="0"/>
        <w:rPr>
          <w:b/>
          <w:noProof/>
          <w:sz w:val="24"/>
        </w:rPr>
      </w:pPr>
      <w:r w:rsidRPr="00796C83">
        <w:rPr>
          <w:b/>
          <w:noProof/>
          <w:sz w:val="24"/>
        </w:rPr>
        <w:lastRenderedPageBreak/>
        <w:t>Anexo 1</w:t>
      </w:r>
    </w:p>
    <w:p w14:paraId="5EC99AC3" w14:textId="35A020DE" w:rsidR="001F6249" w:rsidRPr="00796C83" w:rsidRDefault="001F6249" w:rsidP="001F6249">
      <w:pPr>
        <w:ind w:left="0" w:firstLine="0"/>
        <w:rPr>
          <w:b/>
          <w:noProof/>
          <w:sz w:val="24"/>
        </w:rPr>
      </w:pPr>
      <w:r w:rsidRPr="00796C83">
        <w:rPr>
          <w:b/>
          <w:noProof/>
          <w:sz w:val="24"/>
        </w:rPr>
        <w:t>Nota orientativa sobre la preparación de proyectos de resolución</w:t>
      </w:r>
    </w:p>
    <w:p w14:paraId="65AC241E" w14:textId="77777777" w:rsidR="001F6249" w:rsidRPr="00796C83" w:rsidRDefault="001F6249" w:rsidP="001F6249">
      <w:pPr>
        <w:ind w:left="0" w:firstLine="0"/>
        <w:rPr>
          <w:rFonts w:cs="Arial"/>
          <w:noProof/>
        </w:rPr>
      </w:pPr>
    </w:p>
    <w:p w14:paraId="17F27309" w14:textId="77777777" w:rsidR="001F6249" w:rsidRPr="00796C83" w:rsidRDefault="001F6249" w:rsidP="001F6249">
      <w:pPr>
        <w:ind w:left="0" w:firstLine="0"/>
        <w:rPr>
          <w:rFonts w:cs="Arial"/>
          <w:b/>
          <w:noProof/>
        </w:rPr>
      </w:pPr>
      <w:r w:rsidRPr="00796C83">
        <w:rPr>
          <w:b/>
          <w:noProof/>
        </w:rPr>
        <w:t>Procedimiento y calendario</w:t>
      </w:r>
    </w:p>
    <w:p w14:paraId="4B33D578" w14:textId="77777777" w:rsidR="001F6249" w:rsidRPr="00796C83" w:rsidRDefault="001F6249" w:rsidP="001F6249">
      <w:pPr>
        <w:ind w:left="0" w:firstLine="0"/>
        <w:rPr>
          <w:rFonts w:cs="Arial"/>
          <w:noProof/>
        </w:rPr>
      </w:pPr>
    </w:p>
    <w:p w14:paraId="1E913516" w14:textId="082FDFE6" w:rsidR="001F6249" w:rsidRPr="00796C83" w:rsidRDefault="001F6249" w:rsidP="001F6249">
      <w:pPr>
        <w:rPr>
          <w:noProof/>
          <w:color w:val="000000"/>
        </w:rPr>
      </w:pPr>
      <w:r w:rsidRPr="00796C83">
        <w:rPr>
          <w:noProof/>
          <w:color w:val="000000"/>
        </w:rPr>
        <w:t>1.</w:t>
      </w:r>
      <w:r w:rsidRPr="00796C83">
        <w:rPr>
          <w:noProof/>
          <w:color w:val="000000"/>
        </w:rPr>
        <w:tab/>
        <w:t>La 1</w:t>
      </w:r>
      <w:r w:rsidR="00DA75BD" w:rsidRPr="00796C83">
        <w:rPr>
          <w:noProof/>
          <w:color w:val="000000"/>
        </w:rPr>
        <w:t>5</w:t>
      </w:r>
      <w:r w:rsidRPr="00796C83">
        <w:rPr>
          <w:noProof/>
          <w:color w:val="000000"/>
          <w:vertAlign w:val="superscript"/>
        </w:rPr>
        <w:t>a</w:t>
      </w:r>
      <w:r w:rsidRPr="00796C83">
        <w:rPr>
          <w:noProof/>
          <w:color w:val="000000"/>
        </w:rPr>
        <w:t xml:space="preserve"> reunión de la Conferencia de las Partes Contratantes en la Convención de Ramsar sobre los Humedales (COP1</w:t>
      </w:r>
      <w:r w:rsidR="00DA75BD" w:rsidRPr="00796C83">
        <w:rPr>
          <w:noProof/>
          <w:color w:val="000000"/>
        </w:rPr>
        <w:t>5</w:t>
      </w:r>
      <w:r w:rsidRPr="00796C83">
        <w:rPr>
          <w:noProof/>
          <w:color w:val="000000"/>
        </w:rPr>
        <w:t xml:space="preserve">) </w:t>
      </w:r>
      <w:r w:rsidR="00DA75BD" w:rsidRPr="00796C83">
        <w:rPr>
          <w:noProof/>
          <w:color w:val="000000"/>
        </w:rPr>
        <w:t>se celebrará</w:t>
      </w:r>
      <w:r w:rsidRPr="00796C83">
        <w:rPr>
          <w:noProof/>
          <w:color w:val="000000"/>
        </w:rPr>
        <w:t xml:space="preserve"> en </w:t>
      </w:r>
      <w:r w:rsidR="00DA75BD" w:rsidRPr="00796C83">
        <w:rPr>
          <w:noProof/>
          <w:color w:val="000000"/>
        </w:rPr>
        <w:t>Victoria Falls (Zimbabwe) entre el 23 y el 31 de julio de 2025.</w:t>
      </w:r>
    </w:p>
    <w:p w14:paraId="43AE5453" w14:textId="77777777" w:rsidR="001F6249" w:rsidRPr="00796C83" w:rsidRDefault="001F6249" w:rsidP="001F6249">
      <w:pPr>
        <w:rPr>
          <w:noProof/>
          <w:color w:val="000000"/>
        </w:rPr>
      </w:pPr>
    </w:p>
    <w:p w14:paraId="11E5CAFF" w14:textId="404F0650" w:rsidR="001F6249" w:rsidRPr="00796C83" w:rsidRDefault="001F6249" w:rsidP="001F6249">
      <w:pPr>
        <w:rPr>
          <w:noProof/>
        </w:rPr>
      </w:pPr>
      <w:r w:rsidRPr="00796C83">
        <w:rPr>
          <w:noProof/>
          <w:color w:val="000000"/>
        </w:rPr>
        <w:t>2.</w:t>
      </w:r>
      <w:r w:rsidRPr="00796C83">
        <w:rPr>
          <w:noProof/>
          <w:color w:val="000000"/>
        </w:rPr>
        <w:tab/>
      </w:r>
      <w:r w:rsidRPr="00796C83">
        <w:rPr>
          <w:noProof/>
        </w:rPr>
        <w:t xml:space="preserve">De conformidad con el artículo 5.1 del </w:t>
      </w:r>
      <w:r w:rsidR="008719EA" w:rsidRPr="00796C83">
        <w:rPr>
          <w:noProof/>
        </w:rPr>
        <w:t>r</w:t>
      </w:r>
      <w:r w:rsidRPr="00796C83">
        <w:rPr>
          <w:noProof/>
        </w:rPr>
        <w:t>eglamento, el plazo límite para presentar proyectos de resolución es de 60 días antes de la reunión del Comité Permanente en la que esté previsto formular recomendaciones sobre los documentos que examinarán las Partes Contratantes en la COP.</w:t>
      </w:r>
      <w:r w:rsidRPr="00796C83">
        <w:rPr>
          <w:noProof/>
          <w:color w:val="000000"/>
        </w:rPr>
        <w:t xml:space="preserve"> </w:t>
      </w:r>
      <w:r w:rsidR="00DA75BD" w:rsidRPr="00796C83">
        <w:rPr>
          <w:noProof/>
          <w:color w:val="000000"/>
        </w:rPr>
        <w:t>Esta reunión (SC64) se celebrará</w:t>
      </w:r>
      <w:r w:rsidR="008A5567" w:rsidRPr="00796C83">
        <w:rPr>
          <w:noProof/>
          <w:color w:val="000000"/>
        </w:rPr>
        <w:t xml:space="preserve"> </w:t>
      </w:r>
      <w:r w:rsidR="00DA75BD" w:rsidRPr="00796C83">
        <w:rPr>
          <w:noProof/>
          <w:color w:val="000000"/>
        </w:rPr>
        <w:t xml:space="preserve">en enero de 2025 </w:t>
      </w:r>
      <w:r w:rsidR="00DA75BD" w:rsidRPr="00796C83">
        <w:rPr>
          <w:noProof/>
          <w:color w:val="000000"/>
          <w:highlight w:val="yellow"/>
        </w:rPr>
        <w:t>[xx-</w:t>
      </w:r>
      <w:r w:rsidR="00DA75BD" w:rsidRPr="007F3EA3">
        <w:rPr>
          <w:noProof/>
          <w:color w:val="000000"/>
          <w:highlight w:val="yellow"/>
        </w:rPr>
        <w:t>yy (</w:t>
      </w:r>
      <w:r w:rsidR="007F3EA3" w:rsidRPr="007F3EA3">
        <w:rPr>
          <w:noProof/>
          <w:color w:val="000000"/>
          <w:highlight w:val="yellow"/>
        </w:rPr>
        <w:t xml:space="preserve">fechas a insertar después de </w:t>
      </w:r>
      <w:r w:rsidR="00F13D5F">
        <w:rPr>
          <w:noProof/>
          <w:color w:val="000000"/>
          <w:highlight w:val="yellow"/>
        </w:rPr>
        <w:t xml:space="preserve">la decisión de la </w:t>
      </w:r>
      <w:r w:rsidR="00DA75BD" w:rsidRPr="00796C83">
        <w:rPr>
          <w:noProof/>
          <w:color w:val="000000"/>
          <w:highlight w:val="yellow"/>
        </w:rPr>
        <w:t>SC63)]</w:t>
      </w:r>
      <w:r w:rsidR="00DA75BD" w:rsidRPr="00796C83">
        <w:rPr>
          <w:noProof/>
          <w:color w:val="000000"/>
        </w:rPr>
        <w:t xml:space="preserve">, por lo que la fecha </w:t>
      </w:r>
      <w:r w:rsidR="008A5567" w:rsidRPr="00796C83">
        <w:rPr>
          <w:noProof/>
        </w:rPr>
        <w:t>límite para presentar</w:t>
      </w:r>
      <w:r w:rsidRPr="00796C83">
        <w:rPr>
          <w:noProof/>
        </w:rPr>
        <w:t xml:space="preserve"> proyectos de resolución</w:t>
      </w:r>
      <w:r w:rsidR="000854A4" w:rsidRPr="00796C83">
        <w:rPr>
          <w:noProof/>
        </w:rPr>
        <w:t xml:space="preserve"> </w:t>
      </w:r>
      <w:r w:rsidR="008A5567" w:rsidRPr="00796C83">
        <w:rPr>
          <w:noProof/>
        </w:rPr>
        <w:t xml:space="preserve">es el </w:t>
      </w:r>
      <w:r w:rsidR="00DA75BD" w:rsidRPr="00796C83">
        <w:rPr>
          <w:noProof/>
          <w:highlight w:val="yellow"/>
        </w:rPr>
        <w:t>zz</w:t>
      </w:r>
      <w:r w:rsidR="008A5567" w:rsidRPr="00796C83">
        <w:rPr>
          <w:noProof/>
        </w:rPr>
        <w:t xml:space="preserve"> de </w:t>
      </w:r>
      <w:r w:rsidR="00DA75BD" w:rsidRPr="00796C83">
        <w:rPr>
          <w:noProof/>
        </w:rPr>
        <w:t>noviembre de 2024</w:t>
      </w:r>
      <w:r w:rsidRPr="00796C83">
        <w:rPr>
          <w:noProof/>
        </w:rPr>
        <w:t xml:space="preserve">. </w:t>
      </w:r>
    </w:p>
    <w:p w14:paraId="37A9601F" w14:textId="77777777" w:rsidR="001F6249" w:rsidRPr="00796C83" w:rsidRDefault="001F6249" w:rsidP="001F6249">
      <w:pPr>
        <w:rPr>
          <w:noProof/>
          <w:color w:val="000000"/>
        </w:rPr>
      </w:pPr>
    </w:p>
    <w:p w14:paraId="77D943AD" w14:textId="1E86D2EF" w:rsidR="001F6249" w:rsidRPr="00796C83" w:rsidRDefault="001F6249" w:rsidP="001F6249">
      <w:pPr>
        <w:rPr>
          <w:noProof/>
        </w:rPr>
      </w:pPr>
      <w:r w:rsidRPr="00796C83">
        <w:rPr>
          <w:noProof/>
          <w:color w:val="000000"/>
        </w:rPr>
        <w:t>3.</w:t>
      </w:r>
      <w:r w:rsidRPr="00796C83">
        <w:rPr>
          <w:noProof/>
          <w:color w:val="000000"/>
        </w:rPr>
        <w:tab/>
        <w:t xml:space="preserve">La Secretaría alienta a las Partes Contratantes a presentar los proyectos de resolución con la mayor antelación posible respecto del plazo </w:t>
      </w:r>
      <w:r w:rsidRPr="00796C83">
        <w:rPr>
          <w:noProof/>
        </w:rPr>
        <w:t>establecido,</w:t>
      </w:r>
      <w:r w:rsidR="000854A4" w:rsidRPr="00796C83">
        <w:rPr>
          <w:noProof/>
        </w:rPr>
        <w:t xml:space="preserve"> </w:t>
      </w:r>
      <w:r w:rsidRPr="00796C83">
        <w:rPr>
          <w:noProof/>
        </w:rPr>
        <w:t>de modo que puedan publicarse en los idiomas oficiales de la Convención tres meses antes de la reunión SC</w:t>
      </w:r>
      <w:r w:rsidR="00DA75BD" w:rsidRPr="00796C83">
        <w:rPr>
          <w:noProof/>
        </w:rPr>
        <w:t>64</w:t>
      </w:r>
      <w:r w:rsidRPr="00796C83">
        <w:rPr>
          <w:noProof/>
        </w:rPr>
        <w:t xml:space="preserve">, junto con los demás documentos para dicha reunión. </w:t>
      </w:r>
    </w:p>
    <w:p w14:paraId="65062973" w14:textId="77777777" w:rsidR="001F6249" w:rsidRPr="00796C83" w:rsidRDefault="001F6249" w:rsidP="001F6249">
      <w:pPr>
        <w:rPr>
          <w:noProof/>
          <w:color w:val="000000"/>
        </w:rPr>
      </w:pPr>
    </w:p>
    <w:p w14:paraId="3871064E" w14:textId="7F3A58FD" w:rsidR="001F6249" w:rsidRPr="00796C83" w:rsidRDefault="001F6249" w:rsidP="001F6249">
      <w:pPr>
        <w:rPr>
          <w:noProof/>
          <w:color w:val="000000"/>
        </w:rPr>
      </w:pPr>
      <w:r w:rsidRPr="00796C83">
        <w:rPr>
          <w:noProof/>
          <w:color w:val="000000"/>
        </w:rPr>
        <w:t>4.</w:t>
      </w:r>
      <w:r w:rsidRPr="00796C83">
        <w:rPr>
          <w:noProof/>
          <w:color w:val="000000"/>
        </w:rPr>
        <w:tab/>
        <w:t>La presentación temprana de los proyectos de resolución garantizará que las Partes Contratantes dispongan de tiempo suficiente para examinarlos antes de la reunión SC</w:t>
      </w:r>
      <w:r w:rsidR="00DA75BD" w:rsidRPr="00796C83">
        <w:rPr>
          <w:noProof/>
          <w:color w:val="000000"/>
        </w:rPr>
        <w:t>64</w:t>
      </w:r>
      <w:r w:rsidRPr="00796C83">
        <w:rPr>
          <w:noProof/>
          <w:color w:val="000000"/>
        </w:rPr>
        <w:t xml:space="preserve">. </w:t>
      </w:r>
      <w:r w:rsidR="00DA75BD" w:rsidRPr="00796C83">
        <w:rPr>
          <w:noProof/>
          <w:color w:val="000000"/>
        </w:rPr>
        <w:t xml:space="preserve">Asimismo, </w:t>
      </w:r>
      <w:r w:rsidRPr="00796C83">
        <w:rPr>
          <w:noProof/>
          <w:color w:val="000000"/>
        </w:rPr>
        <w:t>permitirá que el Comité de Examen Científico y Técnico de la Convención pueda analizar proyecto</w:t>
      </w:r>
      <w:r w:rsidR="00DA75BD" w:rsidRPr="00796C83">
        <w:rPr>
          <w:noProof/>
          <w:color w:val="000000"/>
        </w:rPr>
        <w:t>s</w:t>
      </w:r>
      <w:r w:rsidRPr="00796C83">
        <w:rPr>
          <w:noProof/>
          <w:color w:val="000000"/>
        </w:rPr>
        <w:t xml:space="preserve"> de resolución, si así se le solicita, durante su 2</w:t>
      </w:r>
      <w:r w:rsidR="00DA75BD" w:rsidRPr="00796C83">
        <w:rPr>
          <w:noProof/>
          <w:color w:val="000000"/>
        </w:rPr>
        <w:t>7</w:t>
      </w:r>
      <w:r w:rsidRPr="00796C83">
        <w:rPr>
          <w:noProof/>
          <w:color w:val="000000"/>
          <w:vertAlign w:val="superscript"/>
        </w:rPr>
        <w:t>a</w:t>
      </w:r>
      <w:r w:rsidRPr="00796C83">
        <w:rPr>
          <w:noProof/>
          <w:color w:val="000000"/>
        </w:rPr>
        <w:t xml:space="preserve"> reunión</w:t>
      </w:r>
      <w:r w:rsidR="00DA75BD" w:rsidRPr="00796C83">
        <w:rPr>
          <w:noProof/>
          <w:color w:val="000000"/>
        </w:rPr>
        <w:t xml:space="preserve"> </w:t>
      </w:r>
      <w:r w:rsidR="00DA75BD" w:rsidRPr="00796C83">
        <w:rPr>
          <w:noProof/>
          <w:color w:val="000000"/>
          <w:highlight w:val="yellow"/>
        </w:rPr>
        <w:t>[</w:t>
      </w:r>
      <w:r w:rsidR="00F13D5F" w:rsidRPr="007F3EA3">
        <w:rPr>
          <w:noProof/>
          <w:color w:val="000000"/>
          <w:highlight w:val="yellow"/>
        </w:rPr>
        <w:t xml:space="preserve">fechas a insertar después de </w:t>
      </w:r>
      <w:r w:rsidR="00F13D5F">
        <w:rPr>
          <w:noProof/>
          <w:color w:val="000000"/>
          <w:highlight w:val="yellow"/>
        </w:rPr>
        <w:t xml:space="preserve">la </w:t>
      </w:r>
      <w:r w:rsidR="00F13D5F" w:rsidRPr="00796C83">
        <w:rPr>
          <w:noProof/>
          <w:color w:val="000000"/>
          <w:highlight w:val="yellow"/>
        </w:rPr>
        <w:t>SC63</w:t>
      </w:r>
      <w:r w:rsidR="00DA75BD" w:rsidRPr="00796C83">
        <w:rPr>
          <w:noProof/>
          <w:color w:val="000000"/>
          <w:highlight w:val="yellow"/>
        </w:rPr>
        <w:t>]</w:t>
      </w:r>
      <w:r w:rsidRPr="00796C83">
        <w:rPr>
          <w:noProof/>
          <w:color w:val="000000"/>
        </w:rPr>
        <w:t>, a fin de hacer aportaciones técnicas cuando proceda antes de la reunión SC</w:t>
      </w:r>
      <w:r w:rsidR="00DA75BD" w:rsidRPr="00796C83">
        <w:rPr>
          <w:noProof/>
          <w:color w:val="000000"/>
        </w:rPr>
        <w:t>64</w:t>
      </w:r>
      <w:r w:rsidRPr="00796C83">
        <w:rPr>
          <w:noProof/>
          <w:color w:val="000000"/>
        </w:rPr>
        <w:t>.</w:t>
      </w:r>
    </w:p>
    <w:p w14:paraId="630BBCE5" w14:textId="77777777" w:rsidR="001F6249" w:rsidRPr="00796C83" w:rsidRDefault="001F6249" w:rsidP="001F6249">
      <w:pPr>
        <w:rPr>
          <w:rFonts w:cs="Arial"/>
          <w:noProof/>
        </w:rPr>
      </w:pPr>
    </w:p>
    <w:p w14:paraId="545A7FDF" w14:textId="0D8B4B0F" w:rsidR="001F6249" w:rsidRPr="00796C83" w:rsidRDefault="001F6249" w:rsidP="001F6249">
      <w:pPr>
        <w:rPr>
          <w:noProof/>
          <w:color w:val="000000"/>
        </w:rPr>
      </w:pPr>
      <w:r w:rsidRPr="00796C83">
        <w:rPr>
          <w:noProof/>
          <w:color w:val="000000"/>
        </w:rPr>
        <w:t>5.</w:t>
      </w:r>
      <w:r w:rsidRPr="00796C83">
        <w:rPr>
          <w:noProof/>
          <w:color w:val="000000"/>
        </w:rPr>
        <w:tab/>
      </w:r>
      <w:r w:rsidRPr="00796C83">
        <w:rPr>
          <w:noProof/>
        </w:rPr>
        <w:t xml:space="preserve">Los proyectos de resolución deberán enviarse por correo electrónico al Oficial de Documentación a la siguiente dirección: </w:t>
      </w:r>
      <w:hyperlink r:id="rId8" w:history="1">
        <w:r w:rsidRPr="00796C83">
          <w:rPr>
            <w:rStyle w:val="Hyperlink"/>
            <w:noProof/>
          </w:rPr>
          <w:t>documents@ramsar.org</w:t>
        </w:r>
      </w:hyperlink>
      <w:r w:rsidRPr="00796C83">
        <w:rPr>
          <w:noProof/>
        </w:rPr>
        <w:t>.</w:t>
      </w:r>
      <w:r w:rsidRPr="00796C83">
        <w:rPr>
          <w:noProof/>
          <w:color w:val="000000"/>
        </w:rPr>
        <w:t xml:space="preserve"> </w:t>
      </w:r>
      <w:r w:rsidR="00DA75BD" w:rsidRPr="00796C83">
        <w:rPr>
          <w:noProof/>
          <w:color w:val="000000"/>
        </w:rPr>
        <w:t>Las</w:t>
      </w:r>
      <w:r w:rsidRPr="00796C83">
        <w:rPr>
          <w:noProof/>
          <w:color w:val="000000"/>
        </w:rPr>
        <w:t xml:space="preserve"> pregunta</w:t>
      </w:r>
      <w:r w:rsidR="00DA75BD" w:rsidRPr="00796C83">
        <w:rPr>
          <w:noProof/>
          <w:color w:val="000000"/>
        </w:rPr>
        <w:t>s</w:t>
      </w:r>
      <w:r w:rsidRPr="00796C83">
        <w:rPr>
          <w:noProof/>
          <w:color w:val="000000"/>
        </w:rPr>
        <w:t xml:space="preserve"> relativa</w:t>
      </w:r>
      <w:r w:rsidR="00DA75BD" w:rsidRPr="00796C83">
        <w:rPr>
          <w:noProof/>
          <w:color w:val="000000"/>
        </w:rPr>
        <w:t>s</w:t>
      </w:r>
      <w:r w:rsidRPr="00796C83">
        <w:rPr>
          <w:noProof/>
          <w:color w:val="000000"/>
        </w:rPr>
        <w:t xml:space="preserve"> al procedimiento o al contenido de los proyectos de resolución deberá</w:t>
      </w:r>
      <w:r w:rsidR="00DA75BD" w:rsidRPr="00796C83">
        <w:rPr>
          <w:noProof/>
          <w:color w:val="000000"/>
        </w:rPr>
        <w:t>n</w:t>
      </w:r>
      <w:r w:rsidRPr="00796C83">
        <w:rPr>
          <w:noProof/>
          <w:color w:val="000000"/>
        </w:rPr>
        <w:t xml:space="preserve"> enviarse a la misma dirección.</w:t>
      </w:r>
    </w:p>
    <w:p w14:paraId="2EE87052" w14:textId="77777777" w:rsidR="001F6249" w:rsidRPr="00796C83" w:rsidRDefault="001F6249" w:rsidP="001F6249">
      <w:pPr>
        <w:ind w:left="0" w:firstLine="0"/>
        <w:rPr>
          <w:rFonts w:cs="Arial"/>
          <w:noProof/>
        </w:rPr>
      </w:pPr>
    </w:p>
    <w:p w14:paraId="29B4C6AF" w14:textId="55A96B24" w:rsidR="001F6249" w:rsidRPr="00796C83" w:rsidRDefault="001F6249" w:rsidP="001F6249">
      <w:pPr>
        <w:ind w:left="0" w:firstLine="0"/>
        <w:rPr>
          <w:rFonts w:cs="Arial"/>
          <w:b/>
          <w:noProof/>
        </w:rPr>
      </w:pPr>
      <w:r w:rsidRPr="00796C83">
        <w:rPr>
          <w:b/>
          <w:noProof/>
        </w:rPr>
        <w:t>Contenido de los proyectos de resolución que se presenten al Comité Permanente</w:t>
      </w:r>
    </w:p>
    <w:p w14:paraId="1736F9C6" w14:textId="77777777" w:rsidR="001F6249" w:rsidRPr="00796C83" w:rsidRDefault="001F6249" w:rsidP="001F6249">
      <w:pPr>
        <w:ind w:left="0" w:firstLine="0"/>
        <w:rPr>
          <w:rFonts w:cs="Arial"/>
          <w:noProof/>
        </w:rPr>
      </w:pPr>
    </w:p>
    <w:p w14:paraId="3318DE5F" w14:textId="77777777" w:rsidR="001F6249" w:rsidRPr="00796C83" w:rsidRDefault="001F6249" w:rsidP="001F6249">
      <w:pPr>
        <w:rPr>
          <w:noProof/>
          <w:color w:val="000000"/>
        </w:rPr>
      </w:pPr>
      <w:r w:rsidRPr="00796C83">
        <w:rPr>
          <w:noProof/>
          <w:color w:val="000000"/>
        </w:rPr>
        <w:t>6.</w:t>
      </w:r>
      <w:r w:rsidRPr="00796C83">
        <w:rPr>
          <w:noProof/>
          <w:color w:val="000000"/>
        </w:rPr>
        <w:tab/>
        <w:t>Los proyectos de resolución que se presenten al Comité Permanente para su examen deberán incluir los siguientes elementos:</w:t>
      </w:r>
    </w:p>
    <w:p w14:paraId="5C17BA40" w14:textId="77777777" w:rsidR="001F6249" w:rsidRPr="00796C83" w:rsidRDefault="001F6249" w:rsidP="001F6249">
      <w:pPr>
        <w:rPr>
          <w:rFonts w:cs="Arial"/>
          <w:noProof/>
        </w:rPr>
      </w:pPr>
    </w:p>
    <w:p w14:paraId="15511DFE" w14:textId="3A6DEAFC" w:rsidR="001F6249" w:rsidRPr="00796C83" w:rsidRDefault="001F6249" w:rsidP="001F6249">
      <w:pPr>
        <w:ind w:left="850"/>
        <w:contextualSpacing/>
        <w:rPr>
          <w:rFonts w:cs="Arial"/>
          <w:noProof/>
        </w:rPr>
      </w:pPr>
      <w:r w:rsidRPr="00796C83">
        <w:rPr>
          <w:noProof/>
        </w:rPr>
        <w:t>i)</w:t>
      </w:r>
      <w:r w:rsidRPr="00796C83">
        <w:rPr>
          <w:noProof/>
        </w:rPr>
        <w:tab/>
        <w:t>Una</w:t>
      </w:r>
      <w:r w:rsidR="00AC536D" w:rsidRPr="00796C83">
        <w:rPr>
          <w:noProof/>
        </w:rPr>
        <w:t xml:space="preserve"> breve</w:t>
      </w:r>
      <w:r w:rsidRPr="00796C83">
        <w:rPr>
          <w:noProof/>
        </w:rPr>
        <w:t xml:space="preserve"> introducción para el Comité Permanente que contenga </w:t>
      </w:r>
      <w:r w:rsidR="00AC536D" w:rsidRPr="00796C83">
        <w:rPr>
          <w:noProof/>
        </w:rPr>
        <w:t xml:space="preserve">una estimación de </w:t>
      </w:r>
      <w:r w:rsidRPr="00796C83">
        <w:rPr>
          <w:noProof/>
        </w:rPr>
        <w:t xml:space="preserve">las posibles repercusiones de la aplicación de la resolución en cuestión </w:t>
      </w:r>
      <w:r w:rsidR="00AC536D" w:rsidRPr="00796C83">
        <w:rPr>
          <w:noProof/>
        </w:rPr>
        <w:t>sobre</w:t>
      </w:r>
      <w:r w:rsidRPr="00796C83">
        <w:rPr>
          <w:noProof/>
        </w:rPr>
        <w:t xml:space="preserve"> </w:t>
      </w:r>
      <w:r w:rsidR="008F3FC0" w:rsidRPr="00796C83">
        <w:rPr>
          <w:noProof/>
        </w:rPr>
        <w:t>la carga de trabajo de la Secretaría y la financiación con cargo al presupuesto básico de la Convención que sería necesaria para la aplicación de la resolución</w:t>
      </w:r>
      <w:r w:rsidRPr="00796C83">
        <w:rPr>
          <w:noProof/>
        </w:rPr>
        <w:t>;</w:t>
      </w:r>
    </w:p>
    <w:p w14:paraId="63F84C99" w14:textId="77777777" w:rsidR="001F6249" w:rsidRPr="00796C83" w:rsidRDefault="001F6249" w:rsidP="001F6249">
      <w:pPr>
        <w:ind w:left="850"/>
        <w:contextualSpacing/>
        <w:rPr>
          <w:rFonts w:cs="Arial"/>
          <w:noProof/>
        </w:rPr>
      </w:pPr>
    </w:p>
    <w:p w14:paraId="479F73AE" w14:textId="0D23F213" w:rsidR="001F6249" w:rsidRPr="00796C83" w:rsidRDefault="001F6249" w:rsidP="001F6249">
      <w:pPr>
        <w:ind w:left="850"/>
        <w:contextualSpacing/>
        <w:rPr>
          <w:rFonts w:cs="Arial"/>
          <w:noProof/>
        </w:rPr>
      </w:pPr>
      <w:r w:rsidRPr="00796C83">
        <w:rPr>
          <w:noProof/>
        </w:rPr>
        <w:t>ii)</w:t>
      </w:r>
      <w:r w:rsidRPr="00796C83">
        <w:rPr>
          <w:noProof/>
        </w:rPr>
        <w:tab/>
        <w:t>El texto del proyecto</w:t>
      </w:r>
      <w:r w:rsidR="008F3FC0" w:rsidRPr="00796C83">
        <w:rPr>
          <w:noProof/>
        </w:rPr>
        <w:t xml:space="preserve"> de resolución</w:t>
      </w:r>
      <w:r w:rsidRPr="00796C83">
        <w:rPr>
          <w:noProof/>
        </w:rPr>
        <w:t>; y</w:t>
      </w:r>
    </w:p>
    <w:p w14:paraId="4B25BBD8" w14:textId="77777777" w:rsidR="001F6249" w:rsidRPr="00796C83" w:rsidRDefault="001F6249" w:rsidP="001F6249">
      <w:pPr>
        <w:pStyle w:val="ListParagraph"/>
        <w:ind w:left="850"/>
        <w:rPr>
          <w:rFonts w:cs="Arial"/>
          <w:noProof/>
        </w:rPr>
      </w:pPr>
    </w:p>
    <w:p w14:paraId="01A41AF3" w14:textId="38B2E49B" w:rsidR="001F6249" w:rsidRPr="00796C83" w:rsidRDefault="001F6249" w:rsidP="001F6249">
      <w:pPr>
        <w:ind w:left="850"/>
        <w:contextualSpacing/>
        <w:rPr>
          <w:noProof/>
        </w:rPr>
      </w:pPr>
      <w:r w:rsidRPr="00796C83">
        <w:rPr>
          <w:noProof/>
        </w:rPr>
        <w:t>iii)</w:t>
      </w:r>
      <w:r w:rsidRPr="00796C83">
        <w:rPr>
          <w:noProof/>
        </w:rPr>
        <w:tab/>
        <w:t>Cualquier posible orientación</w:t>
      </w:r>
      <w:r w:rsidR="008F3FC0" w:rsidRPr="00796C83">
        <w:rPr>
          <w:noProof/>
        </w:rPr>
        <w:t>, cuadro</w:t>
      </w:r>
      <w:r w:rsidRPr="00796C83">
        <w:rPr>
          <w:noProof/>
        </w:rPr>
        <w:t xml:space="preserve"> o texto anexo que</w:t>
      </w:r>
      <w:r w:rsidR="008F3FC0" w:rsidRPr="00796C83">
        <w:rPr>
          <w:noProof/>
        </w:rPr>
        <w:t xml:space="preserve"> pueda ser necesario para aportar información sobre el contexto</w:t>
      </w:r>
      <w:r w:rsidR="00AC536D" w:rsidRPr="00796C83">
        <w:rPr>
          <w:noProof/>
        </w:rPr>
        <w:t xml:space="preserve"> evolutivo</w:t>
      </w:r>
      <w:r w:rsidR="008F3FC0" w:rsidRPr="00796C83">
        <w:rPr>
          <w:noProof/>
        </w:rPr>
        <w:t xml:space="preserve">, orientaciones o información crucial adicional y que se incluiría en la resolución definitiva </w:t>
      </w:r>
      <w:r w:rsidR="00AC536D" w:rsidRPr="00796C83">
        <w:rPr>
          <w:noProof/>
        </w:rPr>
        <w:t>en caso de ser aprobada por la</w:t>
      </w:r>
      <w:r w:rsidRPr="00796C83">
        <w:rPr>
          <w:noProof/>
        </w:rPr>
        <w:t xml:space="preserve"> Conferencia de las Partes</w:t>
      </w:r>
      <w:r w:rsidR="00AC536D" w:rsidRPr="00796C83">
        <w:rPr>
          <w:noProof/>
        </w:rPr>
        <w:t>.</w:t>
      </w:r>
    </w:p>
    <w:p w14:paraId="71D27B80" w14:textId="71213AB8" w:rsidR="008A5567" w:rsidRPr="00796C83" w:rsidRDefault="008A5567" w:rsidP="001F6249">
      <w:pPr>
        <w:ind w:left="850"/>
        <w:contextualSpacing/>
        <w:rPr>
          <w:noProof/>
        </w:rPr>
      </w:pPr>
    </w:p>
    <w:p w14:paraId="22D6A559" w14:textId="1E8B23BE" w:rsidR="008A5567" w:rsidRPr="00796C83" w:rsidRDefault="008A5567" w:rsidP="008A5567">
      <w:pPr>
        <w:ind w:left="426" w:hanging="1"/>
        <w:contextualSpacing/>
        <w:rPr>
          <w:rFonts w:cs="Arial"/>
          <w:noProof/>
        </w:rPr>
      </w:pPr>
      <w:r w:rsidRPr="00796C83">
        <w:rPr>
          <w:noProof/>
        </w:rPr>
        <w:lastRenderedPageBreak/>
        <w:t xml:space="preserve">Se ofrecen orientaciones </w:t>
      </w:r>
      <w:r w:rsidR="003A3207" w:rsidRPr="00796C83">
        <w:rPr>
          <w:noProof/>
        </w:rPr>
        <w:t>adicionales</w:t>
      </w:r>
      <w:r w:rsidR="001F7157" w:rsidRPr="00796C83">
        <w:rPr>
          <w:noProof/>
        </w:rPr>
        <w:t xml:space="preserve"> </w:t>
      </w:r>
      <w:r w:rsidRPr="00796C83">
        <w:rPr>
          <w:noProof/>
        </w:rPr>
        <w:t>sobre cada uno de estos elementos en las secciones siguientes.</w:t>
      </w:r>
    </w:p>
    <w:p w14:paraId="0FAA88B7" w14:textId="77777777" w:rsidR="001F6249" w:rsidRPr="00796C83" w:rsidRDefault="001F6249" w:rsidP="001F6249">
      <w:pPr>
        <w:contextualSpacing/>
        <w:rPr>
          <w:noProof/>
          <w:color w:val="000000"/>
        </w:rPr>
      </w:pPr>
    </w:p>
    <w:p w14:paraId="1C4B7CF2" w14:textId="37D05BE1" w:rsidR="001F6249" w:rsidRPr="00796C83" w:rsidRDefault="001F6249" w:rsidP="001F6249">
      <w:pPr>
        <w:rPr>
          <w:noProof/>
          <w:color w:val="000000"/>
        </w:rPr>
      </w:pPr>
      <w:r w:rsidRPr="00796C83">
        <w:rPr>
          <w:noProof/>
          <w:color w:val="000000"/>
        </w:rPr>
        <w:t>7.</w:t>
      </w:r>
      <w:r w:rsidRPr="00796C83">
        <w:rPr>
          <w:noProof/>
          <w:color w:val="000000"/>
        </w:rPr>
        <w:tab/>
      </w:r>
      <w:r w:rsidRPr="00796C83">
        <w:rPr>
          <w:noProof/>
        </w:rPr>
        <w:t xml:space="preserve">Las resoluciones existentes, que pueden ser modelos útiles, se encuentran en el sitio web de Ramsar en la </w:t>
      </w:r>
      <w:hyperlink r:id="rId9" w:history="1">
        <w:r w:rsidRPr="00796C83">
          <w:rPr>
            <w:noProof/>
            <w:color w:val="000000"/>
          </w:rPr>
          <w:t>dirección</w:t>
        </w:r>
      </w:hyperlink>
      <w:r w:rsidRPr="00796C83">
        <w:rPr>
          <w:noProof/>
          <w:color w:val="000000"/>
        </w:rPr>
        <w:t xml:space="preserve">: </w:t>
      </w:r>
      <w:hyperlink r:id="rId10" w:history="1">
        <w:r w:rsidR="00F13D5F" w:rsidRPr="00201F42">
          <w:rPr>
            <w:rStyle w:val="Hyperlink"/>
          </w:rPr>
          <w:t>https://www.ramsar.org/es/seguimiento-del-estado-de-las-resoluciones</w:t>
        </w:r>
      </w:hyperlink>
      <w:r w:rsidR="00840109" w:rsidRPr="00796C83">
        <w:rPr>
          <w:noProof/>
        </w:rPr>
        <w:t xml:space="preserve">. </w:t>
      </w:r>
    </w:p>
    <w:p w14:paraId="17051231" w14:textId="77777777" w:rsidR="001F6249" w:rsidRPr="00796C83" w:rsidRDefault="001F6249" w:rsidP="001F6249">
      <w:pPr>
        <w:contextualSpacing/>
        <w:rPr>
          <w:rFonts w:cs="Arial"/>
          <w:noProof/>
        </w:rPr>
      </w:pPr>
    </w:p>
    <w:p w14:paraId="2B33BBCC" w14:textId="34EB7C18" w:rsidR="001F6249" w:rsidRPr="00796C83" w:rsidRDefault="001F6249" w:rsidP="0054341B">
      <w:pPr>
        <w:keepNext/>
        <w:contextualSpacing/>
        <w:rPr>
          <w:b/>
          <w:noProof/>
        </w:rPr>
      </w:pPr>
      <w:r w:rsidRPr="00796C83">
        <w:rPr>
          <w:b/>
          <w:noProof/>
        </w:rPr>
        <w:t xml:space="preserve">Orientaciones sobre </w:t>
      </w:r>
      <w:r w:rsidR="008F3FC0" w:rsidRPr="00796C83">
        <w:rPr>
          <w:b/>
          <w:noProof/>
        </w:rPr>
        <w:t>la redacción</w:t>
      </w:r>
    </w:p>
    <w:p w14:paraId="49047C62" w14:textId="4C24A95F" w:rsidR="00840109" w:rsidRPr="00796C83" w:rsidRDefault="00840109" w:rsidP="0054341B">
      <w:pPr>
        <w:keepNext/>
        <w:contextualSpacing/>
        <w:rPr>
          <w:b/>
          <w:noProof/>
        </w:rPr>
      </w:pPr>
    </w:p>
    <w:p w14:paraId="35827F53" w14:textId="4A6D6A7A" w:rsidR="00840109" w:rsidRPr="00F13D5F" w:rsidRDefault="00840109" w:rsidP="0054341B">
      <w:pPr>
        <w:keepNext/>
        <w:contextualSpacing/>
        <w:rPr>
          <w:rFonts w:cs="Arial"/>
          <w:bCs/>
          <w:i/>
          <w:iCs/>
          <w:noProof/>
          <w:u w:val="single"/>
        </w:rPr>
      </w:pPr>
      <w:r w:rsidRPr="00F13D5F">
        <w:rPr>
          <w:rFonts w:cs="Arial"/>
          <w:bCs/>
          <w:i/>
          <w:iCs/>
          <w:noProof/>
          <w:u w:val="single"/>
        </w:rPr>
        <w:t xml:space="preserve">Evitar la duplicación o el conflicto con </w:t>
      </w:r>
      <w:r w:rsidR="00E4788E" w:rsidRPr="00F13D5F">
        <w:rPr>
          <w:rFonts w:cs="Arial"/>
          <w:bCs/>
          <w:i/>
          <w:iCs/>
          <w:noProof/>
          <w:u w:val="single"/>
        </w:rPr>
        <w:t>r</w:t>
      </w:r>
      <w:r w:rsidRPr="00F13D5F">
        <w:rPr>
          <w:rFonts w:cs="Arial"/>
          <w:bCs/>
          <w:i/>
          <w:iCs/>
          <w:noProof/>
          <w:u w:val="single"/>
        </w:rPr>
        <w:t>esoluciones existentes</w:t>
      </w:r>
    </w:p>
    <w:p w14:paraId="5A00A543" w14:textId="65D0D3D4" w:rsidR="00840109" w:rsidRPr="00796C83" w:rsidRDefault="00840109" w:rsidP="0054341B">
      <w:pPr>
        <w:keepNext/>
        <w:contextualSpacing/>
        <w:rPr>
          <w:rFonts w:cs="Arial"/>
          <w:bCs/>
          <w:i/>
          <w:iCs/>
          <w:noProof/>
        </w:rPr>
      </w:pPr>
    </w:p>
    <w:p w14:paraId="175B59B7" w14:textId="43FC7D57" w:rsidR="00840109" w:rsidRPr="00796C83" w:rsidRDefault="00840109" w:rsidP="0054341B">
      <w:pPr>
        <w:keepNext/>
        <w:contextualSpacing/>
        <w:rPr>
          <w:rFonts w:cs="Arial"/>
          <w:bCs/>
          <w:noProof/>
        </w:rPr>
      </w:pPr>
      <w:r w:rsidRPr="00796C83">
        <w:rPr>
          <w:rFonts w:cs="Arial"/>
          <w:bCs/>
          <w:noProof/>
        </w:rPr>
        <w:t>8.</w:t>
      </w:r>
      <w:r w:rsidRPr="00796C83">
        <w:rPr>
          <w:rFonts w:cs="Arial"/>
          <w:bCs/>
          <w:noProof/>
        </w:rPr>
        <w:tab/>
        <w:t xml:space="preserve">Las Partes Contratantes que tengan la intención de preparar un proyecto de resolución deberán tomar nota de los párrafos 11 y 12 de la Resolución XIV.5, </w:t>
      </w:r>
      <w:r w:rsidRPr="00796C83">
        <w:rPr>
          <w:rFonts w:cs="Arial"/>
          <w:bCs/>
          <w:i/>
          <w:iCs/>
          <w:noProof/>
        </w:rPr>
        <w:t>Examen de las resoluciones y recomendaciones de la Conferencia de las Partes Contratantes</w:t>
      </w:r>
      <w:r w:rsidRPr="00796C83">
        <w:rPr>
          <w:rFonts w:cs="Arial"/>
          <w:bCs/>
          <w:noProof/>
        </w:rPr>
        <w:t>:</w:t>
      </w:r>
    </w:p>
    <w:p w14:paraId="486154E9" w14:textId="59035479" w:rsidR="00840109" w:rsidRPr="00796C83" w:rsidRDefault="00840109" w:rsidP="0054341B">
      <w:pPr>
        <w:keepNext/>
        <w:contextualSpacing/>
        <w:rPr>
          <w:rFonts w:cs="Arial"/>
          <w:bCs/>
          <w:noProof/>
        </w:rPr>
      </w:pPr>
    </w:p>
    <w:p w14:paraId="127230BE" w14:textId="77777777" w:rsidR="00840109" w:rsidRPr="00796C83" w:rsidRDefault="00840109" w:rsidP="00840109">
      <w:pPr>
        <w:ind w:left="850"/>
        <w:rPr>
          <w:rFonts w:asciiTheme="minorHAnsi" w:hAnsiTheme="minorHAnsi" w:cstheme="minorHAnsi"/>
          <w:i/>
          <w:iCs/>
          <w:noProof/>
        </w:rPr>
      </w:pPr>
      <w:r w:rsidRPr="00796C83">
        <w:rPr>
          <w:rFonts w:asciiTheme="minorHAnsi" w:hAnsiTheme="minorHAnsi" w:cstheme="minorHAnsi"/>
          <w:i/>
          <w:iCs/>
          <w:noProof/>
        </w:rPr>
        <w:t>11.</w:t>
      </w:r>
      <w:r w:rsidRPr="00796C83">
        <w:rPr>
          <w:rFonts w:asciiTheme="minorHAnsi" w:hAnsiTheme="minorHAnsi" w:cstheme="minorHAnsi"/>
          <w:i/>
          <w:iCs/>
          <w:noProof/>
        </w:rPr>
        <w:tab/>
        <w:t>RECOMIENDA a las Partes que, cuando se redacte una resolución que tenga por objeto tratar un tema de forma exhaustiva, o introducir cambios considerables en la forma de tratar un tema, el proyecto se prepare de forma que, si se aprueba, sustituya y derogue todas las resoluciones existentes (o, en su caso, los párrafos correspondientes) sobre el mismo tema;</w:t>
      </w:r>
    </w:p>
    <w:p w14:paraId="41C4A68A" w14:textId="77777777" w:rsidR="00840109" w:rsidRPr="00796C83" w:rsidRDefault="00840109" w:rsidP="00840109">
      <w:pPr>
        <w:ind w:left="850"/>
        <w:rPr>
          <w:rFonts w:asciiTheme="minorHAnsi" w:hAnsiTheme="minorHAnsi" w:cstheme="minorHAnsi"/>
          <w:i/>
          <w:iCs/>
          <w:strike/>
          <w:noProof/>
        </w:rPr>
      </w:pPr>
    </w:p>
    <w:p w14:paraId="3035DAD8" w14:textId="64616A7E" w:rsidR="00840109" w:rsidRPr="00796C83" w:rsidRDefault="00840109" w:rsidP="00840109">
      <w:pPr>
        <w:ind w:left="850"/>
        <w:rPr>
          <w:rFonts w:asciiTheme="minorHAnsi" w:hAnsiTheme="minorHAnsi" w:cstheme="minorHAnsi"/>
          <w:i/>
          <w:iCs/>
          <w:noProof/>
        </w:rPr>
      </w:pPr>
      <w:r w:rsidRPr="00796C83">
        <w:rPr>
          <w:rFonts w:asciiTheme="minorHAnsi" w:hAnsiTheme="minorHAnsi" w:cstheme="minorHAnsi"/>
          <w:i/>
          <w:iCs/>
          <w:noProof/>
        </w:rPr>
        <w:t>12.</w:t>
      </w:r>
      <w:r w:rsidRPr="00796C83">
        <w:rPr>
          <w:rFonts w:asciiTheme="minorHAnsi" w:hAnsiTheme="minorHAnsi" w:cstheme="minorHAnsi"/>
          <w:i/>
          <w:iCs/>
          <w:noProof/>
        </w:rPr>
        <w:tab/>
        <w:t xml:space="preserve">PIDE a las Partes, las presidencias de los comités, los grupos y otros órganos de la Convención y la Secretaría, que sigan las orientaciones que figuran en el </w:t>
      </w:r>
      <w:r w:rsidR="00E4788E" w:rsidRPr="00796C83">
        <w:rPr>
          <w:rFonts w:asciiTheme="minorHAnsi" w:hAnsiTheme="minorHAnsi" w:cstheme="minorHAnsi"/>
          <w:i/>
          <w:iCs/>
          <w:noProof/>
        </w:rPr>
        <w:t>a</w:t>
      </w:r>
      <w:r w:rsidRPr="00796C83">
        <w:rPr>
          <w:rFonts w:asciiTheme="minorHAnsi" w:hAnsiTheme="minorHAnsi" w:cstheme="minorHAnsi"/>
          <w:i/>
          <w:iCs/>
          <w:noProof/>
        </w:rPr>
        <w:t>nexo 3;</w:t>
      </w:r>
    </w:p>
    <w:p w14:paraId="6FCC7A06" w14:textId="3AB5E5DB" w:rsidR="00840109" w:rsidRPr="00796C83" w:rsidRDefault="00840109" w:rsidP="0054341B">
      <w:pPr>
        <w:keepNext/>
        <w:contextualSpacing/>
        <w:rPr>
          <w:rFonts w:cs="Arial"/>
          <w:bCs/>
          <w:noProof/>
        </w:rPr>
      </w:pPr>
    </w:p>
    <w:p w14:paraId="6F3FDFD7" w14:textId="655F268B" w:rsidR="00840109" w:rsidRPr="00796C83" w:rsidRDefault="00840109" w:rsidP="0054341B">
      <w:pPr>
        <w:keepNext/>
        <w:contextualSpacing/>
        <w:rPr>
          <w:rFonts w:cs="Arial"/>
          <w:bCs/>
          <w:noProof/>
        </w:rPr>
      </w:pPr>
      <w:r w:rsidRPr="00796C83">
        <w:rPr>
          <w:rFonts w:cs="Arial"/>
          <w:bCs/>
          <w:noProof/>
        </w:rPr>
        <w:t>9.</w:t>
      </w:r>
      <w:r w:rsidRPr="00796C83">
        <w:rPr>
          <w:rFonts w:cs="Arial"/>
          <w:bCs/>
          <w:noProof/>
        </w:rPr>
        <w:tab/>
        <w:t xml:space="preserve">El rastreador del estado de las resoluciones en el sitio web de la Convención (https://www.ramsar.org/resolution-status-tracker) permite que las Partes Contratantes busquen las resoluciones en vigor sobre un tema determinado. Además, el Anexo 2 de la Resolución XIV.5 organiza las resoluciones y recomendaciones aprobadas antes de la COP14 en </w:t>
      </w:r>
      <w:r w:rsidR="00304D35" w:rsidRPr="00796C83">
        <w:rPr>
          <w:rFonts w:asciiTheme="minorHAnsi" w:hAnsiTheme="minorHAnsi" w:cstheme="minorHAnsi"/>
          <w:noProof/>
        </w:rPr>
        <w:t>“</w:t>
      </w:r>
      <w:r w:rsidRPr="00796C83">
        <w:rPr>
          <w:rFonts w:cs="Arial"/>
          <w:bCs/>
          <w:noProof/>
        </w:rPr>
        <w:t>agrupaciones preliminares</w:t>
      </w:r>
      <w:r w:rsidR="00304D35" w:rsidRPr="00796C83">
        <w:rPr>
          <w:rFonts w:asciiTheme="minorHAnsi" w:hAnsiTheme="minorHAnsi" w:cstheme="minorHAnsi"/>
          <w:noProof/>
        </w:rPr>
        <w:t>”</w:t>
      </w:r>
      <w:r w:rsidRPr="00796C83">
        <w:rPr>
          <w:rFonts w:cs="Arial"/>
          <w:bCs/>
          <w:noProof/>
        </w:rPr>
        <w:t>.</w:t>
      </w:r>
    </w:p>
    <w:p w14:paraId="0B60E6A7" w14:textId="77777777" w:rsidR="001F6249" w:rsidRPr="00796C83" w:rsidRDefault="001F6249" w:rsidP="0054341B">
      <w:pPr>
        <w:keepNext/>
        <w:contextualSpacing/>
        <w:rPr>
          <w:b/>
          <w:noProof/>
        </w:rPr>
      </w:pPr>
    </w:p>
    <w:p w14:paraId="1F7D5BA1" w14:textId="53894DDF" w:rsidR="001F6249" w:rsidRPr="00F13D5F" w:rsidRDefault="008F3FC0" w:rsidP="0054341B">
      <w:pPr>
        <w:keepNext/>
        <w:ind w:left="0" w:firstLine="0"/>
        <w:contextualSpacing/>
        <w:rPr>
          <w:i/>
          <w:noProof/>
          <w:u w:val="single"/>
        </w:rPr>
      </w:pPr>
      <w:r w:rsidRPr="00F13D5F">
        <w:rPr>
          <w:i/>
          <w:noProof/>
          <w:u w:val="single"/>
        </w:rPr>
        <w:t>Longitud propuesta</w:t>
      </w:r>
    </w:p>
    <w:p w14:paraId="557D468B" w14:textId="420816DE" w:rsidR="008F3FC0" w:rsidRPr="00796C83" w:rsidRDefault="008F3FC0" w:rsidP="0054341B">
      <w:pPr>
        <w:keepNext/>
        <w:ind w:left="0" w:firstLine="0"/>
        <w:contextualSpacing/>
        <w:rPr>
          <w:rFonts w:cs="Arial"/>
          <w:i/>
          <w:noProof/>
        </w:rPr>
      </w:pPr>
    </w:p>
    <w:p w14:paraId="0B341862" w14:textId="3D4963B4" w:rsidR="008F3FC0" w:rsidRPr="00796C83" w:rsidRDefault="00304D35" w:rsidP="008F3FC0">
      <w:pPr>
        <w:suppressLineNumbers/>
        <w:suppressAutoHyphens/>
        <w:rPr>
          <w:noProof/>
        </w:rPr>
      </w:pPr>
      <w:r w:rsidRPr="00796C83">
        <w:rPr>
          <w:noProof/>
        </w:rPr>
        <w:t>10</w:t>
      </w:r>
      <w:r w:rsidR="008F3FC0" w:rsidRPr="00796C83">
        <w:rPr>
          <w:noProof/>
        </w:rPr>
        <w:t>.</w:t>
      </w:r>
      <w:r w:rsidR="008F3FC0" w:rsidRPr="00796C83">
        <w:rPr>
          <w:noProof/>
        </w:rPr>
        <w:tab/>
      </w:r>
      <w:r w:rsidR="009E3963" w:rsidRPr="00796C83">
        <w:rPr>
          <w:noProof/>
        </w:rPr>
        <w:t xml:space="preserve">Se </w:t>
      </w:r>
      <w:r w:rsidR="00AC536D" w:rsidRPr="00796C83">
        <w:rPr>
          <w:noProof/>
        </w:rPr>
        <w:t xml:space="preserve">recomienda </w:t>
      </w:r>
      <w:r w:rsidR="009E3963" w:rsidRPr="00796C83">
        <w:rPr>
          <w:noProof/>
        </w:rPr>
        <w:t>que los proyectos de resolución</w:t>
      </w:r>
      <w:r w:rsidR="00AC536D" w:rsidRPr="00796C83">
        <w:rPr>
          <w:noProof/>
        </w:rPr>
        <w:t xml:space="preserve"> contengan un </w:t>
      </w:r>
      <w:r w:rsidR="009E3963" w:rsidRPr="00796C83">
        <w:rPr>
          <w:noProof/>
        </w:rPr>
        <w:t>máximo de diez páginas, incluid</w:t>
      </w:r>
      <w:r w:rsidR="00807DDC" w:rsidRPr="00796C83">
        <w:rPr>
          <w:noProof/>
        </w:rPr>
        <w:t>os</w:t>
      </w:r>
      <w:r w:rsidR="009E3963" w:rsidRPr="00796C83">
        <w:rPr>
          <w:noProof/>
        </w:rPr>
        <w:t xml:space="preserve"> la introducción, el texto del proy</w:t>
      </w:r>
      <w:r w:rsidR="00807DDC" w:rsidRPr="00796C83">
        <w:rPr>
          <w:noProof/>
        </w:rPr>
        <w:t>e</w:t>
      </w:r>
      <w:r w:rsidR="009E3963" w:rsidRPr="00796C83">
        <w:rPr>
          <w:noProof/>
        </w:rPr>
        <w:t xml:space="preserve">cto de resolución y </w:t>
      </w:r>
      <w:r w:rsidR="00807DDC" w:rsidRPr="00796C83">
        <w:rPr>
          <w:noProof/>
        </w:rPr>
        <w:t>los posibles</w:t>
      </w:r>
      <w:r w:rsidR="009E3963" w:rsidRPr="00796C83">
        <w:rPr>
          <w:noProof/>
        </w:rPr>
        <w:t xml:space="preserve"> anexo</w:t>
      </w:r>
      <w:r w:rsidR="00807DDC" w:rsidRPr="00796C83">
        <w:rPr>
          <w:noProof/>
        </w:rPr>
        <w:t>s</w:t>
      </w:r>
      <w:r w:rsidR="009E3963" w:rsidRPr="00796C83">
        <w:rPr>
          <w:noProof/>
        </w:rPr>
        <w:t>. Se agradecen los documentos más cortos.</w:t>
      </w:r>
    </w:p>
    <w:p w14:paraId="68981A7A" w14:textId="77777777" w:rsidR="008F3FC0" w:rsidRPr="00796C83" w:rsidRDefault="008F3FC0" w:rsidP="008F3FC0">
      <w:pPr>
        <w:suppressLineNumbers/>
        <w:suppressAutoHyphens/>
        <w:rPr>
          <w:noProof/>
        </w:rPr>
      </w:pPr>
    </w:p>
    <w:p w14:paraId="2E3CA0F9" w14:textId="01EED1A2" w:rsidR="008F3FC0" w:rsidRPr="00796C83" w:rsidRDefault="00304D35" w:rsidP="008F3FC0">
      <w:pPr>
        <w:suppressLineNumbers/>
        <w:suppressAutoHyphens/>
        <w:rPr>
          <w:noProof/>
        </w:rPr>
      </w:pPr>
      <w:r w:rsidRPr="00796C83">
        <w:rPr>
          <w:noProof/>
        </w:rPr>
        <w:t>11</w:t>
      </w:r>
      <w:r w:rsidR="008F3FC0" w:rsidRPr="00796C83">
        <w:rPr>
          <w:noProof/>
        </w:rPr>
        <w:t>.</w:t>
      </w:r>
      <w:r w:rsidR="008F3FC0" w:rsidRPr="00796C83">
        <w:rPr>
          <w:noProof/>
        </w:rPr>
        <w:tab/>
      </w:r>
      <w:r w:rsidR="009E3963" w:rsidRPr="00796C83">
        <w:rPr>
          <w:noProof/>
        </w:rPr>
        <w:t xml:space="preserve">Este límite </w:t>
      </w:r>
      <w:r w:rsidR="003211E4" w:rsidRPr="00796C83">
        <w:rPr>
          <w:noProof/>
        </w:rPr>
        <w:t>permitirá</w:t>
      </w:r>
      <w:r w:rsidR="009E3963" w:rsidRPr="00796C83">
        <w:rPr>
          <w:noProof/>
        </w:rPr>
        <w:t xml:space="preserve"> lo siguiente:</w:t>
      </w:r>
    </w:p>
    <w:p w14:paraId="66F84473" w14:textId="77777777" w:rsidR="008F3FC0" w:rsidRPr="00796C83" w:rsidRDefault="008F3FC0" w:rsidP="008F3FC0">
      <w:pPr>
        <w:suppressLineNumbers/>
        <w:suppressAutoHyphens/>
        <w:ind w:left="0" w:firstLine="0"/>
        <w:rPr>
          <w:noProof/>
        </w:rPr>
      </w:pPr>
    </w:p>
    <w:p w14:paraId="5D66E15E" w14:textId="35EAB5B1" w:rsidR="008F3FC0" w:rsidRPr="00796C83" w:rsidRDefault="008F3FC0" w:rsidP="008F3FC0">
      <w:pPr>
        <w:suppressLineNumbers/>
        <w:suppressAutoHyphens/>
        <w:ind w:left="850"/>
        <w:contextualSpacing/>
        <w:rPr>
          <w:rFonts w:cs="Arial"/>
          <w:noProof/>
        </w:rPr>
      </w:pPr>
      <w:r w:rsidRPr="00796C83">
        <w:rPr>
          <w:rFonts w:cs="Arial"/>
          <w:noProof/>
        </w:rPr>
        <w:t>i)</w:t>
      </w:r>
      <w:r w:rsidRPr="00796C83">
        <w:rPr>
          <w:rFonts w:cs="Arial"/>
          <w:noProof/>
        </w:rPr>
        <w:tab/>
      </w:r>
      <w:r w:rsidR="00C26CE6" w:rsidRPr="00796C83">
        <w:rPr>
          <w:rFonts w:cs="Arial"/>
          <w:noProof/>
        </w:rPr>
        <w:t xml:space="preserve">que los miembros del Comité Permanente y otros interesados </w:t>
      </w:r>
      <w:r w:rsidR="003211E4" w:rsidRPr="00796C83">
        <w:rPr>
          <w:rFonts w:cs="Arial"/>
          <w:noProof/>
        </w:rPr>
        <w:t>lean</w:t>
      </w:r>
      <w:r w:rsidR="00C26CE6" w:rsidRPr="00796C83">
        <w:rPr>
          <w:rFonts w:cs="Arial"/>
          <w:noProof/>
        </w:rPr>
        <w:t xml:space="preserve"> todos los do</w:t>
      </w:r>
      <w:r w:rsidR="003211E4" w:rsidRPr="00796C83">
        <w:rPr>
          <w:rFonts w:cs="Arial"/>
          <w:noProof/>
        </w:rPr>
        <w:t>c</w:t>
      </w:r>
      <w:r w:rsidR="00C26CE6" w:rsidRPr="00796C83">
        <w:rPr>
          <w:rFonts w:cs="Arial"/>
          <w:noProof/>
        </w:rPr>
        <w:t>u</w:t>
      </w:r>
      <w:r w:rsidR="003211E4" w:rsidRPr="00796C83">
        <w:rPr>
          <w:rFonts w:cs="Arial"/>
          <w:noProof/>
        </w:rPr>
        <w:t>m</w:t>
      </w:r>
      <w:r w:rsidR="00C26CE6" w:rsidRPr="00796C83">
        <w:rPr>
          <w:rFonts w:cs="Arial"/>
          <w:noProof/>
        </w:rPr>
        <w:t xml:space="preserve">entos y </w:t>
      </w:r>
      <w:r w:rsidR="003211E4" w:rsidRPr="00796C83">
        <w:rPr>
          <w:rFonts w:cs="Arial"/>
          <w:noProof/>
        </w:rPr>
        <w:t xml:space="preserve">comprendan </w:t>
      </w:r>
      <w:r w:rsidR="00C26CE6" w:rsidRPr="00796C83">
        <w:rPr>
          <w:rFonts w:cs="Arial"/>
          <w:noProof/>
        </w:rPr>
        <w:t>las cuestiones con antelación</w:t>
      </w:r>
      <w:r w:rsidR="003211E4" w:rsidRPr="00796C83">
        <w:rPr>
          <w:rFonts w:cs="Arial"/>
          <w:noProof/>
        </w:rPr>
        <w:t xml:space="preserve"> a las reuniones</w:t>
      </w:r>
      <w:r w:rsidRPr="00796C83">
        <w:rPr>
          <w:rFonts w:cs="Arial"/>
          <w:noProof/>
        </w:rPr>
        <w:t>;</w:t>
      </w:r>
    </w:p>
    <w:p w14:paraId="4EE0BB13" w14:textId="77777777" w:rsidR="008F3FC0" w:rsidRPr="00796C83" w:rsidRDefault="008F3FC0" w:rsidP="008F3FC0">
      <w:pPr>
        <w:suppressLineNumbers/>
        <w:suppressAutoHyphens/>
        <w:ind w:left="850"/>
        <w:contextualSpacing/>
        <w:rPr>
          <w:rFonts w:cs="Arial"/>
          <w:noProof/>
        </w:rPr>
      </w:pPr>
    </w:p>
    <w:p w14:paraId="1E759F45" w14:textId="0881EB16" w:rsidR="008F3FC0" w:rsidRPr="00796C83" w:rsidRDefault="008F3FC0" w:rsidP="008F3FC0">
      <w:pPr>
        <w:suppressLineNumbers/>
        <w:suppressAutoHyphens/>
        <w:ind w:left="850"/>
        <w:contextualSpacing/>
        <w:rPr>
          <w:rFonts w:cs="Arial"/>
          <w:noProof/>
        </w:rPr>
      </w:pPr>
      <w:r w:rsidRPr="00796C83">
        <w:rPr>
          <w:rFonts w:cs="Arial"/>
          <w:noProof/>
        </w:rPr>
        <w:t>ii)</w:t>
      </w:r>
      <w:r w:rsidRPr="00796C83">
        <w:rPr>
          <w:rFonts w:cs="Arial"/>
          <w:noProof/>
        </w:rPr>
        <w:tab/>
      </w:r>
      <w:r w:rsidR="003211E4" w:rsidRPr="00796C83">
        <w:rPr>
          <w:noProof/>
        </w:rPr>
        <w:t xml:space="preserve">que la atención se centre en las cuestiones más importantes, evitando debatir </w:t>
      </w:r>
      <w:r w:rsidR="006A32A4" w:rsidRPr="00796C83">
        <w:rPr>
          <w:noProof/>
        </w:rPr>
        <w:t xml:space="preserve">sobre </w:t>
      </w:r>
      <w:r w:rsidR="003211E4" w:rsidRPr="00796C83">
        <w:rPr>
          <w:noProof/>
        </w:rPr>
        <w:t>detalles innecesarios en un nutrido orden del día</w:t>
      </w:r>
      <w:r w:rsidRPr="00796C83">
        <w:rPr>
          <w:rFonts w:cs="Arial"/>
          <w:noProof/>
        </w:rPr>
        <w:t>;</w:t>
      </w:r>
    </w:p>
    <w:p w14:paraId="216BEBF7" w14:textId="77777777" w:rsidR="008F3FC0" w:rsidRPr="00796C83" w:rsidRDefault="008F3FC0" w:rsidP="008F3FC0">
      <w:pPr>
        <w:suppressLineNumbers/>
        <w:suppressAutoHyphens/>
        <w:ind w:left="850"/>
        <w:contextualSpacing/>
        <w:rPr>
          <w:rFonts w:cs="Arial"/>
          <w:noProof/>
        </w:rPr>
      </w:pPr>
    </w:p>
    <w:p w14:paraId="44482AA9" w14:textId="3101B1BC" w:rsidR="008F3FC0" w:rsidRPr="00796C83" w:rsidRDefault="008F3FC0" w:rsidP="008F3FC0">
      <w:pPr>
        <w:suppressLineNumbers/>
        <w:suppressAutoHyphens/>
        <w:ind w:left="850"/>
        <w:contextualSpacing/>
        <w:rPr>
          <w:rFonts w:cs="Arial"/>
          <w:noProof/>
        </w:rPr>
      </w:pPr>
      <w:r w:rsidRPr="00796C83">
        <w:rPr>
          <w:rFonts w:cs="Arial"/>
          <w:noProof/>
        </w:rPr>
        <w:t>iii)</w:t>
      </w:r>
      <w:r w:rsidRPr="00796C83">
        <w:rPr>
          <w:rFonts w:cs="Arial"/>
          <w:noProof/>
        </w:rPr>
        <w:tab/>
      </w:r>
      <w:r w:rsidR="003211E4" w:rsidRPr="00796C83">
        <w:rPr>
          <w:noProof/>
        </w:rPr>
        <w:t>ayudar a la Secretaría a publicar a tiempo los documentos conexos, tales como el resumen de los costos de la aplicación de los proyectos de resolución propuestos</w:t>
      </w:r>
      <w:r w:rsidRPr="00796C83">
        <w:rPr>
          <w:rFonts w:cs="Arial"/>
          <w:noProof/>
        </w:rPr>
        <w:t xml:space="preserve">; </w:t>
      </w:r>
      <w:r w:rsidR="00C26CE6" w:rsidRPr="00796C83">
        <w:rPr>
          <w:rFonts w:cs="Arial"/>
          <w:noProof/>
        </w:rPr>
        <w:t>y</w:t>
      </w:r>
    </w:p>
    <w:p w14:paraId="1F997D9F" w14:textId="77777777" w:rsidR="008F3FC0" w:rsidRPr="00796C83" w:rsidRDefault="008F3FC0" w:rsidP="008F3FC0">
      <w:pPr>
        <w:suppressLineNumbers/>
        <w:suppressAutoHyphens/>
        <w:ind w:left="850"/>
        <w:contextualSpacing/>
        <w:rPr>
          <w:rFonts w:cs="Arial"/>
          <w:noProof/>
        </w:rPr>
      </w:pPr>
    </w:p>
    <w:p w14:paraId="5E7509A3" w14:textId="23FFA2E1" w:rsidR="008F3FC0" w:rsidRPr="00796C83" w:rsidRDefault="008F3FC0" w:rsidP="008F3FC0">
      <w:pPr>
        <w:suppressLineNumbers/>
        <w:suppressAutoHyphens/>
        <w:ind w:left="850"/>
        <w:contextualSpacing/>
        <w:rPr>
          <w:rFonts w:cs="Arial"/>
          <w:noProof/>
        </w:rPr>
      </w:pPr>
      <w:r w:rsidRPr="00796C83">
        <w:rPr>
          <w:rFonts w:cs="Arial"/>
          <w:noProof/>
        </w:rPr>
        <w:t>iv)</w:t>
      </w:r>
      <w:r w:rsidRPr="00796C83">
        <w:rPr>
          <w:rFonts w:cs="Arial"/>
          <w:noProof/>
        </w:rPr>
        <w:tab/>
      </w:r>
      <w:r w:rsidR="00C26CE6" w:rsidRPr="00796C83">
        <w:rPr>
          <w:rFonts w:cs="Arial"/>
          <w:noProof/>
        </w:rPr>
        <w:t>ahorrar tiempo</w:t>
      </w:r>
      <w:r w:rsidR="003211E4" w:rsidRPr="00796C83">
        <w:rPr>
          <w:rFonts w:cs="Arial"/>
          <w:noProof/>
        </w:rPr>
        <w:t xml:space="preserve"> y costos </w:t>
      </w:r>
      <w:r w:rsidR="00C26CE6" w:rsidRPr="00796C83">
        <w:rPr>
          <w:rFonts w:cs="Arial"/>
          <w:noProof/>
        </w:rPr>
        <w:t>de traducción</w:t>
      </w:r>
      <w:r w:rsidRPr="00796C83">
        <w:rPr>
          <w:rFonts w:cs="Arial"/>
          <w:noProof/>
        </w:rPr>
        <w:t>.</w:t>
      </w:r>
    </w:p>
    <w:p w14:paraId="4AFF99FD" w14:textId="77777777" w:rsidR="008F3FC0" w:rsidRPr="00796C83" w:rsidRDefault="008F3FC0" w:rsidP="008F3FC0">
      <w:pPr>
        <w:keepNext/>
        <w:suppressLineNumbers/>
        <w:suppressAutoHyphens/>
        <w:contextualSpacing/>
        <w:rPr>
          <w:b/>
          <w:noProof/>
        </w:rPr>
      </w:pPr>
    </w:p>
    <w:p w14:paraId="6F922D96" w14:textId="41ECDF03" w:rsidR="008F3FC0" w:rsidRPr="00F13D5F" w:rsidRDefault="00C26CE6" w:rsidP="008F3FC0">
      <w:pPr>
        <w:keepNext/>
        <w:suppressLineNumbers/>
        <w:suppressAutoHyphens/>
        <w:contextualSpacing/>
        <w:rPr>
          <w:i/>
          <w:noProof/>
          <w:u w:val="single"/>
        </w:rPr>
      </w:pPr>
      <w:r w:rsidRPr="00F13D5F">
        <w:rPr>
          <w:i/>
          <w:noProof/>
          <w:u w:val="single"/>
        </w:rPr>
        <w:t>Redacción</w:t>
      </w:r>
    </w:p>
    <w:p w14:paraId="3734418C" w14:textId="6AC35EF7" w:rsidR="00304D35" w:rsidRPr="00796C83" w:rsidRDefault="00304D35" w:rsidP="008F3FC0">
      <w:pPr>
        <w:keepNext/>
        <w:suppressLineNumbers/>
        <w:suppressAutoHyphens/>
        <w:contextualSpacing/>
        <w:rPr>
          <w:i/>
          <w:noProof/>
        </w:rPr>
      </w:pPr>
    </w:p>
    <w:p w14:paraId="641F1207" w14:textId="2DC7945A" w:rsidR="00304D35" w:rsidRPr="00796C83" w:rsidRDefault="00304D35" w:rsidP="008F3FC0">
      <w:pPr>
        <w:keepNext/>
        <w:suppressLineNumbers/>
        <w:suppressAutoHyphens/>
        <w:contextualSpacing/>
        <w:rPr>
          <w:iCs/>
          <w:noProof/>
        </w:rPr>
      </w:pPr>
      <w:r w:rsidRPr="00796C83">
        <w:rPr>
          <w:iCs/>
          <w:noProof/>
        </w:rPr>
        <w:t>12.</w:t>
      </w:r>
      <w:r w:rsidRPr="00796C83">
        <w:rPr>
          <w:iCs/>
          <w:noProof/>
        </w:rPr>
        <w:tab/>
        <w:t>Los redactores deberán hacer lo siguiente:</w:t>
      </w:r>
    </w:p>
    <w:p w14:paraId="55EBC2C2" w14:textId="77777777" w:rsidR="008F3FC0" w:rsidRPr="00796C83" w:rsidRDefault="008F3FC0" w:rsidP="008F3FC0">
      <w:pPr>
        <w:keepNext/>
        <w:suppressLineNumbers/>
        <w:suppressAutoHyphens/>
        <w:contextualSpacing/>
        <w:rPr>
          <w:b/>
          <w:noProof/>
          <w:color w:val="548DD4" w:themeColor="text2" w:themeTint="99"/>
        </w:rPr>
      </w:pPr>
    </w:p>
    <w:p w14:paraId="509B82A3" w14:textId="1C29EADC" w:rsidR="008F3FC0" w:rsidRPr="00796C83" w:rsidRDefault="00304D35" w:rsidP="008F3FC0">
      <w:pPr>
        <w:pStyle w:val="ListParagraph"/>
        <w:numPr>
          <w:ilvl w:val="0"/>
          <w:numId w:val="36"/>
        </w:numPr>
        <w:suppressLineNumbers/>
        <w:suppressAutoHyphens/>
        <w:ind w:left="426" w:hanging="426"/>
        <w:rPr>
          <w:b/>
          <w:noProof/>
        </w:rPr>
      </w:pPr>
      <w:r w:rsidRPr="00796C83">
        <w:rPr>
          <w:noProof/>
        </w:rPr>
        <w:t>i)</w:t>
      </w:r>
      <w:r w:rsidRPr="00796C83">
        <w:rPr>
          <w:noProof/>
        </w:rPr>
        <w:tab/>
        <w:t>u</w:t>
      </w:r>
      <w:r w:rsidR="003211E4" w:rsidRPr="00796C83">
        <w:rPr>
          <w:noProof/>
        </w:rPr>
        <w:t>t</w:t>
      </w:r>
      <w:r w:rsidR="00DA28FF" w:rsidRPr="00796C83">
        <w:rPr>
          <w:noProof/>
        </w:rPr>
        <w:t>ilizar frases cortas y un</w:t>
      </w:r>
      <w:r w:rsidR="003211E4" w:rsidRPr="00796C83">
        <w:rPr>
          <w:noProof/>
        </w:rPr>
        <w:t xml:space="preserve"> lenguaje </w:t>
      </w:r>
      <w:r w:rsidR="00DA28FF" w:rsidRPr="00796C83">
        <w:rPr>
          <w:noProof/>
        </w:rPr>
        <w:t>sencill</w:t>
      </w:r>
      <w:r w:rsidR="003211E4" w:rsidRPr="00796C83">
        <w:rPr>
          <w:noProof/>
        </w:rPr>
        <w:t>o</w:t>
      </w:r>
      <w:r w:rsidR="00DA28FF" w:rsidRPr="00796C83">
        <w:rPr>
          <w:noProof/>
        </w:rPr>
        <w:t xml:space="preserve"> para lograr </w:t>
      </w:r>
      <w:r w:rsidR="006A32A4" w:rsidRPr="00796C83">
        <w:rPr>
          <w:noProof/>
        </w:rPr>
        <w:t>una</w:t>
      </w:r>
      <w:r w:rsidR="00DA28FF" w:rsidRPr="00796C83">
        <w:rPr>
          <w:noProof/>
        </w:rPr>
        <w:t xml:space="preserve"> mayor comprensión</w:t>
      </w:r>
      <w:r w:rsidRPr="00796C83">
        <w:rPr>
          <w:noProof/>
        </w:rPr>
        <w:t>;</w:t>
      </w:r>
      <w:r w:rsidR="008F3FC0" w:rsidRPr="00796C83">
        <w:rPr>
          <w:noProof/>
        </w:rPr>
        <w:t xml:space="preserve"> </w:t>
      </w:r>
      <w:r w:rsidR="008F3FC0" w:rsidRPr="00796C83">
        <w:rPr>
          <w:noProof/>
        </w:rPr>
        <w:br/>
      </w:r>
    </w:p>
    <w:p w14:paraId="78EF9236" w14:textId="7F2B2AAF" w:rsidR="008F3FC0" w:rsidRPr="00796C83" w:rsidRDefault="00304D35" w:rsidP="008F3FC0">
      <w:pPr>
        <w:pStyle w:val="ListParagraph"/>
        <w:numPr>
          <w:ilvl w:val="0"/>
          <w:numId w:val="36"/>
        </w:numPr>
        <w:suppressLineNumbers/>
        <w:suppressAutoHyphens/>
        <w:ind w:left="426" w:hanging="426"/>
        <w:rPr>
          <w:b/>
          <w:noProof/>
        </w:rPr>
      </w:pPr>
      <w:r w:rsidRPr="00796C83">
        <w:rPr>
          <w:noProof/>
        </w:rPr>
        <w:t>ii)</w:t>
      </w:r>
      <w:r w:rsidRPr="00796C83">
        <w:rPr>
          <w:noProof/>
        </w:rPr>
        <w:tab/>
        <w:t>u</w:t>
      </w:r>
      <w:r w:rsidR="00DA28FF" w:rsidRPr="00796C83">
        <w:rPr>
          <w:noProof/>
        </w:rPr>
        <w:t xml:space="preserve">tilizar un lenguaje que </w:t>
      </w:r>
      <w:r w:rsidRPr="00796C83">
        <w:rPr>
          <w:noProof/>
        </w:rPr>
        <w:t>se mantenga vigente</w:t>
      </w:r>
      <w:r w:rsidR="00DA28FF" w:rsidRPr="00796C83">
        <w:rPr>
          <w:noProof/>
        </w:rPr>
        <w:t xml:space="preserve"> mucho tiempo después de la COP en la que se a</w:t>
      </w:r>
      <w:r w:rsidR="003211E4" w:rsidRPr="00796C83">
        <w:rPr>
          <w:noProof/>
        </w:rPr>
        <w:t>probaron</w:t>
      </w:r>
      <w:r w:rsidR="00DA28FF" w:rsidRPr="00796C83">
        <w:rPr>
          <w:noProof/>
        </w:rPr>
        <w:t xml:space="preserve">, por ejemplo, evitando detalles sobre </w:t>
      </w:r>
      <w:r w:rsidR="003211E4" w:rsidRPr="00796C83">
        <w:rPr>
          <w:noProof/>
        </w:rPr>
        <w:t>formatos</w:t>
      </w:r>
      <w:r w:rsidRPr="00796C83">
        <w:rPr>
          <w:noProof/>
        </w:rPr>
        <w:t xml:space="preserve"> específicos</w:t>
      </w:r>
      <w:r w:rsidR="003211E4" w:rsidRPr="00796C83">
        <w:rPr>
          <w:noProof/>
        </w:rPr>
        <w:t xml:space="preserve">, </w:t>
      </w:r>
      <w:r w:rsidRPr="00796C83">
        <w:rPr>
          <w:noProof/>
        </w:rPr>
        <w:t xml:space="preserve">métodos, </w:t>
      </w:r>
      <w:r w:rsidR="00DA28FF" w:rsidRPr="00796C83">
        <w:rPr>
          <w:noProof/>
        </w:rPr>
        <w:t>herramientas técnicas</w:t>
      </w:r>
      <w:r w:rsidR="003211E4" w:rsidRPr="00796C83">
        <w:rPr>
          <w:noProof/>
        </w:rPr>
        <w:t xml:space="preserve"> </w:t>
      </w:r>
      <w:r w:rsidRPr="00796C83">
        <w:rPr>
          <w:noProof/>
        </w:rPr>
        <w:t>etc.</w:t>
      </w:r>
      <w:r w:rsidR="00E4788E" w:rsidRPr="00796C83">
        <w:rPr>
          <w:noProof/>
        </w:rPr>
        <w:t>;</w:t>
      </w:r>
      <w:r w:rsidRPr="00796C83">
        <w:rPr>
          <w:noProof/>
        </w:rPr>
        <w:t xml:space="preserve"> y</w:t>
      </w:r>
    </w:p>
    <w:p w14:paraId="5D60B8BD" w14:textId="77777777" w:rsidR="00DA28FF" w:rsidRPr="00796C83" w:rsidRDefault="00DA28FF" w:rsidP="00DA28FF">
      <w:pPr>
        <w:pStyle w:val="ListParagraph"/>
        <w:suppressLineNumbers/>
        <w:suppressAutoHyphens/>
        <w:ind w:left="426" w:firstLine="0"/>
        <w:rPr>
          <w:b/>
          <w:noProof/>
        </w:rPr>
      </w:pPr>
    </w:p>
    <w:p w14:paraId="19C90A25" w14:textId="20610243" w:rsidR="008F3FC0" w:rsidRPr="00796C83" w:rsidRDefault="00304D35" w:rsidP="008F3FC0">
      <w:pPr>
        <w:pStyle w:val="ListParagraph"/>
        <w:numPr>
          <w:ilvl w:val="0"/>
          <w:numId w:val="36"/>
        </w:numPr>
        <w:suppressLineNumbers/>
        <w:suppressAutoHyphens/>
        <w:ind w:left="426" w:hanging="426"/>
        <w:rPr>
          <w:noProof/>
        </w:rPr>
      </w:pPr>
      <w:r w:rsidRPr="00796C83">
        <w:rPr>
          <w:noProof/>
        </w:rPr>
        <w:t>iii) u</w:t>
      </w:r>
      <w:r w:rsidR="00DA28FF" w:rsidRPr="00796C83">
        <w:rPr>
          <w:noProof/>
        </w:rPr>
        <w:t xml:space="preserve">tilizar descripciones específicas </w:t>
      </w:r>
      <w:r w:rsidR="003211E4" w:rsidRPr="00796C83">
        <w:rPr>
          <w:noProof/>
        </w:rPr>
        <w:t>del tiempo</w:t>
      </w:r>
      <w:r w:rsidR="00DA28FF" w:rsidRPr="00796C83">
        <w:rPr>
          <w:noProof/>
        </w:rPr>
        <w:t xml:space="preserve">, por ejemplo, fechas o años </w:t>
      </w:r>
      <w:r w:rsidR="003211E4" w:rsidRPr="00796C83">
        <w:rPr>
          <w:noProof/>
        </w:rPr>
        <w:t>concretos</w:t>
      </w:r>
      <w:r w:rsidR="00DA28FF" w:rsidRPr="00796C83">
        <w:rPr>
          <w:noProof/>
        </w:rPr>
        <w:t xml:space="preserve"> o un calendario que haga referencia a reuniones </w:t>
      </w:r>
      <w:r w:rsidRPr="00796C83">
        <w:rPr>
          <w:noProof/>
        </w:rPr>
        <w:t>específicas</w:t>
      </w:r>
      <w:r w:rsidR="00DA28FF" w:rsidRPr="00796C83">
        <w:rPr>
          <w:noProof/>
        </w:rPr>
        <w:t xml:space="preserve"> de </w:t>
      </w:r>
      <w:r w:rsidR="006328CE" w:rsidRPr="00796C83">
        <w:rPr>
          <w:noProof/>
        </w:rPr>
        <w:t>la Convención sobre los Humedales</w:t>
      </w:r>
      <w:r w:rsidR="00DA28FF" w:rsidRPr="00796C83">
        <w:rPr>
          <w:noProof/>
        </w:rPr>
        <w:t>.</w:t>
      </w:r>
    </w:p>
    <w:p w14:paraId="79CCDEB1" w14:textId="77777777" w:rsidR="001600E3" w:rsidRPr="00796C83" w:rsidRDefault="001600E3" w:rsidP="00304D35">
      <w:pPr>
        <w:ind w:left="0" w:firstLine="0"/>
        <w:rPr>
          <w:noProof/>
        </w:rPr>
      </w:pPr>
    </w:p>
    <w:p w14:paraId="0DB05E86" w14:textId="3053E68B" w:rsidR="008F3FC0" w:rsidRPr="00F13D5F" w:rsidRDefault="00DA28FF" w:rsidP="008F3FC0">
      <w:pPr>
        <w:keepNext/>
        <w:suppressLineNumbers/>
        <w:suppressAutoHyphens/>
        <w:ind w:left="0" w:firstLine="0"/>
        <w:rPr>
          <w:i/>
          <w:noProof/>
          <w:u w:val="single"/>
        </w:rPr>
      </w:pPr>
      <w:r w:rsidRPr="00F13D5F">
        <w:rPr>
          <w:i/>
          <w:noProof/>
          <w:u w:val="single"/>
        </w:rPr>
        <w:t>Introducción para el Comité Permanente</w:t>
      </w:r>
    </w:p>
    <w:p w14:paraId="2730E37E" w14:textId="77777777" w:rsidR="001F6249" w:rsidRPr="00796C83" w:rsidRDefault="001F6249" w:rsidP="0054341B">
      <w:pPr>
        <w:keepNext/>
        <w:ind w:left="0" w:firstLine="0"/>
        <w:contextualSpacing/>
        <w:rPr>
          <w:rFonts w:cs="Arial"/>
          <w:i/>
          <w:noProof/>
        </w:rPr>
      </w:pPr>
    </w:p>
    <w:p w14:paraId="19940E80" w14:textId="543D163E" w:rsidR="001F6249" w:rsidRPr="00796C83" w:rsidRDefault="00DA28FF" w:rsidP="001F6249">
      <w:pPr>
        <w:rPr>
          <w:noProof/>
        </w:rPr>
      </w:pPr>
      <w:r w:rsidRPr="00796C83">
        <w:rPr>
          <w:noProof/>
        </w:rPr>
        <w:t>1</w:t>
      </w:r>
      <w:r w:rsidR="00304D35" w:rsidRPr="00796C83">
        <w:rPr>
          <w:noProof/>
        </w:rPr>
        <w:t>3</w:t>
      </w:r>
      <w:r w:rsidRPr="00796C83">
        <w:rPr>
          <w:noProof/>
        </w:rPr>
        <w:t>.</w:t>
      </w:r>
      <w:r w:rsidR="001F6249" w:rsidRPr="00796C83">
        <w:rPr>
          <w:noProof/>
        </w:rPr>
        <w:tab/>
        <w:t>La introducción deberá contener una invitación al Comité Permanente para que este examine y apruebe el proyecto de resolución a fin de que sea examinado en la COP1</w:t>
      </w:r>
      <w:r w:rsidR="00304D35" w:rsidRPr="00796C83">
        <w:rPr>
          <w:noProof/>
        </w:rPr>
        <w:t>5</w:t>
      </w:r>
      <w:r w:rsidRPr="00796C83">
        <w:rPr>
          <w:noProof/>
        </w:rPr>
        <w:t xml:space="preserve"> </w:t>
      </w:r>
      <w:r w:rsidR="001600E3" w:rsidRPr="00796C83">
        <w:rPr>
          <w:noProof/>
        </w:rPr>
        <w:t>como parte del conjunto de los proyectos de resolución que esté previsto presentar a la COP</w:t>
      </w:r>
      <w:r w:rsidR="001F6249" w:rsidRPr="00796C83">
        <w:rPr>
          <w:noProof/>
        </w:rPr>
        <w:t>.</w:t>
      </w:r>
    </w:p>
    <w:p w14:paraId="5FFD010A" w14:textId="77777777" w:rsidR="001F6249" w:rsidRPr="00796C83" w:rsidRDefault="001F6249" w:rsidP="001F6249">
      <w:pPr>
        <w:ind w:left="0" w:firstLine="0"/>
        <w:rPr>
          <w:noProof/>
          <w:color w:val="000000"/>
        </w:rPr>
      </w:pPr>
    </w:p>
    <w:p w14:paraId="081DD3D9" w14:textId="416E7E9F" w:rsidR="001F6249" w:rsidRPr="00796C83" w:rsidRDefault="008934D9" w:rsidP="001F6249">
      <w:pPr>
        <w:rPr>
          <w:noProof/>
        </w:rPr>
      </w:pPr>
      <w:r w:rsidRPr="00796C83">
        <w:rPr>
          <w:noProof/>
        </w:rPr>
        <w:t>1</w:t>
      </w:r>
      <w:r w:rsidR="00304D35" w:rsidRPr="00796C83">
        <w:rPr>
          <w:noProof/>
        </w:rPr>
        <w:t>4</w:t>
      </w:r>
      <w:r w:rsidR="001F6249" w:rsidRPr="00796C83">
        <w:rPr>
          <w:noProof/>
        </w:rPr>
        <w:t>.</w:t>
      </w:r>
      <w:r w:rsidR="001F6249" w:rsidRPr="00796C83">
        <w:rPr>
          <w:noProof/>
        </w:rPr>
        <w:tab/>
        <w:t>Además, podrá incluir información</w:t>
      </w:r>
      <w:r w:rsidR="001600E3" w:rsidRPr="00796C83">
        <w:rPr>
          <w:noProof/>
        </w:rPr>
        <w:t xml:space="preserve"> adicional</w:t>
      </w:r>
      <w:r w:rsidR="001F6249" w:rsidRPr="00796C83">
        <w:rPr>
          <w:noProof/>
        </w:rPr>
        <w:t xml:space="preserve"> </w:t>
      </w:r>
      <w:r w:rsidR="001600E3" w:rsidRPr="00796C83">
        <w:rPr>
          <w:noProof/>
        </w:rPr>
        <w:t xml:space="preserve">de antecedentes </w:t>
      </w:r>
      <w:r w:rsidR="008B52E0" w:rsidRPr="00796C83">
        <w:rPr>
          <w:noProof/>
        </w:rPr>
        <w:t xml:space="preserve">para </w:t>
      </w:r>
      <w:r w:rsidR="001600E3" w:rsidRPr="00796C83">
        <w:rPr>
          <w:noProof/>
        </w:rPr>
        <w:t>explicar</w:t>
      </w:r>
      <w:r w:rsidR="008B52E0" w:rsidRPr="00796C83">
        <w:rPr>
          <w:noProof/>
        </w:rPr>
        <w:t xml:space="preserve"> </w:t>
      </w:r>
      <w:r w:rsidR="001600E3" w:rsidRPr="00796C83">
        <w:rPr>
          <w:noProof/>
        </w:rPr>
        <w:t>el</w:t>
      </w:r>
      <w:r w:rsidR="001F6249" w:rsidRPr="00796C83">
        <w:rPr>
          <w:noProof/>
        </w:rPr>
        <w:t xml:space="preserve"> contexto </w:t>
      </w:r>
      <w:r w:rsidR="008B52E0" w:rsidRPr="00796C83">
        <w:rPr>
          <w:noProof/>
        </w:rPr>
        <w:t xml:space="preserve">y ayudar a fundamentar la decisión del </w:t>
      </w:r>
      <w:r w:rsidR="001F6249" w:rsidRPr="00796C83">
        <w:rPr>
          <w:noProof/>
        </w:rPr>
        <w:t>Comité Permanente</w:t>
      </w:r>
      <w:r w:rsidR="00F13D5F">
        <w:rPr>
          <w:noProof/>
        </w:rPr>
        <w:t>. D</w:t>
      </w:r>
      <w:r w:rsidR="001600E3" w:rsidRPr="00796C83">
        <w:rPr>
          <w:noProof/>
        </w:rPr>
        <w:t>icha información n</w:t>
      </w:r>
      <w:r w:rsidR="008B52E0" w:rsidRPr="00796C83">
        <w:rPr>
          <w:noProof/>
        </w:rPr>
        <w:t>o s</w:t>
      </w:r>
      <w:r w:rsidRPr="00796C83">
        <w:rPr>
          <w:noProof/>
        </w:rPr>
        <w:t xml:space="preserve">ería modificada por las Partes </w:t>
      </w:r>
      <w:r w:rsidR="001600E3" w:rsidRPr="00796C83">
        <w:rPr>
          <w:noProof/>
        </w:rPr>
        <w:t>Contratantes</w:t>
      </w:r>
      <w:r w:rsidRPr="00796C83">
        <w:rPr>
          <w:noProof/>
        </w:rPr>
        <w:t xml:space="preserve"> ni tampoco </w:t>
      </w:r>
      <w:r w:rsidR="001600E3" w:rsidRPr="00796C83">
        <w:rPr>
          <w:noProof/>
        </w:rPr>
        <w:t>sería</w:t>
      </w:r>
      <w:r w:rsidRPr="00796C83">
        <w:rPr>
          <w:noProof/>
        </w:rPr>
        <w:t xml:space="preserve"> presentad</w:t>
      </w:r>
      <w:r w:rsidR="001600E3" w:rsidRPr="00796C83">
        <w:rPr>
          <w:noProof/>
        </w:rPr>
        <w:t>a</w:t>
      </w:r>
      <w:r w:rsidRPr="00796C83">
        <w:rPr>
          <w:noProof/>
        </w:rPr>
        <w:t xml:space="preserve"> a la COP como parte del texto del proyecto de resolución. </w:t>
      </w:r>
      <w:r w:rsidR="001F6249" w:rsidRPr="00796C83">
        <w:rPr>
          <w:noProof/>
        </w:rPr>
        <w:t>La justificación de</w:t>
      </w:r>
      <w:r w:rsidR="00E12090" w:rsidRPr="00796C83">
        <w:rPr>
          <w:noProof/>
        </w:rPr>
        <w:t>l</w:t>
      </w:r>
      <w:r w:rsidR="001F6249" w:rsidRPr="00796C83">
        <w:rPr>
          <w:noProof/>
        </w:rPr>
        <w:t xml:space="preserve"> proyecto de resolución propuesto </w:t>
      </w:r>
      <w:r w:rsidR="00D01EBF" w:rsidRPr="00796C83">
        <w:rPr>
          <w:noProof/>
        </w:rPr>
        <w:t>deberá</w:t>
      </w:r>
      <w:r w:rsidR="001F6249" w:rsidRPr="00796C83">
        <w:rPr>
          <w:noProof/>
        </w:rPr>
        <w:t xml:space="preserve"> hacerse explícita en los párrafos del preámbulo</w:t>
      </w:r>
      <w:r w:rsidR="008A5567" w:rsidRPr="00796C83">
        <w:rPr>
          <w:noProof/>
        </w:rPr>
        <w:t xml:space="preserve"> del </w:t>
      </w:r>
      <w:r w:rsidR="003A3207" w:rsidRPr="00796C83">
        <w:rPr>
          <w:noProof/>
        </w:rPr>
        <w:t xml:space="preserve">propio </w:t>
      </w:r>
      <w:r w:rsidR="008A5567" w:rsidRPr="00796C83">
        <w:rPr>
          <w:noProof/>
        </w:rPr>
        <w:t>proyecto de resolución</w:t>
      </w:r>
      <w:r w:rsidR="001F6249" w:rsidRPr="00796C83">
        <w:rPr>
          <w:noProof/>
        </w:rPr>
        <w:t>.</w:t>
      </w:r>
    </w:p>
    <w:p w14:paraId="7B54DEEE" w14:textId="77777777" w:rsidR="001F6249" w:rsidRPr="00796C83" w:rsidRDefault="001F6249" w:rsidP="001F6249">
      <w:pPr>
        <w:ind w:left="0" w:firstLine="0"/>
        <w:rPr>
          <w:noProof/>
          <w:color w:val="000000"/>
        </w:rPr>
      </w:pPr>
    </w:p>
    <w:p w14:paraId="01F94C06" w14:textId="626A3EB0" w:rsidR="001F6249" w:rsidRPr="00796C83" w:rsidRDefault="001F6249" w:rsidP="001F6249">
      <w:pPr>
        <w:rPr>
          <w:noProof/>
        </w:rPr>
      </w:pPr>
      <w:r w:rsidRPr="00796C83">
        <w:rPr>
          <w:noProof/>
        </w:rPr>
        <w:t>1</w:t>
      </w:r>
      <w:r w:rsidR="00304D35" w:rsidRPr="00796C83">
        <w:rPr>
          <w:noProof/>
        </w:rPr>
        <w:t>5</w:t>
      </w:r>
      <w:r w:rsidRPr="00796C83">
        <w:rPr>
          <w:noProof/>
        </w:rPr>
        <w:t>.</w:t>
      </w:r>
      <w:r w:rsidRPr="00796C83">
        <w:rPr>
          <w:noProof/>
        </w:rPr>
        <w:tab/>
      </w:r>
      <w:r w:rsidR="008934D9" w:rsidRPr="00796C83">
        <w:rPr>
          <w:noProof/>
        </w:rPr>
        <w:t>Para ser conforme al artículo 14 del reglamento, l</w:t>
      </w:r>
      <w:r w:rsidRPr="00796C83">
        <w:rPr>
          <w:noProof/>
        </w:rPr>
        <w:t xml:space="preserve">a introducción deberá contener un cuadro en el que se indiquen las posibles repercusiones sobre </w:t>
      </w:r>
      <w:r w:rsidR="008934D9" w:rsidRPr="00796C83">
        <w:rPr>
          <w:noProof/>
        </w:rPr>
        <w:t xml:space="preserve">la carga de trabajo de la Secretaría y </w:t>
      </w:r>
      <w:r w:rsidRPr="00796C83">
        <w:rPr>
          <w:noProof/>
        </w:rPr>
        <w:t xml:space="preserve">los presupuestos básico o no básico de la </w:t>
      </w:r>
      <w:r w:rsidR="008934D9" w:rsidRPr="00796C83">
        <w:rPr>
          <w:noProof/>
        </w:rPr>
        <w:t>Convención</w:t>
      </w:r>
      <w:r w:rsidRPr="00796C83">
        <w:rPr>
          <w:noProof/>
        </w:rPr>
        <w:t xml:space="preserve"> de cada acción incluida en los párrafos de la parte dispositiva. En </w:t>
      </w:r>
      <w:r w:rsidR="00E12090" w:rsidRPr="00796C83">
        <w:rPr>
          <w:noProof/>
        </w:rPr>
        <w:t>el cuadro</w:t>
      </w:r>
      <w:r w:rsidRPr="00796C83">
        <w:rPr>
          <w:noProof/>
        </w:rPr>
        <w:t xml:space="preserve"> </w:t>
      </w:r>
      <w:r w:rsidR="00E12090" w:rsidRPr="00796C83">
        <w:rPr>
          <w:noProof/>
        </w:rPr>
        <w:t xml:space="preserve">se </w:t>
      </w:r>
      <w:r w:rsidR="00D01EBF" w:rsidRPr="00796C83">
        <w:rPr>
          <w:noProof/>
        </w:rPr>
        <w:t>deberá</w:t>
      </w:r>
      <w:r w:rsidR="00E12090" w:rsidRPr="00796C83">
        <w:rPr>
          <w:noProof/>
        </w:rPr>
        <w:t xml:space="preserve">n </w:t>
      </w:r>
      <w:r w:rsidRPr="00796C83">
        <w:rPr>
          <w:noProof/>
        </w:rPr>
        <w:t>describir la</w:t>
      </w:r>
      <w:r w:rsidR="008934D9" w:rsidRPr="00796C83">
        <w:rPr>
          <w:noProof/>
        </w:rPr>
        <w:t>s</w:t>
      </w:r>
      <w:r w:rsidRPr="00796C83">
        <w:rPr>
          <w:noProof/>
        </w:rPr>
        <w:t xml:space="preserve"> acci</w:t>
      </w:r>
      <w:r w:rsidR="008934D9" w:rsidRPr="00796C83">
        <w:rPr>
          <w:noProof/>
        </w:rPr>
        <w:t>o</w:t>
      </w:r>
      <w:r w:rsidRPr="00796C83">
        <w:rPr>
          <w:noProof/>
        </w:rPr>
        <w:t>n</w:t>
      </w:r>
      <w:r w:rsidR="008934D9" w:rsidRPr="00796C83">
        <w:rPr>
          <w:noProof/>
        </w:rPr>
        <w:t>es</w:t>
      </w:r>
      <w:r w:rsidRPr="00796C83">
        <w:rPr>
          <w:noProof/>
        </w:rPr>
        <w:t xml:space="preserve"> y el costo en francos suizos (CHF). Se </w:t>
      </w:r>
      <w:r w:rsidR="00D01EBF" w:rsidRPr="00796C83">
        <w:rPr>
          <w:noProof/>
        </w:rPr>
        <w:t>deberá</w:t>
      </w:r>
      <w:r w:rsidRPr="00796C83">
        <w:rPr>
          <w:noProof/>
        </w:rPr>
        <w:t xml:space="preserve"> indicar claramente cualquier costo recurrente. La Secretaría podrá determinar </w:t>
      </w:r>
      <w:r w:rsidR="008934D9" w:rsidRPr="00796C83">
        <w:rPr>
          <w:noProof/>
        </w:rPr>
        <w:t>la posible carga de trabajo y el</w:t>
      </w:r>
      <w:r w:rsidRPr="00796C83">
        <w:rPr>
          <w:noProof/>
        </w:rPr>
        <w:t xml:space="preserve"> monto necesario</w:t>
      </w:r>
      <w:r w:rsidR="008934D9" w:rsidRPr="00796C83">
        <w:rPr>
          <w:noProof/>
        </w:rPr>
        <w:t xml:space="preserve"> para apoyar la acción</w:t>
      </w:r>
      <w:r w:rsidRPr="00796C83">
        <w:rPr>
          <w:noProof/>
        </w:rPr>
        <w:t xml:space="preserve"> si la Parte en cuestión enumera las acciones </w:t>
      </w:r>
      <w:r w:rsidR="008934D9" w:rsidRPr="00796C83">
        <w:rPr>
          <w:noProof/>
        </w:rPr>
        <w:t>concretas</w:t>
      </w:r>
      <w:r w:rsidRPr="00796C83">
        <w:rPr>
          <w:noProof/>
        </w:rPr>
        <w:t xml:space="preserve">, según se indica en el </w:t>
      </w:r>
      <w:r w:rsidR="00E12090" w:rsidRPr="00796C83">
        <w:rPr>
          <w:noProof/>
        </w:rPr>
        <w:t>C</w:t>
      </w:r>
      <w:r w:rsidRPr="00796C83">
        <w:rPr>
          <w:noProof/>
        </w:rPr>
        <w:t>uadro 1 a continuación.</w:t>
      </w:r>
    </w:p>
    <w:p w14:paraId="53E62386" w14:textId="77777777" w:rsidR="001F6249" w:rsidRPr="00796C83" w:rsidRDefault="001F6249" w:rsidP="001F6249">
      <w:pPr>
        <w:ind w:left="0" w:firstLine="0"/>
        <w:contextualSpacing/>
        <w:rPr>
          <w:rFonts w:cs="Arial"/>
          <w:noProof/>
        </w:rPr>
      </w:pPr>
    </w:p>
    <w:p w14:paraId="3EED9F01" w14:textId="77777777" w:rsidR="001F6249" w:rsidRPr="00796C83" w:rsidRDefault="001F6249" w:rsidP="00BD0F78">
      <w:pPr>
        <w:ind w:left="0" w:firstLine="0"/>
        <w:contextualSpacing/>
        <w:rPr>
          <w:rFonts w:cs="Arial"/>
          <w:i/>
          <w:noProof/>
        </w:rPr>
      </w:pPr>
      <w:r w:rsidRPr="00796C83">
        <w:rPr>
          <w:i/>
          <w:noProof/>
        </w:rPr>
        <w:t>Cuadro 1: Ejemplo de información sobre las repercusiones financieras de la aplicación de los proyectos de resolución</w:t>
      </w:r>
    </w:p>
    <w:tbl>
      <w:tblPr>
        <w:tblStyle w:val="TableGrid"/>
        <w:tblW w:w="0" w:type="auto"/>
        <w:tblInd w:w="-5" w:type="dxa"/>
        <w:tblLook w:val="04A0" w:firstRow="1" w:lastRow="0" w:firstColumn="1" w:lastColumn="0" w:noHBand="0" w:noVBand="1"/>
      </w:tblPr>
      <w:tblGrid>
        <w:gridCol w:w="2755"/>
        <w:gridCol w:w="3839"/>
        <w:gridCol w:w="2427"/>
      </w:tblGrid>
      <w:tr w:rsidR="001F6249" w:rsidRPr="00796C83" w14:paraId="3CEBF06D" w14:textId="77777777" w:rsidTr="00F13D5F">
        <w:tc>
          <w:tcPr>
            <w:tcW w:w="2755" w:type="dxa"/>
          </w:tcPr>
          <w:p w14:paraId="3CF9B33E" w14:textId="77777777" w:rsidR="001F6249" w:rsidRPr="00796C83" w:rsidRDefault="001F6249" w:rsidP="008B52E0">
            <w:pPr>
              <w:contextualSpacing/>
              <w:rPr>
                <w:rFonts w:cs="Arial"/>
                <w:noProof/>
              </w:rPr>
            </w:pPr>
            <w:r w:rsidRPr="00796C83">
              <w:rPr>
                <w:noProof/>
              </w:rPr>
              <w:t>Párrafo</w:t>
            </w:r>
          </w:p>
        </w:tc>
        <w:tc>
          <w:tcPr>
            <w:tcW w:w="3839" w:type="dxa"/>
          </w:tcPr>
          <w:p w14:paraId="525E2F1C" w14:textId="77777777" w:rsidR="001F6249" w:rsidRPr="00796C83" w:rsidRDefault="001F6249" w:rsidP="008B52E0">
            <w:pPr>
              <w:contextualSpacing/>
              <w:rPr>
                <w:rFonts w:cs="Arial"/>
                <w:noProof/>
              </w:rPr>
            </w:pPr>
            <w:r w:rsidRPr="00796C83">
              <w:rPr>
                <w:noProof/>
              </w:rPr>
              <w:t xml:space="preserve">Acción </w:t>
            </w:r>
          </w:p>
        </w:tc>
        <w:tc>
          <w:tcPr>
            <w:tcW w:w="2427" w:type="dxa"/>
          </w:tcPr>
          <w:p w14:paraId="024219FF" w14:textId="77777777" w:rsidR="001F6249" w:rsidRPr="00796C83" w:rsidRDefault="001F6249" w:rsidP="008B52E0">
            <w:pPr>
              <w:contextualSpacing/>
              <w:rPr>
                <w:rFonts w:cs="Arial"/>
                <w:noProof/>
              </w:rPr>
            </w:pPr>
            <w:r w:rsidRPr="00796C83">
              <w:rPr>
                <w:noProof/>
              </w:rPr>
              <w:t>Costo (francos suizos)</w:t>
            </w:r>
          </w:p>
        </w:tc>
      </w:tr>
      <w:tr w:rsidR="001F6249" w:rsidRPr="00796C83" w14:paraId="2610587C" w14:textId="77777777" w:rsidTr="00F13D5F">
        <w:tc>
          <w:tcPr>
            <w:tcW w:w="2755" w:type="dxa"/>
          </w:tcPr>
          <w:p w14:paraId="4273668F" w14:textId="3AB1E41F" w:rsidR="001F6249" w:rsidRPr="00796C83" w:rsidRDefault="001F6249" w:rsidP="008B52E0">
            <w:pPr>
              <w:ind w:left="0" w:firstLine="0"/>
              <w:contextualSpacing/>
              <w:rPr>
                <w:rFonts w:cs="Arial"/>
                <w:noProof/>
              </w:rPr>
            </w:pPr>
            <w:r w:rsidRPr="00796C83">
              <w:rPr>
                <w:noProof/>
              </w:rPr>
              <w:t>20.</w:t>
            </w:r>
            <w:r w:rsidR="00984EEA" w:rsidRPr="00796C83">
              <w:rPr>
                <w:noProof/>
              </w:rPr>
              <w:t xml:space="preserve"> </w:t>
            </w:r>
            <w:r w:rsidRPr="00796C83">
              <w:rPr>
                <w:noProof/>
              </w:rPr>
              <w:t>PIDE al Comité Permanente que prepare un informe resumido…</w:t>
            </w:r>
          </w:p>
        </w:tc>
        <w:tc>
          <w:tcPr>
            <w:tcW w:w="3839" w:type="dxa"/>
          </w:tcPr>
          <w:p w14:paraId="60324813" w14:textId="39EF77DE" w:rsidR="001F6249" w:rsidRPr="00796C83" w:rsidRDefault="001F6249" w:rsidP="008B52E0">
            <w:pPr>
              <w:ind w:left="0" w:firstLine="0"/>
              <w:contextualSpacing/>
              <w:rPr>
                <w:rFonts w:cs="Arial"/>
                <w:noProof/>
              </w:rPr>
            </w:pPr>
            <w:r w:rsidRPr="00796C83">
              <w:rPr>
                <w:noProof/>
              </w:rPr>
              <w:t>La Secretaría coordina la redacción del proyecto, el consultor redacta el informe (10 días)</w:t>
            </w:r>
          </w:p>
        </w:tc>
        <w:tc>
          <w:tcPr>
            <w:tcW w:w="2427" w:type="dxa"/>
          </w:tcPr>
          <w:p w14:paraId="0403EFBA" w14:textId="14161D37" w:rsidR="001F6249" w:rsidRPr="00796C83" w:rsidRDefault="001F6249" w:rsidP="008B52E0">
            <w:pPr>
              <w:ind w:left="0" w:firstLine="0"/>
              <w:contextualSpacing/>
              <w:rPr>
                <w:rFonts w:cs="Arial"/>
                <w:noProof/>
              </w:rPr>
            </w:pPr>
            <w:r w:rsidRPr="00796C83">
              <w:rPr>
                <w:noProof/>
              </w:rPr>
              <w:t xml:space="preserve">5 000 </w:t>
            </w:r>
            <w:r w:rsidR="00304D35" w:rsidRPr="00796C83">
              <w:rPr>
                <w:noProof/>
              </w:rPr>
              <w:t>CHF</w:t>
            </w:r>
            <w:r w:rsidRPr="00796C83">
              <w:rPr>
                <w:noProof/>
              </w:rPr>
              <w:t xml:space="preserve"> (costo único)</w:t>
            </w:r>
          </w:p>
        </w:tc>
      </w:tr>
    </w:tbl>
    <w:p w14:paraId="5C1F6370" w14:textId="77777777" w:rsidR="001F6249" w:rsidRPr="00796C83" w:rsidRDefault="001F6249" w:rsidP="001F6249">
      <w:pPr>
        <w:contextualSpacing/>
        <w:rPr>
          <w:rFonts w:cs="Arial"/>
          <w:noProof/>
        </w:rPr>
      </w:pPr>
    </w:p>
    <w:p w14:paraId="3B36AA16" w14:textId="77777777" w:rsidR="001F6249" w:rsidRPr="00796C83" w:rsidRDefault="001F6249" w:rsidP="001F6249">
      <w:pPr>
        <w:contextualSpacing/>
        <w:rPr>
          <w:rFonts w:cs="Arial"/>
          <w:noProof/>
        </w:rPr>
      </w:pPr>
    </w:p>
    <w:p w14:paraId="3B27E522" w14:textId="6C6F5F1C" w:rsidR="001F6249" w:rsidRPr="00F13D5F" w:rsidRDefault="00E12090" w:rsidP="001F6249">
      <w:pPr>
        <w:contextualSpacing/>
        <w:rPr>
          <w:rFonts w:cs="Arial"/>
          <w:i/>
          <w:noProof/>
          <w:u w:val="single"/>
        </w:rPr>
      </w:pPr>
      <w:r w:rsidRPr="00F13D5F">
        <w:rPr>
          <w:i/>
          <w:noProof/>
          <w:u w:val="single"/>
        </w:rPr>
        <w:t>T</w:t>
      </w:r>
      <w:r w:rsidR="001F6249" w:rsidRPr="00F13D5F">
        <w:rPr>
          <w:i/>
          <w:noProof/>
          <w:u w:val="single"/>
        </w:rPr>
        <w:t>exto de</w:t>
      </w:r>
      <w:r w:rsidR="008934D9" w:rsidRPr="00F13D5F">
        <w:rPr>
          <w:i/>
          <w:noProof/>
          <w:u w:val="single"/>
        </w:rPr>
        <w:t>l proyecto de</w:t>
      </w:r>
      <w:r w:rsidR="001F6249" w:rsidRPr="00F13D5F">
        <w:rPr>
          <w:i/>
          <w:noProof/>
          <w:u w:val="single"/>
        </w:rPr>
        <w:t xml:space="preserve"> resolución </w:t>
      </w:r>
      <w:r w:rsidR="008934D9" w:rsidRPr="00F13D5F">
        <w:rPr>
          <w:i/>
          <w:noProof/>
          <w:u w:val="single"/>
        </w:rPr>
        <w:t>propuesto</w:t>
      </w:r>
    </w:p>
    <w:p w14:paraId="048E2CB6" w14:textId="77777777" w:rsidR="001F6249" w:rsidRPr="00796C83" w:rsidRDefault="001F6249" w:rsidP="001F6249">
      <w:pPr>
        <w:contextualSpacing/>
        <w:rPr>
          <w:rFonts w:cs="Arial"/>
          <w:i/>
          <w:noProof/>
        </w:rPr>
      </w:pPr>
    </w:p>
    <w:p w14:paraId="5D55F00C" w14:textId="4A202259" w:rsidR="001F6249" w:rsidRPr="00796C83" w:rsidRDefault="001F6249" w:rsidP="001F6249">
      <w:pPr>
        <w:rPr>
          <w:noProof/>
        </w:rPr>
      </w:pPr>
      <w:r w:rsidRPr="00796C83">
        <w:rPr>
          <w:noProof/>
        </w:rPr>
        <w:t>1</w:t>
      </w:r>
      <w:r w:rsidR="00304D35" w:rsidRPr="00796C83">
        <w:rPr>
          <w:noProof/>
        </w:rPr>
        <w:t>6</w:t>
      </w:r>
      <w:r w:rsidRPr="00796C83">
        <w:rPr>
          <w:noProof/>
        </w:rPr>
        <w:t>.</w:t>
      </w:r>
      <w:r w:rsidRPr="00796C83">
        <w:rPr>
          <w:noProof/>
        </w:rPr>
        <w:tab/>
        <w:t>Todos los párrafos de un proyecto de resolución, incluidos los párrafos del preámbulo y de la parte dispositiva, deberán numerarse de forma consecutiva (1, 2, 3, etc.), comenzando por el primer párrafo del preámbulo. Los subpárrafos deberán numerarse de esta forma: i), ii), iii), etc.</w:t>
      </w:r>
      <w:r w:rsidR="008934D9" w:rsidRPr="00796C83">
        <w:rPr>
          <w:noProof/>
        </w:rPr>
        <w:t xml:space="preserve"> Se alienta a las Partes Contratantes a procurar que la estructura de su texto sea sencilla y a mantener la coherencia en todo el documento.</w:t>
      </w:r>
      <w:r w:rsidRPr="00796C83">
        <w:rPr>
          <w:noProof/>
        </w:rPr>
        <w:t xml:space="preserve"> </w:t>
      </w:r>
    </w:p>
    <w:p w14:paraId="44E6E376" w14:textId="77777777" w:rsidR="001F6249" w:rsidRPr="00796C83" w:rsidRDefault="001F6249" w:rsidP="001F6249">
      <w:pPr>
        <w:ind w:left="0" w:firstLine="0"/>
        <w:rPr>
          <w:noProof/>
          <w:color w:val="000000"/>
        </w:rPr>
      </w:pPr>
    </w:p>
    <w:p w14:paraId="68B0FD4E" w14:textId="2008D74C" w:rsidR="001F6249" w:rsidRPr="00796C83" w:rsidRDefault="001F6249" w:rsidP="001F6249">
      <w:pPr>
        <w:rPr>
          <w:noProof/>
        </w:rPr>
      </w:pPr>
      <w:r w:rsidRPr="00796C83">
        <w:rPr>
          <w:noProof/>
        </w:rPr>
        <w:lastRenderedPageBreak/>
        <w:t>1</w:t>
      </w:r>
      <w:r w:rsidR="00304D35" w:rsidRPr="00796C83">
        <w:rPr>
          <w:noProof/>
        </w:rPr>
        <w:t>7</w:t>
      </w:r>
      <w:r w:rsidRPr="00796C83">
        <w:rPr>
          <w:noProof/>
        </w:rPr>
        <w:t>.</w:t>
      </w:r>
      <w:r w:rsidRPr="00796C83">
        <w:rPr>
          <w:noProof/>
        </w:rPr>
        <w:tab/>
      </w:r>
      <w:r w:rsidR="00E12090" w:rsidRPr="00796C83">
        <w:rPr>
          <w:noProof/>
        </w:rPr>
        <w:t>En l</w:t>
      </w:r>
      <w:r w:rsidRPr="00796C83">
        <w:rPr>
          <w:noProof/>
        </w:rPr>
        <w:t xml:space="preserve">os párrafos del preámbulo </w:t>
      </w:r>
      <w:r w:rsidR="00E12090" w:rsidRPr="00796C83">
        <w:rPr>
          <w:noProof/>
        </w:rPr>
        <w:t>se deben p</w:t>
      </w:r>
      <w:r w:rsidRPr="00796C83">
        <w:rPr>
          <w:noProof/>
        </w:rPr>
        <w:t>resenta</w:t>
      </w:r>
      <w:r w:rsidR="008934D9" w:rsidRPr="00796C83">
        <w:rPr>
          <w:noProof/>
        </w:rPr>
        <w:t>r brevemente</w:t>
      </w:r>
      <w:r w:rsidR="00E747B8" w:rsidRPr="00796C83">
        <w:rPr>
          <w:noProof/>
        </w:rPr>
        <w:t xml:space="preserve"> los antecedentes necesarios para contextualizar </w:t>
      </w:r>
      <w:r w:rsidRPr="00796C83">
        <w:rPr>
          <w:noProof/>
        </w:rPr>
        <w:t xml:space="preserve">las acciones propuestas para su aprobación por las Partes Contratantes en la parte dispositiva. </w:t>
      </w:r>
      <w:r w:rsidR="00E747B8" w:rsidRPr="00796C83">
        <w:rPr>
          <w:noProof/>
        </w:rPr>
        <w:t>No es necesario justificar cada párrafo de la parte dispositiva en el preámbulo sino solo el contenido de la parte dispositiva en general. Estos párrafos d</w:t>
      </w:r>
      <w:r w:rsidRPr="00796C83">
        <w:rPr>
          <w:noProof/>
        </w:rPr>
        <w:t>eberán empezar con un verbo en gerundio simple o compuesto o un adjetivo (p. ej., “Reconociendo”, “Habiendo examinado”, “Preocupada”, etc.)</w:t>
      </w:r>
      <w:r w:rsidR="00E747B8" w:rsidRPr="00796C83">
        <w:rPr>
          <w:noProof/>
        </w:rPr>
        <w:t>: véanse los ejemplos enumerados en el Anexo A.</w:t>
      </w:r>
    </w:p>
    <w:p w14:paraId="68F29890" w14:textId="77777777" w:rsidR="001F6249" w:rsidRPr="00796C83" w:rsidRDefault="001F6249" w:rsidP="001F6249">
      <w:pPr>
        <w:rPr>
          <w:noProof/>
        </w:rPr>
      </w:pPr>
    </w:p>
    <w:p w14:paraId="4EB9D900" w14:textId="20AC1C36" w:rsidR="00CC7607" w:rsidRPr="00796C83" w:rsidRDefault="001F6249" w:rsidP="00E747B8">
      <w:pPr>
        <w:suppressLineNumbers/>
        <w:suppressAutoHyphens/>
        <w:rPr>
          <w:noProof/>
          <w:color w:val="000000" w:themeColor="text1"/>
        </w:rPr>
      </w:pPr>
      <w:r w:rsidRPr="00796C83">
        <w:rPr>
          <w:noProof/>
        </w:rPr>
        <w:t>1</w:t>
      </w:r>
      <w:r w:rsidR="00304D35" w:rsidRPr="00796C83">
        <w:rPr>
          <w:noProof/>
        </w:rPr>
        <w:t>8</w:t>
      </w:r>
      <w:r w:rsidRPr="00796C83">
        <w:rPr>
          <w:noProof/>
        </w:rPr>
        <w:t>.</w:t>
      </w:r>
      <w:r w:rsidRPr="00796C83">
        <w:rPr>
          <w:noProof/>
        </w:rPr>
        <w:tab/>
      </w:r>
      <w:r w:rsidR="00E12090" w:rsidRPr="00796C83">
        <w:rPr>
          <w:noProof/>
          <w:color w:val="000000" w:themeColor="text1"/>
        </w:rPr>
        <w:t xml:space="preserve">Toda </w:t>
      </w:r>
      <w:r w:rsidR="00C07F48" w:rsidRPr="00796C83">
        <w:rPr>
          <w:noProof/>
          <w:color w:val="000000" w:themeColor="text1"/>
        </w:rPr>
        <w:t>resolución o recomendación de Ramsar anterior que haya que citar deberá combinarse en un único párrafo del preámbulo en el que simplemente se enumeren las resoluciones en orden cronológico o numérico y se incluya el título de la resolución entre paréntesis</w:t>
      </w:r>
      <w:r w:rsidR="00CC7607" w:rsidRPr="00796C83">
        <w:rPr>
          <w:noProof/>
          <w:color w:val="000000" w:themeColor="text1"/>
        </w:rPr>
        <w:t>, p. ej.:</w:t>
      </w:r>
    </w:p>
    <w:p w14:paraId="62025A34" w14:textId="77777777" w:rsidR="00CC7607" w:rsidRPr="00796C83" w:rsidRDefault="00CC7607" w:rsidP="00CC7607">
      <w:pPr>
        <w:suppressLineNumbers/>
        <w:suppressAutoHyphens/>
        <w:ind w:left="0" w:firstLine="0"/>
        <w:rPr>
          <w:noProof/>
          <w:color w:val="000000" w:themeColor="text1"/>
        </w:rPr>
      </w:pPr>
    </w:p>
    <w:p w14:paraId="28B2AA29" w14:textId="573B5033" w:rsidR="00304D35" w:rsidRPr="00796C83" w:rsidRDefault="00C07F48" w:rsidP="00CC7607">
      <w:pPr>
        <w:suppressLineNumbers/>
        <w:suppressAutoHyphens/>
        <w:ind w:left="851" w:firstLine="0"/>
        <w:rPr>
          <w:i/>
          <w:iCs/>
          <w:noProof/>
          <w:color w:val="000000" w:themeColor="text1"/>
        </w:rPr>
      </w:pPr>
      <w:r w:rsidRPr="00796C83">
        <w:rPr>
          <w:i/>
          <w:iCs/>
          <w:noProof/>
          <w:color w:val="000000" w:themeColor="text1"/>
        </w:rPr>
        <w:t xml:space="preserve">“1. Recordando las resoluciones </w:t>
      </w:r>
      <w:r w:rsidR="00E747B8" w:rsidRPr="00796C83">
        <w:rPr>
          <w:i/>
          <w:iCs/>
          <w:noProof/>
          <w:color w:val="000000" w:themeColor="text1"/>
        </w:rPr>
        <w:t xml:space="preserve">IX.4 </w:t>
      </w:r>
      <w:r w:rsidRPr="00796C83">
        <w:rPr>
          <w:i/>
          <w:iCs/>
          <w:noProof/>
          <w:color w:val="000000" w:themeColor="text1"/>
        </w:rPr>
        <w:t>(La Convención d</w:t>
      </w:r>
      <w:r w:rsidR="00E12090" w:rsidRPr="00796C83">
        <w:rPr>
          <w:i/>
          <w:iCs/>
          <w:noProof/>
          <w:color w:val="000000" w:themeColor="text1"/>
        </w:rPr>
        <w:t>e</w:t>
      </w:r>
      <w:r w:rsidRPr="00796C83">
        <w:rPr>
          <w:i/>
          <w:iCs/>
          <w:noProof/>
          <w:color w:val="000000" w:themeColor="text1"/>
        </w:rPr>
        <w:t xml:space="preserve"> Ramsar y la conservación, producción y uso sostenible de los recursos pesqueros)</w:t>
      </w:r>
      <w:r w:rsidR="00E747B8" w:rsidRPr="00796C83">
        <w:rPr>
          <w:i/>
          <w:iCs/>
          <w:noProof/>
          <w:color w:val="000000" w:themeColor="text1"/>
        </w:rPr>
        <w:t>, IX.21 (T</w:t>
      </w:r>
      <w:r w:rsidRPr="00796C83">
        <w:rPr>
          <w:i/>
          <w:iCs/>
          <w:noProof/>
          <w:color w:val="000000" w:themeColor="text1"/>
        </w:rPr>
        <w:t>omar en cuenta los valores culturales de los humedales)</w:t>
      </w:r>
      <w:r w:rsidR="00E747B8" w:rsidRPr="00796C83">
        <w:rPr>
          <w:i/>
          <w:iCs/>
          <w:noProof/>
          <w:color w:val="000000" w:themeColor="text1"/>
        </w:rPr>
        <w:t>, X.13 (</w:t>
      </w:r>
      <w:r w:rsidRPr="00796C83">
        <w:rPr>
          <w:i/>
          <w:iCs/>
          <w:noProof/>
          <w:color w:val="000000" w:themeColor="text1"/>
        </w:rPr>
        <w:t>El estado de los sitios en la Lista Ramsar de Humedales de Importancia Internacional</w:t>
      </w:r>
      <w:r w:rsidR="00E747B8" w:rsidRPr="00796C83">
        <w:rPr>
          <w:i/>
          <w:iCs/>
          <w:noProof/>
          <w:color w:val="000000" w:themeColor="text1"/>
        </w:rPr>
        <w:t>), XII.15 (</w:t>
      </w:r>
      <w:r w:rsidRPr="00796C83">
        <w:rPr>
          <w:i/>
          <w:iCs/>
          <w:noProof/>
          <w:color w:val="000000" w:themeColor="text1"/>
        </w:rPr>
        <w:t xml:space="preserve">Evaluación de la efectividad del manejo y la conservación de los sitios Ramsar) y </w:t>
      </w:r>
      <w:r w:rsidR="00E747B8" w:rsidRPr="00796C83">
        <w:rPr>
          <w:i/>
          <w:iCs/>
          <w:noProof/>
          <w:color w:val="000000" w:themeColor="text1"/>
        </w:rPr>
        <w:t>XIII.5 (</w:t>
      </w:r>
      <w:r w:rsidRPr="00796C83">
        <w:rPr>
          <w:i/>
          <w:iCs/>
          <w:noProof/>
          <w:color w:val="000000" w:themeColor="text1"/>
        </w:rPr>
        <w:t xml:space="preserve">Examen del Cuarto Plan Estratégico de la Convención de Ramsar). </w:t>
      </w:r>
    </w:p>
    <w:p w14:paraId="73564BEF" w14:textId="77777777" w:rsidR="00304D35" w:rsidRPr="00796C83" w:rsidRDefault="00304D35" w:rsidP="00CC7607">
      <w:pPr>
        <w:suppressLineNumbers/>
        <w:suppressAutoHyphens/>
        <w:ind w:left="851" w:firstLine="0"/>
        <w:rPr>
          <w:i/>
          <w:iCs/>
          <w:noProof/>
          <w:color w:val="000000" w:themeColor="text1"/>
        </w:rPr>
      </w:pPr>
    </w:p>
    <w:p w14:paraId="377A98AC" w14:textId="6936B8A4" w:rsidR="00E747B8" w:rsidRPr="00796C83" w:rsidRDefault="00C07F48" w:rsidP="00304D35">
      <w:pPr>
        <w:suppressLineNumbers/>
        <w:suppressAutoHyphens/>
        <w:ind w:firstLine="0"/>
        <w:rPr>
          <w:noProof/>
          <w:color w:val="000000" w:themeColor="text1"/>
        </w:rPr>
      </w:pPr>
      <w:r w:rsidRPr="00796C83">
        <w:rPr>
          <w:noProof/>
          <w:color w:val="000000" w:themeColor="text1"/>
        </w:rPr>
        <w:t xml:space="preserve">Esto contribuye a </w:t>
      </w:r>
      <w:r w:rsidR="00E12090" w:rsidRPr="00796C83">
        <w:rPr>
          <w:noProof/>
          <w:color w:val="000000" w:themeColor="text1"/>
        </w:rPr>
        <w:t xml:space="preserve">simplificar </w:t>
      </w:r>
      <w:r w:rsidRPr="00796C83">
        <w:rPr>
          <w:noProof/>
          <w:color w:val="000000" w:themeColor="text1"/>
        </w:rPr>
        <w:t xml:space="preserve">el texto y también </w:t>
      </w:r>
      <w:r w:rsidR="00E12090" w:rsidRPr="00796C83">
        <w:rPr>
          <w:noProof/>
          <w:color w:val="000000" w:themeColor="text1"/>
        </w:rPr>
        <w:t>mantiene la neutralidad</w:t>
      </w:r>
      <w:r w:rsidR="005640EB" w:rsidRPr="00796C83">
        <w:rPr>
          <w:noProof/>
          <w:color w:val="000000" w:themeColor="text1"/>
        </w:rPr>
        <w:t xml:space="preserve"> acerca de la </w:t>
      </w:r>
      <w:r w:rsidR="00E12090" w:rsidRPr="00796C83">
        <w:rPr>
          <w:noProof/>
          <w:color w:val="000000" w:themeColor="text1"/>
        </w:rPr>
        <w:t>caracterización</w:t>
      </w:r>
      <w:r w:rsidR="005640EB" w:rsidRPr="00796C83">
        <w:rPr>
          <w:noProof/>
          <w:color w:val="000000" w:themeColor="text1"/>
        </w:rPr>
        <w:t xml:space="preserve"> de los contenidos de la resolución, que podría causar </w:t>
      </w:r>
      <w:r w:rsidR="00E12090" w:rsidRPr="00796C83">
        <w:rPr>
          <w:noProof/>
          <w:color w:val="000000" w:themeColor="text1"/>
        </w:rPr>
        <w:t>controversia</w:t>
      </w:r>
      <w:r w:rsidR="005640EB" w:rsidRPr="00796C83">
        <w:rPr>
          <w:noProof/>
          <w:color w:val="000000" w:themeColor="text1"/>
        </w:rPr>
        <w:t xml:space="preserve"> y </w:t>
      </w:r>
      <w:r w:rsidR="00E12090" w:rsidRPr="00796C83">
        <w:rPr>
          <w:noProof/>
          <w:color w:val="000000" w:themeColor="text1"/>
        </w:rPr>
        <w:t>prolongar</w:t>
      </w:r>
      <w:r w:rsidR="005640EB" w:rsidRPr="00796C83">
        <w:rPr>
          <w:noProof/>
          <w:color w:val="000000" w:themeColor="text1"/>
        </w:rPr>
        <w:t xml:space="preserve"> el d</w:t>
      </w:r>
      <w:r w:rsidR="00E12090" w:rsidRPr="00796C83">
        <w:rPr>
          <w:noProof/>
          <w:color w:val="000000" w:themeColor="text1"/>
        </w:rPr>
        <w:t>e</w:t>
      </w:r>
      <w:r w:rsidR="005640EB" w:rsidRPr="00796C83">
        <w:rPr>
          <w:noProof/>
          <w:color w:val="000000" w:themeColor="text1"/>
        </w:rPr>
        <w:t>bate innecesariamente entre las Partes Contratantes</w:t>
      </w:r>
      <w:r w:rsidR="00E747B8" w:rsidRPr="00796C83">
        <w:rPr>
          <w:noProof/>
          <w:color w:val="000000" w:themeColor="text1"/>
        </w:rPr>
        <w:t xml:space="preserve">. </w:t>
      </w:r>
    </w:p>
    <w:p w14:paraId="753FC583" w14:textId="77777777" w:rsidR="00E747B8" w:rsidRPr="00796C83" w:rsidRDefault="00E747B8" w:rsidP="00E747B8">
      <w:pPr>
        <w:suppressLineNumbers/>
        <w:suppressAutoHyphens/>
        <w:rPr>
          <w:noProof/>
          <w:color w:val="548DD4" w:themeColor="text2" w:themeTint="99"/>
        </w:rPr>
      </w:pPr>
    </w:p>
    <w:p w14:paraId="2A893A49" w14:textId="3FE16682" w:rsidR="00E747B8" w:rsidRPr="00796C83" w:rsidRDefault="00E747B8" w:rsidP="00E747B8">
      <w:pPr>
        <w:suppressLineNumbers/>
        <w:suppressAutoHyphens/>
        <w:rPr>
          <w:noProof/>
          <w:color w:val="000000" w:themeColor="text1"/>
        </w:rPr>
      </w:pPr>
      <w:r w:rsidRPr="00796C83">
        <w:rPr>
          <w:noProof/>
        </w:rPr>
        <w:t>1</w:t>
      </w:r>
      <w:r w:rsidR="00304D35" w:rsidRPr="00796C83">
        <w:rPr>
          <w:noProof/>
        </w:rPr>
        <w:t>9</w:t>
      </w:r>
      <w:r w:rsidRPr="00796C83">
        <w:rPr>
          <w:noProof/>
        </w:rPr>
        <w:t>.</w:t>
      </w:r>
      <w:r w:rsidRPr="00796C83">
        <w:rPr>
          <w:noProof/>
        </w:rPr>
        <w:tab/>
      </w:r>
      <w:r w:rsidR="005640EB" w:rsidRPr="00796C83">
        <w:rPr>
          <w:noProof/>
          <w:color w:val="000000" w:themeColor="text1"/>
        </w:rPr>
        <w:t xml:space="preserve">Cuando </w:t>
      </w:r>
      <w:r w:rsidRPr="00796C83">
        <w:rPr>
          <w:noProof/>
          <w:color w:val="000000" w:themeColor="text1"/>
        </w:rPr>
        <w:t>pro</w:t>
      </w:r>
      <w:r w:rsidR="005640EB" w:rsidRPr="00796C83">
        <w:rPr>
          <w:noProof/>
          <w:color w:val="000000" w:themeColor="text1"/>
        </w:rPr>
        <w:t>ceda, se puede utilizar un segundo párrafo para hacer referencia a decisiones o resoluciones de otras convenciones</w:t>
      </w:r>
      <w:r w:rsidR="00E12090" w:rsidRPr="00796C83">
        <w:rPr>
          <w:noProof/>
          <w:color w:val="000000" w:themeColor="text1"/>
        </w:rPr>
        <w:t xml:space="preserve">; </w:t>
      </w:r>
      <w:r w:rsidR="005640EB" w:rsidRPr="00796C83">
        <w:rPr>
          <w:noProof/>
          <w:color w:val="000000" w:themeColor="text1"/>
        </w:rPr>
        <w:t xml:space="preserve">estas no se introducen </w:t>
      </w:r>
      <w:r w:rsidR="00E12090" w:rsidRPr="00796C83">
        <w:rPr>
          <w:noProof/>
          <w:color w:val="000000" w:themeColor="text1"/>
        </w:rPr>
        <w:t>con</w:t>
      </w:r>
      <w:r w:rsidR="005640EB" w:rsidRPr="00796C83">
        <w:rPr>
          <w:noProof/>
          <w:color w:val="000000" w:themeColor="text1"/>
        </w:rPr>
        <w:t xml:space="preserve"> “Recordando” sino con “Reconociendo”</w:t>
      </w:r>
      <w:r w:rsidR="007D6B41" w:rsidRPr="00796C83">
        <w:rPr>
          <w:noProof/>
          <w:color w:val="000000" w:themeColor="text1"/>
        </w:rPr>
        <w:t>,</w:t>
      </w:r>
      <w:r w:rsidR="005640EB" w:rsidRPr="00796C83">
        <w:rPr>
          <w:noProof/>
          <w:color w:val="000000" w:themeColor="text1"/>
        </w:rPr>
        <w:t xml:space="preserve"> “</w:t>
      </w:r>
      <w:r w:rsidR="007D6B41" w:rsidRPr="00796C83">
        <w:rPr>
          <w:noProof/>
          <w:color w:val="000000" w:themeColor="text1"/>
        </w:rPr>
        <w:t>Observando”, “Tomando nota</w:t>
      </w:r>
      <w:r w:rsidR="0088187D" w:rsidRPr="00796C83">
        <w:rPr>
          <w:noProof/>
          <w:color w:val="000000" w:themeColor="text1"/>
        </w:rPr>
        <w:t>”,</w:t>
      </w:r>
      <w:r w:rsidR="007D6B41" w:rsidRPr="00796C83">
        <w:rPr>
          <w:noProof/>
          <w:color w:val="000000" w:themeColor="text1"/>
        </w:rPr>
        <w:t xml:space="preserve"> “Acogiendo con beneplácito”</w:t>
      </w:r>
      <w:r w:rsidR="005640EB" w:rsidRPr="00796C83">
        <w:rPr>
          <w:noProof/>
          <w:color w:val="000000" w:themeColor="text1"/>
        </w:rPr>
        <w:t>,</w:t>
      </w:r>
      <w:r w:rsidR="0088187D" w:rsidRPr="00796C83">
        <w:rPr>
          <w:noProof/>
          <w:color w:val="000000" w:themeColor="text1"/>
        </w:rPr>
        <w:t xml:space="preserve"> etc.,</w:t>
      </w:r>
      <w:r w:rsidR="005640EB" w:rsidRPr="00796C83">
        <w:rPr>
          <w:noProof/>
          <w:color w:val="000000" w:themeColor="text1"/>
        </w:rPr>
        <w:t xml:space="preserve"> ya que no constituyen ningún texto que haya sido examinado y aprobado por </w:t>
      </w:r>
      <w:r w:rsidR="00F13D5F">
        <w:rPr>
          <w:noProof/>
          <w:color w:val="000000" w:themeColor="text1"/>
        </w:rPr>
        <w:t xml:space="preserve">las Partes </w:t>
      </w:r>
      <w:r w:rsidR="00F13D5F" w:rsidRPr="00F13D5F">
        <w:rPr>
          <w:noProof/>
          <w:color w:val="000000" w:themeColor="text1"/>
        </w:rPr>
        <w:t>en la Convención</w:t>
      </w:r>
      <w:r w:rsidR="00F13D5F" w:rsidRPr="00F13D5F">
        <w:t xml:space="preserve"> </w:t>
      </w:r>
      <w:r w:rsidR="00F13D5F" w:rsidRPr="00F13D5F">
        <w:rPr>
          <w:noProof/>
          <w:color w:val="000000" w:themeColor="text1"/>
        </w:rPr>
        <w:t>sobre los Humedales</w:t>
      </w:r>
      <w:r w:rsidR="005640EB" w:rsidRPr="00796C83">
        <w:rPr>
          <w:noProof/>
          <w:color w:val="000000" w:themeColor="text1"/>
        </w:rPr>
        <w:t>. Todas las citaciones de otras decisiones o resoluciones de otras convenciones deben combinarse en un solo párrafo, indica</w:t>
      </w:r>
      <w:r w:rsidR="007D6B41" w:rsidRPr="00796C83">
        <w:rPr>
          <w:noProof/>
          <w:color w:val="000000" w:themeColor="text1"/>
        </w:rPr>
        <w:t>ndo</w:t>
      </w:r>
      <w:r w:rsidR="005640EB" w:rsidRPr="00796C83">
        <w:rPr>
          <w:noProof/>
          <w:color w:val="000000" w:themeColor="text1"/>
        </w:rPr>
        <w:t xml:space="preserve"> de qué </w:t>
      </w:r>
      <w:r w:rsidR="00304D35" w:rsidRPr="00796C83">
        <w:rPr>
          <w:noProof/>
          <w:color w:val="000000" w:themeColor="text1"/>
        </w:rPr>
        <w:t>C</w:t>
      </w:r>
      <w:r w:rsidR="007D6B41" w:rsidRPr="00796C83">
        <w:rPr>
          <w:noProof/>
          <w:color w:val="000000" w:themeColor="text1"/>
        </w:rPr>
        <w:t>onvención</w:t>
      </w:r>
      <w:r w:rsidR="005640EB" w:rsidRPr="00796C83">
        <w:rPr>
          <w:noProof/>
          <w:color w:val="000000" w:themeColor="text1"/>
        </w:rPr>
        <w:t xml:space="preserve"> se trata</w:t>
      </w:r>
      <w:r w:rsidR="007D6B41" w:rsidRPr="00796C83">
        <w:rPr>
          <w:noProof/>
          <w:color w:val="000000" w:themeColor="text1"/>
        </w:rPr>
        <w:t>,</w:t>
      </w:r>
      <w:r w:rsidR="005640EB" w:rsidRPr="00796C83">
        <w:rPr>
          <w:noProof/>
          <w:color w:val="000000" w:themeColor="text1"/>
        </w:rPr>
        <w:t xml:space="preserve"> el número de la decisión o resolución</w:t>
      </w:r>
      <w:r w:rsidR="007D6B41" w:rsidRPr="00796C83">
        <w:rPr>
          <w:noProof/>
          <w:color w:val="000000" w:themeColor="text1"/>
        </w:rPr>
        <w:t xml:space="preserve"> y</w:t>
      </w:r>
      <w:r w:rsidR="005640EB" w:rsidRPr="00796C83">
        <w:rPr>
          <w:noProof/>
          <w:color w:val="000000" w:themeColor="text1"/>
        </w:rPr>
        <w:t xml:space="preserve"> </w:t>
      </w:r>
      <w:r w:rsidR="007D6B41" w:rsidRPr="00796C83">
        <w:rPr>
          <w:noProof/>
          <w:color w:val="000000" w:themeColor="text1"/>
        </w:rPr>
        <w:t xml:space="preserve">su </w:t>
      </w:r>
      <w:r w:rsidR="005640EB" w:rsidRPr="00796C83">
        <w:rPr>
          <w:noProof/>
          <w:color w:val="000000" w:themeColor="text1"/>
        </w:rPr>
        <w:t xml:space="preserve">título entre </w:t>
      </w:r>
      <w:r w:rsidR="007D6B41" w:rsidRPr="00796C83">
        <w:rPr>
          <w:noProof/>
          <w:color w:val="000000" w:themeColor="text1"/>
        </w:rPr>
        <w:t>paréntesis</w:t>
      </w:r>
      <w:r w:rsidR="005640EB" w:rsidRPr="00796C83">
        <w:rPr>
          <w:noProof/>
          <w:color w:val="000000" w:themeColor="text1"/>
        </w:rPr>
        <w:t xml:space="preserve"> y enumer</w:t>
      </w:r>
      <w:r w:rsidR="007D6B41" w:rsidRPr="00796C83">
        <w:rPr>
          <w:noProof/>
          <w:color w:val="000000" w:themeColor="text1"/>
        </w:rPr>
        <w:t>ándolas</w:t>
      </w:r>
      <w:r w:rsidR="005640EB" w:rsidRPr="00796C83">
        <w:rPr>
          <w:noProof/>
          <w:color w:val="000000" w:themeColor="text1"/>
        </w:rPr>
        <w:t xml:space="preserve"> </w:t>
      </w:r>
      <w:r w:rsidR="007D6B41" w:rsidRPr="00796C83">
        <w:rPr>
          <w:noProof/>
          <w:color w:val="000000" w:themeColor="text1"/>
        </w:rPr>
        <w:t>en orden cronológico</w:t>
      </w:r>
      <w:r w:rsidR="005640EB" w:rsidRPr="00796C83">
        <w:rPr>
          <w:noProof/>
          <w:color w:val="000000" w:themeColor="text1"/>
        </w:rPr>
        <w:t>.</w:t>
      </w:r>
    </w:p>
    <w:p w14:paraId="6D8DDA8F" w14:textId="77777777" w:rsidR="00E747B8" w:rsidRPr="00796C83" w:rsidRDefault="00E747B8" w:rsidP="00E747B8">
      <w:pPr>
        <w:suppressLineNumbers/>
        <w:suppressAutoHyphens/>
        <w:rPr>
          <w:noProof/>
          <w:color w:val="548DD4" w:themeColor="text2" w:themeTint="99"/>
        </w:rPr>
      </w:pPr>
    </w:p>
    <w:p w14:paraId="76068A32" w14:textId="318ECA42" w:rsidR="00E747B8" w:rsidRPr="00796C83" w:rsidRDefault="00304D35" w:rsidP="00E747B8">
      <w:pPr>
        <w:suppressLineNumbers/>
        <w:suppressAutoHyphens/>
        <w:rPr>
          <w:noProof/>
          <w:color w:val="000000" w:themeColor="text1"/>
        </w:rPr>
      </w:pPr>
      <w:r w:rsidRPr="00796C83">
        <w:rPr>
          <w:noProof/>
          <w:color w:val="000000" w:themeColor="text1"/>
        </w:rPr>
        <w:t>20</w:t>
      </w:r>
      <w:r w:rsidR="00E747B8" w:rsidRPr="00796C83">
        <w:rPr>
          <w:noProof/>
          <w:color w:val="000000" w:themeColor="text1"/>
        </w:rPr>
        <w:t xml:space="preserve">. </w:t>
      </w:r>
      <w:r w:rsidR="00E747B8" w:rsidRPr="00796C83">
        <w:rPr>
          <w:noProof/>
          <w:color w:val="000000" w:themeColor="text1"/>
        </w:rPr>
        <w:tab/>
      </w:r>
      <w:r w:rsidR="007D6B41" w:rsidRPr="00796C83">
        <w:rPr>
          <w:noProof/>
          <w:color w:val="000000" w:themeColor="text1"/>
        </w:rPr>
        <w:t>Es posible</w:t>
      </w:r>
      <w:r w:rsidR="005640EB" w:rsidRPr="00796C83">
        <w:rPr>
          <w:noProof/>
          <w:color w:val="000000" w:themeColor="text1"/>
        </w:rPr>
        <w:t xml:space="preserve"> incluir </w:t>
      </w:r>
      <w:r w:rsidR="007D6B41" w:rsidRPr="00796C83">
        <w:rPr>
          <w:noProof/>
          <w:color w:val="000000" w:themeColor="text1"/>
        </w:rPr>
        <w:t>información</w:t>
      </w:r>
      <w:r w:rsidR="005640EB" w:rsidRPr="00796C83">
        <w:rPr>
          <w:noProof/>
          <w:color w:val="000000" w:themeColor="text1"/>
        </w:rPr>
        <w:t xml:space="preserve"> de otras fuentes en otro párrafo, asegurándose de que las referencias sean precisas y </w:t>
      </w:r>
      <w:r w:rsidR="007D6B41" w:rsidRPr="00796C83">
        <w:rPr>
          <w:noProof/>
          <w:color w:val="000000" w:themeColor="text1"/>
        </w:rPr>
        <w:t xml:space="preserve">de seguir el mismo estilo, a saber, </w:t>
      </w:r>
      <w:r w:rsidR="005640EB" w:rsidRPr="00796C83">
        <w:rPr>
          <w:noProof/>
          <w:color w:val="000000" w:themeColor="text1"/>
        </w:rPr>
        <w:t xml:space="preserve">hacer referencia al documento mediante su título a fin de evitar </w:t>
      </w:r>
      <w:r w:rsidR="007D6B41" w:rsidRPr="00796C83">
        <w:rPr>
          <w:noProof/>
          <w:color w:val="000000" w:themeColor="text1"/>
        </w:rPr>
        <w:t>cualquier</w:t>
      </w:r>
      <w:r w:rsidR="005640EB" w:rsidRPr="00796C83">
        <w:rPr>
          <w:noProof/>
          <w:color w:val="000000" w:themeColor="text1"/>
        </w:rPr>
        <w:t xml:space="preserve"> </w:t>
      </w:r>
      <w:r w:rsidR="007D6B41" w:rsidRPr="00796C83">
        <w:rPr>
          <w:noProof/>
          <w:color w:val="000000" w:themeColor="text1"/>
        </w:rPr>
        <w:t xml:space="preserve">ambigüedad </w:t>
      </w:r>
      <w:r w:rsidR="005640EB" w:rsidRPr="00796C83">
        <w:rPr>
          <w:noProof/>
          <w:color w:val="000000" w:themeColor="text1"/>
        </w:rPr>
        <w:t xml:space="preserve">presente o futura (p. ej., </w:t>
      </w:r>
      <w:r w:rsidR="00E747B8" w:rsidRPr="00796C83">
        <w:rPr>
          <w:noProof/>
          <w:color w:val="000000" w:themeColor="text1"/>
        </w:rPr>
        <w:t>“</w:t>
      </w:r>
      <w:r w:rsidR="007D6B41" w:rsidRPr="00796C83">
        <w:rPr>
          <w:noProof/>
          <w:color w:val="000000" w:themeColor="text1"/>
        </w:rPr>
        <w:t xml:space="preserve">Tomando nota del Informe de síntesis publicado en </w:t>
      </w:r>
      <w:r w:rsidR="00E747B8" w:rsidRPr="00796C83">
        <w:rPr>
          <w:noProof/>
          <w:color w:val="000000" w:themeColor="text1"/>
        </w:rPr>
        <w:t xml:space="preserve">2014 </w:t>
      </w:r>
      <w:r w:rsidR="007D6B41" w:rsidRPr="00796C83">
        <w:rPr>
          <w:noProof/>
          <w:color w:val="000000" w:themeColor="text1"/>
        </w:rPr>
        <w:t>del Quinto Informe de Evaluación del IPCC</w:t>
      </w:r>
      <w:r w:rsidR="00E747B8" w:rsidRPr="00796C83">
        <w:rPr>
          <w:noProof/>
          <w:color w:val="000000" w:themeColor="text1"/>
        </w:rPr>
        <w:t xml:space="preserve"> (AR5)” </w:t>
      </w:r>
      <w:r w:rsidR="007D6B41" w:rsidRPr="00796C83">
        <w:rPr>
          <w:noProof/>
          <w:color w:val="000000" w:themeColor="text1"/>
        </w:rPr>
        <w:t xml:space="preserve">en vez de “el último Informe de Evaluación del IPCC”). Al igual que ocurre con las referencias a la </w:t>
      </w:r>
      <w:r w:rsidR="005640EB" w:rsidRPr="00796C83">
        <w:rPr>
          <w:noProof/>
          <w:color w:val="000000" w:themeColor="text1"/>
        </w:rPr>
        <w:t xml:space="preserve">labor de otras convenciones, estas no se </w:t>
      </w:r>
      <w:r w:rsidR="007D6B41" w:rsidRPr="00796C83">
        <w:rPr>
          <w:noProof/>
          <w:color w:val="000000" w:themeColor="text1"/>
        </w:rPr>
        <w:t>introducen con “Recordando” sino con “Reconociendo”, “Observando”, “Tomando nota”, “Acogiendo con beneplácito”, etc</w:t>
      </w:r>
      <w:r w:rsidR="00E747B8" w:rsidRPr="00796C83">
        <w:rPr>
          <w:noProof/>
          <w:color w:val="000000" w:themeColor="text1"/>
        </w:rPr>
        <w:t>.</w:t>
      </w:r>
    </w:p>
    <w:p w14:paraId="39B6DE4A" w14:textId="77777777" w:rsidR="00E747B8" w:rsidRPr="00796C83" w:rsidRDefault="00E747B8" w:rsidP="001F6249">
      <w:pPr>
        <w:rPr>
          <w:noProof/>
        </w:rPr>
      </w:pPr>
    </w:p>
    <w:p w14:paraId="3DD3B67D" w14:textId="568BF704" w:rsidR="001F6249" w:rsidRPr="00796C83" w:rsidRDefault="00304D35" w:rsidP="001F6249">
      <w:pPr>
        <w:rPr>
          <w:noProof/>
        </w:rPr>
      </w:pPr>
      <w:r w:rsidRPr="00796C83">
        <w:rPr>
          <w:noProof/>
        </w:rPr>
        <w:t>21</w:t>
      </w:r>
      <w:r w:rsidR="00E747B8" w:rsidRPr="00796C83">
        <w:rPr>
          <w:noProof/>
        </w:rPr>
        <w:t>.</w:t>
      </w:r>
      <w:r w:rsidR="00E747B8" w:rsidRPr="00796C83">
        <w:rPr>
          <w:noProof/>
        </w:rPr>
        <w:tab/>
      </w:r>
      <w:r w:rsidR="001F6249" w:rsidRPr="00796C83">
        <w:rPr>
          <w:noProof/>
        </w:rPr>
        <w:t>Los párrafos de la parte dispositiva contienen las medidas que las Partes Contratantes recomiendan o acuerdan adoptar. Estos párrafos empiezan con un verbo de acción en tercera persona del singular (p. ej., “Aprueba”, “Exhorta”, “Destaca”, “Invita”, “Toma nota”, “Recomienda”, “Pide” o “Insta”).</w:t>
      </w:r>
    </w:p>
    <w:p w14:paraId="7E0C9BA5" w14:textId="77777777" w:rsidR="001F6249" w:rsidRPr="00796C83" w:rsidRDefault="001F6249" w:rsidP="001F6249">
      <w:pPr>
        <w:rPr>
          <w:noProof/>
        </w:rPr>
      </w:pPr>
    </w:p>
    <w:p w14:paraId="44BBF8A9" w14:textId="34E22C57" w:rsidR="001F6249" w:rsidRPr="00796C83" w:rsidRDefault="00593F97" w:rsidP="001F6249">
      <w:pPr>
        <w:rPr>
          <w:noProof/>
          <w:color w:val="000000" w:themeColor="text1"/>
        </w:rPr>
      </w:pPr>
      <w:r w:rsidRPr="00796C83">
        <w:rPr>
          <w:noProof/>
        </w:rPr>
        <w:t>22</w:t>
      </w:r>
      <w:r w:rsidR="001F6249" w:rsidRPr="00796C83">
        <w:rPr>
          <w:noProof/>
        </w:rPr>
        <w:t>.</w:t>
      </w:r>
      <w:r w:rsidR="001F6249" w:rsidRPr="00796C83">
        <w:rPr>
          <w:noProof/>
        </w:rPr>
        <w:tab/>
        <w:t xml:space="preserve">El verbo utilizado deberá corresponder a la función del organismo al que se pide que realice la acción. Por ejemplo, es adecuado </w:t>
      </w:r>
      <w:r w:rsidR="001F6249" w:rsidRPr="00796C83">
        <w:rPr>
          <w:noProof/>
          <w:u w:val="single"/>
        </w:rPr>
        <w:t>alentar</w:t>
      </w:r>
      <w:r w:rsidR="001F6249" w:rsidRPr="00796C83">
        <w:rPr>
          <w:noProof/>
        </w:rPr>
        <w:t xml:space="preserve">, </w:t>
      </w:r>
      <w:r w:rsidR="001F6249" w:rsidRPr="00796C83">
        <w:rPr>
          <w:noProof/>
          <w:u w:val="single"/>
        </w:rPr>
        <w:t>exhortar</w:t>
      </w:r>
      <w:r w:rsidR="001F6249" w:rsidRPr="00796C83">
        <w:rPr>
          <w:noProof/>
        </w:rPr>
        <w:t xml:space="preserve"> o </w:t>
      </w:r>
      <w:r w:rsidR="001F6249" w:rsidRPr="00796C83">
        <w:rPr>
          <w:noProof/>
          <w:u w:val="single"/>
        </w:rPr>
        <w:t>instar</w:t>
      </w:r>
      <w:r w:rsidR="001F6249" w:rsidRPr="00796C83">
        <w:rPr>
          <w:noProof/>
        </w:rPr>
        <w:t xml:space="preserve"> a las Partes Contratantes a que tomen una medida, </w:t>
      </w:r>
      <w:r w:rsidR="001F6249" w:rsidRPr="00796C83">
        <w:rPr>
          <w:noProof/>
          <w:u w:val="single"/>
        </w:rPr>
        <w:t>pedir</w:t>
      </w:r>
      <w:r w:rsidR="001F6249" w:rsidRPr="00796C83">
        <w:rPr>
          <w:noProof/>
        </w:rPr>
        <w:t xml:space="preserve"> al Grupo de Examen Científico y Técnico (GECT) que realice una acción y </w:t>
      </w:r>
      <w:r w:rsidR="001F6249" w:rsidRPr="00796C83">
        <w:rPr>
          <w:noProof/>
          <w:u w:val="single"/>
        </w:rPr>
        <w:t>encargar</w:t>
      </w:r>
      <w:r w:rsidR="001F6249" w:rsidRPr="00796C83">
        <w:rPr>
          <w:noProof/>
        </w:rPr>
        <w:t xml:space="preserve"> a la Secretaría que haga algo.</w:t>
      </w:r>
      <w:r w:rsidR="00461633" w:rsidRPr="00796C83">
        <w:rPr>
          <w:noProof/>
        </w:rPr>
        <w:t xml:space="preserve"> Los redactores también deberán tener en cuenta que, en el caso de las entidades que no </w:t>
      </w:r>
      <w:r w:rsidR="00930DA2" w:rsidRPr="00796C83">
        <w:rPr>
          <w:noProof/>
        </w:rPr>
        <w:t>son competencia de la Convención</w:t>
      </w:r>
      <w:r w:rsidR="00461633" w:rsidRPr="00796C83">
        <w:rPr>
          <w:noProof/>
          <w:color w:val="000000" w:themeColor="text1"/>
        </w:rPr>
        <w:t xml:space="preserve">, tales como las Organizaciones Internacionales Asociadas (OIA), el sector privado y otros interesados, solo se </w:t>
      </w:r>
      <w:r w:rsidR="00461633" w:rsidRPr="00796C83">
        <w:rPr>
          <w:noProof/>
          <w:color w:val="000000" w:themeColor="text1"/>
        </w:rPr>
        <w:lastRenderedPageBreak/>
        <w:t xml:space="preserve">les puede </w:t>
      </w:r>
      <w:r w:rsidR="00461633" w:rsidRPr="00796C83">
        <w:rPr>
          <w:noProof/>
          <w:color w:val="000000" w:themeColor="text1"/>
          <w:u w:val="single"/>
        </w:rPr>
        <w:t>invitar</w:t>
      </w:r>
      <w:r w:rsidR="00461633" w:rsidRPr="00796C83">
        <w:rPr>
          <w:noProof/>
          <w:color w:val="000000" w:themeColor="text1"/>
        </w:rPr>
        <w:t xml:space="preserve"> a hacer algo; no es adecuado utilizar </w:t>
      </w:r>
      <w:r w:rsidR="00930DA2" w:rsidRPr="00796C83">
        <w:rPr>
          <w:noProof/>
          <w:color w:val="000000" w:themeColor="text1"/>
        </w:rPr>
        <w:t>ningún</w:t>
      </w:r>
      <w:r w:rsidR="00461633" w:rsidRPr="00796C83">
        <w:rPr>
          <w:noProof/>
          <w:color w:val="000000" w:themeColor="text1"/>
        </w:rPr>
        <w:t xml:space="preserve"> otro verbo en esos casos ya que estas entidades no responden ante la COP.</w:t>
      </w:r>
    </w:p>
    <w:p w14:paraId="7A3F3EA3" w14:textId="77777777" w:rsidR="001F6249" w:rsidRPr="00796C83" w:rsidRDefault="001F6249" w:rsidP="001F6249">
      <w:pPr>
        <w:contextualSpacing/>
        <w:rPr>
          <w:noProof/>
        </w:rPr>
      </w:pPr>
    </w:p>
    <w:p w14:paraId="6752EBD9" w14:textId="77777777" w:rsidR="001F6249" w:rsidRPr="00F13D5F" w:rsidRDefault="001F6249" w:rsidP="001F6249">
      <w:pPr>
        <w:keepNext/>
        <w:contextualSpacing/>
        <w:rPr>
          <w:rFonts w:cs="Arial"/>
          <w:i/>
          <w:noProof/>
          <w:u w:val="single"/>
        </w:rPr>
      </w:pPr>
      <w:r w:rsidRPr="00F13D5F">
        <w:rPr>
          <w:i/>
          <w:noProof/>
          <w:u w:val="single"/>
        </w:rPr>
        <w:t>Anexos</w:t>
      </w:r>
    </w:p>
    <w:p w14:paraId="732ECEC0" w14:textId="77777777" w:rsidR="001F6249" w:rsidRPr="00796C83" w:rsidRDefault="001F6249" w:rsidP="001F6249">
      <w:pPr>
        <w:rPr>
          <w:rFonts w:cs="Arial"/>
          <w:noProof/>
        </w:rPr>
      </w:pPr>
    </w:p>
    <w:p w14:paraId="02385318" w14:textId="1C960920" w:rsidR="00461633" w:rsidRPr="00796C83" w:rsidRDefault="00461633" w:rsidP="001F6249">
      <w:pPr>
        <w:rPr>
          <w:noProof/>
          <w:color w:val="000000" w:themeColor="text1"/>
        </w:rPr>
      </w:pPr>
      <w:r w:rsidRPr="00796C83">
        <w:rPr>
          <w:noProof/>
        </w:rPr>
        <w:t>2</w:t>
      </w:r>
      <w:r w:rsidR="00593F97" w:rsidRPr="00796C83">
        <w:rPr>
          <w:noProof/>
        </w:rPr>
        <w:t>3</w:t>
      </w:r>
      <w:r w:rsidR="001F6249" w:rsidRPr="00796C83">
        <w:rPr>
          <w:noProof/>
        </w:rPr>
        <w:t>.</w:t>
      </w:r>
      <w:r w:rsidR="001F6249" w:rsidRPr="00796C83">
        <w:rPr>
          <w:noProof/>
        </w:rPr>
        <w:tab/>
      </w:r>
      <w:r w:rsidR="00C87D68" w:rsidRPr="00796C83">
        <w:rPr>
          <w:noProof/>
          <w:color w:val="000000" w:themeColor="text1"/>
        </w:rPr>
        <w:t xml:space="preserve">Un anexo puede aportar información necesaria para entender lo que se está acordando en la resolución, por ejemplo, cuadros presupuestarios, </w:t>
      </w:r>
      <w:r w:rsidR="00170DB9" w:rsidRPr="00796C83">
        <w:rPr>
          <w:noProof/>
          <w:color w:val="000000" w:themeColor="text1"/>
        </w:rPr>
        <w:t>términos</w:t>
      </w:r>
      <w:r w:rsidR="00C87D68" w:rsidRPr="00796C83">
        <w:rPr>
          <w:noProof/>
          <w:color w:val="000000" w:themeColor="text1"/>
        </w:rPr>
        <w:t xml:space="preserve"> de referencia, listas de países o, en algunos casos, buenas </w:t>
      </w:r>
      <w:r w:rsidR="00170DB9" w:rsidRPr="00796C83">
        <w:rPr>
          <w:noProof/>
          <w:color w:val="000000" w:themeColor="text1"/>
        </w:rPr>
        <w:t>prácticas</w:t>
      </w:r>
      <w:r w:rsidR="00C87D68" w:rsidRPr="00796C83">
        <w:rPr>
          <w:noProof/>
          <w:color w:val="000000" w:themeColor="text1"/>
        </w:rPr>
        <w:t xml:space="preserve"> u otra información técnica que no sea posible o </w:t>
      </w:r>
      <w:r w:rsidR="00170DB9" w:rsidRPr="00796C83">
        <w:rPr>
          <w:noProof/>
          <w:color w:val="000000" w:themeColor="text1"/>
        </w:rPr>
        <w:t>adecuado</w:t>
      </w:r>
      <w:r w:rsidR="00C87D68" w:rsidRPr="00796C83">
        <w:rPr>
          <w:noProof/>
          <w:color w:val="000000" w:themeColor="text1"/>
        </w:rPr>
        <w:t xml:space="preserve"> </w:t>
      </w:r>
      <w:r w:rsidR="00170DB9" w:rsidRPr="00796C83">
        <w:rPr>
          <w:noProof/>
          <w:color w:val="000000" w:themeColor="text1"/>
        </w:rPr>
        <w:t xml:space="preserve">reflejar en el texto de la propia resolución. La utilización de anexos se debe sopesar minuciosamente: estos se deben utilizar solo en los casos necesarios y han de contener información que sea importante para fines de referencia futura. En caso necesario, los anexos pueden contener enlaces a </w:t>
      </w:r>
      <w:r w:rsidR="000B4B13" w:rsidRPr="00796C83">
        <w:rPr>
          <w:noProof/>
          <w:color w:val="000000" w:themeColor="text1"/>
        </w:rPr>
        <w:t>más</w:t>
      </w:r>
      <w:r w:rsidR="00170DB9" w:rsidRPr="00796C83">
        <w:rPr>
          <w:noProof/>
          <w:color w:val="000000" w:themeColor="text1"/>
        </w:rPr>
        <w:t xml:space="preserve"> información de antecedentes</w:t>
      </w:r>
      <w:r w:rsidRPr="00796C83">
        <w:rPr>
          <w:noProof/>
          <w:color w:val="000000" w:themeColor="text1"/>
        </w:rPr>
        <w:t>.</w:t>
      </w:r>
    </w:p>
    <w:p w14:paraId="671A0008" w14:textId="0DC6CB2F" w:rsidR="001F6249" w:rsidRPr="00796C83" w:rsidRDefault="001F6249" w:rsidP="00A32A0F">
      <w:pPr>
        <w:ind w:left="0" w:firstLine="0"/>
        <w:rPr>
          <w:noProof/>
        </w:rPr>
      </w:pPr>
    </w:p>
    <w:p w14:paraId="6B801463" w14:textId="7B247829" w:rsidR="001F6249" w:rsidRPr="00796C83" w:rsidRDefault="00461633" w:rsidP="001F6249">
      <w:pPr>
        <w:rPr>
          <w:noProof/>
        </w:rPr>
      </w:pPr>
      <w:r w:rsidRPr="00796C83">
        <w:rPr>
          <w:noProof/>
        </w:rPr>
        <w:t>2</w:t>
      </w:r>
      <w:r w:rsidR="00593F97" w:rsidRPr="00796C83">
        <w:rPr>
          <w:noProof/>
        </w:rPr>
        <w:t>4</w:t>
      </w:r>
      <w:r w:rsidR="001F6249" w:rsidRPr="00796C83">
        <w:rPr>
          <w:noProof/>
        </w:rPr>
        <w:t>.</w:t>
      </w:r>
      <w:r w:rsidR="001F6249" w:rsidRPr="00796C83">
        <w:rPr>
          <w:noProof/>
        </w:rPr>
        <w:tab/>
        <w:t>Los anexos deberán numerarse de la siguiente forma: Anexo 1, Anexo 2, etc., siguiendo el orden en el que se haga referencia a ellos en el proyecto de resolución. Cada anexo deberá empezar en una página nueva.</w:t>
      </w:r>
    </w:p>
    <w:p w14:paraId="4FD037AB" w14:textId="31611F26" w:rsidR="005727D2" w:rsidRPr="00796C83" w:rsidRDefault="005727D2" w:rsidP="00593F97">
      <w:pPr>
        <w:ind w:left="0" w:firstLine="0"/>
        <w:rPr>
          <w:noProof/>
        </w:rPr>
      </w:pPr>
    </w:p>
    <w:p w14:paraId="52157928" w14:textId="363A1963" w:rsidR="007F766D" w:rsidRPr="00796C83" w:rsidRDefault="007F766D" w:rsidP="005727D2">
      <w:pPr>
        <w:pStyle w:val="yiv5243853583msonormal"/>
        <w:shd w:val="clear" w:color="auto" w:fill="FFFFFF"/>
        <w:spacing w:before="0" w:beforeAutospacing="0" w:after="0" w:afterAutospacing="0"/>
        <w:ind w:left="851" w:hanging="425"/>
        <w:rPr>
          <w:rFonts w:ascii="Calibri" w:eastAsia="Calibri" w:hAnsi="Calibri"/>
          <w:noProof/>
          <w:sz w:val="22"/>
          <w:szCs w:val="22"/>
          <w:lang w:val="es-ES" w:eastAsia="en-US"/>
        </w:rPr>
      </w:pPr>
      <w:r w:rsidRPr="00796C83">
        <w:rPr>
          <w:rFonts w:ascii="Calibri" w:eastAsia="Calibri" w:hAnsi="Calibri"/>
          <w:noProof/>
          <w:sz w:val="22"/>
          <w:szCs w:val="22"/>
          <w:lang w:val="es-ES" w:eastAsia="en-US"/>
        </w:rPr>
        <w:br w:type="page"/>
      </w:r>
    </w:p>
    <w:p w14:paraId="06CB535C" w14:textId="0D355549" w:rsidR="00461633" w:rsidRPr="00796C83" w:rsidRDefault="00461633" w:rsidP="00461633">
      <w:pPr>
        <w:rPr>
          <w:b/>
          <w:noProof/>
          <w:color w:val="000000" w:themeColor="text1"/>
          <w:sz w:val="24"/>
          <w:szCs w:val="24"/>
        </w:rPr>
      </w:pPr>
      <w:r w:rsidRPr="00796C83">
        <w:rPr>
          <w:b/>
          <w:noProof/>
          <w:color w:val="000000" w:themeColor="text1"/>
          <w:sz w:val="24"/>
          <w:szCs w:val="24"/>
        </w:rPr>
        <w:lastRenderedPageBreak/>
        <w:t>Anexo A</w:t>
      </w:r>
    </w:p>
    <w:p w14:paraId="28795A6C" w14:textId="36698BE2" w:rsidR="001F6249" w:rsidRPr="00796C83" w:rsidRDefault="001F6249" w:rsidP="00461633">
      <w:pPr>
        <w:rPr>
          <w:rFonts w:cs="Arial"/>
          <w:b/>
          <w:noProof/>
          <w:sz w:val="24"/>
          <w:szCs w:val="24"/>
        </w:rPr>
      </w:pPr>
      <w:r w:rsidRPr="00796C83">
        <w:rPr>
          <w:b/>
          <w:noProof/>
          <w:color w:val="000000" w:themeColor="text1"/>
          <w:sz w:val="24"/>
          <w:szCs w:val="24"/>
        </w:rPr>
        <w:t xml:space="preserve">Modelo para la presentación de proyectos de resolución al Comité </w:t>
      </w:r>
      <w:r w:rsidRPr="00796C83">
        <w:rPr>
          <w:b/>
          <w:noProof/>
          <w:sz w:val="24"/>
          <w:szCs w:val="24"/>
        </w:rPr>
        <w:t>Permanente</w:t>
      </w:r>
    </w:p>
    <w:p w14:paraId="528EAF02" w14:textId="77777777" w:rsidR="001F6249" w:rsidRPr="00796C83" w:rsidRDefault="001F6249" w:rsidP="001F6249">
      <w:pPr>
        <w:rPr>
          <w:rFonts w:cs="Arial"/>
          <w:b/>
          <w:noProof/>
        </w:rPr>
      </w:pPr>
    </w:p>
    <w:p w14:paraId="46DCCE65" w14:textId="77777777" w:rsidR="001F6249" w:rsidRPr="00796C83" w:rsidRDefault="001F6249" w:rsidP="001F6249">
      <w:pPr>
        <w:ind w:left="0" w:firstLine="0"/>
        <w:rPr>
          <w:noProof/>
        </w:rPr>
      </w:pPr>
      <w:r w:rsidRPr="00796C83">
        <w:rPr>
          <w:noProof/>
        </w:rPr>
        <w:t xml:space="preserve">El presente modelo constituye la base de la introducción y el texto del proyecto de resolución propuesto. </w:t>
      </w:r>
    </w:p>
    <w:p w14:paraId="1FE6DD66" w14:textId="77777777" w:rsidR="001F6249" w:rsidRPr="00796C83" w:rsidRDefault="001F6249" w:rsidP="001F6249">
      <w:pPr>
        <w:rPr>
          <w:rFonts w:cs="Arial"/>
          <w:b/>
          <w:noProof/>
        </w:rPr>
      </w:pPr>
    </w:p>
    <w:p w14:paraId="76C84A53" w14:textId="77777777" w:rsidR="001F6249" w:rsidRPr="00796C83" w:rsidRDefault="001F6249" w:rsidP="001F6249">
      <w:pPr>
        <w:pBdr>
          <w:bottom w:val="single" w:sz="6" w:space="1" w:color="auto"/>
        </w:pBdr>
        <w:rPr>
          <w:rFonts w:cs="Arial"/>
          <w:noProof/>
        </w:rPr>
      </w:pPr>
    </w:p>
    <w:p w14:paraId="7CD83BCC" w14:textId="77777777" w:rsidR="001F6249" w:rsidRPr="00796C83" w:rsidRDefault="001F6249" w:rsidP="001F6249">
      <w:pPr>
        <w:rPr>
          <w:rFonts w:cs="Arial"/>
          <w:noProof/>
        </w:rPr>
      </w:pPr>
    </w:p>
    <w:p w14:paraId="0E7B05D0" w14:textId="77777777" w:rsidR="001F6249" w:rsidRPr="00796C83" w:rsidRDefault="001F6249" w:rsidP="001F6249">
      <w:pPr>
        <w:rPr>
          <w:rFonts w:cs="Arial"/>
          <w:noProof/>
        </w:rPr>
      </w:pPr>
    </w:p>
    <w:p w14:paraId="209AA40D" w14:textId="77777777" w:rsidR="001F6249" w:rsidRPr="00796C83" w:rsidRDefault="001F6249" w:rsidP="001F6249">
      <w:pPr>
        <w:rPr>
          <w:rFonts w:cs="Arial"/>
          <w:noProof/>
        </w:rPr>
      </w:pPr>
    </w:p>
    <w:p w14:paraId="679455FF" w14:textId="7468ADF6" w:rsidR="001F6249" w:rsidRPr="00796C83" w:rsidRDefault="00A02061" w:rsidP="001F6249">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noProof/>
          <w:color w:val="000000" w:themeColor="text1"/>
          <w:szCs w:val="20"/>
        </w:rPr>
      </w:pPr>
      <w:r w:rsidRPr="00796C83">
        <w:rPr>
          <w:rFonts w:asciiTheme="minorHAnsi" w:hAnsiTheme="minorHAnsi"/>
          <w:bCs/>
          <w:noProof/>
          <w:color w:val="000000" w:themeColor="text1"/>
          <w:szCs w:val="20"/>
        </w:rPr>
        <w:t xml:space="preserve">LA </w:t>
      </w:r>
      <w:r w:rsidR="001F6249" w:rsidRPr="00796C83">
        <w:rPr>
          <w:rFonts w:asciiTheme="minorHAnsi" w:hAnsiTheme="minorHAnsi"/>
          <w:bCs/>
          <w:noProof/>
          <w:color w:val="000000" w:themeColor="text1"/>
          <w:szCs w:val="20"/>
        </w:rPr>
        <w:t>CONVENCIÓN SOBRE LOS HUMEDALES</w:t>
      </w:r>
    </w:p>
    <w:p w14:paraId="40B3F838" w14:textId="4BDA188B" w:rsidR="001F6249" w:rsidRPr="00796C83" w:rsidRDefault="00593F97" w:rsidP="001F6249">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noProof/>
          <w:color w:val="000000" w:themeColor="text1"/>
          <w:szCs w:val="20"/>
        </w:rPr>
      </w:pPr>
      <w:r w:rsidRPr="00796C83">
        <w:rPr>
          <w:rFonts w:asciiTheme="minorHAnsi" w:hAnsiTheme="minorHAnsi"/>
          <w:bCs/>
          <w:noProof/>
          <w:color w:val="000000" w:themeColor="text1"/>
          <w:szCs w:val="20"/>
        </w:rPr>
        <w:t>64</w:t>
      </w:r>
      <w:r w:rsidR="001072C1" w:rsidRPr="00796C83">
        <w:rPr>
          <w:rFonts w:asciiTheme="minorHAnsi" w:hAnsiTheme="minorHAnsi"/>
          <w:bCs/>
          <w:noProof/>
          <w:color w:val="000000" w:themeColor="text1"/>
          <w:szCs w:val="20"/>
          <w:vertAlign w:val="superscript"/>
        </w:rPr>
        <w:t>a</w:t>
      </w:r>
      <w:r w:rsidR="001072C1" w:rsidRPr="00796C83">
        <w:rPr>
          <w:rFonts w:asciiTheme="minorHAnsi" w:hAnsiTheme="minorHAnsi"/>
          <w:bCs/>
          <w:noProof/>
          <w:color w:val="000000" w:themeColor="text1"/>
          <w:szCs w:val="20"/>
        </w:rPr>
        <w:t xml:space="preserve"> </w:t>
      </w:r>
      <w:r w:rsidRPr="00796C83">
        <w:rPr>
          <w:rFonts w:asciiTheme="minorHAnsi" w:hAnsiTheme="minorHAnsi"/>
          <w:bCs/>
          <w:noProof/>
          <w:color w:val="000000" w:themeColor="text1"/>
          <w:szCs w:val="20"/>
        </w:rPr>
        <w:t>r</w:t>
      </w:r>
      <w:r w:rsidR="001072C1" w:rsidRPr="00796C83">
        <w:rPr>
          <w:rFonts w:asciiTheme="minorHAnsi" w:hAnsiTheme="minorHAnsi"/>
          <w:bCs/>
          <w:noProof/>
          <w:color w:val="000000" w:themeColor="text1"/>
          <w:szCs w:val="20"/>
        </w:rPr>
        <w:t>eunión del Comité Permanente</w:t>
      </w:r>
    </w:p>
    <w:p w14:paraId="53465B5A" w14:textId="41C3FF95" w:rsidR="001F6249" w:rsidRPr="00796C83" w:rsidRDefault="00593F97" w:rsidP="001F6249">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noProof/>
          <w:color w:val="000000" w:themeColor="text1"/>
          <w:szCs w:val="20"/>
        </w:rPr>
      </w:pPr>
      <w:r w:rsidRPr="00796C83">
        <w:rPr>
          <w:rFonts w:asciiTheme="minorHAnsi" w:hAnsiTheme="minorHAnsi"/>
          <w:bCs/>
          <w:noProof/>
          <w:color w:val="000000" w:themeColor="text1"/>
          <w:szCs w:val="20"/>
          <w:highlight w:val="yellow"/>
        </w:rPr>
        <w:t>Lugar</w:t>
      </w:r>
      <w:r w:rsidR="001072C1" w:rsidRPr="00796C83">
        <w:rPr>
          <w:rFonts w:asciiTheme="minorHAnsi" w:hAnsiTheme="minorHAnsi"/>
          <w:bCs/>
          <w:noProof/>
          <w:color w:val="000000" w:themeColor="text1"/>
          <w:szCs w:val="20"/>
          <w:highlight w:val="yellow"/>
        </w:rPr>
        <w:t xml:space="preserve">, </w:t>
      </w:r>
      <w:r w:rsidRPr="00796C83">
        <w:rPr>
          <w:rFonts w:asciiTheme="minorHAnsi" w:hAnsiTheme="minorHAnsi"/>
          <w:bCs/>
          <w:noProof/>
          <w:color w:val="000000" w:themeColor="text1"/>
          <w:szCs w:val="20"/>
          <w:highlight w:val="yellow"/>
        </w:rPr>
        <w:t>xx a xx</w:t>
      </w:r>
      <w:r w:rsidR="001072C1" w:rsidRPr="00796C83">
        <w:rPr>
          <w:rFonts w:asciiTheme="minorHAnsi" w:hAnsiTheme="minorHAnsi"/>
          <w:bCs/>
          <w:noProof/>
          <w:color w:val="000000" w:themeColor="text1"/>
          <w:szCs w:val="20"/>
          <w:highlight w:val="yellow"/>
        </w:rPr>
        <w:t xml:space="preserve"> de</w:t>
      </w:r>
      <w:r w:rsidRPr="00796C83">
        <w:rPr>
          <w:rFonts w:asciiTheme="minorHAnsi" w:hAnsiTheme="minorHAnsi"/>
          <w:bCs/>
          <w:noProof/>
          <w:color w:val="000000" w:themeColor="text1"/>
          <w:szCs w:val="20"/>
          <w:highlight w:val="yellow"/>
        </w:rPr>
        <w:t xml:space="preserve"> enero de 2025</w:t>
      </w:r>
    </w:p>
    <w:p w14:paraId="4D2B71D2" w14:textId="77777777" w:rsidR="001F6249" w:rsidRPr="00796C83" w:rsidRDefault="001F6249" w:rsidP="001F6249">
      <w:pPr>
        <w:rPr>
          <w:rFonts w:asciiTheme="minorHAnsi" w:hAnsiTheme="minorHAnsi"/>
          <w:noProof/>
          <w:sz w:val="28"/>
        </w:rPr>
      </w:pPr>
    </w:p>
    <w:p w14:paraId="0A304083" w14:textId="77777777" w:rsidR="001F6249" w:rsidRPr="00796C83" w:rsidRDefault="001F6249" w:rsidP="001F6249">
      <w:pPr>
        <w:rPr>
          <w:rFonts w:asciiTheme="minorHAnsi" w:hAnsiTheme="minorHAnsi"/>
          <w:b/>
          <w:noProof/>
          <w:sz w:val="28"/>
          <w:szCs w:val="28"/>
        </w:rPr>
      </w:pPr>
    </w:p>
    <w:p w14:paraId="7827A087" w14:textId="3DC3734B" w:rsidR="001F6249" w:rsidRPr="00796C83" w:rsidRDefault="001F6249" w:rsidP="001F6249">
      <w:pPr>
        <w:ind w:right="16"/>
        <w:jc w:val="center"/>
        <w:rPr>
          <w:rFonts w:asciiTheme="minorHAnsi" w:eastAsia="Times New Roman" w:hAnsiTheme="minorHAnsi"/>
          <w:noProof/>
          <w:sz w:val="28"/>
          <w:szCs w:val="28"/>
        </w:rPr>
      </w:pPr>
      <w:r w:rsidRPr="00796C83">
        <w:rPr>
          <w:rFonts w:asciiTheme="minorHAnsi" w:hAnsiTheme="minorHAnsi"/>
          <w:b/>
          <w:bCs/>
          <w:noProof/>
          <w:sz w:val="28"/>
          <w:szCs w:val="28"/>
        </w:rPr>
        <w:t xml:space="preserve">Proyecto de resolución </w:t>
      </w:r>
      <w:r w:rsidR="00A02061" w:rsidRPr="00796C83">
        <w:rPr>
          <w:rFonts w:asciiTheme="minorHAnsi" w:hAnsiTheme="minorHAnsi"/>
          <w:b/>
          <w:bCs/>
          <w:noProof/>
          <w:color w:val="000000" w:themeColor="text1"/>
          <w:sz w:val="28"/>
          <w:szCs w:val="28"/>
        </w:rPr>
        <w:t xml:space="preserve">propuesto </w:t>
      </w:r>
      <w:r w:rsidRPr="00796C83">
        <w:rPr>
          <w:rFonts w:asciiTheme="minorHAnsi" w:hAnsiTheme="minorHAnsi"/>
          <w:b/>
          <w:bCs/>
          <w:noProof/>
          <w:sz w:val="28"/>
          <w:szCs w:val="28"/>
        </w:rPr>
        <w:t>sobre [</w:t>
      </w:r>
      <w:r w:rsidRPr="00796C83">
        <w:rPr>
          <w:rFonts w:asciiTheme="minorHAnsi" w:hAnsiTheme="minorHAnsi"/>
          <w:b/>
          <w:bCs/>
          <w:noProof/>
          <w:color w:val="000000" w:themeColor="text1"/>
          <w:sz w:val="28"/>
          <w:szCs w:val="28"/>
          <w:u w:val="single"/>
        </w:rPr>
        <w:t>insertar tema</w:t>
      </w:r>
      <w:r w:rsidRPr="00796C83">
        <w:rPr>
          <w:rFonts w:asciiTheme="minorHAnsi" w:hAnsiTheme="minorHAnsi"/>
          <w:b/>
          <w:bCs/>
          <w:noProof/>
          <w:sz w:val="28"/>
          <w:szCs w:val="28"/>
        </w:rPr>
        <w:t>]</w:t>
      </w:r>
    </w:p>
    <w:p w14:paraId="23464B10" w14:textId="77777777" w:rsidR="001F6249" w:rsidRPr="00796C83" w:rsidRDefault="001F6249" w:rsidP="001F6249">
      <w:pPr>
        <w:jc w:val="right"/>
        <w:rPr>
          <w:rFonts w:asciiTheme="minorHAnsi" w:eastAsia="Times New Roman" w:hAnsiTheme="minorHAnsi"/>
          <w:b/>
          <w:noProof/>
          <w:sz w:val="28"/>
          <w:szCs w:val="28"/>
        </w:rPr>
      </w:pPr>
    </w:p>
    <w:p w14:paraId="5ABA6D91" w14:textId="77777777" w:rsidR="001F6249" w:rsidRPr="00796C83" w:rsidRDefault="001F6249" w:rsidP="001F6249">
      <w:pPr>
        <w:ind w:right="16"/>
        <w:rPr>
          <w:rFonts w:asciiTheme="minorHAnsi" w:eastAsia="Times New Roman" w:hAnsiTheme="minorHAnsi"/>
          <w:i/>
          <w:noProof/>
        </w:rPr>
      </w:pPr>
      <w:r w:rsidRPr="00796C83">
        <w:rPr>
          <w:rFonts w:asciiTheme="minorHAnsi" w:hAnsiTheme="minorHAnsi"/>
          <w:i/>
          <w:noProof/>
        </w:rPr>
        <w:t xml:space="preserve">Presentado por </w:t>
      </w:r>
      <w:r w:rsidRPr="00796C83">
        <w:rPr>
          <w:rFonts w:asciiTheme="minorHAnsi" w:hAnsiTheme="minorHAnsi"/>
          <w:i/>
          <w:noProof/>
          <w:color w:val="000000" w:themeColor="text1"/>
        </w:rPr>
        <w:t>[</w:t>
      </w:r>
      <w:r w:rsidRPr="00796C83">
        <w:rPr>
          <w:rFonts w:asciiTheme="minorHAnsi" w:hAnsiTheme="minorHAnsi"/>
          <w:i/>
          <w:noProof/>
          <w:color w:val="000000" w:themeColor="text1"/>
          <w:u w:val="single"/>
        </w:rPr>
        <w:t>insertar el nombre de la Parte Contratante</w:t>
      </w:r>
      <w:r w:rsidRPr="00796C83">
        <w:rPr>
          <w:rFonts w:asciiTheme="minorHAnsi" w:hAnsiTheme="minorHAnsi"/>
          <w:i/>
          <w:noProof/>
        </w:rPr>
        <w:t>]</w:t>
      </w:r>
    </w:p>
    <w:p w14:paraId="3D0A3BD4" w14:textId="77777777" w:rsidR="001F6249" w:rsidRPr="00796C83" w:rsidRDefault="001F6249" w:rsidP="001F6249">
      <w:pPr>
        <w:jc w:val="right"/>
        <w:rPr>
          <w:rFonts w:asciiTheme="minorHAnsi" w:eastAsia="Times New Roman" w:hAnsiTheme="minorHAnsi"/>
          <w:b/>
          <w:noProof/>
          <w:sz w:val="28"/>
          <w:szCs w:val="28"/>
        </w:rPr>
      </w:pPr>
    </w:p>
    <w:p w14:paraId="4CA5F9EC" w14:textId="77777777" w:rsidR="001F6249" w:rsidRPr="00796C83" w:rsidRDefault="001F6249" w:rsidP="001F6249">
      <w:pPr>
        <w:rPr>
          <w:noProof/>
        </w:rPr>
      </w:pPr>
    </w:p>
    <w:p w14:paraId="1671BEA2" w14:textId="77777777" w:rsidR="001F6249" w:rsidRPr="00796C83" w:rsidRDefault="001F6249" w:rsidP="001F6249">
      <w:pPr>
        <w:jc w:val="both"/>
        <w:rPr>
          <w:rFonts w:asciiTheme="minorHAnsi" w:hAnsiTheme="minorHAnsi"/>
          <w:noProof/>
        </w:rPr>
      </w:pPr>
      <w:r w:rsidRPr="00796C83">
        <w:rPr>
          <w:rFonts w:asciiTheme="minorHAnsi" w:hAnsiTheme="minorHAnsi"/>
          <w:noProof/>
          <w:lang w:eastAsia="en-GB"/>
        </w:rPr>
        <mc:AlternateContent>
          <mc:Choice Requires="wps">
            <w:drawing>
              <wp:inline distT="0" distB="0" distL="0" distR="0" wp14:anchorId="1BB842E9" wp14:editId="06EBB4D2">
                <wp:extent cx="5820674" cy="991590"/>
                <wp:effectExtent l="0" t="0" r="2794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14:paraId="37E39144" w14:textId="77777777" w:rsidR="008B52E0" w:rsidRPr="004D2D2D" w:rsidRDefault="008B52E0" w:rsidP="001F6249">
                            <w:pPr>
                              <w:rPr>
                                <w:rFonts w:asciiTheme="minorHAnsi" w:hAnsiTheme="minorHAnsi" w:cs="Calibri"/>
                                <w:b/>
                              </w:rPr>
                            </w:pPr>
                            <w:r>
                              <w:rPr>
                                <w:rFonts w:asciiTheme="minorHAnsi" w:hAnsiTheme="minorHAnsi"/>
                                <w:b/>
                              </w:rPr>
                              <w:t>Acción solicitada:</w:t>
                            </w:r>
                          </w:p>
                          <w:p w14:paraId="3048AACE" w14:textId="44138EDC" w:rsidR="008B52E0" w:rsidRPr="00170DB9" w:rsidRDefault="008B52E0" w:rsidP="001F6249">
                            <w:pPr>
                              <w:widowControl w:val="0"/>
                              <w:numPr>
                                <w:ilvl w:val="0"/>
                                <w:numId w:val="33"/>
                              </w:numPr>
                              <w:ind w:left="426" w:hanging="426"/>
                              <w:rPr>
                                <w:rFonts w:asciiTheme="minorHAnsi" w:hAnsiTheme="minorHAnsi"/>
                              </w:rPr>
                            </w:pPr>
                            <w:r w:rsidRPr="00170DB9">
                              <w:rPr>
                                <w:rFonts w:asciiTheme="minorHAnsi" w:hAnsiTheme="minorHAnsi"/>
                              </w:rPr>
                              <w:t>Se invita al Comité Permanente a examinar y aprobar el proyecto de resolución adjunto para su examen por la 14</w:t>
                            </w:r>
                            <w:r w:rsidRPr="00170DB9">
                              <w:rPr>
                                <w:rFonts w:asciiTheme="minorHAnsi" w:hAnsiTheme="minorHAnsi"/>
                                <w:vertAlign w:val="superscript"/>
                              </w:rPr>
                              <w:t>a</w:t>
                            </w:r>
                            <w:r w:rsidRPr="00170DB9">
                              <w:rPr>
                                <w:rFonts w:asciiTheme="minorHAnsi" w:hAnsiTheme="minorHAnsi"/>
                              </w:rPr>
                              <w:t xml:space="preserve"> reunión de la Conferencia de las Partes.</w:t>
                            </w:r>
                          </w:p>
                          <w:p w14:paraId="6ECD7727" w14:textId="77777777" w:rsidR="008B52E0" w:rsidRPr="00170DB9" w:rsidRDefault="008B52E0" w:rsidP="001F6249">
                            <w:pPr>
                              <w:widowControl w:val="0"/>
                              <w:ind w:left="426"/>
                              <w:rPr>
                                <w:rFonts w:asciiTheme="minorHAnsi" w:hAnsiTheme="minorHAnsi"/>
                              </w:rPr>
                            </w:pPr>
                          </w:p>
                          <w:p w14:paraId="5B60F699" w14:textId="77777777" w:rsidR="008B52E0" w:rsidRPr="00170DB9" w:rsidRDefault="008B52E0" w:rsidP="00A02061">
                            <w:pPr>
                              <w:widowControl w:val="0"/>
                              <w:rPr>
                                <w:rFonts w:asciiTheme="minorHAnsi" w:hAnsiTheme="minorHAnsi"/>
                              </w:rPr>
                            </w:pPr>
                            <w:r w:rsidRPr="00170DB9">
                              <w:rPr>
                                <w:rFonts w:asciiTheme="minorHAnsi" w:hAnsiTheme="minorHAnsi"/>
                              </w:rPr>
                              <w:t>[Insertar cualquier otra acción solicitada al Comité Permanente]</w:t>
                            </w:r>
                          </w:p>
                        </w:txbxContent>
                      </wps:txbx>
                      <wps:bodyPr rot="0" vert="horz" wrap="square" lIns="91440" tIns="45720" rIns="91440" bIns="45720" anchor="t" anchorCtr="0" upright="1">
                        <a:noAutofit/>
                      </wps:bodyPr>
                    </wps:wsp>
                  </a:graphicData>
                </a:graphic>
              </wp:inline>
            </w:drawing>
          </mc:Choice>
          <mc:Fallback>
            <w:pict>
              <v:shape w14:anchorId="1BB842E9" id="Text Box 2" o:spid="_x0000_s1027"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">
                <v:textbox>
                  <w:txbxContent>
                    <w:p w14:paraId="37E39144" w14:textId="77777777" w:rsidR="008B52E0" w:rsidRPr="004D2D2D" w:rsidRDefault="008B52E0" w:rsidP="001F6249">
                      <w:pPr>
                        <w:rPr>
                          <w:rFonts w:asciiTheme="minorHAnsi" w:hAnsiTheme="minorHAnsi" w:cs="Calibri"/>
                          <w:b/>
                        </w:rPr>
                      </w:pPr>
                      <w:r>
                        <w:rPr>
                          <w:rFonts w:asciiTheme="minorHAnsi" w:hAnsiTheme="minorHAnsi"/>
                          <w:b/>
                        </w:rPr>
                        <w:t>Acción solicitada:</w:t>
                      </w:r>
                    </w:p>
                    <w:p w14:paraId="3048AACE" w14:textId="44138EDC" w:rsidR="008B52E0" w:rsidRPr="00170DB9" w:rsidRDefault="008B52E0" w:rsidP="001F6249">
                      <w:pPr>
                        <w:widowControl w:val="0"/>
                        <w:numPr>
                          <w:ilvl w:val="0"/>
                          <w:numId w:val="33"/>
                        </w:numPr>
                        <w:ind w:left="426" w:hanging="426"/>
                        <w:rPr>
                          <w:rFonts w:asciiTheme="minorHAnsi" w:hAnsiTheme="minorHAnsi"/>
                        </w:rPr>
                      </w:pPr>
                      <w:r w:rsidRPr="00170DB9">
                        <w:rPr>
                          <w:rFonts w:asciiTheme="minorHAnsi" w:hAnsiTheme="minorHAnsi"/>
                        </w:rPr>
                        <w:t>Se invita al Comité Permanente a examinar y aprobar el proyecto de resolución adjunto para su examen por la 14</w:t>
                      </w:r>
                      <w:r w:rsidRPr="00170DB9">
                        <w:rPr>
                          <w:rFonts w:asciiTheme="minorHAnsi" w:hAnsiTheme="minorHAnsi"/>
                          <w:vertAlign w:val="superscript"/>
                        </w:rPr>
                        <w:t>a</w:t>
                      </w:r>
                      <w:r w:rsidRPr="00170DB9">
                        <w:rPr>
                          <w:rFonts w:asciiTheme="minorHAnsi" w:hAnsiTheme="minorHAnsi"/>
                        </w:rPr>
                        <w:t xml:space="preserve"> reunión de la Conferencia de las Partes.</w:t>
                      </w:r>
                    </w:p>
                    <w:p w14:paraId="6ECD7727" w14:textId="77777777" w:rsidR="008B52E0" w:rsidRPr="00170DB9" w:rsidRDefault="008B52E0" w:rsidP="001F6249">
                      <w:pPr>
                        <w:widowControl w:val="0"/>
                        <w:ind w:left="426"/>
                        <w:rPr>
                          <w:rFonts w:asciiTheme="minorHAnsi" w:hAnsiTheme="minorHAnsi"/>
                        </w:rPr>
                      </w:pPr>
                    </w:p>
                    <w:p w14:paraId="5B60F699" w14:textId="77777777" w:rsidR="008B52E0" w:rsidRPr="00170DB9" w:rsidRDefault="008B52E0" w:rsidP="00A02061">
                      <w:pPr>
                        <w:widowControl w:val="0"/>
                        <w:rPr>
                          <w:rFonts w:asciiTheme="minorHAnsi" w:hAnsiTheme="minorHAnsi"/>
                        </w:rPr>
                      </w:pPr>
                      <w:r w:rsidRPr="00170DB9">
                        <w:rPr>
                          <w:rFonts w:asciiTheme="minorHAnsi" w:hAnsiTheme="minorHAnsi"/>
                        </w:rPr>
                        <w:t>[Insertar cualquier otra acción solicitada al Comité Permanente]</w:t>
                      </w:r>
                    </w:p>
                  </w:txbxContent>
                </v:textbox>
                <w10:anchorlock/>
              </v:shape>
            </w:pict>
          </mc:Fallback>
        </mc:AlternateContent>
      </w:r>
    </w:p>
    <w:p w14:paraId="24AB15E9" w14:textId="77777777" w:rsidR="001F6249" w:rsidRPr="00796C83" w:rsidRDefault="001F6249" w:rsidP="001F6249">
      <w:pPr>
        <w:rPr>
          <w:rFonts w:cs="Arial"/>
          <w:noProof/>
        </w:rPr>
      </w:pPr>
    </w:p>
    <w:p w14:paraId="527442F1" w14:textId="77777777" w:rsidR="001F6249" w:rsidRPr="00796C83" w:rsidRDefault="001F6249" w:rsidP="001F6249">
      <w:pPr>
        <w:rPr>
          <w:rFonts w:cs="Arial"/>
          <w:b/>
          <w:noProof/>
        </w:rPr>
      </w:pPr>
    </w:p>
    <w:p w14:paraId="5138F356" w14:textId="77777777" w:rsidR="001F6249" w:rsidRPr="00796C83" w:rsidRDefault="001F6249" w:rsidP="001F6249">
      <w:pPr>
        <w:rPr>
          <w:rFonts w:cs="Arial"/>
          <w:b/>
          <w:noProof/>
        </w:rPr>
      </w:pPr>
      <w:r w:rsidRPr="00796C83">
        <w:rPr>
          <w:b/>
          <w:noProof/>
        </w:rPr>
        <w:t>Introducción</w:t>
      </w:r>
    </w:p>
    <w:p w14:paraId="10DC17A4" w14:textId="77777777" w:rsidR="001F6249" w:rsidRPr="00796C83" w:rsidRDefault="001F6249" w:rsidP="001F6249">
      <w:pPr>
        <w:rPr>
          <w:rFonts w:cs="Arial"/>
          <w:noProof/>
        </w:rPr>
      </w:pPr>
    </w:p>
    <w:p w14:paraId="6683A98B" w14:textId="7E35F257" w:rsidR="001F6249" w:rsidRPr="00796C83" w:rsidRDefault="00170DB9" w:rsidP="001F6249">
      <w:pPr>
        <w:rPr>
          <w:rFonts w:cs="Arial"/>
          <w:i/>
          <w:noProof/>
        </w:rPr>
      </w:pPr>
      <w:r w:rsidRPr="00796C83">
        <w:rPr>
          <w:i/>
          <w:noProof/>
          <w:color w:val="000000" w:themeColor="text1"/>
        </w:rPr>
        <w:t>Breve i</w:t>
      </w:r>
      <w:r w:rsidR="001F6249" w:rsidRPr="00796C83">
        <w:rPr>
          <w:i/>
          <w:noProof/>
          <w:color w:val="000000" w:themeColor="text1"/>
        </w:rPr>
        <w:t xml:space="preserve">nformación </w:t>
      </w:r>
      <w:r w:rsidR="00A02061" w:rsidRPr="00796C83">
        <w:rPr>
          <w:i/>
          <w:noProof/>
          <w:color w:val="000000" w:themeColor="text1"/>
        </w:rPr>
        <w:t xml:space="preserve">de antecedentes o de contexto </w:t>
      </w:r>
      <w:r w:rsidRPr="00796C83">
        <w:rPr>
          <w:i/>
          <w:noProof/>
          <w:color w:val="000000" w:themeColor="text1"/>
        </w:rPr>
        <w:t>para el C</w:t>
      </w:r>
      <w:r w:rsidR="001F6249" w:rsidRPr="00796C83">
        <w:rPr>
          <w:i/>
          <w:noProof/>
        </w:rPr>
        <w:t xml:space="preserve">omité Permanente </w:t>
      </w:r>
    </w:p>
    <w:p w14:paraId="30B3AA27" w14:textId="77777777" w:rsidR="001F6249" w:rsidRPr="00796C83" w:rsidRDefault="001F6249" w:rsidP="001F6249">
      <w:pPr>
        <w:rPr>
          <w:rFonts w:cs="Arial"/>
          <w:noProof/>
        </w:rPr>
      </w:pPr>
    </w:p>
    <w:p w14:paraId="77935F06" w14:textId="77777777" w:rsidR="001F6249" w:rsidRPr="00796C83" w:rsidRDefault="001F6249" w:rsidP="001F6249">
      <w:pPr>
        <w:rPr>
          <w:rFonts w:cs="Arial"/>
          <w:i/>
          <w:noProof/>
        </w:rPr>
      </w:pPr>
      <w:r w:rsidRPr="00796C83">
        <w:rPr>
          <w:i/>
          <w:noProof/>
        </w:rPr>
        <w:t>Repercusiones financieras de la aplicación</w:t>
      </w:r>
    </w:p>
    <w:p w14:paraId="6BB1669B" w14:textId="77777777" w:rsidR="001F6249" w:rsidRPr="00796C83" w:rsidRDefault="001F6249" w:rsidP="001F6249">
      <w:pPr>
        <w:rPr>
          <w:rFonts w:cs="Arial"/>
          <w:noProof/>
        </w:rPr>
      </w:pPr>
    </w:p>
    <w:tbl>
      <w:tblPr>
        <w:tblStyle w:val="TableGrid"/>
        <w:tblW w:w="0" w:type="auto"/>
        <w:tblLook w:val="04A0" w:firstRow="1" w:lastRow="0" w:firstColumn="1" w:lastColumn="0" w:noHBand="0" w:noVBand="1"/>
      </w:tblPr>
      <w:tblGrid>
        <w:gridCol w:w="2580"/>
        <w:gridCol w:w="4352"/>
        <w:gridCol w:w="2084"/>
      </w:tblGrid>
      <w:tr w:rsidR="001F6249" w:rsidRPr="00796C83" w14:paraId="7A71AF7F" w14:textId="77777777" w:rsidTr="008B52E0">
        <w:tc>
          <w:tcPr>
            <w:tcW w:w="2628" w:type="dxa"/>
          </w:tcPr>
          <w:p w14:paraId="0FBA4B36" w14:textId="77777777" w:rsidR="001F6249" w:rsidRPr="00796C83" w:rsidRDefault="001F6249" w:rsidP="008B52E0">
            <w:pPr>
              <w:contextualSpacing/>
              <w:rPr>
                <w:rFonts w:cs="Arial"/>
                <w:noProof/>
              </w:rPr>
            </w:pPr>
            <w:r w:rsidRPr="00796C83">
              <w:rPr>
                <w:noProof/>
              </w:rPr>
              <w:t>Párrafo (número y parte principal del texto)</w:t>
            </w:r>
          </w:p>
        </w:tc>
        <w:tc>
          <w:tcPr>
            <w:tcW w:w="4500" w:type="dxa"/>
          </w:tcPr>
          <w:p w14:paraId="78E416AD" w14:textId="77777777" w:rsidR="001F6249" w:rsidRPr="00796C83" w:rsidRDefault="001F6249" w:rsidP="008B52E0">
            <w:pPr>
              <w:contextualSpacing/>
              <w:rPr>
                <w:rFonts w:cs="Arial"/>
                <w:noProof/>
              </w:rPr>
            </w:pPr>
            <w:r w:rsidRPr="00796C83">
              <w:rPr>
                <w:noProof/>
              </w:rPr>
              <w:t xml:space="preserve">Acción </w:t>
            </w:r>
          </w:p>
        </w:tc>
        <w:tc>
          <w:tcPr>
            <w:tcW w:w="2114" w:type="dxa"/>
          </w:tcPr>
          <w:p w14:paraId="6146F6AA" w14:textId="77777777" w:rsidR="001F6249" w:rsidRPr="00796C83" w:rsidRDefault="001F6249" w:rsidP="008B52E0">
            <w:pPr>
              <w:contextualSpacing/>
              <w:rPr>
                <w:rFonts w:cs="Arial"/>
                <w:noProof/>
              </w:rPr>
            </w:pPr>
            <w:r w:rsidRPr="00796C83">
              <w:rPr>
                <w:noProof/>
              </w:rPr>
              <w:t>Costo (francos suizos)</w:t>
            </w:r>
          </w:p>
        </w:tc>
      </w:tr>
      <w:tr w:rsidR="001F6249" w:rsidRPr="00796C83" w14:paraId="503300ED" w14:textId="77777777" w:rsidTr="008B52E0">
        <w:tc>
          <w:tcPr>
            <w:tcW w:w="2628" w:type="dxa"/>
          </w:tcPr>
          <w:p w14:paraId="76668FDF" w14:textId="77777777" w:rsidR="001F6249" w:rsidRPr="00796C83" w:rsidRDefault="001F6249" w:rsidP="008B52E0">
            <w:pPr>
              <w:contextualSpacing/>
              <w:rPr>
                <w:rFonts w:cs="Arial"/>
                <w:noProof/>
              </w:rPr>
            </w:pPr>
          </w:p>
        </w:tc>
        <w:tc>
          <w:tcPr>
            <w:tcW w:w="4500" w:type="dxa"/>
          </w:tcPr>
          <w:p w14:paraId="57AA5E37" w14:textId="77777777" w:rsidR="001F6249" w:rsidRPr="00796C83" w:rsidRDefault="001F6249" w:rsidP="008B52E0">
            <w:pPr>
              <w:contextualSpacing/>
              <w:rPr>
                <w:rFonts w:cs="Arial"/>
                <w:noProof/>
              </w:rPr>
            </w:pPr>
          </w:p>
        </w:tc>
        <w:tc>
          <w:tcPr>
            <w:tcW w:w="2114" w:type="dxa"/>
          </w:tcPr>
          <w:p w14:paraId="3DED35BA" w14:textId="77777777" w:rsidR="001F6249" w:rsidRPr="00796C83" w:rsidRDefault="001F6249" w:rsidP="008B52E0">
            <w:pPr>
              <w:contextualSpacing/>
              <w:rPr>
                <w:rFonts w:cs="Arial"/>
                <w:noProof/>
              </w:rPr>
            </w:pPr>
          </w:p>
        </w:tc>
      </w:tr>
      <w:tr w:rsidR="001F6249" w:rsidRPr="00796C83" w14:paraId="36FC2E86" w14:textId="77777777" w:rsidTr="008B52E0">
        <w:tc>
          <w:tcPr>
            <w:tcW w:w="2628" w:type="dxa"/>
          </w:tcPr>
          <w:p w14:paraId="4FB77490" w14:textId="77777777" w:rsidR="001F6249" w:rsidRPr="00796C83" w:rsidRDefault="001F6249" w:rsidP="008B52E0">
            <w:pPr>
              <w:contextualSpacing/>
              <w:rPr>
                <w:rFonts w:cs="Arial"/>
                <w:noProof/>
              </w:rPr>
            </w:pPr>
          </w:p>
        </w:tc>
        <w:tc>
          <w:tcPr>
            <w:tcW w:w="4500" w:type="dxa"/>
          </w:tcPr>
          <w:p w14:paraId="4BFFAACD" w14:textId="77777777" w:rsidR="001F6249" w:rsidRPr="00796C83" w:rsidRDefault="001F6249" w:rsidP="008B52E0">
            <w:pPr>
              <w:contextualSpacing/>
              <w:rPr>
                <w:rFonts w:cs="Arial"/>
                <w:noProof/>
              </w:rPr>
            </w:pPr>
          </w:p>
        </w:tc>
        <w:tc>
          <w:tcPr>
            <w:tcW w:w="2114" w:type="dxa"/>
          </w:tcPr>
          <w:p w14:paraId="2A48694B" w14:textId="77777777" w:rsidR="001F6249" w:rsidRPr="00796C83" w:rsidRDefault="001F6249" w:rsidP="008B52E0">
            <w:pPr>
              <w:contextualSpacing/>
              <w:rPr>
                <w:rFonts w:cs="Arial"/>
                <w:noProof/>
              </w:rPr>
            </w:pPr>
          </w:p>
        </w:tc>
      </w:tr>
      <w:tr w:rsidR="001F6249" w:rsidRPr="00796C83" w14:paraId="6E75F0DE" w14:textId="77777777" w:rsidTr="008B52E0">
        <w:tc>
          <w:tcPr>
            <w:tcW w:w="2628" w:type="dxa"/>
          </w:tcPr>
          <w:p w14:paraId="0391A113" w14:textId="77777777" w:rsidR="001F6249" w:rsidRPr="00796C83" w:rsidRDefault="001F6249" w:rsidP="008B52E0">
            <w:pPr>
              <w:contextualSpacing/>
              <w:rPr>
                <w:rFonts w:cs="Arial"/>
                <w:noProof/>
              </w:rPr>
            </w:pPr>
          </w:p>
        </w:tc>
        <w:tc>
          <w:tcPr>
            <w:tcW w:w="4500" w:type="dxa"/>
          </w:tcPr>
          <w:p w14:paraId="04DD19F1" w14:textId="77777777" w:rsidR="001F6249" w:rsidRPr="00796C83" w:rsidRDefault="001F6249" w:rsidP="008B52E0">
            <w:pPr>
              <w:contextualSpacing/>
              <w:rPr>
                <w:rFonts w:cs="Arial"/>
                <w:noProof/>
              </w:rPr>
            </w:pPr>
          </w:p>
        </w:tc>
        <w:tc>
          <w:tcPr>
            <w:tcW w:w="2114" w:type="dxa"/>
          </w:tcPr>
          <w:p w14:paraId="3138E355" w14:textId="77777777" w:rsidR="001F6249" w:rsidRPr="00796C83" w:rsidRDefault="001F6249" w:rsidP="008B52E0">
            <w:pPr>
              <w:contextualSpacing/>
              <w:rPr>
                <w:rFonts w:cs="Arial"/>
                <w:noProof/>
              </w:rPr>
            </w:pPr>
          </w:p>
        </w:tc>
      </w:tr>
      <w:tr w:rsidR="001F6249" w:rsidRPr="00796C83" w14:paraId="179D0EBF" w14:textId="77777777" w:rsidTr="008B52E0">
        <w:tc>
          <w:tcPr>
            <w:tcW w:w="2628" w:type="dxa"/>
          </w:tcPr>
          <w:p w14:paraId="3DA66F4E" w14:textId="77777777" w:rsidR="001F6249" w:rsidRPr="00796C83" w:rsidRDefault="001F6249" w:rsidP="008B52E0">
            <w:pPr>
              <w:contextualSpacing/>
              <w:rPr>
                <w:rFonts w:cs="Arial"/>
                <w:noProof/>
              </w:rPr>
            </w:pPr>
          </w:p>
        </w:tc>
        <w:tc>
          <w:tcPr>
            <w:tcW w:w="4500" w:type="dxa"/>
          </w:tcPr>
          <w:p w14:paraId="3508EA83" w14:textId="77777777" w:rsidR="001F6249" w:rsidRPr="00796C83" w:rsidRDefault="001F6249" w:rsidP="008B52E0">
            <w:pPr>
              <w:contextualSpacing/>
              <w:rPr>
                <w:rFonts w:cs="Arial"/>
                <w:noProof/>
              </w:rPr>
            </w:pPr>
          </w:p>
        </w:tc>
        <w:tc>
          <w:tcPr>
            <w:tcW w:w="2114" w:type="dxa"/>
          </w:tcPr>
          <w:p w14:paraId="32198200" w14:textId="77777777" w:rsidR="001F6249" w:rsidRPr="00796C83" w:rsidRDefault="001F6249" w:rsidP="008B52E0">
            <w:pPr>
              <w:contextualSpacing/>
              <w:rPr>
                <w:rFonts w:cs="Arial"/>
                <w:noProof/>
              </w:rPr>
            </w:pPr>
          </w:p>
        </w:tc>
      </w:tr>
    </w:tbl>
    <w:p w14:paraId="7F4B7991" w14:textId="77777777" w:rsidR="001F6249" w:rsidRPr="00796C83" w:rsidRDefault="001F6249" w:rsidP="001F6249">
      <w:pPr>
        <w:rPr>
          <w:rFonts w:cs="Arial"/>
          <w:noProof/>
        </w:rPr>
      </w:pPr>
    </w:p>
    <w:p w14:paraId="0D83BB1F" w14:textId="77777777" w:rsidR="001F6249" w:rsidRPr="00796C83" w:rsidRDefault="001F6249" w:rsidP="001F6249">
      <w:pPr>
        <w:rPr>
          <w:rFonts w:cs="Arial"/>
          <w:noProof/>
        </w:rPr>
      </w:pPr>
    </w:p>
    <w:p w14:paraId="11AE4917" w14:textId="1730DA56" w:rsidR="001F6249" w:rsidRPr="00796C83" w:rsidRDefault="001F6249" w:rsidP="001F6249">
      <w:pPr>
        <w:ind w:right="16"/>
        <w:rPr>
          <w:rFonts w:asciiTheme="minorHAnsi" w:eastAsia="Times New Roman" w:hAnsiTheme="minorHAnsi"/>
          <w:b/>
          <w:bCs/>
          <w:noProof/>
        </w:rPr>
      </w:pPr>
      <w:r w:rsidRPr="00796C83">
        <w:rPr>
          <w:rFonts w:asciiTheme="minorHAnsi" w:hAnsiTheme="minorHAnsi"/>
          <w:b/>
          <w:bCs/>
          <w:noProof/>
        </w:rPr>
        <w:t xml:space="preserve">Proyecto de </w:t>
      </w:r>
      <w:r w:rsidRPr="00796C83">
        <w:rPr>
          <w:rFonts w:asciiTheme="minorHAnsi" w:hAnsiTheme="minorHAnsi"/>
          <w:b/>
          <w:bCs/>
          <w:noProof/>
          <w:color w:val="000000" w:themeColor="text1"/>
        </w:rPr>
        <w:t xml:space="preserve">resolución </w:t>
      </w:r>
      <w:r w:rsidRPr="00796C83">
        <w:rPr>
          <w:rFonts w:asciiTheme="minorHAnsi" w:hAnsiTheme="minorHAnsi"/>
          <w:b/>
          <w:bCs/>
          <w:noProof/>
        </w:rPr>
        <w:t>XV.xx</w:t>
      </w:r>
    </w:p>
    <w:p w14:paraId="6636AD01" w14:textId="77777777" w:rsidR="001F6249" w:rsidRPr="00796C83" w:rsidRDefault="001F6249" w:rsidP="001F6249">
      <w:pPr>
        <w:ind w:right="16"/>
        <w:rPr>
          <w:rFonts w:asciiTheme="minorHAnsi" w:eastAsia="Times New Roman" w:hAnsiTheme="minorHAnsi"/>
          <w:b/>
          <w:bCs/>
          <w:noProof/>
        </w:rPr>
      </w:pPr>
    </w:p>
    <w:p w14:paraId="5A97DB4D" w14:textId="77777777" w:rsidR="001F6249" w:rsidRPr="00796C83" w:rsidRDefault="001F6249" w:rsidP="001F6249">
      <w:pPr>
        <w:ind w:right="16"/>
        <w:rPr>
          <w:rFonts w:asciiTheme="minorHAnsi" w:eastAsia="Times New Roman" w:hAnsiTheme="minorHAnsi"/>
          <w:b/>
          <w:bCs/>
          <w:noProof/>
        </w:rPr>
      </w:pPr>
      <w:r w:rsidRPr="00796C83">
        <w:rPr>
          <w:rFonts w:asciiTheme="minorHAnsi" w:hAnsiTheme="minorHAnsi"/>
          <w:b/>
          <w:bCs/>
          <w:noProof/>
        </w:rPr>
        <w:t>[insertar tema]</w:t>
      </w:r>
    </w:p>
    <w:p w14:paraId="0EC4EDF2" w14:textId="77777777" w:rsidR="001F6249" w:rsidRPr="00796C83" w:rsidRDefault="001F6249" w:rsidP="001F6249">
      <w:pPr>
        <w:ind w:right="16"/>
        <w:rPr>
          <w:rFonts w:asciiTheme="minorHAnsi" w:hAnsiTheme="minorHAnsi"/>
          <w:noProof/>
        </w:rPr>
      </w:pPr>
      <w:r w:rsidRPr="00796C83">
        <w:rPr>
          <w:rFonts w:asciiTheme="minorHAnsi" w:hAnsiTheme="minorHAnsi"/>
          <w:noProof/>
        </w:rPr>
        <w:t xml:space="preserve"> </w:t>
      </w:r>
    </w:p>
    <w:p w14:paraId="33E90FA4" w14:textId="34C926C8" w:rsidR="001F6249" w:rsidRPr="00796C83" w:rsidRDefault="001F6249" w:rsidP="001F6249">
      <w:pPr>
        <w:rPr>
          <w:noProof/>
        </w:rPr>
      </w:pPr>
      <w:r w:rsidRPr="00796C83">
        <w:rPr>
          <w:noProof/>
        </w:rPr>
        <w:t>1.</w:t>
      </w:r>
      <w:r w:rsidRPr="00796C83">
        <w:rPr>
          <w:noProof/>
        </w:rPr>
        <w:tab/>
        <w:t>RECORDANDO…;</w:t>
      </w:r>
      <w:r w:rsidR="00A02061" w:rsidRPr="00796C83">
        <w:rPr>
          <w:noProof/>
        </w:rPr>
        <w:t xml:space="preserve"> [</w:t>
      </w:r>
      <w:r w:rsidR="00170DB9" w:rsidRPr="00796C83">
        <w:rPr>
          <w:noProof/>
        </w:rPr>
        <w:t xml:space="preserve">con arreglo al </w:t>
      </w:r>
      <w:r w:rsidR="00A02061" w:rsidRPr="00796C83">
        <w:rPr>
          <w:noProof/>
          <w:u w:val="single"/>
        </w:rPr>
        <w:t>párrafo 15</w:t>
      </w:r>
      <w:r w:rsidR="00A02061" w:rsidRPr="00796C83">
        <w:rPr>
          <w:noProof/>
        </w:rPr>
        <w:t xml:space="preserve"> del Anexo 1]</w:t>
      </w:r>
    </w:p>
    <w:p w14:paraId="0F09DF4C" w14:textId="77777777" w:rsidR="001F6249" w:rsidRPr="00796C83" w:rsidRDefault="001F6249" w:rsidP="001F6249">
      <w:pPr>
        <w:rPr>
          <w:noProof/>
        </w:rPr>
      </w:pPr>
    </w:p>
    <w:p w14:paraId="08C81C7D" w14:textId="07918D3D" w:rsidR="001F6249" w:rsidRPr="00796C83" w:rsidRDefault="001F6249" w:rsidP="001F6249">
      <w:pPr>
        <w:rPr>
          <w:noProof/>
        </w:rPr>
      </w:pPr>
      <w:r w:rsidRPr="00796C83">
        <w:rPr>
          <w:noProof/>
        </w:rPr>
        <w:lastRenderedPageBreak/>
        <w:t>2.</w:t>
      </w:r>
      <w:r w:rsidRPr="00796C83">
        <w:rPr>
          <w:noProof/>
        </w:rPr>
        <w:tab/>
        <w:t>RECO</w:t>
      </w:r>
      <w:r w:rsidR="00A02061" w:rsidRPr="00796C83">
        <w:rPr>
          <w:noProof/>
        </w:rPr>
        <w:t>NOCIENDO/</w:t>
      </w:r>
      <w:r w:rsidR="00A02061" w:rsidRPr="00796C83">
        <w:rPr>
          <w:noProof/>
          <w:color w:val="000000" w:themeColor="text1"/>
        </w:rPr>
        <w:t>OBSERVANDO/</w:t>
      </w:r>
      <w:r w:rsidR="00170DB9" w:rsidRPr="00796C83">
        <w:rPr>
          <w:noProof/>
          <w:color w:val="000000" w:themeColor="text1"/>
        </w:rPr>
        <w:t>ACOGIENDO CON BENEPLÁCITO</w:t>
      </w:r>
      <w:r w:rsidR="00A02061" w:rsidRPr="00796C83">
        <w:rPr>
          <w:noProof/>
          <w:color w:val="000000" w:themeColor="text1"/>
        </w:rPr>
        <w:t xml:space="preserve">/CONSCIENTE </w:t>
      </w:r>
      <w:r w:rsidR="00A02061" w:rsidRPr="00796C83">
        <w:rPr>
          <w:noProof/>
        </w:rPr>
        <w:t>DE etc. …; (suprimir esta sección si no procede</w:t>
      </w:r>
      <w:r w:rsidR="006328CE" w:rsidRPr="00796C83">
        <w:rPr>
          <w:noProof/>
        </w:rPr>
        <w:t>)</w:t>
      </w:r>
      <w:r w:rsidR="00A02061" w:rsidRPr="00796C83">
        <w:rPr>
          <w:noProof/>
        </w:rPr>
        <w:t xml:space="preserve"> [con arreglo al </w:t>
      </w:r>
      <w:r w:rsidR="00A02061" w:rsidRPr="00796C83">
        <w:rPr>
          <w:noProof/>
          <w:u w:val="single"/>
        </w:rPr>
        <w:t>párrafo 16</w:t>
      </w:r>
      <w:r w:rsidR="00A02061" w:rsidRPr="00796C83">
        <w:rPr>
          <w:noProof/>
        </w:rPr>
        <w:t xml:space="preserve"> del Anexo 1]</w:t>
      </w:r>
    </w:p>
    <w:p w14:paraId="7FF98B86" w14:textId="77777777" w:rsidR="001F6249" w:rsidRPr="00796C83" w:rsidRDefault="001F6249" w:rsidP="001F6249">
      <w:pPr>
        <w:rPr>
          <w:noProof/>
        </w:rPr>
      </w:pPr>
    </w:p>
    <w:p w14:paraId="3EDA67B0" w14:textId="5A80B773" w:rsidR="00A02061" w:rsidRPr="00796C83" w:rsidRDefault="001F6249" w:rsidP="00A02061">
      <w:pPr>
        <w:rPr>
          <w:noProof/>
        </w:rPr>
      </w:pPr>
      <w:r w:rsidRPr="00796C83">
        <w:rPr>
          <w:noProof/>
        </w:rPr>
        <w:t>3.</w:t>
      </w:r>
      <w:r w:rsidRPr="00796C83">
        <w:rPr>
          <w:noProof/>
        </w:rPr>
        <w:tab/>
      </w:r>
      <w:r w:rsidR="00A02061" w:rsidRPr="00796C83">
        <w:rPr>
          <w:noProof/>
        </w:rPr>
        <w:t>RECONOCIENDO/OBSERVANDO/</w:t>
      </w:r>
      <w:r w:rsidR="000D7956" w:rsidRPr="00796C83">
        <w:rPr>
          <w:noProof/>
          <w:color w:val="000000" w:themeColor="text1"/>
        </w:rPr>
        <w:t>ACOGIENDO CON BENEPLÁCITO</w:t>
      </w:r>
      <w:r w:rsidR="00A02061" w:rsidRPr="00796C83">
        <w:rPr>
          <w:noProof/>
        </w:rPr>
        <w:t xml:space="preserve">/CONSCIENTE DE </w:t>
      </w:r>
      <w:r w:rsidR="000D7956" w:rsidRPr="00796C83">
        <w:rPr>
          <w:noProof/>
        </w:rPr>
        <w:t xml:space="preserve">etc. </w:t>
      </w:r>
      <w:r w:rsidRPr="00796C83">
        <w:rPr>
          <w:noProof/>
        </w:rPr>
        <w:t>…;</w:t>
      </w:r>
      <w:r w:rsidR="00A02061" w:rsidRPr="00796C83">
        <w:rPr>
          <w:noProof/>
        </w:rPr>
        <w:t xml:space="preserve"> (suprimir esta sección si no procede</w:t>
      </w:r>
      <w:r w:rsidR="006328CE" w:rsidRPr="00796C83">
        <w:rPr>
          <w:noProof/>
        </w:rPr>
        <w:t xml:space="preserve">) </w:t>
      </w:r>
      <w:r w:rsidR="00A02061" w:rsidRPr="00796C83">
        <w:rPr>
          <w:noProof/>
        </w:rPr>
        <w:t xml:space="preserve">[con arreglo al </w:t>
      </w:r>
      <w:r w:rsidR="00A02061" w:rsidRPr="00796C83">
        <w:rPr>
          <w:noProof/>
          <w:u w:val="single"/>
        </w:rPr>
        <w:t>párrafo 17</w:t>
      </w:r>
      <w:r w:rsidR="00A02061" w:rsidRPr="00796C83">
        <w:rPr>
          <w:noProof/>
        </w:rPr>
        <w:t xml:space="preserve"> del Anexo 1]</w:t>
      </w:r>
    </w:p>
    <w:p w14:paraId="4822F498" w14:textId="77777777" w:rsidR="001F6249" w:rsidRPr="00796C83" w:rsidRDefault="001F6249" w:rsidP="00593F97">
      <w:pPr>
        <w:ind w:left="0" w:firstLine="0"/>
        <w:rPr>
          <w:noProof/>
          <w:highlight w:val="yellow"/>
        </w:rPr>
      </w:pPr>
    </w:p>
    <w:p w14:paraId="000E4057" w14:textId="77777777" w:rsidR="001F6249" w:rsidRPr="00796C83" w:rsidRDefault="001F6249" w:rsidP="001F6249">
      <w:pPr>
        <w:rPr>
          <w:noProof/>
        </w:rPr>
      </w:pPr>
      <w:r w:rsidRPr="00796C83">
        <w:rPr>
          <w:noProof/>
        </w:rPr>
        <w:t>4.</w:t>
      </w:r>
      <w:r w:rsidRPr="00796C83">
        <w:rPr>
          <w:noProof/>
        </w:rPr>
        <w:tab/>
        <w:t>CONSCIENTE DE…:</w:t>
      </w:r>
    </w:p>
    <w:p w14:paraId="3DC70A45" w14:textId="77777777" w:rsidR="001F6249" w:rsidRPr="00796C83" w:rsidRDefault="001F6249" w:rsidP="001F6249">
      <w:pPr>
        <w:pStyle w:val="ListParagraph"/>
        <w:ind w:left="360" w:firstLine="0"/>
        <w:rPr>
          <w:rFonts w:asciiTheme="minorHAnsi" w:eastAsia="Times New Roman" w:hAnsiTheme="minorHAnsi" w:cs="Calibri"/>
          <w:noProof/>
          <w:color w:val="000000"/>
        </w:rPr>
      </w:pPr>
    </w:p>
    <w:p w14:paraId="17E1C98B" w14:textId="77777777" w:rsidR="001F6249" w:rsidRPr="00796C83" w:rsidRDefault="001F6249" w:rsidP="001F6249">
      <w:pPr>
        <w:ind w:left="850"/>
        <w:contextualSpacing/>
        <w:rPr>
          <w:rFonts w:cs="Arial"/>
          <w:noProof/>
        </w:rPr>
      </w:pPr>
      <w:r w:rsidRPr="00796C83">
        <w:rPr>
          <w:noProof/>
        </w:rPr>
        <w:t>i.</w:t>
      </w:r>
      <w:r w:rsidRPr="00796C83">
        <w:rPr>
          <w:noProof/>
        </w:rPr>
        <w:tab/>
        <w:t>Esto…;</w:t>
      </w:r>
    </w:p>
    <w:p w14:paraId="4BFD9DC1" w14:textId="77777777" w:rsidR="001F6249" w:rsidRPr="00796C83" w:rsidRDefault="001F6249" w:rsidP="001F6249">
      <w:pPr>
        <w:ind w:left="850"/>
        <w:contextualSpacing/>
        <w:rPr>
          <w:rFonts w:cs="Arial"/>
          <w:noProof/>
        </w:rPr>
      </w:pPr>
    </w:p>
    <w:p w14:paraId="5B99E129" w14:textId="77777777" w:rsidR="001F6249" w:rsidRPr="00796C83" w:rsidRDefault="001F6249" w:rsidP="001F6249">
      <w:pPr>
        <w:ind w:left="850"/>
        <w:contextualSpacing/>
        <w:rPr>
          <w:rFonts w:cs="Arial"/>
          <w:noProof/>
        </w:rPr>
      </w:pPr>
      <w:r w:rsidRPr="00796C83">
        <w:rPr>
          <w:noProof/>
        </w:rPr>
        <w:t>ii.</w:t>
      </w:r>
      <w:r w:rsidRPr="00796C83">
        <w:rPr>
          <w:noProof/>
        </w:rPr>
        <w:tab/>
        <w:t>Eso…; y</w:t>
      </w:r>
    </w:p>
    <w:p w14:paraId="395FB8E3" w14:textId="77777777" w:rsidR="001F6249" w:rsidRPr="00796C83" w:rsidRDefault="001F6249" w:rsidP="001F6249">
      <w:pPr>
        <w:ind w:left="850"/>
        <w:contextualSpacing/>
        <w:rPr>
          <w:rFonts w:cs="Arial"/>
          <w:noProof/>
        </w:rPr>
      </w:pPr>
    </w:p>
    <w:p w14:paraId="2844B1E3" w14:textId="77777777" w:rsidR="001F6249" w:rsidRPr="00796C83" w:rsidRDefault="001F6249" w:rsidP="001F6249">
      <w:pPr>
        <w:ind w:left="850"/>
        <w:contextualSpacing/>
        <w:rPr>
          <w:rFonts w:cs="Arial"/>
          <w:noProof/>
        </w:rPr>
      </w:pPr>
      <w:r w:rsidRPr="00796C83">
        <w:rPr>
          <w:noProof/>
        </w:rPr>
        <w:t>iii.</w:t>
      </w:r>
      <w:r w:rsidRPr="00796C83">
        <w:rPr>
          <w:noProof/>
        </w:rPr>
        <w:tab/>
        <w:t>Aquello…:</w:t>
      </w:r>
    </w:p>
    <w:p w14:paraId="6E6907A3" w14:textId="77777777" w:rsidR="001F6249" w:rsidRPr="00796C83" w:rsidRDefault="001F6249" w:rsidP="001F6249">
      <w:pPr>
        <w:ind w:left="426" w:hanging="426"/>
        <w:rPr>
          <w:rFonts w:asciiTheme="minorHAnsi" w:eastAsia="Times New Roman" w:hAnsiTheme="minorHAnsi" w:cs="Calibri"/>
          <w:noProof/>
          <w:color w:val="000000"/>
        </w:rPr>
      </w:pPr>
    </w:p>
    <w:p w14:paraId="4E56DE91" w14:textId="77777777" w:rsidR="001F6249" w:rsidRPr="00796C83" w:rsidRDefault="001F6249" w:rsidP="001F6249">
      <w:pPr>
        <w:rPr>
          <w:noProof/>
        </w:rPr>
      </w:pPr>
      <w:r w:rsidRPr="00796C83">
        <w:rPr>
          <w:noProof/>
        </w:rPr>
        <w:t>5.</w:t>
      </w:r>
      <w:r w:rsidRPr="00796C83">
        <w:rPr>
          <w:noProof/>
        </w:rPr>
        <w:tab/>
        <w:t>RECONOCIENDO…; y</w:t>
      </w:r>
    </w:p>
    <w:p w14:paraId="75A53F4F" w14:textId="77777777" w:rsidR="001F6249" w:rsidRPr="00796C83" w:rsidRDefault="001F6249" w:rsidP="001F6249">
      <w:pPr>
        <w:rPr>
          <w:noProof/>
        </w:rPr>
      </w:pPr>
    </w:p>
    <w:p w14:paraId="5F7AA359" w14:textId="77777777" w:rsidR="001F6249" w:rsidRPr="00796C83" w:rsidRDefault="001F6249" w:rsidP="001F6249">
      <w:pPr>
        <w:rPr>
          <w:noProof/>
        </w:rPr>
      </w:pPr>
      <w:r w:rsidRPr="00796C83">
        <w:rPr>
          <w:noProof/>
        </w:rPr>
        <w:t>6.</w:t>
      </w:r>
      <w:r w:rsidRPr="00796C83">
        <w:rPr>
          <w:noProof/>
        </w:rPr>
        <w:tab/>
        <w:t>PREOCUPADA porque…;</w:t>
      </w:r>
    </w:p>
    <w:p w14:paraId="7ED96BAA" w14:textId="77777777" w:rsidR="001F6249" w:rsidRPr="00796C83" w:rsidRDefault="001F6249" w:rsidP="001F6249">
      <w:pPr>
        <w:ind w:left="426" w:right="16" w:hanging="426"/>
        <w:rPr>
          <w:rFonts w:asciiTheme="minorHAnsi" w:hAnsiTheme="minorHAnsi"/>
          <w:noProof/>
        </w:rPr>
      </w:pPr>
    </w:p>
    <w:p w14:paraId="76044CE5" w14:textId="77777777" w:rsidR="001F6249" w:rsidRPr="00796C83" w:rsidRDefault="001F6249" w:rsidP="001F6249">
      <w:pPr>
        <w:ind w:left="426" w:right="16" w:hanging="426"/>
        <w:jc w:val="center"/>
        <w:rPr>
          <w:rFonts w:asciiTheme="minorHAnsi" w:eastAsia="Times New Roman" w:hAnsiTheme="minorHAnsi"/>
          <w:noProof/>
        </w:rPr>
      </w:pPr>
      <w:r w:rsidRPr="00796C83">
        <w:rPr>
          <w:rFonts w:asciiTheme="minorHAnsi" w:hAnsiTheme="minorHAnsi"/>
          <w:noProof/>
        </w:rPr>
        <w:t>LA CONFERENCIA DE LAS PARTES CONTRATANTES</w:t>
      </w:r>
    </w:p>
    <w:p w14:paraId="1E06DC03" w14:textId="77777777" w:rsidR="001F6249" w:rsidRPr="00796C83" w:rsidRDefault="001F6249" w:rsidP="001F6249">
      <w:pPr>
        <w:ind w:left="426" w:right="16" w:hanging="426"/>
        <w:rPr>
          <w:rFonts w:asciiTheme="minorHAnsi" w:hAnsiTheme="minorHAnsi"/>
          <w:noProof/>
        </w:rPr>
      </w:pPr>
    </w:p>
    <w:p w14:paraId="08332B72" w14:textId="77777777" w:rsidR="001F6249" w:rsidRPr="00796C83" w:rsidRDefault="001F6249" w:rsidP="001F6249">
      <w:pPr>
        <w:rPr>
          <w:noProof/>
        </w:rPr>
      </w:pPr>
      <w:r w:rsidRPr="00796C83">
        <w:rPr>
          <w:noProof/>
        </w:rPr>
        <w:t>7.</w:t>
      </w:r>
      <w:r w:rsidRPr="00796C83">
        <w:rPr>
          <w:noProof/>
        </w:rPr>
        <w:tab/>
        <w:t>AFIRMA…;</w:t>
      </w:r>
    </w:p>
    <w:p w14:paraId="2E166B6A" w14:textId="77777777" w:rsidR="001F6249" w:rsidRPr="00796C83" w:rsidRDefault="001F6249" w:rsidP="001F6249">
      <w:pPr>
        <w:rPr>
          <w:noProof/>
          <w:highlight w:val="yellow"/>
        </w:rPr>
      </w:pPr>
    </w:p>
    <w:p w14:paraId="2D23816C" w14:textId="77777777" w:rsidR="001F6249" w:rsidRPr="00796C83" w:rsidRDefault="001F6249" w:rsidP="001F6249">
      <w:pPr>
        <w:rPr>
          <w:noProof/>
        </w:rPr>
      </w:pPr>
      <w:r w:rsidRPr="00796C83">
        <w:rPr>
          <w:noProof/>
        </w:rPr>
        <w:t>8.</w:t>
      </w:r>
      <w:r w:rsidRPr="00796C83">
        <w:rPr>
          <w:noProof/>
        </w:rPr>
        <w:tab/>
        <w:t xml:space="preserve">PIDE…; </w:t>
      </w:r>
    </w:p>
    <w:p w14:paraId="4628E3C0" w14:textId="77777777" w:rsidR="001F6249" w:rsidRPr="00796C83" w:rsidRDefault="001F6249" w:rsidP="001F6249">
      <w:pPr>
        <w:rPr>
          <w:noProof/>
        </w:rPr>
      </w:pPr>
    </w:p>
    <w:p w14:paraId="29B61C96" w14:textId="77777777" w:rsidR="001F6249" w:rsidRPr="00796C83" w:rsidRDefault="001F6249" w:rsidP="001F6249">
      <w:pPr>
        <w:rPr>
          <w:noProof/>
        </w:rPr>
      </w:pPr>
      <w:r w:rsidRPr="00796C83">
        <w:rPr>
          <w:noProof/>
        </w:rPr>
        <w:t>9.</w:t>
      </w:r>
      <w:r w:rsidRPr="00796C83">
        <w:rPr>
          <w:noProof/>
        </w:rPr>
        <w:tab/>
        <w:t>ALIENTA…;</w:t>
      </w:r>
    </w:p>
    <w:p w14:paraId="4A73662E" w14:textId="77777777" w:rsidR="001F6249" w:rsidRPr="00796C83" w:rsidRDefault="001F6249" w:rsidP="001F6249">
      <w:pPr>
        <w:rPr>
          <w:noProof/>
        </w:rPr>
      </w:pPr>
    </w:p>
    <w:p w14:paraId="4823DBAF" w14:textId="77777777" w:rsidR="001F6249" w:rsidRPr="00796C83" w:rsidRDefault="001F6249" w:rsidP="001F6249">
      <w:pPr>
        <w:rPr>
          <w:noProof/>
        </w:rPr>
      </w:pPr>
      <w:r w:rsidRPr="00796C83">
        <w:rPr>
          <w:noProof/>
        </w:rPr>
        <w:t>10.</w:t>
      </w:r>
      <w:r w:rsidRPr="00796C83">
        <w:rPr>
          <w:noProof/>
        </w:rPr>
        <w:tab/>
        <w:t xml:space="preserve">ALIENTA TAMBIÉN…; </w:t>
      </w:r>
    </w:p>
    <w:p w14:paraId="22AFB4C6" w14:textId="77777777" w:rsidR="001F6249" w:rsidRPr="00796C83" w:rsidRDefault="001F6249" w:rsidP="001F6249">
      <w:pPr>
        <w:rPr>
          <w:noProof/>
        </w:rPr>
      </w:pPr>
    </w:p>
    <w:p w14:paraId="49B6CE7F" w14:textId="77777777" w:rsidR="001F6249" w:rsidRPr="00796C83" w:rsidRDefault="001F6249" w:rsidP="001F6249">
      <w:pPr>
        <w:rPr>
          <w:noProof/>
        </w:rPr>
      </w:pPr>
      <w:r w:rsidRPr="00796C83">
        <w:rPr>
          <w:noProof/>
        </w:rPr>
        <w:t>11.</w:t>
      </w:r>
      <w:r w:rsidRPr="00796C83">
        <w:rPr>
          <w:noProof/>
        </w:rPr>
        <w:tab/>
        <w:t>INSTA …; y</w:t>
      </w:r>
    </w:p>
    <w:p w14:paraId="051CAB51" w14:textId="77777777" w:rsidR="001F6249" w:rsidRPr="00796C83" w:rsidRDefault="001F6249" w:rsidP="001F6249">
      <w:pPr>
        <w:rPr>
          <w:noProof/>
        </w:rPr>
      </w:pPr>
    </w:p>
    <w:p w14:paraId="57C71F4A" w14:textId="19192CF7" w:rsidR="00C15D60" w:rsidRPr="00796C83" w:rsidRDefault="001F6249" w:rsidP="007D3CA3">
      <w:pPr>
        <w:rPr>
          <w:noProof/>
        </w:rPr>
      </w:pPr>
      <w:r w:rsidRPr="00796C83">
        <w:rPr>
          <w:noProof/>
        </w:rPr>
        <w:t>12.</w:t>
      </w:r>
      <w:r w:rsidR="006A13D4" w:rsidRPr="00796C83">
        <w:rPr>
          <w:noProof/>
        </w:rPr>
        <w:tab/>
      </w:r>
      <w:r w:rsidRPr="00796C83">
        <w:rPr>
          <w:noProof/>
        </w:rPr>
        <w:t>EXHORTA…</w:t>
      </w:r>
      <w:r w:rsidR="000D7956" w:rsidRPr="00796C83">
        <w:rPr>
          <w:noProof/>
        </w:rPr>
        <w:t xml:space="preserve"> .</w:t>
      </w:r>
    </w:p>
    <w:p w14:paraId="549DEAE4" w14:textId="49491354" w:rsidR="00A02061" w:rsidRPr="00796C83" w:rsidRDefault="00A02061" w:rsidP="007D3CA3">
      <w:pPr>
        <w:rPr>
          <w:noProof/>
        </w:rPr>
      </w:pPr>
    </w:p>
    <w:p w14:paraId="137769F1" w14:textId="6511147B" w:rsidR="00A02061" w:rsidRPr="00796C83" w:rsidRDefault="00A02061" w:rsidP="007D3CA3">
      <w:pPr>
        <w:rPr>
          <w:noProof/>
        </w:rPr>
      </w:pPr>
      <w:r w:rsidRPr="00796C83">
        <w:rPr>
          <w:noProof/>
        </w:rPr>
        <w:t>13.</w:t>
      </w:r>
      <w:r w:rsidR="006A13D4" w:rsidRPr="00796C83">
        <w:rPr>
          <w:noProof/>
        </w:rPr>
        <w:tab/>
      </w:r>
      <w:r w:rsidRPr="00796C83">
        <w:rPr>
          <w:noProof/>
        </w:rPr>
        <w:t>INVITA a las Organizaciones Internacionales Asociadas a…</w:t>
      </w:r>
    </w:p>
    <w:p w14:paraId="4CB579F9" w14:textId="69152716" w:rsidR="00A02061" w:rsidRPr="00796C83" w:rsidRDefault="00A02061" w:rsidP="007D3CA3">
      <w:pPr>
        <w:rPr>
          <w:noProof/>
        </w:rPr>
      </w:pPr>
    </w:p>
    <w:p w14:paraId="6B896AD4" w14:textId="428C98CB" w:rsidR="00A02061" w:rsidRPr="00796C83" w:rsidRDefault="00A02061" w:rsidP="007D3CA3">
      <w:pPr>
        <w:rPr>
          <w:noProof/>
        </w:rPr>
      </w:pPr>
      <w:r w:rsidRPr="00796C83">
        <w:rPr>
          <w:noProof/>
        </w:rPr>
        <w:t>14.</w:t>
      </w:r>
      <w:r w:rsidR="006A13D4" w:rsidRPr="00796C83">
        <w:rPr>
          <w:noProof/>
        </w:rPr>
        <w:tab/>
      </w:r>
      <w:r w:rsidRPr="00796C83">
        <w:rPr>
          <w:noProof/>
        </w:rPr>
        <w:t>ENCARGA a la Secretaría que…</w:t>
      </w:r>
    </w:p>
    <w:p w14:paraId="26CE7233" w14:textId="58FFC8D2" w:rsidR="00CC7607" w:rsidRPr="00796C83" w:rsidRDefault="00CC7607" w:rsidP="007D3CA3">
      <w:pPr>
        <w:rPr>
          <w:noProof/>
        </w:rPr>
      </w:pPr>
    </w:p>
    <w:p w14:paraId="67C80644" w14:textId="01D2EA82" w:rsidR="00CC7607" w:rsidRPr="00796C83" w:rsidRDefault="00CC7607" w:rsidP="007D3CA3">
      <w:pPr>
        <w:rPr>
          <w:noProof/>
        </w:rPr>
      </w:pPr>
      <w:r w:rsidRPr="00796C83">
        <w:rPr>
          <w:noProof/>
        </w:rPr>
        <w:t xml:space="preserve">15. </w:t>
      </w:r>
      <w:r w:rsidRPr="00796C83">
        <w:rPr>
          <w:noProof/>
        </w:rPr>
        <w:tab/>
        <w:t xml:space="preserve">CONFIRMA que la presente resolución </w:t>
      </w:r>
      <w:r w:rsidR="003A3207" w:rsidRPr="00796C83">
        <w:rPr>
          <w:noProof/>
        </w:rPr>
        <w:t>reemplaza</w:t>
      </w:r>
      <w:r w:rsidRPr="00796C83">
        <w:rPr>
          <w:noProof/>
        </w:rPr>
        <w:t xml:space="preserve"> [</w:t>
      </w:r>
      <w:r w:rsidR="003A3207" w:rsidRPr="00796C83">
        <w:rPr>
          <w:noProof/>
        </w:rPr>
        <w:t>al</w:t>
      </w:r>
      <w:r w:rsidRPr="00796C83">
        <w:rPr>
          <w:noProof/>
        </w:rPr>
        <w:t xml:space="preserve"> párrafo x de]</w:t>
      </w:r>
      <w:r w:rsidR="00B227DA" w:rsidRPr="00796C83">
        <w:rPr>
          <w:noProof/>
        </w:rPr>
        <w:t>[a]</w:t>
      </w:r>
      <w:r w:rsidRPr="00796C83">
        <w:rPr>
          <w:noProof/>
        </w:rPr>
        <w:t xml:space="preserve"> la Resolución XX.yy, que queda retirad</w:t>
      </w:r>
      <w:r w:rsidR="00B227DA" w:rsidRPr="00796C83">
        <w:rPr>
          <w:noProof/>
        </w:rPr>
        <w:t>a [retirado]</w:t>
      </w:r>
      <w:r w:rsidRPr="00796C83">
        <w:rPr>
          <w:noProof/>
        </w:rPr>
        <w:t>.</w:t>
      </w:r>
    </w:p>
    <w:p w14:paraId="3C6CD7B6" w14:textId="166D5C78" w:rsidR="00CC7607" w:rsidRPr="00796C83" w:rsidRDefault="00CC7607" w:rsidP="00CC7607">
      <w:pPr>
        <w:rPr>
          <w:noProof/>
        </w:rPr>
      </w:pPr>
      <w:r w:rsidRPr="00796C83">
        <w:rPr>
          <w:noProof/>
        </w:rPr>
        <w:t>o</w:t>
      </w:r>
    </w:p>
    <w:p w14:paraId="16487D59" w14:textId="18037BBE" w:rsidR="00CC7607" w:rsidRPr="00796C83" w:rsidRDefault="00CC7607" w:rsidP="00CC7607">
      <w:pPr>
        <w:rPr>
          <w:noProof/>
        </w:rPr>
      </w:pPr>
      <w:r w:rsidRPr="00796C83">
        <w:rPr>
          <w:noProof/>
        </w:rPr>
        <w:tab/>
        <w:t xml:space="preserve">CONFIRMA que el presente texto actualizado y sus anexos </w:t>
      </w:r>
      <w:r w:rsidR="00B227DA" w:rsidRPr="00796C83">
        <w:rPr>
          <w:noProof/>
        </w:rPr>
        <w:t xml:space="preserve">sustituyen a </w:t>
      </w:r>
      <w:r w:rsidRPr="00796C83">
        <w:rPr>
          <w:noProof/>
        </w:rPr>
        <w:t xml:space="preserve">los que fueron adoptados </w:t>
      </w:r>
      <w:r w:rsidR="00B227DA" w:rsidRPr="00796C83">
        <w:rPr>
          <w:noProof/>
        </w:rPr>
        <w:t>como</w:t>
      </w:r>
      <w:r w:rsidRPr="00796C83">
        <w:rPr>
          <w:noProof/>
        </w:rPr>
        <w:t xml:space="preserve"> Resolución XX.yy, </w:t>
      </w:r>
      <w:r w:rsidR="00B227DA" w:rsidRPr="00796C83">
        <w:rPr>
          <w:noProof/>
        </w:rPr>
        <w:t xml:space="preserve">que es reemplazada </w:t>
      </w:r>
      <w:r w:rsidRPr="00796C83">
        <w:rPr>
          <w:noProof/>
        </w:rPr>
        <w:t>por la presente resolución.</w:t>
      </w:r>
    </w:p>
    <w:p w14:paraId="2534B9E4" w14:textId="62869853" w:rsidR="00CC7607" w:rsidRPr="00796C83" w:rsidRDefault="00CC7607" w:rsidP="00CC7607">
      <w:pPr>
        <w:rPr>
          <w:noProof/>
        </w:rPr>
      </w:pPr>
      <w:r w:rsidRPr="00796C83">
        <w:rPr>
          <w:noProof/>
        </w:rPr>
        <w:t>o</w:t>
      </w:r>
    </w:p>
    <w:p w14:paraId="608EA31C" w14:textId="7FA0E871" w:rsidR="00CC7607" w:rsidRPr="00796C83" w:rsidRDefault="00CC7607" w:rsidP="00CC7607">
      <w:pPr>
        <w:rPr>
          <w:noProof/>
        </w:rPr>
      </w:pPr>
      <w:r w:rsidRPr="00796C83">
        <w:rPr>
          <w:noProof/>
        </w:rPr>
        <w:tab/>
        <w:t xml:space="preserve">CONFIRMA que las orientaciones anexas a la presente resolución </w:t>
      </w:r>
      <w:r w:rsidR="00B227DA" w:rsidRPr="00796C83">
        <w:rPr>
          <w:noProof/>
        </w:rPr>
        <w:t xml:space="preserve">reemplazan </w:t>
      </w:r>
      <w:r w:rsidRPr="00796C83">
        <w:rPr>
          <w:noProof/>
        </w:rPr>
        <w:t>a las orientaciones anteriores sobre esta cuestión, adoptadas como Anexo x de la Resolución XX.yy.</w:t>
      </w:r>
    </w:p>
    <w:p w14:paraId="4F35EB09" w14:textId="77777777" w:rsidR="00CC7607" w:rsidRPr="00796C83" w:rsidRDefault="00CC7607" w:rsidP="00CC7607">
      <w:pPr>
        <w:rPr>
          <w:noProof/>
        </w:rPr>
      </w:pPr>
    </w:p>
    <w:sectPr w:rsidR="00CC7607" w:rsidRPr="00796C83"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CB386" w14:textId="77777777" w:rsidR="00036D16" w:rsidRDefault="00036D16" w:rsidP="00DF2386">
      <w:r>
        <w:separator/>
      </w:r>
    </w:p>
  </w:endnote>
  <w:endnote w:type="continuationSeparator" w:id="0">
    <w:p w14:paraId="321A2FCE" w14:textId="77777777" w:rsidR="00036D16" w:rsidRDefault="00036D16"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6E41" w14:textId="67FA91FE" w:rsidR="008B52E0" w:rsidRDefault="008B52E0" w:rsidP="002137E0">
    <w:pPr>
      <w:pStyle w:val="Header"/>
      <w:rPr>
        <w:noProof/>
      </w:rPr>
    </w:pPr>
    <w:r>
      <w:rPr>
        <w:sz w:val="20"/>
        <w:szCs w:val="20"/>
      </w:rPr>
      <w:t>SC</w:t>
    </w:r>
    <w:r w:rsidR="0059561A">
      <w:rPr>
        <w:sz w:val="20"/>
        <w:szCs w:val="20"/>
      </w:rPr>
      <w:t>63</w:t>
    </w:r>
    <w:r>
      <w:rPr>
        <w:sz w:val="20"/>
        <w:szCs w:val="20"/>
      </w:rPr>
      <w:t xml:space="preserve"> Doc.2</w:t>
    </w:r>
    <w:r w:rsidR="0059561A">
      <w:rPr>
        <w:sz w:val="20"/>
        <w:szCs w:val="20"/>
      </w:rPr>
      <w:t>1</w:t>
    </w:r>
    <w:r>
      <w:rPr>
        <w:sz w:val="20"/>
        <w:szCs w:val="20"/>
      </w:rPr>
      <w:t>.</w:t>
    </w:r>
    <w:r w:rsidR="0059561A">
      <w:rPr>
        <w:sz w:val="20"/>
        <w:szCs w:val="20"/>
      </w:rPr>
      <w:t>3</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205AA">
          <w:rPr>
            <w:noProof/>
            <w:sz w:val="20"/>
            <w:szCs w:val="20"/>
          </w:rPr>
          <w:t>11</w:t>
        </w:r>
        <w:r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A4EE5" w14:textId="77777777" w:rsidR="00036D16" w:rsidRDefault="00036D16" w:rsidP="00DF2386">
      <w:r>
        <w:separator/>
      </w:r>
    </w:p>
  </w:footnote>
  <w:footnote w:type="continuationSeparator" w:id="0">
    <w:p w14:paraId="0A27E9DC" w14:textId="77777777" w:rsidR="00036D16" w:rsidRDefault="00036D16"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797C" w14:textId="77777777" w:rsidR="008B52E0" w:rsidRDefault="008B52E0">
    <w:pPr>
      <w:pStyle w:val="Header"/>
    </w:pPr>
  </w:p>
  <w:p w14:paraId="1F5852A8" w14:textId="77777777" w:rsidR="008B52E0" w:rsidRDefault="008B5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01980"/>
    <w:multiLevelType w:val="hybridMultilevel"/>
    <w:tmpl w:val="D6F892B2"/>
    <w:lvl w:ilvl="0" w:tplc="08090001">
      <w:start w:val="1"/>
      <w:numFmt w:val="bullet"/>
      <w:lvlText w:val=""/>
      <w:lvlJc w:val="left"/>
      <w:pPr>
        <w:ind w:left="1146" w:hanging="360"/>
      </w:pPr>
      <w:rPr>
        <w:rFonts w:ascii="Symbol" w:hAnsi="Symbol"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A851F7F"/>
    <w:multiLevelType w:val="hybridMultilevel"/>
    <w:tmpl w:val="09E8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65659"/>
    <w:multiLevelType w:val="multilevel"/>
    <w:tmpl w:val="D292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46408"/>
    <w:multiLevelType w:val="hybridMultilevel"/>
    <w:tmpl w:val="C2C0DC38"/>
    <w:lvl w:ilvl="0" w:tplc="2BBC53A8">
      <w:start w:val="1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E3C47"/>
    <w:multiLevelType w:val="hybridMultilevel"/>
    <w:tmpl w:val="52C8425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7B996FF6"/>
    <w:multiLevelType w:val="hybridMultilevel"/>
    <w:tmpl w:val="3758835A"/>
    <w:lvl w:ilvl="0" w:tplc="C9E03504">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3"/>
  </w:num>
  <w:num w:numId="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
  </w:num>
  <w:num w:numId="13">
    <w:abstractNumId w:val="22"/>
  </w:num>
  <w:num w:numId="14">
    <w:abstractNumId w:val="15"/>
  </w:num>
  <w:num w:numId="15">
    <w:abstractNumId w:val="2"/>
  </w:num>
  <w:num w:numId="16">
    <w:abstractNumId w:val="18"/>
  </w:num>
  <w:num w:numId="17">
    <w:abstractNumId w:val="25"/>
  </w:num>
  <w:num w:numId="18">
    <w:abstractNumId w:val="38"/>
  </w:num>
  <w:num w:numId="19">
    <w:abstractNumId w:val="35"/>
  </w:num>
  <w:num w:numId="20">
    <w:abstractNumId w:val="29"/>
  </w:num>
  <w:num w:numId="21">
    <w:abstractNumId w:val="31"/>
  </w:num>
  <w:num w:numId="22">
    <w:abstractNumId w:val="20"/>
  </w:num>
  <w:num w:numId="23">
    <w:abstractNumId w:val="28"/>
  </w:num>
  <w:num w:numId="24">
    <w:abstractNumId w:val="23"/>
  </w:num>
  <w:num w:numId="25">
    <w:abstractNumId w:val="34"/>
  </w:num>
  <w:num w:numId="26">
    <w:abstractNumId w:val="12"/>
  </w:num>
  <w:num w:numId="27">
    <w:abstractNumId w:val="0"/>
  </w:num>
  <w:num w:numId="28">
    <w:abstractNumId w:val="14"/>
  </w:num>
  <w:num w:numId="29">
    <w:abstractNumId w:val="4"/>
  </w:num>
  <w:num w:numId="30">
    <w:abstractNumId w:val="8"/>
  </w:num>
  <w:num w:numId="31">
    <w:abstractNumId w:val="16"/>
  </w:num>
  <w:num w:numId="32">
    <w:abstractNumId w:val="32"/>
  </w:num>
  <w:num w:numId="33">
    <w:abstractNumId w:val="19"/>
  </w:num>
  <w:num w:numId="34">
    <w:abstractNumId w:val="3"/>
  </w:num>
  <w:num w:numId="35">
    <w:abstractNumId w:val="5"/>
  </w:num>
  <w:num w:numId="36">
    <w:abstractNumId w:val="27"/>
  </w:num>
  <w:num w:numId="37">
    <w:abstractNumId w:val="36"/>
  </w:num>
  <w:num w:numId="38">
    <w:abstractNumId w:val="37"/>
  </w:num>
  <w:num w:numId="39">
    <w:abstractNumId w:val="9"/>
  </w:num>
  <w:num w:numId="40">
    <w:abstractNumId w:val="2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4096" w:nlCheck="1" w:checkStyle="0"/>
  <w:activeWritingStyle w:appName="MSWord" w:lang="es-ES" w:vendorID="64" w:dllVersion="6" w:nlCheck="1" w:checkStyle="0"/>
  <w:activeWritingStyle w:appName="MSWord" w:lang="fr-FR" w:vendorID="64" w:dllVersion="6" w:nlCheck="1" w:checkStyle="0"/>
  <w:activeWritingStyle w:appName="MSWord" w:lang="es-ES" w:vendorID="64" w:dllVersion="0" w:nlCheck="1" w:checkStyle="0"/>
  <w:activeWritingStyle w:appName="MSWord" w:lang="fr-FR" w:vendorID="64" w:dllVersion="0" w:nlCheck="1" w:checkStyle="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46F0"/>
    <w:rsid w:val="00014168"/>
    <w:rsid w:val="00017A16"/>
    <w:rsid w:val="000219A4"/>
    <w:rsid w:val="00026E09"/>
    <w:rsid w:val="00036D16"/>
    <w:rsid w:val="00037CE0"/>
    <w:rsid w:val="00053929"/>
    <w:rsid w:val="000659DA"/>
    <w:rsid w:val="00066E05"/>
    <w:rsid w:val="00074A85"/>
    <w:rsid w:val="00074DE8"/>
    <w:rsid w:val="000834D3"/>
    <w:rsid w:val="000854A4"/>
    <w:rsid w:val="00087347"/>
    <w:rsid w:val="00094D4A"/>
    <w:rsid w:val="00095EB9"/>
    <w:rsid w:val="000A3E3E"/>
    <w:rsid w:val="000A7C72"/>
    <w:rsid w:val="000B1692"/>
    <w:rsid w:val="000B47B5"/>
    <w:rsid w:val="000B4B13"/>
    <w:rsid w:val="000B5DAA"/>
    <w:rsid w:val="000C2489"/>
    <w:rsid w:val="000C2C3B"/>
    <w:rsid w:val="000C66D4"/>
    <w:rsid w:val="000D5C76"/>
    <w:rsid w:val="000D7956"/>
    <w:rsid w:val="000E2FA0"/>
    <w:rsid w:val="000E47E9"/>
    <w:rsid w:val="000E5D1E"/>
    <w:rsid w:val="000F3F21"/>
    <w:rsid w:val="000F5108"/>
    <w:rsid w:val="001015C3"/>
    <w:rsid w:val="001072C1"/>
    <w:rsid w:val="00115781"/>
    <w:rsid w:val="0012096C"/>
    <w:rsid w:val="001248CC"/>
    <w:rsid w:val="00127828"/>
    <w:rsid w:val="00131D05"/>
    <w:rsid w:val="0013643D"/>
    <w:rsid w:val="00137224"/>
    <w:rsid w:val="00141F74"/>
    <w:rsid w:val="00147B25"/>
    <w:rsid w:val="001600E3"/>
    <w:rsid w:val="00161BDA"/>
    <w:rsid w:val="00170DB9"/>
    <w:rsid w:val="00171618"/>
    <w:rsid w:val="001819B1"/>
    <w:rsid w:val="00197318"/>
    <w:rsid w:val="001A2D10"/>
    <w:rsid w:val="001B357E"/>
    <w:rsid w:val="001C52C5"/>
    <w:rsid w:val="001C5E41"/>
    <w:rsid w:val="001C77BC"/>
    <w:rsid w:val="001C79EF"/>
    <w:rsid w:val="001D48BB"/>
    <w:rsid w:val="001E00E3"/>
    <w:rsid w:val="001F2349"/>
    <w:rsid w:val="001F2988"/>
    <w:rsid w:val="001F6249"/>
    <w:rsid w:val="001F7157"/>
    <w:rsid w:val="002005D2"/>
    <w:rsid w:val="002018DD"/>
    <w:rsid w:val="0020298B"/>
    <w:rsid w:val="00206111"/>
    <w:rsid w:val="00206FFD"/>
    <w:rsid w:val="00211E2C"/>
    <w:rsid w:val="002131A4"/>
    <w:rsid w:val="002137E0"/>
    <w:rsid w:val="00220C57"/>
    <w:rsid w:val="00225C6E"/>
    <w:rsid w:val="002275FA"/>
    <w:rsid w:val="00235D03"/>
    <w:rsid w:val="00241828"/>
    <w:rsid w:val="00250318"/>
    <w:rsid w:val="002741AC"/>
    <w:rsid w:val="00275F13"/>
    <w:rsid w:val="002819C0"/>
    <w:rsid w:val="002829A1"/>
    <w:rsid w:val="0028419A"/>
    <w:rsid w:val="0029196F"/>
    <w:rsid w:val="0029412F"/>
    <w:rsid w:val="00295556"/>
    <w:rsid w:val="00295BB5"/>
    <w:rsid w:val="002A5A4D"/>
    <w:rsid w:val="002A7953"/>
    <w:rsid w:val="002B4262"/>
    <w:rsid w:val="002C4AA3"/>
    <w:rsid w:val="002D5A4D"/>
    <w:rsid w:val="002E22AF"/>
    <w:rsid w:val="002E79B7"/>
    <w:rsid w:val="002F25E5"/>
    <w:rsid w:val="002F5B48"/>
    <w:rsid w:val="002F6155"/>
    <w:rsid w:val="002F7464"/>
    <w:rsid w:val="00304D35"/>
    <w:rsid w:val="003211E4"/>
    <w:rsid w:val="00321F39"/>
    <w:rsid w:val="00322A6F"/>
    <w:rsid w:val="00324398"/>
    <w:rsid w:val="00325A5A"/>
    <w:rsid w:val="00326E60"/>
    <w:rsid w:val="00334E1D"/>
    <w:rsid w:val="00341D30"/>
    <w:rsid w:val="00375810"/>
    <w:rsid w:val="00377F61"/>
    <w:rsid w:val="00384FC3"/>
    <w:rsid w:val="003952AA"/>
    <w:rsid w:val="0039671C"/>
    <w:rsid w:val="00397753"/>
    <w:rsid w:val="003A0FBE"/>
    <w:rsid w:val="003A3207"/>
    <w:rsid w:val="003A330A"/>
    <w:rsid w:val="003A3804"/>
    <w:rsid w:val="003A52BE"/>
    <w:rsid w:val="003A5866"/>
    <w:rsid w:val="003A6E9F"/>
    <w:rsid w:val="003B0C70"/>
    <w:rsid w:val="003B6D56"/>
    <w:rsid w:val="003C2D9F"/>
    <w:rsid w:val="003D4CD6"/>
    <w:rsid w:val="003E35FA"/>
    <w:rsid w:val="003E7B64"/>
    <w:rsid w:val="003F0678"/>
    <w:rsid w:val="003F3CB1"/>
    <w:rsid w:val="003F3DD1"/>
    <w:rsid w:val="00407ACE"/>
    <w:rsid w:val="00410D21"/>
    <w:rsid w:val="0041385E"/>
    <w:rsid w:val="004228C7"/>
    <w:rsid w:val="0042798B"/>
    <w:rsid w:val="00430ED5"/>
    <w:rsid w:val="00432CD7"/>
    <w:rsid w:val="00434913"/>
    <w:rsid w:val="00436570"/>
    <w:rsid w:val="0044349B"/>
    <w:rsid w:val="00444166"/>
    <w:rsid w:val="004474F8"/>
    <w:rsid w:val="00461085"/>
    <w:rsid w:val="00461633"/>
    <w:rsid w:val="00463C43"/>
    <w:rsid w:val="004718FC"/>
    <w:rsid w:val="00471AF8"/>
    <w:rsid w:val="004753CF"/>
    <w:rsid w:val="00475B14"/>
    <w:rsid w:val="00477550"/>
    <w:rsid w:val="00480DC6"/>
    <w:rsid w:val="00482686"/>
    <w:rsid w:val="004844A8"/>
    <w:rsid w:val="004956B4"/>
    <w:rsid w:val="00496803"/>
    <w:rsid w:val="004B0D37"/>
    <w:rsid w:val="004B300D"/>
    <w:rsid w:val="004B6688"/>
    <w:rsid w:val="004C228F"/>
    <w:rsid w:val="004D3DD0"/>
    <w:rsid w:val="004D535D"/>
    <w:rsid w:val="004E0DA4"/>
    <w:rsid w:val="004E2DCD"/>
    <w:rsid w:val="004E7217"/>
    <w:rsid w:val="004F1455"/>
    <w:rsid w:val="004F2A84"/>
    <w:rsid w:val="00507EAD"/>
    <w:rsid w:val="00512AD7"/>
    <w:rsid w:val="005173B2"/>
    <w:rsid w:val="005205AA"/>
    <w:rsid w:val="005244A4"/>
    <w:rsid w:val="00527783"/>
    <w:rsid w:val="00533CD5"/>
    <w:rsid w:val="00533D52"/>
    <w:rsid w:val="00534144"/>
    <w:rsid w:val="00535047"/>
    <w:rsid w:val="0054341B"/>
    <w:rsid w:val="00545887"/>
    <w:rsid w:val="005556FF"/>
    <w:rsid w:val="005640EB"/>
    <w:rsid w:val="005727D2"/>
    <w:rsid w:val="00574960"/>
    <w:rsid w:val="005814B5"/>
    <w:rsid w:val="00583222"/>
    <w:rsid w:val="00593F97"/>
    <w:rsid w:val="0059561A"/>
    <w:rsid w:val="00596B13"/>
    <w:rsid w:val="00597A2F"/>
    <w:rsid w:val="005C2E0E"/>
    <w:rsid w:val="005D0276"/>
    <w:rsid w:val="005D10F3"/>
    <w:rsid w:val="005D3E9D"/>
    <w:rsid w:val="005D753D"/>
    <w:rsid w:val="005F740A"/>
    <w:rsid w:val="005F75AF"/>
    <w:rsid w:val="00617C40"/>
    <w:rsid w:val="006243DF"/>
    <w:rsid w:val="006256D3"/>
    <w:rsid w:val="00626E02"/>
    <w:rsid w:val="00627453"/>
    <w:rsid w:val="00627BB7"/>
    <w:rsid w:val="00630CD8"/>
    <w:rsid w:val="006328CE"/>
    <w:rsid w:val="00644A13"/>
    <w:rsid w:val="0065136E"/>
    <w:rsid w:val="006620AF"/>
    <w:rsid w:val="006706FB"/>
    <w:rsid w:val="00670D71"/>
    <w:rsid w:val="00673DC6"/>
    <w:rsid w:val="00676010"/>
    <w:rsid w:val="00687C9B"/>
    <w:rsid w:val="006959B5"/>
    <w:rsid w:val="006A13D4"/>
    <w:rsid w:val="006A32A4"/>
    <w:rsid w:val="006E5586"/>
    <w:rsid w:val="006E7DCE"/>
    <w:rsid w:val="006F0085"/>
    <w:rsid w:val="006F6364"/>
    <w:rsid w:val="00704E3E"/>
    <w:rsid w:val="007050FF"/>
    <w:rsid w:val="00737A15"/>
    <w:rsid w:val="00750C37"/>
    <w:rsid w:val="00752764"/>
    <w:rsid w:val="00757369"/>
    <w:rsid w:val="00766962"/>
    <w:rsid w:val="00773A08"/>
    <w:rsid w:val="00775287"/>
    <w:rsid w:val="00776D27"/>
    <w:rsid w:val="00780A3C"/>
    <w:rsid w:val="007847AC"/>
    <w:rsid w:val="007855D7"/>
    <w:rsid w:val="00785C32"/>
    <w:rsid w:val="00796C83"/>
    <w:rsid w:val="00797806"/>
    <w:rsid w:val="007A691E"/>
    <w:rsid w:val="007B0D31"/>
    <w:rsid w:val="007B5E8D"/>
    <w:rsid w:val="007C1611"/>
    <w:rsid w:val="007C3747"/>
    <w:rsid w:val="007D2B31"/>
    <w:rsid w:val="007D33F4"/>
    <w:rsid w:val="007D3CA3"/>
    <w:rsid w:val="007D6B41"/>
    <w:rsid w:val="007D6C78"/>
    <w:rsid w:val="007D7B15"/>
    <w:rsid w:val="007F3ABE"/>
    <w:rsid w:val="007F3EA3"/>
    <w:rsid w:val="007F62C6"/>
    <w:rsid w:val="007F6CFC"/>
    <w:rsid w:val="007F766D"/>
    <w:rsid w:val="00801C8C"/>
    <w:rsid w:val="00807DDC"/>
    <w:rsid w:val="008240B9"/>
    <w:rsid w:val="0082529B"/>
    <w:rsid w:val="008269EB"/>
    <w:rsid w:val="0083271B"/>
    <w:rsid w:val="008328E9"/>
    <w:rsid w:val="00835BCB"/>
    <w:rsid w:val="00835CDC"/>
    <w:rsid w:val="00840109"/>
    <w:rsid w:val="00846CA6"/>
    <w:rsid w:val="00850B09"/>
    <w:rsid w:val="00851F8D"/>
    <w:rsid w:val="00855F57"/>
    <w:rsid w:val="00863B9D"/>
    <w:rsid w:val="00863BE6"/>
    <w:rsid w:val="008719EA"/>
    <w:rsid w:val="00871BA3"/>
    <w:rsid w:val="00872AE1"/>
    <w:rsid w:val="008775BC"/>
    <w:rsid w:val="0088122A"/>
    <w:rsid w:val="0088187D"/>
    <w:rsid w:val="0088298F"/>
    <w:rsid w:val="00882F1B"/>
    <w:rsid w:val="00884DE3"/>
    <w:rsid w:val="008853E0"/>
    <w:rsid w:val="00890D42"/>
    <w:rsid w:val="008934D9"/>
    <w:rsid w:val="008A0358"/>
    <w:rsid w:val="008A16B5"/>
    <w:rsid w:val="008A5567"/>
    <w:rsid w:val="008A70CE"/>
    <w:rsid w:val="008B52E0"/>
    <w:rsid w:val="008B585C"/>
    <w:rsid w:val="008C25E4"/>
    <w:rsid w:val="008C2DAE"/>
    <w:rsid w:val="008F3FC0"/>
    <w:rsid w:val="009011C7"/>
    <w:rsid w:val="009059A9"/>
    <w:rsid w:val="00910546"/>
    <w:rsid w:val="00913F95"/>
    <w:rsid w:val="00915420"/>
    <w:rsid w:val="0092515E"/>
    <w:rsid w:val="00930DA2"/>
    <w:rsid w:val="00931865"/>
    <w:rsid w:val="009357F2"/>
    <w:rsid w:val="00937F43"/>
    <w:rsid w:val="009422E2"/>
    <w:rsid w:val="00942FBD"/>
    <w:rsid w:val="0094770B"/>
    <w:rsid w:val="00964F2E"/>
    <w:rsid w:val="00965535"/>
    <w:rsid w:val="009658BB"/>
    <w:rsid w:val="00970E35"/>
    <w:rsid w:val="00973518"/>
    <w:rsid w:val="009750D5"/>
    <w:rsid w:val="00984EEA"/>
    <w:rsid w:val="00991617"/>
    <w:rsid w:val="00997108"/>
    <w:rsid w:val="009A25A8"/>
    <w:rsid w:val="009B2267"/>
    <w:rsid w:val="009C06A5"/>
    <w:rsid w:val="009C5222"/>
    <w:rsid w:val="009D3FCE"/>
    <w:rsid w:val="009D6E68"/>
    <w:rsid w:val="009E0AE8"/>
    <w:rsid w:val="009E3963"/>
    <w:rsid w:val="009E533B"/>
    <w:rsid w:val="009E5374"/>
    <w:rsid w:val="009E6257"/>
    <w:rsid w:val="009F2D4B"/>
    <w:rsid w:val="009F345D"/>
    <w:rsid w:val="009F6830"/>
    <w:rsid w:val="00A02061"/>
    <w:rsid w:val="00A02675"/>
    <w:rsid w:val="00A10D43"/>
    <w:rsid w:val="00A13218"/>
    <w:rsid w:val="00A161D4"/>
    <w:rsid w:val="00A227A3"/>
    <w:rsid w:val="00A24441"/>
    <w:rsid w:val="00A254C5"/>
    <w:rsid w:val="00A32A0F"/>
    <w:rsid w:val="00A43C2E"/>
    <w:rsid w:val="00A43FAF"/>
    <w:rsid w:val="00A60B73"/>
    <w:rsid w:val="00A63CF4"/>
    <w:rsid w:val="00A76A03"/>
    <w:rsid w:val="00A80080"/>
    <w:rsid w:val="00A8092E"/>
    <w:rsid w:val="00A85468"/>
    <w:rsid w:val="00A923BD"/>
    <w:rsid w:val="00A92B90"/>
    <w:rsid w:val="00AA6B32"/>
    <w:rsid w:val="00AB4951"/>
    <w:rsid w:val="00AB53C4"/>
    <w:rsid w:val="00AC41DB"/>
    <w:rsid w:val="00AC536D"/>
    <w:rsid w:val="00AE0329"/>
    <w:rsid w:val="00B07386"/>
    <w:rsid w:val="00B11BF4"/>
    <w:rsid w:val="00B1281C"/>
    <w:rsid w:val="00B227DA"/>
    <w:rsid w:val="00B2498E"/>
    <w:rsid w:val="00B266DA"/>
    <w:rsid w:val="00B315A0"/>
    <w:rsid w:val="00B3301A"/>
    <w:rsid w:val="00B34A18"/>
    <w:rsid w:val="00B44396"/>
    <w:rsid w:val="00B468CE"/>
    <w:rsid w:val="00B52D18"/>
    <w:rsid w:val="00B542A7"/>
    <w:rsid w:val="00B579CB"/>
    <w:rsid w:val="00B626CD"/>
    <w:rsid w:val="00B65434"/>
    <w:rsid w:val="00B6743B"/>
    <w:rsid w:val="00B675B5"/>
    <w:rsid w:val="00B676D1"/>
    <w:rsid w:val="00B70083"/>
    <w:rsid w:val="00B728D7"/>
    <w:rsid w:val="00B83EF9"/>
    <w:rsid w:val="00B863A5"/>
    <w:rsid w:val="00BA27B6"/>
    <w:rsid w:val="00BB28F6"/>
    <w:rsid w:val="00BB683E"/>
    <w:rsid w:val="00BC2609"/>
    <w:rsid w:val="00BC6BA7"/>
    <w:rsid w:val="00BD0F78"/>
    <w:rsid w:val="00BE1727"/>
    <w:rsid w:val="00BE5E9D"/>
    <w:rsid w:val="00BF1CF7"/>
    <w:rsid w:val="00BF2C17"/>
    <w:rsid w:val="00BF3C25"/>
    <w:rsid w:val="00C00883"/>
    <w:rsid w:val="00C0528F"/>
    <w:rsid w:val="00C07D75"/>
    <w:rsid w:val="00C07F48"/>
    <w:rsid w:val="00C13145"/>
    <w:rsid w:val="00C13381"/>
    <w:rsid w:val="00C15D60"/>
    <w:rsid w:val="00C249BE"/>
    <w:rsid w:val="00C24EC2"/>
    <w:rsid w:val="00C26CE6"/>
    <w:rsid w:val="00C33CC2"/>
    <w:rsid w:val="00C41160"/>
    <w:rsid w:val="00C4699C"/>
    <w:rsid w:val="00C563BA"/>
    <w:rsid w:val="00C577DA"/>
    <w:rsid w:val="00C623F0"/>
    <w:rsid w:val="00C73786"/>
    <w:rsid w:val="00C73A2F"/>
    <w:rsid w:val="00C7776B"/>
    <w:rsid w:val="00C77B82"/>
    <w:rsid w:val="00C84BA5"/>
    <w:rsid w:val="00C85023"/>
    <w:rsid w:val="00C87BEE"/>
    <w:rsid w:val="00C87D68"/>
    <w:rsid w:val="00C94923"/>
    <w:rsid w:val="00C94E07"/>
    <w:rsid w:val="00C95830"/>
    <w:rsid w:val="00CA00DF"/>
    <w:rsid w:val="00CA24A6"/>
    <w:rsid w:val="00CB6E56"/>
    <w:rsid w:val="00CC7607"/>
    <w:rsid w:val="00CD07F7"/>
    <w:rsid w:val="00CD0D4E"/>
    <w:rsid w:val="00CE750F"/>
    <w:rsid w:val="00CF3CDC"/>
    <w:rsid w:val="00D01EBF"/>
    <w:rsid w:val="00D02ABF"/>
    <w:rsid w:val="00D118C0"/>
    <w:rsid w:val="00D123B1"/>
    <w:rsid w:val="00D160CB"/>
    <w:rsid w:val="00D20478"/>
    <w:rsid w:val="00D21055"/>
    <w:rsid w:val="00D21993"/>
    <w:rsid w:val="00D245A1"/>
    <w:rsid w:val="00D3265C"/>
    <w:rsid w:val="00D407F3"/>
    <w:rsid w:val="00D412CE"/>
    <w:rsid w:val="00D415E2"/>
    <w:rsid w:val="00D42055"/>
    <w:rsid w:val="00D442EA"/>
    <w:rsid w:val="00D44FAA"/>
    <w:rsid w:val="00D51EC8"/>
    <w:rsid w:val="00D57D0E"/>
    <w:rsid w:val="00D647C3"/>
    <w:rsid w:val="00D6577A"/>
    <w:rsid w:val="00D75D55"/>
    <w:rsid w:val="00D80D00"/>
    <w:rsid w:val="00D844D3"/>
    <w:rsid w:val="00D9633A"/>
    <w:rsid w:val="00DA28FF"/>
    <w:rsid w:val="00DA43F0"/>
    <w:rsid w:val="00DA75BD"/>
    <w:rsid w:val="00DB7963"/>
    <w:rsid w:val="00DD3103"/>
    <w:rsid w:val="00DD5651"/>
    <w:rsid w:val="00DD6128"/>
    <w:rsid w:val="00DE5383"/>
    <w:rsid w:val="00DE760E"/>
    <w:rsid w:val="00DF2386"/>
    <w:rsid w:val="00DF7D1B"/>
    <w:rsid w:val="00DF7FE7"/>
    <w:rsid w:val="00E01053"/>
    <w:rsid w:val="00E1063E"/>
    <w:rsid w:val="00E12090"/>
    <w:rsid w:val="00E14626"/>
    <w:rsid w:val="00E14D9C"/>
    <w:rsid w:val="00E23569"/>
    <w:rsid w:val="00E4264F"/>
    <w:rsid w:val="00E46367"/>
    <w:rsid w:val="00E4788E"/>
    <w:rsid w:val="00E508E6"/>
    <w:rsid w:val="00E51BA9"/>
    <w:rsid w:val="00E56BC4"/>
    <w:rsid w:val="00E6394C"/>
    <w:rsid w:val="00E63F0B"/>
    <w:rsid w:val="00E72539"/>
    <w:rsid w:val="00E747B8"/>
    <w:rsid w:val="00E77F2D"/>
    <w:rsid w:val="00E8200E"/>
    <w:rsid w:val="00E8324C"/>
    <w:rsid w:val="00E9076E"/>
    <w:rsid w:val="00E9254C"/>
    <w:rsid w:val="00EA3A7F"/>
    <w:rsid w:val="00EA6BD2"/>
    <w:rsid w:val="00EB3479"/>
    <w:rsid w:val="00EB44AD"/>
    <w:rsid w:val="00EB58D7"/>
    <w:rsid w:val="00EB6477"/>
    <w:rsid w:val="00EB77E1"/>
    <w:rsid w:val="00EC39C2"/>
    <w:rsid w:val="00EC7D03"/>
    <w:rsid w:val="00EE5590"/>
    <w:rsid w:val="00F078F1"/>
    <w:rsid w:val="00F13D5F"/>
    <w:rsid w:val="00F1492E"/>
    <w:rsid w:val="00F30078"/>
    <w:rsid w:val="00F32D03"/>
    <w:rsid w:val="00F344DE"/>
    <w:rsid w:val="00F3524E"/>
    <w:rsid w:val="00F64A1F"/>
    <w:rsid w:val="00F73E71"/>
    <w:rsid w:val="00F75AE3"/>
    <w:rsid w:val="00F8218A"/>
    <w:rsid w:val="00F9085F"/>
    <w:rsid w:val="00F92DB3"/>
    <w:rsid w:val="00F97A0A"/>
    <w:rsid w:val="00FA0203"/>
    <w:rsid w:val="00FB257B"/>
    <w:rsid w:val="00FB52AD"/>
    <w:rsid w:val="00FD0F76"/>
    <w:rsid w:val="00FD4ED3"/>
    <w:rsid w:val="00FD73E7"/>
    <w:rsid w:val="00FE6D5F"/>
    <w:rsid w:val="00FF14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0D9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NormalWeb">
    <w:name w:val="Normal (Web)"/>
    <w:basedOn w:val="Normal"/>
    <w:uiPriority w:val="99"/>
    <w:unhideWhenUsed/>
    <w:rsid w:val="00B2498E"/>
    <w:pPr>
      <w:spacing w:before="100" w:beforeAutospacing="1" w:after="100" w:afterAutospacing="1"/>
      <w:ind w:left="0" w:firstLine="0"/>
    </w:pPr>
    <w:rPr>
      <w:rFonts w:ascii="Times New Roman" w:eastAsia="Times New Roman" w:hAnsi="Times New Roman"/>
      <w:sz w:val="24"/>
      <w:szCs w:val="24"/>
      <w:lang w:eastAsia="es-ES_tradnl"/>
    </w:rPr>
  </w:style>
  <w:style w:type="paragraph" w:customStyle="1" w:styleId="yiv5243853583msonormal">
    <w:name w:val="yiv5243853583msonormal"/>
    <w:basedOn w:val="Normal"/>
    <w:rsid w:val="005727D2"/>
    <w:pPr>
      <w:spacing w:before="100" w:beforeAutospacing="1" w:after="100" w:afterAutospacing="1"/>
      <w:ind w:left="0" w:firstLine="0"/>
    </w:pPr>
    <w:rPr>
      <w:rFonts w:ascii="Times New Roman" w:eastAsia="Times New Roman" w:hAnsi="Times New Roman"/>
      <w:sz w:val="24"/>
      <w:szCs w:val="24"/>
      <w:lang w:val="en-CA" w:eastAsia="en-CA"/>
    </w:rPr>
  </w:style>
  <w:style w:type="character" w:styleId="UnresolvedMention">
    <w:name w:val="Unresolved Mention"/>
    <w:basedOn w:val="DefaultParagraphFont"/>
    <w:uiPriority w:val="99"/>
    <w:semiHidden/>
    <w:unhideWhenUsed/>
    <w:rsid w:val="00840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306163387">
      <w:bodyDiv w:val="1"/>
      <w:marLeft w:val="0"/>
      <w:marRight w:val="0"/>
      <w:marTop w:val="0"/>
      <w:marBottom w:val="0"/>
      <w:divBdr>
        <w:top w:val="none" w:sz="0" w:space="0" w:color="auto"/>
        <w:left w:val="none" w:sz="0" w:space="0" w:color="auto"/>
        <w:bottom w:val="none" w:sz="0" w:space="0" w:color="auto"/>
        <w:right w:val="none" w:sz="0" w:space="0" w:color="auto"/>
      </w:divBdr>
      <w:divsChild>
        <w:div w:id="1830169989">
          <w:marLeft w:val="0"/>
          <w:marRight w:val="0"/>
          <w:marTop w:val="0"/>
          <w:marBottom w:val="0"/>
          <w:divBdr>
            <w:top w:val="none" w:sz="0" w:space="0" w:color="auto"/>
            <w:left w:val="none" w:sz="0" w:space="0" w:color="auto"/>
            <w:bottom w:val="none" w:sz="0" w:space="0" w:color="auto"/>
            <w:right w:val="none" w:sz="0" w:space="0" w:color="auto"/>
          </w:divBdr>
          <w:divsChild>
            <w:div w:id="1344089718">
              <w:marLeft w:val="0"/>
              <w:marRight w:val="0"/>
              <w:marTop w:val="0"/>
              <w:marBottom w:val="0"/>
              <w:divBdr>
                <w:top w:val="none" w:sz="0" w:space="0" w:color="auto"/>
                <w:left w:val="none" w:sz="0" w:space="0" w:color="auto"/>
                <w:bottom w:val="none" w:sz="0" w:space="0" w:color="auto"/>
                <w:right w:val="none" w:sz="0" w:space="0" w:color="auto"/>
              </w:divBdr>
              <w:divsChild>
                <w:div w:id="1402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76727">
      <w:bodyDiv w:val="1"/>
      <w:marLeft w:val="0"/>
      <w:marRight w:val="0"/>
      <w:marTop w:val="0"/>
      <w:marBottom w:val="0"/>
      <w:divBdr>
        <w:top w:val="none" w:sz="0" w:space="0" w:color="auto"/>
        <w:left w:val="none" w:sz="0" w:space="0" w:color="auto"/>
        <w:bottom w:val="none" w:sz="0" w:space="0" w:color="auto"/>
        <w:right w:val="none" w:sz="0" w:space="0" w:color="auto"/>
      </w:divBdr>
      <w:divsChild>
        <w:div w:id="1717972133">
          <w:marLeft w:val="0"/>
          <w:marRight w:val="0"/>
          <w:marTop w:val="0"/>
          <w:marBottom w:val="0"/>
          <w:divBdr>
            <w:top w:val="none" w:sz="0" w:space="0" w:color="auto"/>
            <w:left w:val="none" w:sz="0" w:space="0" w:color="auto"/>
            <w:bottom w:val="none" w:sz="0" w:space="0" w:color="auto"/>
            <w:right w:val="none" w:sz="0" w:space="0" w:color="auto"/>
          </w:divBdr>
          <w:divsChild>
            <w:div w:id="37360627">
              <w:marLeft w:val="0"/>
              <w:marRight w:val="0"/>
              <w:marTop w:val="0"/>
              <w:marBottom w:val="0"/>
              <w:divBdr>
                <w:top w:val="none" w:sz="0" w:space="0" w:color="auto"/>
                <w:left w:val="none" w:sz="0" w:space="0" w:color="auto"/>
                <w:bottom w:val="none" w:sz="0" w:space="0" w:color="auto"/>
                <w:right w:val="none" w:sz="0" w:space="0" w:color="auto"/>
              </w:divBdr>
              <w:divsChild>
                <w:div w:id="18119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ngs@ramsa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amsar.org/es/seguimiento-del-estado-de-las-resoluciones" TargetMode="External"/><Relationship Id="rId4" Type="http://schemas.openxmlformats.org/officeDocument/2006/relationships/settings" Target="settings.xml"/><Relationship Id="rId9" Type="http://schemas.openxmlformats.org/officeDocument/2006/relationships/hyperlink" Target="http://www.ramsar.org/search?sort=field_sort_date&amp;order=desc&amp;f%5b0%5d=field_document_type:530&amp;search_api_views_full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F4AD-77C6-4D1D-AF9E-7FEC618D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3266</Words>
  <Characters>18619</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Ramsar Secretariat</Company>
  <LinksUpToDate>false</LinksUpToDate>
  <CharactersWithSpaces>21842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BRACE Poppy</cp:lastModifiedBy>
  <cp:revision>5</cp:revision>
  <cp:lastPrinted>2016-10-06T13:08:00Z</cp:lastPrinted>
  <dcterms:created xsi:type="dcterms:W3CDTF">2023-11-21T14:28:00Z</dcterms:created>
  <dcterms:modified xsi:type="dcterms:W3CDTF">2024-03-01T13:27:00Z</dcterms:modified>
  <cp:category/>
</cp:coreProperties>
</file>