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1BE" w14:textId="6350D836" w:rsidR="009C2848" w:rsidRPr="0038308C"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val="fr-CH" w:eastAsia="en-GB"/>
        </w:rPr>
      </w:pPr>
      <w:r w:rsidRPr="0038308C">
        <w:rPr>
          <w:rFonts w:eastAsia="Times New Roman" w:cstheme="minorHAnsi"/>
          <w:bCs/>
          <w:lang w:val="fr-CH" w:eastAsia="en-GB"/>
        </w:rPr>
        <w:t xml:space="preserve">CONVENTION </w:t>
      </w:r>
      <w:r w:rsidR="00DC6782" w:rsidRPr="0038308C">
        <w:rPr>
          <w:rFonts w:eastAsia="Times New Roman" w:cstheme="minorHAnsi"/>
          <w:bCs/>
          <w:lang w:val="fr-CH" w:eastAsia="en-GB"/>
        </w:rPr>
        <w:t>SUR LES ZONES HUMIDES</w:t>
      </w:r>
      <w:r w:rsidRPr="0038308C">
        <w:rPr>
          <w:rFonts w:eastAsia="Times New Roman" w:cstheme="minorHAnsi"/>
          <w:bCs/>
          <w:lang w:val="fr-CH" w:eastAsia="en-GB"/>
        </w:rPr>
        <w:t xml:space="preserve"> </w:t>
      </w:r>
    </w:p>
    <w:p w14:paraId="3F1C0530" w14:textId="4B5C64FD" w:rsidR="009C2848" w:rsidRPr="0038308C" w:rsidRDefault="007F09F7"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val="fr-CH" w:eastAsia="en-GB"/>
        </w:rPr>
      </w:pPr>
      <w:r w:rsidRPr="0038308C">
        <w:rPr>
          <w:rFonts w:eastAsia="Times New Roman" w:cstheme="minorHAnsi"/>
          <w:bCs/>
          <w:lang w:val="fr-CH" w:eastAsia="en-GB"/>
        </w:rPr>
        <w:t>62</w:t>
      </w:r>
      <w:r w:rsidR="00DC6782" w:rsidRPr="0038308C">
        <w:rPr>
          <w:rFonts w:eastAsia="Times New Roman" w:cstheme="minorHAnsi"/>
          <w:bCs/>
          <w:vertAlign w:val="superscript"/>
          <w:lang w:val="fr-CH" w:eastAsia="en-GB"/>
        </w:rPr>
        <w:t>e</w:t>
      </w:r>
      <w:r w:rsidR="009C2848" w:rsidRPr="0038308C">
        <w:rPr>
          <w:rFonts w:eastAsia="Times New Roman" w:cstheme="minorHAnsi"/>
          <w:bCs/>
          <w:lang w:val="fr-CH" w:eastAsia="en-GB"/>
        </w:rPr>
        <w:t xml:space="preserve"> </w:t>
      </w:r>
      <w:r w:rsidR="00DC6782" w:rsidRPr="0038308C">
        <w:rPr>
          <w:rFonts w:eastAsia="Times New Roman" w:cstheme="minorHAnsi"/>
          <w:bCs/>
          <w:lang w:val="fr-CH" w:eastAsia="en-GB"/>
        </w:rPr>
        <w:t>Réunion du Comité permanent</w:t>
      </w:r>
    </w:p>
    <w:p w14:paraId="30FFE100" w14:textId="50A1FF60" w:rsidR="009C2848" w:rsidRPr="0038308C"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lang w:val="fr-CH" w:eastAsia="en-GB"/>
        </w:rPr>
      </w:pPr>
      <w:r w:rsidRPr="0038308C">
        <w:rPr>
          <w:rFonts w:eastAsia="Times New Roman" w:cstheme="minorHAnsi"/>
          <w:bCs/>
          <w:lang w:val="fr-CH" w:eastAsia="en-GB"/>
        </w:rPr>
        <w:t xml:space="preserve">Gland, </w:t>
      </w:r>
      <w:r w:rsidR="00DC6782" w:rsidRPr="0038308C">
        <w:rPr>
          <w:rFonts w:eastAsia="Times New Roman" w:cstheme="minorHAnsi"/>
          <w:bCs/>
          <w:lang w:val="fr-CH" w:eastAsia="en-GB"/>
        </w:rPr>
        <w:t>Suisse</w:t>
      </w:r>
      <w:r w:rsidRPr="0038308C">
        <w:rPr>
          <w:rFonts w:eastAsia="Times New Roman" w:cstheme="minorHAnsi"/>
          <w:bCs/>
          <w:lang w:val="fr-CH" w:eastAsia="en-GB"/>
        </w:rPr>
        <w:t xml:space="preserve">, </w:t>
      </w:r>
      <w:r w:rsidR="007F09F7" w:rsidRPr="0038308C">
        <w:rPr>
          <w:rFonts w:eastAsia="Times New Roman" w:cstheme="minorHAnsi"/>
          <w:bCs/>
          <w:lang w:val="fr-CH" w:eastAsia="en-GB"/>
        </w:rPr>
        <w:t>4</w:t>
      </w:r>
      <w:r w:rsidR="00DC6782" w:rsidRPr="0038308C">
        <w:rPr>
          <w:rFonts w:eastAsia="Times New Roman" w:cstheme="minorHAnsi"/>
          <w:bCs/>
          <w:lang w:val="fr-CH" w:eastAsia="en-GB"/>
        </w:rPr>
        <w:t xml:space="preserve"> au </w:t>
      </w:r>
      <w:r w:rsidR="007F09F7" w:rsidRPr="0038308C">
        <w:rPr>
          <w:rFonts w:eastAsia="Times New Roman" w:cstheme="minorHAnsi"/>
          <w:bCs/>
          <w:lang w:val="fr-CH" w:eastAsia="en-GB"/>
        </w:rPr>
        <w:t>8</w:t>
      </w:r>
      <w:r w:rsidRPr="0038308C">
        <w:rPr>
          <w:rFonts w:eastAsia="Times New Roman" w:cstheme="minorHAnsi"/>
          <w:bCs/>
          <w:lang w:val="fr-CH" w:eastAsia="en-GB"/>
        </w:rPr>
        <w:t xml:space="preserve"> </w:t>
      </w:r>
      <w:r w:rsidR="00DC6782" w:rsidRPr="0038308C">
        <w:rPr>
          <w:rFonts w:eastAsia="Times New Roman" w:cstheme="minorHAnsi"/>
          <w:bCs/>
          <w:lang w:val="fr-CH" w:eastAsia="en-GB"/>
        </w:rPr>
        <w:t>s</w:t>
      </w:r>
      <w:r w:rsidR="007F09F7" w:rsidRPr="0038308C">
        <w:rPr>
          <w:rFonts w:eastAsia="Times New Roman" w:cstheme="minorHAnsi"/>
          <w:bCs/>
          <w:lang w:val="fr-CH" w:eastAsia="en-GB"/>
        </w:rPr>
        <w:t>eptemb</w:t>
      </w:r>
      <w:r w:rsidR="00DC6782" w:rsidRPr="0038308C">
        <w:rPr>
          <w:rFonts w:eastAsia="Times New Roman" w:cstheme="minorHAnsi"/>
          <w:bCs/>
          <w:lang w:val="fr-CH" w:eastAsia="en-GB"/>
        </w:rPr>
        <w:t>re</w:t>
      </w:r>
      <w:r w:rsidR="001E050F" w:rsidRPr="0038308C">
        <w:rPr>
          <w:rFonts w:eastAsia="Times New Roman" w:cstheme="minorHAnsi"/>
          <w:bCs/>
          <w:lang w:val="fr-CH" w:eastAsia="en-GB"/>
        </w:rPr>
        <w:t xml:space="preserve"> </w:t>
      </w:r>
      <w:r w:rsidRPr="0038308C">
        <w:rPr>
          <w:rFonts w:eastAsia="Times New Roman" w:cstheme="minorHAnsi"/>
          <w:bCs/>
          <w:lang w:val="fr-CH" w:eastAsia="en-GB"/>
        </w:rPr>
        <w:t>202</w:t>
      </w:r>
      <w:r w:rsidR="007F09F7" w:rsidRPr="0038308C">
        <w:rPr>
          <w:rFonts w:eastAsia="Times New Roman" w:cstheme="minorHAnsi"/>
          <w:bCs/>
          <w:lang w:val="fr-CH" w:eastAsia="en-GB"/>
        </w:rPr>
        <w:t>3</w:t>
      </w:r>
    </w:p>
    <w:p w14:paraId="13A5FABC" w14:textId="77777777" w:rsidR="009C2848" w:rsidRPr="0038308C" w:rsidRDefault="009C2848" w:rsidP="000A264B">
      <w:pPr>
        <w:spacing w:after="0" w:line="240" w:lineRule="auto"/>
        <w:jc w:val="both"/>
        <w:rPr>
          <w:sz w:val="28"/>
          <w:lang w:val="fr-CH"/>
        </w:rPr>
      </w:pPr>
    </w:p>
    <w:p w14:paraId="6190BDC2" w14:textId="3DCA8129" w:rsidR="009C2848" w:rsidRPr="0038308C" w:rsidRDefault="009C2848" w:rsidP="000A264B">
      <w:pPr>
        <w:spacing w:after="0" w:line="240" w:lineRule="auto"/>
        <w:jc w:val="right"/>
        <w:rPr>
          <w:rFonts w:eastAsia="Times New Roman" w:cstheme="minorHAnsi"/>
          <w:b/>
          <w:sz w:val="28"/>
          <w:szCs w:val="28"/>
          <w:lang w:val="fr-CH" w:eastAsia="en-GB"/>
        </w:rPr>
      </w:pPr>
      <w:r w:rsidRPr="0038308C">
        <w:rPr>
          <w:rFonts w:eastAsia="Times New Roman" w:cstheme="minorHAnsi"/>
          <w:b/>
          <w:sz w:val="28"/>
          <w:szCs w:val="28"/>
          <w:lang w:val="fr-CH" w:eastAsia="en-GB"/>
        </w:rPr>
        <w:t>SC</w:t>
      </w:r>
      <w:r w:rsidR="007F09F7" w:rsidRPr="0038308C">
        <w:rPr>
          <w:rFonts w:eastAsia="Times New Roman" w:cstheme="minorHAnsi"/>
          <w:b/>
          <w:sz w:val="28"/>
          <w:szCs w:val="28"/>
          <w:lang w:val="fr-CH" w:eastAsia="en-GB"/>
        </w:rPr>
        <w:t>62</w:t>
      </w:r>
      <w:r w:rsidRPr="0038308C">
        <w:rPr>
          <w:rFonts w:eastAsia="Times New Roman" w:cstheme="minorHAnsi"/>
          <w:b/>
          <w:sz w:val="28"/>
          <w:szCs w:val="28"/>
          <w:lang w:val="fr-CH" w:eastAsia="en-GB"/>
        </w:rPr>
        <w:t xml:space="preserve"> Doc.</w:t>
      </w:r>
      <w:r w:rsidR="006D0E5D" w:rsidRPr="0038308C">
        <w:rPr>
          <w:rFonts w:eastAsia="Times New Roman" w:cstheme="minorHAnsi"/>
          <w:b/>
          <w:sz w:val="28"/>
          <w:szCs w:val="28"/>
          <w:lang w:val="fr-CH" w:eastAsia="en-GB"/>
        </w:rPr>
        <w:t>1</w:t>
      </w:r>
      <w:r w:rsidR="007F09F7" w:rsidRPr="0038308C">
        <w:rPr>
          <w:rFonts w:eastAsia="Times New Roman" w:cstheme="minorHAnsi"/>
          <w:b/>
          <w:sz w:val="28"/>
          <w:szCs w:val="28"/>
          <w:lang w:val="fr-CH" w:eastAsia="en-GB"/>
        </w:rPr>
        <w:t>4</w:t>
      </w:r>
    </w:p>
    <w:p w14:paraId="08CCB5EA" w14:textId="77777777" w:rsidR="009C2848" w:rsidRPr="0038308C" w:rsidRDefault="009C2848" w:rsidP="000A264B">
      <w:pPr>
        <w:spacing w:after="0" w:line="240" w:lineRule="auto"/>
        <w:jc w:val="right"/>
        <w:rPr>
          <w:rFonts w:eastAsia="Times New Roman" w:cstheme="minorHAnsi"/>
          <w:b/>
          <w:sz w:val="28"/>
          <w:szCs w:val="28"/>
          <w:lang w:val="fr-CH" w:eastAsia="en-GB"/>
        </w:rPr>
      </w:pPr>
    </w:p>
    <w:p w14:paraId="103A2672" w14:textId="138F537C" w:rsidR="00E24530" w:rsidRDefault="00C047A0" w:rsidP="00C047A0">
      <w:pPr>
        <w:spacing w:after="0" w:line="240" w:lineRule="auto"/>
        <w:jc w:val="center"/>
        <w:rPr>
          <w:rFonts w:cstheme="minorHAnsi"/>
          <w:b/>
          <w:bCs/>
          <w:color w:val="000000"/>
          <w:sz w:val="28"/>
          <w:szCs w:val="28"/>
          <w:lang w:val="fr-CH"/>
        </w:rPr>
      </w:pPr>
      <w:r w:rsidRPr="00C047A0">
        <w:rPr>
          <w:rFonts w:cstheme="minorHAnsi"/>
          <w:b/>
          <w:bCs/>
          <w:color w:val="000000"/>
          <w:sz w:val="28"/>
          <w:szCs w:val="28"/>
          <w:lang w:val="fr-CH"/>
        </w:rPr>
        <w:t xml:space="preserve">Renforcer la visibilité de la Convention et les synergies </w:t>
      </w:r>
      <w:r>
        <w:rPr>
          <w:rFonts w:cstheme="minorHAnsi"/>
          <w:b/>
          <w:bCs/>
          <w:color w:val="000000"/>
          <w:sz w:val="28"/>
          <w:szCs w:val="28"/>
          <w:lang w:val="fr-CH"/>
        </w:rPr>
        <w:br/>
      </w:r>
      <w:r w:rsidRPr="00C047A0">
        <w:rPr>
          <w:rFonts w:cstheme="minorHAnsi"/>
          <w:b/>
          <w:bCs/>
          <w:color w:val="000000"/>
          <w:sz w:val="28"/>
          <w:szCs w:val="28"/>
          <w:lang w:val="fr-CH"/>
        </w:rPr>
        <w:t>en partenariat</w:t>
      </w:r>
      <w:r>
        <w:rPr>
          <w:rFonts w:cstheme="minorHAnsi"/>
          <w:b/>
          <w:bCs/>
          <w:color w:val="000000"/>
          <w:sz w:val="28"/>
          <w:szCs w:val="28"/>
          <w:lang w:val="fr-CH"/>
        </w:rPr>
        <w:t xml:space="preserve"> </w:t>
      </w:r>
      <w:r w:rsidRPr="00C047A0">
        <w:rPr>
          <w:rFonts w:cstheme="minorHAnsi"/>
          <w:b/>
          <w:bCs/>
          <w:color w:val="000000"/>
          <w:sz w:val="28"/>
          <w:szCs w:val="28"/>
          <w:lang w:val="fr-CH"/>
        </w:rPr>
        <w:t xml:space="preserve">avec les accords multilatéraux sur l’environnement </w:t>
      </w:r>
      <w:r>
        <w:rPr>
          <w:rFonts w:cstheme="minorHAnsi"/>
          <w:b/>
          <w:bCs/>
          <w:color w:val="000000"/>
          <w:sz w:val="28"/>
          <w:szCs w:val="28"/>
          <w:lang w:val="fr-CH"/>
        </w:rPr>
        <w:br/>
      </w:r>
      <w:r w:rsidRPr="00C047A0">
        <w:rPr>
          <w:rFonts w:cstheme="minorHAnsi"/>
          <w:b/>
          <w:bCs/>
          <w:color w:val="000000"/>
          <w:sz w:val="28"/>
          <w:szCs w:val="28"/>
          <w:lang w:val="fr-CH"/>
        </w:rPr>
        <w:t>et d’autres</w:t>
      </w:r>
      <w:r>
        <w:rPr>
          <w:rFonts w:cstheme="minorHAnsi"/>
          <w:b/>
          <w:bCs/>
          <w:color w:val="000000"/>
          <w:sz w:val="28"/>
          <w:szCs w:val="28"/>
          <w:lang w:val="fr-CH"/>
        </w:rPr>
        <w:t xml:space="preserve"> </w:t>
      </w:r>
      <w:r w:rsidRPr="00C047A0">
        <w:rPr>
          <w:rFonts w:cstheme="minorHAnsi"/>
          <w:b/>
          <w:bCs/>
          <w:color w:val="000000"/>
          <w:sz w:val="28"/>
          <w:szCs w:val="28"/>
          <w:lang w:val="fr-CH"/>
        </w:rPr>
        <w:t>institutions</w:t>
      </w:r>
      <w:r w:rsidR="00055594">
        <w:rPr>
          <w:rFonts w:cstheme="minorHAnsi"/>
          <w:b/>
          <w:bCs/>
          <w:color w:val="000000"/>
          <w:sz w:val="28"/>
          <w:szCs w:val="28"/>
          <w:lang w:val="fr-CH"/>
        </w:rPr>
        <w:t xml:space="preserve"> internationales</w:t>
      </w:r>
      <w:bookmarkStart w:id="0" w:name="_GoBack"/>
      <w:bookmarkEnd w:id="0"/>
    </w:p>
    <w:p w14:paraId="4D737B1D" w14:textId="77777777" w:rsidR="00C047A0" w:rsidRPr="0038308C" w:rsidRDefault="00C047A0" w:rsidP="00C047A0">
      <w:pPr>
        <w:spacing w:after="0" w:line="240" w:lineRule="auto"/>
        <w:jc w:val="center"/>
        <w:rPr>
          <w:rFonts w:eastAsia="Times New Roman" w:cstheme="minorHAnsi"/>
          <w:b/>
          <w:sz w:val="28"/>
          <w:szCs w:val="28"/>
          <w:lang w:val="fr-CH" w:eastAsia="en-GB"/>
        </w:rPr>
      </w:pPr>
    </w:p>
    <w:p w14:paraId="4F42B663" w14:textId="77777777" w:rsidR="009C2848" w:rsidRPr="0038308C" w:rsidRDefault="009C2848" w:rsidP="000A264B">
      <w:pPr>
        <w:autoSpaceDE w:val="0"/>
        <w:autoSpaceDN w:val="0"/>
        <w:adjustRightInd w:val="0"/>
        <w:spacing w:after="0" w:line="240" w:lineRule="auto"/>
        <w:ind w:left="357" w:hanging="357"/>
        <w:jc w:val="both"/>
        <w:rPr>
          <w:rFonts w:cstheme="minorHAnsi"/>
          <w:lang w:val="fr-CH"/>
        </w:rPr>
      </w:pPr>
      <w:r w:rsidRPr="0038308C">
        <w:rPr>
          <w:rFonts w:eastAsia="Times New Roman" w:cstheme="minorHAnsi"/>
          <w:noProof/>
          <w:color w:val="2B579A"/>
          <w:shd w:val="clear" w:color="auto" w:fill="E6E6E6"/>
          <w:lang w:eastAsia="en-GB"/>
        </w:rPr>
        <mc:AlternateContent>
          <mc:Choice Requires="wps">
            <w:drawing>
              <wp:inline distT="0" distB="0" distL="0" distR="0" wp14:anchorId="0A4D4371" wp14:editId="6E52ABC1">
                <wp:extent cx="5854535" cy="1045029"/>
                <wp:effectExtent l="0" t="0" r="13335"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45029"/>
                        </a:xfrm>
                        <a:prstGeom prst="rect">
                          <a:avLst/>
                        </a:prstGeom>
                        <a:solidFill>
                          <a:srgbClr val="FFFFFF"/>
                        </a:solidFill>
                        <a:ln w="9525">
                          <a:solidFill>
                            <a:srgbClr val="000000"/>
                          </a:solidFill>
                          <a:miter lim="800000"/>
                          <a:headEnd/>
                          <a:tailEnd/>
                        </a:ln>
                      </wps:spPr>
                      <wps:txbx>
                        <w:txbxContent>
                          <w:p w14:paraId="410FD682" w14:textId="229EF4F0" w:rsidR="00000B89" w:rsidRPr="00E24530" w:rsidRDefault="00E24530" w:rsidP="009D2419">
                            <w:pPr>
                              <w:spacing w:after="0" w:line="240" w:lineRule="auto"/>
                              <w:rPr>
                                <w:rFonts w:ascii="Calibri" w:hAnsi="Calibri"/>
                                <w:b/>
                                <w:bCs/>
                                <w:lang w:val="fr-FR"/>
                              </w:rPr>
                            </w:pPr>
                            <w:r w:rsidRPr="00E24530">
                              <w:rPr>
                                <w:rFonts w:ascii="Calibri" w:hAnsi="Calibri"/>
                                <w:b/>
                                <w:bCs/>
                                <w:lang w:val="fr-FR"/>
                              </w:rPr>
                              <w:t>Mesures requises</w:t>
                            </w:r>
                          </w:p>
                          <w:p w14:paraId="4690A93D" w14:textId="77777777" w:rsidR="009D2419" w:rsidRPr="00E24530" w:rsidRDefault="009D2419" w:rsidP="009D2419">
                            <w:pPr>
                              <w:spacing w:after="0" w:line="240" w:lineRule="auto"/>
                              <w:rPr>
                                <w:rFonts w:ascii="Calibri" w:hAnsi="Calibri"/>
                                <w:b/>
                                <w:bCs/>
                                <w:lang w:val="fr-FR"/>
                              </w:rPr>
                            </w:pPr>
                          </w:p>
                          <w:p w14:paraId="09907D18" w14:textId="6819B758" w:rsidR="00000B89" w:rsidRPr="00E24530" w:rsidRDefault="00E24530" w:rsidP="0009737E">
                            <w:pPr>
                              <w:spacing w:after="0" w:line="240" w:lineRule="auto"/>
                              <w:rPr>
                                <w:rFonts w:ascii="Calibri" w:hAnsi="Calibri" w:cs="Calibri"/>
                                <w:color w:val="000000"/>
                                <w:lang w:val="fr-FR"/>
                              </w:rPr>
                            </w:pPr>
                            <w:r>
                              <w:rPr>
                                <w:lang w:val="fr-FR"/>
                              </w:rPr>
                              <w:t>Le Comité permanent est invité à prendre note des progrès d’application de</w:t>
                            </w:r>
                            <w:r w:rsidR="007513A8">
                              <w:rPr>
                                <w:lang w:val="fr-FR"/>
                              </w:rPr>
                              <w:t>s</w:t>
                            </w:r>
                            <w:r>
                              <w:rPr>
                                <w:lang w:val="fr-FR"/>
                              </w:rPr>
                              <w:t xml:space="preserve"> </w:t>
                            </w:r>
                            <w:r w:rsidRPr="00E24530">
                              <w:rPr>
                                <w:lang w:val="fr-FR"/>
                              </w:rPr>
                              <w:t>Résolution</w:t>
                            </w:r>
                            <w:r w:rsidR="007513A8">
                              <w:rPr>
                                <w:lang w:val="fr-FR"/>
                              </w:rPr>
                              <w:t>s</w:t>
                            </w:r>
                            <w:r w:rsidR="00000B89" w:rsidRPr="00E24530">
                              <w:rPr>
                                <w:lang w:val="fr-FR"/>
                              </w:rPr>
                              <w:t xml:space="preserve"> XIV.6 </w:t>
                            </w:r>
                            <w:r>
                              <w:rPr>
                                <w:lang w:val="fr-FR"/>
                              </w:rPr>
                              <w:t xml:space="preserve">et </w:t>
                            </w:r>
                            <w:r w:rsidR="00000B89" w:rsidRPr="00E24530">
                              <w:rPr>
                                <w:lang w:val="fr-FR"/>
                              </w:rPr>
                              <w:t>XIII.7</w:t>
                            </w:r>
                            <w:r w:rsidRPr="00E24530">
                              <w:rPr>
                                <w:lang w:val="fr-FR"/>
                              </w:rPr>
                              <w:t>,</w:t>
                            </w:r>
                            <w:r w:rsidR="00000B89" w:rsidRPr="00E24530">
                              <w:rPr>
                                <w:rFonts w:cstheme="minorHAnsi"/>
                                <w:bCs/>
                                <w:lang w:val="fr-FR"/>
                              </w:rPr>
                              <w:t xml:space="preserve"> </w:t>
                            </w:r>
                            <w:r w:rsidRPr="00E24530">
                              <w:rPr>
                                <w:rFonts w:cs="Garamond"/>
                                <w:i/>
                                <w:lang w:val="fr-FR"/>
                              </w:rPr>
                              <w:t>Renforcer la visibilité de la Convention et les synergies avec d’autres accords multilatéraux sur l’environnement</w:t>
                            </w:r>
                            <w:r>
                              <w:rPr>
                                <w:rFonts w:cs="Garamond"/>
                                <w:i/>
                                <w:lang w:val="fr-FR"/>
                              </w:rPr>
                              <w:t xml:space="preserve"> </w:t>
                            </w:r>
                            <w:r w:rsidRPr="00E24530">
                              <w:rPr>
                                <w:rFonts w:cs="Garamond"/>
                                <w:i/>
                                <w:lang w:val="fr-FR"/>
                              </w:rPr>
                              <w:t>et institutions internationales</w:t>
                            </w:r>
                            <w:r w:rsidR="00000B89" w:rsidRPr="00E24530">
                              <w:rPr>
                                <w:rFonts w:cs="Garamond"/>
                                <w:lang w:val="fr-FR"/>
                              </w:rPr>
                              <w:t>.</w:t>
                            </w:r>
                          </w:p>
                        </w:txbxContent>
                      </wps:txbx>
                      <wps:bodyPr rot="0" vert="horz" wrap="square" lIns="91440" tIns="45720" rIns="91440" bIns="45720" anchor="t" anchorCtr="0" upright="1">
                        <a:noAutofit/>
                      </wps:bodyPr>
                    </wps:wsp>
                  </a:graphicData>
                </a:graphic>
              </wp:inline>
            </w:drawing>
          </mc:Choice>
          <mc:Fallback>
            <w:pict>
              <v:shapetype w14:anchorId="0A4D4371" id="_x0000_t202" coordsize="21600,21600" o:spt="202" path="m,l,21600r21600,l21600,xe">
                <v:stroke joinstyle="miter"/>
                <v:path gradientshapeok="t" o:connecttype="rect"/>
              </v:shapetype>
              <v:shape id="Text Box 1" o:spid="_x0000_s1026" type="#_x0000_t202" style="width:461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">
                <v:textbox>
                  <w:txbxContent>
                    <w:p w14:paraId="410FD682" w14:textId="229EF4F0" w:rsidR="00000B89" w:rsidRPr="00E24530" w:rsidRDefault="00E24530" w:rsidP="009D2419">
                      <w:pPr>
                        <w:spacing w:after="0" w:line="240" w:lineRule="auto"/>
                        <w:rPr>
                          <w:rFonts w:ascii="Calibri" w:hAnsi="Calibri"/>
                          <w:b/>
                          <w:bCs/>
                          <w:lang w:val="fr-FR"/>
                        </w:rPr>
                      </w:pPr>
                      <w:r w:rsidRPr="00E24530">
                        <w:rPr>
                          <w:rFonts w:ascii="Calibri" w:hAnsi="Calibri"/>
                          <w:b/>
                          <w:bCs/>
                          <w:lang w:val="fr-FR"/>
                        </w:rPr>
                        <w:t>Mesures requises</w:t>
                      </w:r>
                    </w:p>
                    <w:p w14:paraId="4690A93D" w14:textId="77777777" w:rsidR="009D2419" w:rsidRPr="00E24530" w:rsidRDefault="009D2419" w:rsidP="009D2419">
                      <w:pPr>
                        <w:spacing w:after="0" w:line="240" w:lineRule="auto"/>
                        <w:rPr>
                          <w:rFonts w:ascii="Calibri" w:hAnsi="Calibri"/>
                          <w:b/>
                          <w:bCs/>
                          <w:lang w:val="fr-FR"/>
                        </w:rPr>
                      </w:pPr>
                    </w:p>
                    <w:p w14:paraId="09907D18" w14:textId="6819B758" w:rsidR="00000B89" w:rsidRPr="00E24530" w:rsidRDefault="00E24530" w:rsidP="0009737E">
                      <w:pPr>
                        <w:spacing w:after="0" w:line="240" w:lineRule="auto"/>
                        <w:rPr>
                          <w:rFonts w:ascii="Calibri" w:hAnsi="Calibri" w:cs="Calibri"/>
                          <w:color w:val="000000"/>
                          <w:lang w:val="fr-FR"/>
                        </w:rPr>
                      </w:pPr>
                      <w:r>
                        <w:rPr>
                          <w:lang w:val="fr-FR"/>
                        </w:rPr>
                        <w:t>Le Comité permanent est invité à prendre note des progrès d’application de</w:t>
                      </w:r>
                      <w:r w:rsidR="007513A8">
                        <w:rPr>
                          <w:lang w:val="fr-FR"/>
                        </w:rPr>
                        <w:t>s</w:t>
                      </w:r>
                      <w:r>
                        <w:rPr>
                          <w:lang w:val="fr-FR"/>
                        </w:rPr>
                        <w:t xml:space="preserve"> </w:t>
                      </w:r>
                      <w:r w:rsidRPr="00E24530">
                        <w:rPr>
                          <w:lang w:val="fr-FR"/>
                        </w:rPr>
                        <w:t>Résolution</w:t>
                      </w:r>
                      <w:r w:rsidR="007513A8">
                        <w:rPr>
                          <w:lang w:val="fr-FR"/>
                        </w:rPr>
                        <w:t>s</w:t>
                      </w:r>
                      <w:r w:rsidR="00000B89" w:rsidRPr="00E24530">
                        <w:rPr>
                          <w:lang w:val="fr-FR"/>
                        </w:rPr>
                        <w:t xml:space="preserve"> XIV.6 </w:t>
                      </w:r>
                      <w:r>
                        <w:rPr>
                          <w:lang w:val="fr-FR"/>
                        </w:rPr>
                        <w:t xml:space="preserve">et </w:t>
                      </w:r>
                      <w:r w:rsidR="00000B89" w:rsidRPr="00E24530">
                        <w:rPr>
                          <w:lang w:val="fr-FR"/>
                        </w:rPr>
                        <w:t>XIII.7</w:t>
                      </w:r>
                      <w:r w:rsidRPr="00E24530">
                        <w:rPr>
                          <w:lang w:val="fr-FR"/>
                        </w:rPr>
                        <w:t>,</w:t>
                      </w:r>
                      <w:r w:rsidR="00000B89" w:rsidRPr="00E24530">
                        <w:rPr>
                          <w:rFonts w:cstheme="minorHAnsi"/>
                          <w:bCs/>
                          <w:lang w:val="fr-FR"/>
                        </w:rPr>
                        <w:t xml:space="preserve"> </w:t>
                      </w:r>
                      <w:r w:rsidRPr="00E24530">
                        <w:rPr>
                          <w:rFonts w:cs="Garamond"/>
                          <w:i/>
                          <w:lang w:val="fr-FR"/>
                        </w:rPr>
                        <w:t>Renforcer la visibilité de la Convention et les synergies avec d’autres accords multilatéraux sur l’environnement</w:t>
                      </w:r>
                      <w:r>
                        <w:rPr>
                          <w:rFonts w:cs="Garamond"/>
                          <w:i/>
                          <w:lang w:val="fr-FR"/>
                        </w:rPr>
                        <w:t xml:space="preserve"> </w:t>
                      </w:r>
                      <w:r w:rsidRPr="00E24530">
                        <w:rPr>
                          <w:rFonts w:cs="Garamond"/>
                          <w:i/>
                          <w:lang w:val="fr-FR"/>
                        </w:rPr>
                        <w:t>et institutions internationales</w:t>
                      </w:r>
                      <w:r w:rsidR="00000B89" w:rsidRPr="00E24530">
                        <w:rPr>
                          <w:rFonts w:cs="Garamond"/>
                          <w:lang w:val="fr-FR"/>
                        </w:rPr>
                        <w:t>.</w:t>
                      </w:r>
                    </w:p>
                  </w:txbxContent>
                </v:textbox>
                <w10:anchorlock/>
              </v:shape>
            </w:pict>
          </mc:Fallback>
        </mc:AlternateContent>
      </w:r>
    </w:p>
    <w:p w14:paraId="4D5BC257" w14:textId="77777777" w:rsidR="009C2848" w:rsidRPr="0038308C" w:rsidRDefault="009C2848" w:rsidP="000A264B">
      <w:pPr>
        <w:autoSpaceDE w:val="0"/>
        <w:autoSpaceDN w:val="0"/>
        <w:adjustRightInd w:val="0"/>
        <w:spacing w:after="0" w:line="240" w:lineRule="auto"/>
        <w:ind w:left="357" w:hanging="357"/>
        <w:jc w:val="both"/>
        <w:rPr>
          <w:rFonts w:cstheme="minorHAnsi"/>
          <w:b/>
          <w:bCs/>
          <w:lang w:val="fr-CH"/>
        </w:rPr>
      </w:pPr>
    </w:p>
    <w:p w14:paraId="543B5D4B" w14:textId="77777777" w:rsidR="009C2848" w:rsidRPr="0038308C" w:rsidRDefault="009C2848" w:rsidP="000A264B">
      <w:pPr>
        <w:autoSpaceDE w:val="0"/>
        <w:autoSpaceDN w:val="0"/>
        <w:adjustRightInd w:val="0"/>
        <w:spacing w:after="0" w:line="240" w:lineRule="auto"/>
        <w:ind w:left="357" w:hanging="357"/>
        <w:jc w:val="both"/>
        <w:rPr>
          <w:rFonts w:cstheme="minorHAnsi"/>
          <w:b/>
          <w:bCs/>
          <w:lang w:val="fr-CH"/>
        </w:rPr>
      </w:pPr>
    </w:p>
    <w:p w14:paraId="0476F059" w14:textId="433D4900" w:rsidR="009C2848" w:rsidRPr="0038308C" w:rsidRDefault="00E24530" w:rsidP="000A264B">
      <w:pPr>
        <w:keepNext/>
        <w:spacing w:after="0" w:line="240" w:lineRule="auto"/>
        <w:ind w:left="357" w:hanging="357"/>
        <w:rPr>
          <w:rFonts w:cstheme="minorHAnsi"/>
          <w:b/>
          <w:bCs/>
          <w:lang w:val="fr-CH"/>
        </w:rPr>
      </w:pPr>
      <w:r w:rsidRPr="0038308C">
        <w:rPr>
          <w:rFonts w:cstheme="minorHAnsi"/>
          <w:b/>
          <w:bCs/>
          <w:lang w:val="fr-CH"/>
        </w:rPr>
        <w:t>Contexte</w:t>
      </w:r>
      <w:r w:rsidR="009C2848" w:rsidRPr="0038308C">
        <w:rPr>
          <w:rFonts w:cstheme="minorHAnsi"/>
          <w:b/>
          <w:bCs/>
          <w:lang w:val="fr-CH"/>
        </w:rPr>
        <w:t xml:space="preserve"> </w:t>
      </w:r>
    </w:p>
    <w:p w14:paraId="61EF4199" w14:textId="77777777" w:rsidR="009C2848" w:rsidRPr="0038308C" w:rsidRDefault="009C2848" w:rsidP="000A264B">
      <w:pPr>
        <w:keepNext/>
        <w:spacing w:after="0" w:line="240" w:lineRule="auto"/>
        <w:ind w:left="426" w:hanging="426"/>
        <w:rPr>
          <w:rFonts w:eastAsia="Times New Roman" w:cstheme="minorHAnsi"/>
          <w:lang w:val="fr-CH" w:eastAsia="en-GB"/>
        </w:rPr>
      </w:pPr>
    </w:p>
    <w:p w14:paraId="32B47E6C" w14:textId="2194D740" w:rsidR="009C2848" w:rsidRPr="0038308C" w:rsidRDefault="009C2848" w:rsidP="00E24530">
      <w:pPr>
        <w:suppressAutoHyphens/>
        <w:spacing w:after="0" w:line="240" w:lineRule="auto"/>
        <w:ind w:left="425" w:hanging="425"/>
        <w:rPr>
          <w:rFonts w:eastAsia="Times New Roman"/>
          <w:lang w:val="fr-CH" w:eastAsia="en-GB"/>
        </w:rPr>
      </w:pPr>
      <w:r w:rsidRPr="0038308C">
        <w:rPr>
          <w:rFonts w:eastAsia="Times New Roman"/>
          <w:lang w:val="fr-CH" w:eastAsia="en-GB"/>
        </w:rPr>
        <w:t>1.</w:t>
      </w:r>
      <w:r w:rsidRPr="0038308C">
        <w:rPr>
          <w:lang w:val="fr-CH"/>
        </w:rPr>
        <w:tab/>
      </w:r>
      <w:r w:rsidR="00E24530" w:rsidRPr="007513A8">
        <w:rPr>
          <w:lang w:val="fr-CH"/>
        </w:rPr>
        <w:t xml:space="preserve">La </w:t>
      </w:r>
      <w:r w:rsidR="00E24530" w:rsidRPr="007513A8">
        <w:rPr>
          <w:rFonts w:eastAsia="Times New Roman"/>
          <w:lang w:val="fr-CH" w:eastAsia="en-GB"/>
        </w:rPr>
        <w:t>Résolution</w:t>
      </w:r>
      <w:r w:rsidRPr="007513A8">
        <w:rPr>
          <w:rFonts w:eastAsia="Times New Roman"/>
          <w:lang w:val="fr-CH" w:eastAsia="en-GB"/>
        </w:rPr>
        <w:t xml:space="preserve"> XIII.7</w:t>
      </w:r>
      <w:r w:rsidR="00E24530" w:rsidRPr="007513A8">
        <w:rPr>
          <w:rFonts w:eastAsia="Times New Roman"/>
          <w:lang w:val="fr-CH" w:eastAsia="en-GB"/>
        </w:rPr>
        <w:t>,</w:t>
      </w:r>
      <w:r w:rsidRPr="007513A8">
        <w:rPr>
          <w:rFonts w:eastAsia="Times New Roman"/>
          <w:lang w:val="fr-CH" w:eastAsia="en-GB"/>
        </w:rPr>
        <w:t xml:space="preserve"> </w:t>
      </w:r>
      <w:r w:rsidR="00E24530" w:rsidRPr="007513A8">
        <w:rPr>
          <w:i/>
          <w:iCs/>
          <w:lang w:val="fr-CH" w:eastAsia="en-GB"/>
        </w:rPr>
        <w:t xml:space="preserve">Renforcer la visibilité de la Convention et les synergies avec d’autres accords multilatéraux sur l’environnement et institutions internationales </w:t>
      </w:r>
      <w:r w:rsidR="00E24530" w:rsidRPr="007513A8">
        <w:rPr>
          <w:rFonts w:eastAsia="Times New Roman"/>
          <w:lang w:val="fr-CH" w:eastAsia="en-GB"/>
        </w:rPr>
        <w:t>donne instruction au</w:t>
      </w:r>
      <w:r w:rsidRPr="007513A8">
        <w:rPr>
          <w:rFonts w:eastAsia="Times New Roman"/>
          <w:lang w:val="fr-CH" w:eastAsia="en-GB"/>
        </w:rPr>
        <w:t xml:space="preserve"> </w:t>
      </w:r>
      <w:r w:rsidR="00E24530" w:rsidRPr="007513A8">
        <w:rPr>
          <w:rFonts w:eastAsia="Times New Roman"/>
          <w:lang w:val="fr-CH" w:eastAsia="en-GB"/>
        </w:rPr>
        <w:t>Secrétariat</w:t>
      </w:r>
      <w:r w:rsidRPr="007513A8">
        <w:rPr>
          <w:rFonts w:eastAsia="Times New Roman"/>
          <w:lang w:val="fr-CH" w:eastAsia="en-GB"/>
        </w:rPr>
        <w:t xml:space="preserve"> </w:t>
      </w:r>
      <w:r w:rsidR="00E24530" w:rsidRPr="007513A8">
        <w:rPr>
          <w:rFonts w:eastAsia="Times New Roman"/>
          <w:lang w:val="fr-CH" w:eastAsia="en-GB"/>
        </w:rPr>
        <w:t>de rendre compte régulièrement au Comité permanent des</w:t>
      </w:r>
      <w:r w:rsidRPr="007513A8">
        <w:rPr>
          <w:rFonts w:eastAsia="Times New Roman"/>
          <w:lang w:val="fr-CH" w:eastAsia="en-GB"/>
        </w:rPr>
        <w:t xml:space="preserve"> </w:t>
      </w:r>
      <w:r w:rsidR="00E24530" w:rsidRPr="007513A8">
        <w:rPr>
          <w:lang w:val="fr-CH"/>
        </w:rPr>
        <w:t>progrès d’application de cette</w:t>
      </w:r>
      <w:r w:rsidRPr="007513A8">
        <w:rPr>
          <w:rFonts w:eastAsia="Times New Roman"/>
          <w:lang w:val="fr-CH" w:eastAsia="en-GB"/>
        </w:rPr>
        <w:t xml:space="preserve"> </w:t>
      </w:r>
      <w:r w:rsidR="00E24530" w:rsidRPr="007513A8">
        <w:rPr>
          <w:rFonts w:eastAsia="Times New Roman"/>
          <w:lang w:val="fr-CH" w:eastAsia="en-GB"/>
        </w:rPr>
        <w:t>Résolution</w:t>
      </w:r>
      <w:r w:rsidRPr="007513A8">
        <w:rPr>
          <w:rFonts w:eastAsia="Times New Roman"/>
          <w:lang w:val="fr-CH" w:eastAsia="en-GB"/>
        </w:rPr>
        <w:t xml:space="preserve"> </w:t>
      </w:r>
      <w:r w:rsidR="00E24530" w:rsidRPr="007513A8">
        <w:rPr>
          <w:rFonts w:eastAsia="Times New Roman"/>
          <w:lang w:val="fr-CH" w:eastAsia="en-GB"/>
        </w:rPr>
        <w:t>et de la</w:t>
      </w:r>
      <w:r w:rsidRPr="007513A8">
        <w:rPr>
          <w:rFonts w:eastAsia="Times New Roman"/>
          <w:lang w:val="fr-CH" w:eastAsia="en-GB"/>
        </w:rPr>
        <w:t xml:space="preserve"> </w:t>
      </w:r>
      <w:r w:rsidR="00E24530" w:rsidRPr="007513A8">
        <w:rPr>
          <w:rFonts w:eastAsia="Times New Roman"/>
          <w:lang w:val="fr-CH" w:eastAsia="en-GB"/>
        </w:rPr>
        <w:t>Résolution</w:t>
      </w:r>
      <w:r w:rsidRPr="007513A8">
        <w:rPr>
          <w:rFonts w:eastAsia="Times New Roman"/>
          <w:lang w:val="fr-CH" w:eastAsia="en-GB"/>
        </w:rPr>
        <w:t xml:space="preserve"> XI.6</w:t>
      </w:r>
      <w:r w:rsidR="00E24530" w:rsidRPr="007513A8">
        <w:rPr>
          <w:rFonts w:eastAsia="Times New Roman"/>
          <w:lang w:val="fr-CH" w:eastAsia="en-GB"/>
        </w:rPr>
        <w:t>,</w:t>
      </w:r>
      <w:r w:rsidRPr="007513A8">
        <w:rPr>
          <w:rFonts w:eastAsia="Times New Roman"/>
          <w:lang w:val="fr-CH" w:eastAsia="en-GB"/>
        </w:rPr>
        <w:t xml:space="preserve"> </w:t>
      </w:r>
      <w:r w:rsidR="00E24530" w:rsidRPr="007513A8">
        <w:rPr>
          <w:rFonts w:eastAsia="Times New Roman"/>
          <w:i/>
          <w:iCs/>
          <w:lang w:val="fr-CH" w:eastAsia="en-GB"/>
        </w:rPr>
        <w:t>Partenariats et synergies avec les Accords multilatéraux sur l’environnement et autres institutions</w:t>
      </w:r>
      <w:r w:rsidR="00A31E10" w:rsidRPr="007513A8">
        <w:rPr>
          <w:rFonts w:eastAsia="Times New Roman"/>
          <w:lang w:val="fr-CH" w:eastAsia="en-GB"/>
        </w:rPr>
        <w:t>.</w:t>
      </w:r>
    </w:p>
    <w:p w14:paraId="5162C808" w14:textId="77777777" w:rsidR="00B7760D" w:rsidRPr="0038308C" w:rsidRDefault="00B7760D" w:rsidP="000A264B">
      <w:pPr>
        <w:suppressAutoHyphens/>
        <w:spacing w:after="0" w:line="240" w:lineRule="auto"/>
        <w:ind w:left="425" w:hanging="425"/>
        <w:rPr>
          <w:rFonts w:eastAsia="Times New Roman" w:cstheme="minorHAnsi"/>
          <w:bCs/>
          <w:lang w:val="fr-CH" w:eastAsia="en-GB"/>
        </w:rPr>
      </w:pPr>
    </w:p>
    <w:p w14:paraId="0A6392D1" w14:textId="76A73BA4" w:rsidR="009C2848" w:rsidRPr="0038308C" w:rsidRDefault="0CEA7F5E" w:rsidP="000A264B">
      <w:pPr>
        <w:autoSpaceDE w:val="0"/>
        <w:autoSpaceDN w:val="0"/>
        <w:adjustRightInd w:val="0"/>
        <w:spacing w:after="0" w:line="240" w:lineRule="auto"/>
        <w:ind w:left="425" w:hanging="425"/>
        <w:rPr>
          <w:rFonts w:eastAsia="Times New Roman"/>
          <w:lang w:val="fr-CH" w:eastAsia="en-GB"/>
        </w:rPr>
      </w:pPr>
      <w:r w:rsidRPr="0038308C">
        <w:rPr>
          <w:rFonts w:eastAsia="Times New Roman"/>
          <w:lang w:val="fr-CH" w:eastAsia="en-GB"/>
        </w:rPr>
        <w:t>2</w:t>
      </w:r>
      <w:r w:rsidR="009C2848" w:rsidRPr="0038308C">
        <w:rPr>
          <w:color w:val="000000" w:themeColor="text1"/>
          <w:lang w:val="fr-CH"/>
        </w:rPr>
        <w:t>.</w:t>
      </w:r>
      <w:r w:rsidR="004D1AF1" w:rsidRPr="0038308C">
        <w:rPr>
          <w:lang w:val="fr-CH"/>
        </w:rPr>
        <w:tab/>
      </w:r>
      <w:r w:rsidR="0038308C">
        <w:rPr>
          <w:lang w:val="fr-CH"/>
        </w:rPr>
        <w:t xml:space="preserve">Le présent rapport couvre les principales activités entreprises depuis la </w:t>
      </w:r>
      <w:r w:rsidR="007513A8">
        <w:rPr>
          <w:lang w:val="fr-CH"/>
        </w:rPr>
        <w:t>reprise de séance</w:t>
      </w:r>
      <w:r w:rsidR="0038308C">
        <w:rPr>
          <w:lang w:val="fr-CH"/>
        </w:rPr>
        <w:t xml:space="preserve"> de la 59</w:t>
      </w:r>
      <w:r w:rsidR="0038308C" w:rsidRPr="0038308C">
        <w:rPr>
          <w:vertAlign w:val="superscript"/>
          <w:lang w:val="fr-CH"/>
        </w:rPr>
        <w:t>e</w:t>
      </w:r>
      <w:r w:rsidR="0038308C">
        <w:rPr>
          <w:lang w:val="fr-CH"/>
        </w:rPr>
        <w:t xml:space="preserve"> Réunion du Comité permanent en 2022 </w:t>
      </w:r>
      <w:r w:rsidR="00003D8B" w:rsidRPr="0038308C">
        <w:rPr>
          <w:rFonts w:eastAsia="Times New Roman"/>
          <w:lang w:val="fr-CH" w:eastAsia="en-GB"/>
        </w:rPr>
        <w:t>(</w:t>
      </w:r>
      <w:r w:rsidR="009C2848" w:rsidRPr="0038308C">
        <w:rPr>
          <w:rFonts w:eastAsia="Times New Roman"/>
          <w:lang w:val="fr-CH" w:eastAsia="en-GB"/>
        </w:rPr>
        <w:t>SC5</w:t>
      </w:r>
      <w:r w:rsidR="409D2C31" w:rsidRPr="0038308C">
        <w:rPr>
          <w:rFonts w:eastAsia="Times New Roman"/>
          <w:lang w:val="fr-CH" w:eastAsia="en-GB"/>
        </w:rPr>
        <w:t>9</w:t>
      </w:r>
      <w:r w:rsidR="00003D8B" w:rsidRPr="0038308C">
        <w:rPr>
          <w:rFonts w:eastAsia="Times New Roman"/>
          <w:lang w:val="fr-CH" w:eastAsia="en-GB"/>
        </w:rPr>
        <w:t>/</w:t>
      </w:r>
      <w:r w:rsidRPr="0038308C">
        <w:rPr>
          <w:rFonts w:eastAsia="Times New Roman"/>
          <w:lang w:val="fr-CH" w:eastAsia="en-GB"/>
        </w:rPr>
        <w:t>2022</w:t>
      </w:r>
      <w:r w:rsidR="124EAA14" w:rsidRPr="007513A8">
        <w:rPr>
          <w:rFonts w:eastAsia="Times New Roman"/>
          <w:lang w:val="fr-CH" w:eastAsia="en-GB"/>
        </w:rPr>
        <w:t>)</w:t>
      </w:r>
      <w:r w:rsidRPr="007513A8">
        <w:rPr>
          <w:rFonts w:eastAsia="Times New Roman"/>
          <w:lang w:val="fr-CH" w:eastAsia="en-GB"/>
        </w:rPr>
        <w:t xml:space="preserve">, </w:t>
      </w:r>
      <w:r w:rsidR="005F2F70" w:rsidRPr="007513A8">
        <w:rPr>
          <w:rFonts w:eastAsia="Times New Roman"/>
          <w:lang w:val="fr-CH" w:eastAsia="en-GB"/>
        </w:rPr>
        <w:t>conformément</w:t>
      </w:r>
      <w:r w:rsidR="009C2848" w:rsidRPr="007513A8">
        <w:rPr>
          <w:rFonts w:eastAsia="Times New Roman"/>
          <w:lang w:val="fr-CH" w:eastAsia="en-GB"/>
        </w:rPr>
        <w:t xml:space="preserve"> </w:t>
      </w:r>
      <w:r w:rsidR="004B06B2" w:rsidRPr="007513A8">
        <w:rPr>
          <w:rFonts w:eastAsia="Times New Roman"/>
          <w:lang w:val="fr-CH" w:eastAsia="en-GB"/>
        </w:rPr>
        <w:t>à la Ré</w:t>
      </w:r>
      <w:r w:rsidR="009C2848" w:rsidRPr="007513A8">
        <w:rPr>
          <w:rFonts w:eastAsia="Times New Roman"/>
          <w:lang w:val="fr-CH" w:eastAsia="en-GB"/>
        </w:rPr>
        <w:t xml:space="preserve">solution </w:t>
      </w:r>
      <w:r w:rsidR="2A4DE5FC" w:rsidRPr="007513A8">
        <w:rPr>
          <w:rFonts w:eastAsia="Times New Roman"/>
          <w:lang w:val="fr-CH" w:eastAsia="en-GB"/>
        </w:rPr>
        <w:t>XIV.6</w:t>
      </w:r>
      <w:r w:rsidR="009D4AEE" w:rsidRPr="007513A8">
        <w:rPr>
          <w:rFonts w:eastAsia="Times New Roman"/>
          <w:lang w:val="fr-CH" w:eastAsia="en-GB"/>
        </w:rPr>
        <w:t xml:space="preserve"> (</w:t>
      </w:r>
      <w:r w:rsidR="004B06B2" w:rsidRPr="007513A8">
        <w:rPr>
          <w:i/>
          <w:iCs/>
          <w:lang w:val="fr-CH" w:eastAsia="en-GB"/>
        </w:rPr>
        <w:t>Renforcer la visibilité de la Convention et les synergies avec d’autres accords multilatéraux sur l’environnement et institutions internationales</w:t>
      </w:r>
      <w:r w:rsidR="009D4AEE" w:rsidRPr="007513A8">
        <w:rPr>
          <w:lang w:val="fr-CH"/>
        </w:rPr>
        <w:t>)</w:t>
      </w:r>
      <w:r w:rsidR="005F2F70" w:rsidRPr="007513A8">
        <w:rPr>
          <w:lang w:val="fr-CH"/>
        </w:rPr>
        <w:t xml:space="preserve"> et aux Résolutions</w:t>
      </w:r>
      <w:r w:rsidR="2A4DE5FC" w:rsidRPr="007513A8">
        <w:rPr>
          <w:rFonts w:eastAsia="Times New Roman"/>
          <w:lang w:val="fr-CH" w:eastAsia="en-GB"/>
        </w:rPr>
        <w:t xml:space="preserve"> </w:t>
      </w:r>
      <w:r w:rsidR="009C2848" w:rsidRPr="007513A8">
        <w:rPr>
          <w:rFonts w:eastAsia="Times New Roman"/>
          <w:lang w:val="fr-CH" w:eastAsia="en-GB"/>
        </w:rPr>
        <w:t xml:space="preserve">XIII.7 </w:t>
      </w:r>
      <w:r w:rsidR="005F2F70" w:rsidRPr="007513A8">
        <w:rPr>
          <w:rFonts w:eastAsia="Times New Roman"/>
          <w:lang w:val="fr-CH" w:eastAsia="en-GB"/>
        </w:rPr>
        <w:t>et</w:t>
      </w:r>
      <w:r w:rsidR="009C2848" w:rsidRPr="007513A8">
        <w:rPr>
          <w:rFonts w:eastAsia="Times New Roman"/>
          <w:lang w:val="fr-CH" w:eastAsia="en-GB"/>
        </w:rPr>
        <w:t xml:space="preserve"> XI.6, </w:t>
      </w:r>
      <w:r w:rsidR="00E20AD2" w:rsidRPr="007513A8">
        <w:rPr>
          <w:rFonts w:eastAsia="Times New Roman"/>
          <w:lang w:val="fr-CH" w:eastAsia="en-GB"/>
        </w:rPr>
        <w:t>et en particulier les activités liées au</w:t>
      </w:r>
      <w:r w:rsidR="009C2848" w:rsidRPr="0038308C">
        <w:rPr>
          <w:rFonts w:eastAsia="Times New Roman"/>
          <w:lang w:val="fr-CH" w:eastAsia="en-GB"/>
        </w:rPr>
        <w:t xml:space="preserve"> </w:t>
      </w:r>
      <w:r w:rsidR="00214444" w:rsidRPr="00FC47D7">
        <w:rPr>
          <w:rFonts w:eastAsia="Times New Roman"/>
          <w:lang w:val="fr-CH" w:eastAsia="en-GB"/>
        </w:rPr>
        <w:t>Groupe de liaison des Conventions relatives à la biodiversité</w:t>
      </w:r>
      <w:r w:rsidR="007F618D">
        <w:rPr>
          <w:rFonts w:eastAsia="Times New Roman"/>
          <w:lang w:val="fr-CH" w:eastAsia="en-GB"/>
        </w:rPr>
        <w:t xml:space="preserve"> (GLB)</w:t>
      </w:r>
      <w:r w:rsidR="007513A8">
        <w:rPr>
          <w:rFonts w:eastAsia="Times New Roman"/>
          <w:lang w:val="fr-CH" w:eastAsia="en-GB"/>
        </w:rPr>
        <w:t xml:space="preserve"> et</w:t>
      </w:r>
      <w:r w:rsidR="009C2848" w:rsidRPr="0038308C">
        <w:rPr>
          <w:rFonts w:eastAsia="Times New Roman"/>
          <w:lang w:val="fr-CH" w:eastAsia="en-GB"/>
        </w:rPr>
        <w:t xml:space="preserve"> </w:t>
      </w:r>
      <w:r w:rsidR="007513A8">
        <w:rPr>
          <w:rFonts w:eastAsia="Times New Roman"/>
          <w:lang w:val="fr-CH" w:eastAsia="en-GB"/>
        </w:rPr>
        <w:t xml:space="preserve">à </w:t>
      </w:r>
      <w:r w:rsidR="0038308C">
        <w:rPr>
          <w:rFonts w:eastAsia="Times New Roman"/>
          <w:lang w:val="fr-CH" w:eastAsia="en-GB"/>
        </w:rPr>
        <w:t xml:space="preserve">la Plateforme intergouvernementale scientifique et politique sur la biodiversité et les services écosystémiques (IPBES) et les progrès réalisés concernant les </w:t>
      </w:r>
      <w:r w:rsidR="007513A8">
        <w:rPr>
          <w:rFonts w:eastAsia="Times New Roman"/>
          <w:lang w:val="fr-CH" w:eastAsia="en-GB"/>
        </w:rPr>
        <w:t>o</w:t>
      </w:r>
      <w:r w:rsidR="0038308C">
        <w:rPr>
          <w:rFonts w:eastAsia="Times New Roman"/>
          <w:lang w:val="fr-CH" w:eastAsia="en-GB"/>
        </w:rPr>
        <w:t>bjectifs de développement durable (ODD) et les AME, le Programme des Nations Unies pour l’environnement (PNUE) et d’autres institutions.</w:t>
      </w:r>
    </w:p>
    <w:p w14:paraId="280813B8" w14:textId="77777777" w:rsidR="00017673" w:rsidRPr="0038308C" w:rsidRDefault="00017673" w:rsidP="009D2419">
      <w:pPr>
        <w:spacing w:after="0" w:line="240" w:lineRule="auto"/>
        <w:rPr>
          <w:rFonts w:eastAsia="Times New Roman" w:cstheme="minorHAnsi"/>
          <w:b/>
          <w:lang w:val="fr-CH" w:eastAsia="en-GB"/>
        </w:rPr>
      </w:pPr>
    </w:p>
    <w:p w14:paraId="351C3518" w14:textId="72B1754D" w:rsidR="00017673" w:rsidRPr="0038308C" w:rsidRDefault="0038308C" w:rsidP="00017673">
      <w:pPr>
        <w:keepNext/>
        <w:spacing w:after="0" w:line="240" w:lineRule="auto"/>
        <w:rPr>
          <w:rFonts w:eastAsia="Times New Roman" w:cstheme="minorHAnsi"/>
          <w:b/>
          <w:lang w:val="fr-CH" w:eastAsia="en-GB"/>
        </w:rPr>
      </w:pPr>
      <w:r>
        <w:rPr>
          <w:rFonts w:eastAsia="Times New Roman" w:cstheme="minorHAnsi"/>
          <w:b/>
          <w:lang w:val="fr-CH" w:eastAsia="en-GB"/>
        </w:rPr>
        <w:t>Plateforme intergouvernementale sur la biodiversité et les services écosystémiques</w:t>
      </w:r>
      <w:r w:rsidR="00017673" w:rsidRPr="0038308C">
        <w:rPr>
          <w:rFonts w:eastAsia="Times New Roman" w:cstheme="minorHAnsi"/>
          <w:b/>
          <w:lang w:val="fr-CH" w:eastAsia="en-GB"/>
        </w:rPr>
        <w:t xml:space="preserve"> </w:t>
      </w:r>
    </w:p>
    <w:p w14:paraId="162DA8C5" w14:textId="77777777" w:rsidR="00017673" w:rsidRPr="0038308C" w:rsidRDefault="00017673" w:rsidP="00017673">
      <w:pPr>
        <w:keepNext/>
        <w:spacing w:after="0" w:line="240" w:lineRule="auto"/>
        <w:ind w:left="357" w:hanging="357"/>
        <w:rPr>
          <w:rFonts w:eastAsia="Times New Roman" w:cstheme="minorHAnsi"/>
          <w:b/>
          <w:lang w:val="fr-CH" w:eastAsia="en-GB"/>
        </w:rPr>
      </w:pPr>
    </w:p>
    <w:p w14:paraId="70B0593E" w14:textId="2118629D" w:rsidR="00017673" w:rsidRPr="0038308C" w:rsidRDefault="00017673" w:rsidP="00017673">
      <w:pPr>
        <w:spacing w:after="0" w:line="240" w:lineRule="auto"/>
        <w:ind w:left="426" w:hanging="426"/>
        <w:rPr>
          <w:rStyle w:val="ui-provider"/>
          <w:lang w:val="fr-CH"/>
        </w:rPr>
      </w:pPr>
      <w:r w:rsidRPr="0038308C">
        <w:rPr>
          <w:lang w:val="fr-CH"/>
        </w:rPr>
        <w:t>3.</w:t>
      </w:r>
      <w:r w:rsidRPr="0038308C">
        <w:rPr>
          <w:lang w:val="fr-CH"/>
        </w:rPr>
        <w:tab/>
      </w:r>
      <w:r w:rsidR="00F0434D">
        <w:rPr>
          <w:lang w:val="fr-CH"/>
        </w:rPr>
        <w:t xml:space="preserve">La coopération avec l’IPBES se poursuit dans le contexte du mémorandum de coopération </w:t>
      </w:r>
      <w:r w:rsidR="000E38CE">
        <w:rPr>
          <w:lang w:val="fr-CH"/>
        </w:rPr>
        <w:t>en vigueur</w:t>
      </w:r>
      <w:r w:rsidR="00F0434D">
        <w:rPr>
          <w:lang w:val="fr-CH"/>
        </w:rPr>
        <w:t>. Le Secrétariat a participé de façon virtuelle à la 9</w:t>
      </w:r>
      <w:r w:rsidR="00F0434D" w:rsidRPr="00F0434D">
        <w:rPr>
          <w:vertAlign w:val="superscript"/>
          <w:lang w:val="fr-CH"/>
        </w:rPr>
        <w:t>e</w:t>
      </w:r>
      <w:r w:rsidR="00F0434D">
        <w:rPr>
          <w:lang w:val="fr-CH"/>
        </w:rPr>
        <w:t> session de la plénière de l’IPBES</w:t>
      </w:r>
      <w:r w:rsidR="008A7942">
        <w:rPr>
          <w:lang w:val="fr-CH"/>
        </w:rPr>
        <w:t xml:space="preserve"> (IPBES9) en juillet 2022, notamment dans le cadre d’une déclaration conjointe des AME, avec la Convention sur la diversité biologique (CDB), la Convention sur les espèces migratrices</w:t>
      </w:r>
      <w:r w:rsidR="000E38CE">
        <w:rPr>
          <w:lang w:val="fr-CH"/>
        </w:rPr>
        <w:t xml:space="preserve"> appartenant à la faune sauvage</w:t>
      </w:r>
      <w:r w:rsidR="008A7942">
        <w:rPr>
          <w:lang w:val="fr-CH"/>
        </w:rPr>
        <w:t xml:space="preserve"> (CMS), la Convention sur le commerce international des espèces de faune et de flore sauvages menacées d’extinction (CITES), </w:t>
      </w:r>
      <w:r w:rsidR="00E20AD2" w:rsidRPr="000E38CE">
        <w:rPr>
          <w:rStyle w:val="ui-provider"/>
          <w:lang w:val="fr-CH"/>
        </w:rPr>
        <w:t>le Traité international sur les ressources phytogénétiques</w:t>
      </w:r>
      <w:r w:rsidRPr="000E38CE">
        <w:rPr>
          <w:rStyle w:val="ui-provider"/>
          <w:lang w:val="fr-CH"/>
        </w:rPr>
        <w:t xml:space="preserve"> </w:t>
      </w:r>
      <w:r w:rsidR="00CF4941" w:rsidRPr="000E38CE">
        <w:rPr>
          <w:rStyle w:val="ui-provider"/>
          <w:lang w:val="fr-CH"/>
        </w:rPr>
        <w:t>pour l’alimentation et l’agriculture et la Commission baleinière internationale (CBI)</w:t>
      </w:r>
      <w:r w:rsidRPr="0038308C">
        <w:rPr>
          <w:rStyle w:val="ui-provider"/>
          <w:lang w:val="fr-CH"/>
        </w:rPr>
        <w:t xml:space="preserve">. </w:t>
      </w:r>
      <w:r w:rsidR="00E8254C">
        <w:rPr>
          <w:rStyle w:val="ui-provider"/>
          <w:lang w:val="fr-CH"/>
        </w:rPr>
        <w:t xml:space="preserve">La déclaration soulignait que les évaluations discutées durant l’IPBES9 – l’évaluation méthodologique des valeurs multiples de la nature et de ses avantages, et l’évaluation </w:t>
      </w:r>
      <w:r w:rsidR="00100337">
        <w:rPr>
          <w:rStyle w:val="ui-provider"/>
          <w:lang w:val="fr-CH"/>
        </w:rPr>
        <w:t>de</w:t>
      </w:r>
      <w:r w:rsidR="00E8254C">
        <w:rPr>
          <w:rStyle w:val="ui-provider"/>
          <w:lang w:val="fr-CH"/>
        </w:rPr>
        <w:t xml:space="preserve"> l’utilisation durable des espèces sauvages – ont une pertinence pour les travaux de chacune des Conventions</w:t>
      </w:r>
      <w:r w:rsidR="000E38CE">
        <w:rPr>
          <w:rStyle w:val="ui-provider"/>
          <w:lang w:val="fr-CH"/>
        </w:rPr>
        <w:t>,</w:t>
      </w:r>
      <w:r w:rsidR="00E8254C">
        <w:rPr>
          <w:rStyle w:val="ui-provider"/>
          <w:lang w:val="fr-CH"/>
        </w:rPr>
        <w:t xml:space="preserve"> renforceront </w:t>
      </w:r>
      <w:r w:rsidR="000E38CE">
        <w:rPr>
          <w:rStyle w:val="ui-provider"/>
          <w:lang w:val="fr-CH"/>
        </w:rPr>
        <w:t>l’assise</w:t>
      </w:r>
      <w:r w:rsidR="00E8254C">
        <w:rPr>
          <w:rStyle w:val="ui-provider"/>
          <w:lang w:val="fr-CH"/>
        </w:rPr>
        <w:t xml:space="preserve"> scientifique de la prise de décisions par les </w:t>
      </w:r>
      <w:r w:rsidR="00E8254C">
        <w:rPr>
          <w:rStyle w:val="ui-provider"/>
          <w:lang w:val="fr-CH"/>
        </w:rPr>
        <w:lastRenderedPageBreak/>
        <w:t xml:space="preserve">Parties contractantes, et </w:t>
      </w:r>
      <w:r w:rsidR="000E38CE">
        <w:rPr>
          <w:rStyle w:val="ui-provider"/>
          <w:lang w:val="fr-CH"/>
        </w:rPr>
        <w:t>contribueront à</w:t>
      </w:r>
      <w:r w:rsidR="00E8254C">
        <w:rPr>
          <w:rStyle w:val="ui-provider"/>
          <w:lang w:val="fr-CH"/>
        </w:rPr>
        <w:t xml:space="preserve"> l’élaboration et </w:t>
      </w:r>
      <w:r w:rsidR="000E38CE">
        <w:rPr>
          <w:rStyle w:val="ui-provider"/>
          <w:lang w:val="fr-CH"/>
        </w:rPr>
        <w:t xml:space="preserve">à </w:t>
      </w:r>
      <w:r w:rsidR="00E8254C">
        <w:rPr>
          <w:rStyle w:val="ui-provider"/>
          <w:lang w:val="fr-CH"/>
        </w:rPr>
        <w:t xml:space="preserve">la mise en œuvre </w:t>
      </w:r>
      <w:r w:rsidR="00CF4941" w:rsidRPr="00C140E5">
        <w:rPr>
          <w:rStyle w:val="ui-provider"/>
          <w:lang w:val="fr-CH"/>
        </w:rPr>
        <w:t>du</w:t>
      </w:r>
      <w:r w:rsidRPr="00C140E5">
        <w:rPr>
          <w:rStyle w:val="ui-provider"/>
          <w:lang w:val="fr-CH"/>
        </w:rPr>
        <w:t xml:space="preserve"> </w:t>
      </w:r>
      <w:r w:rsidR="00C36437" w:rsidRPr="00C140E5">
        <w:rPr>
          <w:rStyle w:val="ui-provider"/>
          <w:lang w:val="fr-CH"/>
        </w:rPr>
        <w:t xml:space="preserve">Cadre mondial de la biodiversité pour l’après-2020 (CMB) (adopté depuis sous le nom de </w:t>
      </w:r>
      <w:r w:rsidR="00CF4941" w:rsidRPr="00C140E5">
        <w:rPr>
          <w:rStyle w:val="ui-provider"/>
          <w:lang w:val="fr-CH"/>
        </w:rPr>
        <w:t>Cadre mondial de la biodiversité de Kunming à Montréal</w:t>
      </w:r>
      <w:r w:rsidR="00C36437" w:rsidRPr="00C140E5">
        <w:rPr>
          <w:rStyle w:val="ui-provider"/>
          <w:lang w:val="fr-CH"/>
        </w:rPr>
        <w:t>)</w:t>
      </w:r>
      <w:r w:rsidR="009D2419" w:rsidRPr="00C140E5">
        <w:rPr>
          <w:rStyle w:val="ui-provider"/>
          <w:lang w:val="fr-CH"/>
        </w:rPr>
        <w:t>.</w:t>
      </w:r>
    </w:p>
    <w:p w14:paraId="385C8AE5" w14:textId="77777777" w:rsidR="00017673" w:rsidRPr="0038308C" w:rsidRDefault="00017673" w:rsidP="00017673">
      <w:pPr>
        <w:spacing w:after="0" w:line="240" w:lineRule="auto"/>
        <w:ind w:left="426" w:hanging="426"/>
        <w:rPr>
          <w:rStyle w:val="ui-provider"/>
          <w:lang w:val="fr-CH"/>
        </w:rPr>
      </w:pPr>
    </w:p>
    <w:p w14:paraId="51495845" w14:textId="31E68416" w:rsidR="00017673" w:rsidRPr="0038308C" w:rsidRDefault="00017673" w:rsidP="00017673">
      <w:pPr>
        <w:spacing w:after="0" w:line="240" w:lineRule="auto"/>
        <w:ind w:left="426" w:hanging="426"/>
        <w:rPr>
          <w:rFonts w:eastAsia="Times New Roman"/>
          <w:b/>
          <w:bCs/>
          <w:lang w:val="fr-CH" w:eastAsia="en-GB"/>
        </w:rPr>
      </w:pPr>
      <w:r w:rsidRPr="0038308C">
        <w:rPr>
          <w:rStyle w:val="ui-provider"/>
          <w:lang w:val="fr-CH"/>
        </w:rPr>
        <w:t>4.</w:t>
      </w:r>
      <w:r w:rsidRPr="0038308C">
        <w:rPr>
          <w:rStyle w:val="ui-provider"/>
          <w:lang w:val="fr-CH"/>
        </w:rPr>
        <w:tab/>
      </w:r>
      <w:r w:rsidR="00CA6205">
        <w:rPr>
          <w:rStyle w:val="ui-provider"/>
          <w:lang w:val="fr-CH"/>
        </w:rPr>
        <w:t>En mars 2023, l</w:t>
      </w:r>
      <w:r w:rsidR="00E8254C">
        <w:rPr>
          <w:rStyle w:val="ui-provider"/>
          <w:lang w:val="fr-CH"/>
        </w:rPr>
        <w:t xml:space="preserve">e Président du Groupe d’évaluation scientifique et technique </w:t>
      </w:r>
      <w:r w:rsidR="00CA6205">
        <w:rPr>
          <w:rStyle w:val="ui-provider"/>
          <w:lang w:val="fr-CH"/>
        </w:rPr>
        <w:t xml:space="preserve">(GEST) </w:t>
      </w:r>
      <w:r w:rsidR="00E8254C">
        <w:rPr>
          <w:rStyle w:val="ui-provider"/>
          <w:lang w:val="fr-CH"/>
        </w:rPr>
        <w:t xml:space="preserve">de la Convention a participé à la réunion </w:t>
      </w:r>
      <w:r w:rsidR="00CA6205">
        <w:rPr>
          <w:rStyle w:val="ui-provider"/>
          <w:lang w:val="fr-CH"/>
        </w:rPr>
        <w:t>virtuelle</w:t>
      </w:r>
      <w:r w:rsidR="00E8254C" w:rsidRPr="00CA6205">
        <w:rPr>
          <w:rStyle w:val="ui-provider"/>
          <w:lang w:val="fr-CH"/>
        </w:rPr>
        <w:t xml:space="preserve"> </w:t>
      </w:r>
      <w:r w:rsidR="00CF4941" w:rsidRPr="00CA6205">
        <w:rPr>
          <w:rStyle w:val="ui-provider"/>
          <w:lang w:val="fr-CH"/>
        </w:rPr>
        <w:t>du</w:t>
      </w:r>
      <w:r w:rsidRPr="00CA6205">
        <w:rPr>
          <w:rStyle w:val="ui-provider"/>
          <w:lang w:val="fr-CH"/>
        </w:rPr>
        <w:t xml:space="preserve"> Bureau </w:t>
      </w:r>
      <w:r w:rsidR="00CF4941" w:rsidRPr="00CA6205">
        <w:rPr>
          <w:rStyle w:val="ui-provider"/>
          <w:lang w:val="fr-CH"/>
        </w:rPr>
        <w:t>et du</w:t>
      </w:r>
      <w:r w:rsidRPr="00CA6205">
        <w:rPr>
          <w:rStyle w:val="ui-provider"/>
          <w:lang w:val="fr-CH"/>
        </w:rPr>
        <w:t xml:space="preserve"> </w:t>
      </w:r>
      <w:r w:rsidR="00CF4941" w:rsidRPr="00CA6205">
        <w:rPr>
          <w:rStyle w:val="ui-provider"/>
          <w:lang w:val="fr-CH"/>
        </w:rPr>
        <w:t>Groupe d’experts multidisciplinaire de l’IPBES</w:t>
      </w:r>
      <w:r w:rsidR="00CA6205">
        <w:rPr>
          <w:rStyle w:val="ui-provider"/>
          <w:lang w:val="fr-CH"/>
        </w:rPr>
        <w:t xml:space="preserve"> à laquelle il</w:t>
      </w:r>
      <w:r w:rsidR="00E8254C">
        <w:rPr>
          <w:rStyle w:val="ui-provider"/>
          <w:lang w:val="fr-CH"/>
        </w:rPr>
        <w:t xml:space="preserve"> a présenté les tâches hautement prioritaires du GEST </w:t>
      </w:r>
      <w:r w:rsidRPr="0038308C">
        <w:rPr>
          <w:rStyle w:val="ui-provider"/>
          <w:lang w:val="fr-CH"/>
        </w:rPr>
        <w:t xml:space="preserve">(5.1, 3.1, 1.1a, 1.1c </w:t>
      </w:r>
      <w:r w:rsidR="00E8254C">
        <w:rPr>
          <w:rStyle w:val="ui-provider"/>
          <w:lang w:val="fr-CH"/>
        </w:rPr>
        <w:t>et </w:t>
      </w:r>
      <w:r w:rsidRPr="0038308C">
        <w:rPr>
          <w:rStyle w:val="ui-provider"/>
          <w:lang w:val="fr-CH"/>
        </w:rPr>
        <w:t xml:space="preserve">1.2) </w:t>
      </w:r>
      <w:r w:rsidR="00E8254C">
        <w:rPr>
          <w:rStyle w:val="ui-provider"/>
          <w:lang w:val="fr-CH"/>
        </w:rPr>
        <w:t>harmonisée</w:t>
      </w:r>
      <w:r w:rsidR="00F36300">
        <w:rPr>
          <w:rStyle w:val="ui-provider"/>
          <w:lang w:val="fr-CH"/>
        </w:rPr>
        <w:t>s</w:t>
      </w:r>
      <w:r w:rsidR="00E8254C">
        <w:rPr>
          <w:rStyle w:val="ui-provider"/>
          <w:lang w:val="fr-CH"/>
        </w:rPr>
        <w:t xml:space="preserve"> avec le programme de travail de l’IPBES.</w:t>
      </w:r>
    </w:p>
    <w:p w14:paraId="05CC2A2F" w14:textId="77777777" w:rsidR="00017673" w:rsidRPr="0038308C" w:rsidRDefault="00017673" w:rsidP="009D2419">
      <w:pPr>
        <w:spacing w:after="0" w:line="240" w:lineRule="auto"/>
        <w:rPr>
          <w:rFonts w:eastAsia="Times New Roman"/>
          <w:b/>
          <w:bCs/>
          <w:lang w:val="fr-CH" w:eastAsia="en-GB"/>
        </w:rPr>
      </w:pPr>
    </w:p>
    <w:p w14:paraId="047AFBC2" w14:textId="22A0BBC6" w:rsidR="00017673" w:rsidRPr="0038308C" w:rsidRDefault="00E90D33" w:rsidP="009D2419">
      <w:pPr>
        <w:keepNext/>
        <w:spacing w:after="0" w:line="240" w:lineRule="auto"/>
        <w:rPr>
          <w:rFonts w:eastAsia="Times New Roman"/>
          <w:b/>
          <w:bCs/>
          <w:lang w:val="fr-CH" w:eastAsia="en-GB"/>
        </w:rPr>
      </w:pPr>
      <w:r w:rsidRPr="0038308C">
        <w:rPr>
          <w:rFonts w:eastAsia="Times New Roman"/>
          <w:b/>
          <w:bCs/>
          <w:lang w:val="fr-CH" w:eastAsia="en-GB"/>
        </w:rPr>
        <w:t>Groupe d’experts intergouvernemental sur l’évolution du climat</w:t>
      </w:r>
    </w:p>
    <w:p w14:paraId="7D18FB2B" w14:textId="77777777" w:rsidR="00017673" w:rsidRPr="0038308C" w:rsidRDefault="00017673" w:rsidP="009D2419">
      <w:pPr>
        <w:keepNext/>
        <w:spacing w:after="0" w:line="240" w:lineRule="auto"/>
        <w:rPr>
          <w:rFonts w:cstheme="minorHAnsi"/>
          <w:lang w:val="fr-CH"/>
        </w:rPr>
      </w:pPr>
    </w:p>
    <w:p w14:paraId="42689B94" w14:textId="5A3E6F41" w:rsidR="00017673" w:rsidRPr="0038308C" w:rsidRDefault="00017673" w:rsidP="00CF4941">
      <w:pPr>
        <w:spacing w:after="0" w:line="240" w:lineRule="auto"/>
        <w:ind w:left="425" w:hanging="425"/>
        <w:rPr>
          <w:rFonts w:cstheme="minorHAnsi"/>
          <w:lang w:val="fr-CH"/>
        </w:rPr>
      </w:pPr>
      <w:r w:rsidRPr="0038308C">
        <w:rPr>
          <w:rFonts w:cstheme="minorHAnsi"/>
          <w:lang w:val="fr-CH"/>
        </w:rPr>
        <w:t>5.</w:t>
      </w:r>
      <w:r w:rsidRPr="0038308C">
        <w:rPr>
          <w:rFonts w:cstheme="minorHAnsi"/>
          <w:lang w:val="fr-CH"/>
        </w:rPr>
        <w:tab/>
      </w:r>
      <w:r w:rsidR="00F36300">
        <w:rPr>
          <w:rFonts w:cstheme="minorHAnsi"/>
          <w:lang w:val="fr-CH"/>
        </w:rPr>
        <w:t>Le Secrétariat a assisté à la 58</w:t>
      </w:r>
      <w:r w:rsidR="00F36300" w:rsidRPr="00F36300">
        <w:rPr>
          <w:rFonts w:cstheme="minorHAnsi"/>
          <w:vertAlign w:val="superscript"/>
          <w:lang w:val="fr-CH"/>
        </w:rPr>
        <w:t>e</w:t>
      </w:r>
      <w:r w:rsidR="00F36300">
        <w:rPr>
          <w:rFonts w:cstheme="minorHAnsi"/>
          <w:lang w:val="fr-CH"/>
        </w:rPr>
        <w:t xml:space="preserve"> session </w:t>
      </w:r>
      <w:r w:rsidR="00E90D33" w:rsidRPr="0038308C">
        <w:rPr>
          <w:rFonts w:cstheme="minorHAnsi"/>
          <w:lang w:val="fr-CH"/>
        </w:rPr>
        <w:t>du</w:t>
      </w:r>
      <w:r w:rsidRPr="0038308C">
        <w:rPr>
          <w:rFonts w:cstheme="minorHAnsi"/>
          <w:lang w:val="fr-CH"/>
        </w:rPr>
        <w:t xml:space="preserve"> </w:t>
      </w:r>
      <w:r w:rsidR="00E90D33" w:rsidRPr="0038308C">
        <w:rPr>
          <w:rFonts w:cstheme="minorHAnsi"/>
          <w:lang w:val="fr-CH"/>
        </w:rPr>
        <w:t xml:space="preserve">Groupe d’experts intergouvernemental sur l’évolution du climat </w:t>
      </w:r>
      <w:r w:rsidRPr="0038308C">
        <w:rPr>
          <w:rFonts w:cstheme="minorHAnsi"/>
          <w:lang w:val="fr-CH"/>
        </w:rPr>
        <w:t>(</w:t>
      </w:r>
      <w:r w:rsidR="00CA6205">
        <w:rPr>
          <w:rFonts w:cstheme="minorHAnsi"/>
          <w:lang w:val="fr-CH"/>
        </w:rPr>
        <w:t>GIEC</w:t>
      </w:r>
      <w:r w:rsidRPr="0038308C">
        <w:rPr>
          <w:rFonts w:cstheme="minorHAnsi"/>
          <w:lang w:val="fr-CH"/>
        </w:rPr>
        <w:t xml:space="preserve">-58) </w:t>
      </w:r>
      <w:r w:rsidR="00F36300">
        <w:rPr>
          <w:rFonts w:cstheme="minorHAnsi"/>
          <w:lang w:val="fr-CH"/>
        </w:rPr>
        <w:t xml:space="preserve">en mars 2023 à </w:t>
      </w:r>
      <w:r w:rsidRPr="0038308C">
        <w:rPr>
          <w:rFonts w:cstheme="minorHAnsi"/>
          <w:lang w:val="fr-CH"/>
        </w:rPr>
        <w:t>Interlaken</w:t>
      </w:r>
      <w:r w:rsidR="00773239" w:rsidRPr="0038308C">
        <w:rPr>
          <w:rFonts w:cstheme="minorHAnsi"/>
          <w:lang w:val="fr-CH"/>
        </w:rPr>
        <w:t xml:space="preserve">, </w:t>
      </w:r>
      <w:r w:rsidR="00F36300">
        <w:rPr>
          <w:rFonts w:cstheme="minorHAnsi"/>
          <w:lang w:val="fr-CH"/>
        </w:rPr>
        <w:t xml:space="preserve">en </w:t>
      </w:r>
      <w:r w:rsidR="00773239" w:rsidRPr="0038308C">
        <w:rPr>
          <w:rFonts w:cstheme="minorHAnsi"/>
          <w:lang w:val="fr-CH"/>
        </w:rPr>
        <w:t>S</w:t>
      </w:r>
      <w:r w:rsidR="00F36300">
        <w:rPr>
          <w:rFonts w:cstheme="minorHAnsi"/>
          <w:lang w:val="fr-CH"/>
        </w:rPr>
        <w:t>uisse</w:t>
      </w:r>
      <w:r w:rsidRPr="0038308C">
        <w:rPr>
          <w:rFonts w:cstheme="minorHAnsi"/>
          <w:lang w:val="fr-CH"/>
        </w:rPr>
        <w:t xml:space="preserve">. </w:t>
      </w:r>
      <w:r w:rsidR="00F36300">
        <w:rPr>
          <w:rFonts w:cstheme="minorHAnsi"/>
          <w:lang w:val="fr-CH"/>
        </w:rPr>
        <w:t>Le Secrétariat a partagé</w:t>
      </w:r>
      <w:r w:rsidR="00766946">
        <w:rPr>
          <w:rFonts w:cstheme="minorHAnsi"/>
          <w:lang w:val="fr-CH"/>
        </w:rPr>
        <w:t>,</w:t>
      </w:r>
      <w:r w:rsidR="00F36300">
        <w:rPr>
          <w:rFonts w:cstheme="minorHAnsi"/>
          <w:lang w:val="fr-CH"/>
        </w:rPr>
        <w:t xml:space="preserve"> avec le Secrétariat du GIEC et avec les co</w:t>
      </w:r>
      <w:r w:rsidR="00F36300">
        <w:rPr>
          <w:rFonts w:cstheme="minorHAnsi"/>
          <w:lang w:val="fr-CH"/>
        </w:rPr>
        <w:noBreakHyphen/>
        <w:t xml:space="preserve">présidents des Groupes de travail du GIEC </w:t>
      </w:r>
      <w:r w:rsidR="00CA6205">
        <w:rPr>
          <w:rFonts w:cstheme="minorHAnsi"/>
          <w:lang w:val="fr-CH"/>
        </w:rPr>
        <w:t>ainsi qu’avec</w:t>
      </w:r>
      <w:r w:rsidR="00F36300">
        <w:rPr>
          <w:rFonts w:cstheme="minorHAnsi"/>
          <w:lang w:val="fr-CH"/>
        </w:rPr>
        <w:t xml:space="preserve"> </w:t>
      </w:r>
      <w:r w:rsidR="00E90D33" w:rsidRPr="00766946">
        <w:rPr>
          <w:rFonts w:cstheme="minorHAnsi"/>
          <w:lang w:val="fr-CH"/>
        </w:rPr>
        <w:t>l’</w:t>
      </w:r>
      <w:r w:rsidR="00CA6205" w:rsidRPr="00766946">
        <w:rPr>
          <w:rFonts w:cstheme="minorHAnsi"/>
          <w:lang w:val="fr-CH"/>
        </w:rPr>
        <w:t>É</w:t>
      </w:r>
      <w:r w:rsidR="00E90D33" w:rsidRPr="00766946">
        <w:rPr>
          <w:rFonts w:cstheme="minorHAnsi"/>
          <w:lang w:val="fr-CH"/>
        </w:rPr>
        <w:t>quipe spéciale pour les inventaires nationaux de gaz à effet de serre</w:t>
      </w:r>
      <w:r w:rsidR="00F36300" w:rsidRPr="00766946">
        <w:rPr>
          <w:rFonts w:cstheme="minorHAnsi"/>
          <w:lang w:val="fr-CH"/>
        </w:rPr>
        <w:t xml:space="preserve">, </w:t>
      </w:r>
      <w:r w:rsidR="00766946" w:rsidRPr="00766946">
        <w:rPr>
          <w:rFonts w:cstheme="minorHAnsi"/>
          <w:lang w:val="fr-CH"/>
        </w:rPr>
        <w:t xml:space="preserve">des informations </w:t>
      </w:r>
      <w:r w:rsidR="00F36300" w:rsidRPr="00766946">
        <w:rPr>
          <w:rFonts w:cstheme="minorHAnsi"/>
          <w:lang w:val="fr-CH"/>
        </w:rPr>
        <w:t xml:space="preserve">sur les </w:t>
      </w:r>
      <w:r w:rsidR="00696938" w:rsidRPr="00766946">
        <w:rPr>
          <w:rFonts w:cstheme="minorHAnsi"/>
          <w:lang w:val="fr-CH"/>
        </w:rPr>
        <w:t>priorités scientifiques et techniques identifiées dans la Résolution </w:t>
      </w:r>
      <w:r w:rsidRPr="00766946">
        <w:rPr>
          <w:rFonts w:cstheme="minorHAnsi"/>
          <w:lang w:val="fr-CH"/>
        </w:rPr>
        <w:t>XIV.14</w:t>
      </w:r>
      <w:r w:rsidR="00CF4941" w:rsidRPr="00766946">
        <w:rPr>
          <w:rFonts w:cstheme="minorHAnsi"/>
          <w:lang w:val="fr-CH"/>
        </w:rPr>
        <w:t>,</w:t>
      </w:r>
      <w:r w:rsidRPr="00766946">
        <w:rPr>
          <w:rFonts w:cstheme="minorHAnsi"/>
          <w:lang w:val="fr-CH"/>
        </w:rPr>
        <w:t xml:space="preserve"> </w:t>
      </w:r>
      <w:r w:rsidR="00CF4941" w:rsidRPr="00766946">
        <w:rPr>
          <w:rFonts w:cstheme="minorHAnsi"/>
          <w:i/>
          <w:lang w:val="fr-CH"/>
        </w:rPr>
        <w:t>Application future des aspects scientifiques et techniques de la Convention pour 2023-2025</w:t>
      </w:r>
      <w:r w:rsidR="00CF4941" w:rsidRPr="0038308C">
        <w:rPr>
          <w:rFonts w:cstheme="minorHAnsi"/>
          <w:i/>
          <w:lang w:val="fr-CH"/>
        </w:rPr>
        <w:t xml:space="preserve"> </w:t>
      </w:r>
      <w:r w:rsidR="00696938">
        <w:rPr>
          <w:rFonts w:cstheme="minorHAnsi"/>
          <w:lang w:val="fr-CH"/>
        </w:rPr>
        <w:t xml:space="preserve">et les travaux du GEST dans la période triennale </w:t>
      </w:r>
      <w:r w:rsidRPr="0038308C">
        <w:rPr>
          <w:rFonts w:cstheme="minorHAnsi"/>
          <w:lang w:val="fr-CH"/>
        </w:rPr>
        <w:t>2023-2025.</w:t>
      </w:r>
    </w:p>
    <w:p w14:paraId="42255974" w14:textId="77777777" w:rsidR="00017673" w:rsidRPr="0038308C" w:rsidRDefault="00017673" w:rsidP="00017673">
      <w:pPr>
        <w:spacing w:after="0" w:line="240" w:lineRule="auto"/>
        <w:ind w:left="425" w:hanging="425"/>
        <w:rPr>
          <w:rFonts w:cstheme="minorHAnsi"/>
          <w:lang w:val="fr-CH"/>
        </w:rPr>
      </w:pPr>
    </w:p>
    <w:p w14:paraId="2DE58511" w14:textId="59975023" w:rsidR="00017673" w:rsidRPr="0038308C" w:rsidRDefault="00335C9F" w:rsidP="00017673">
      <w:pPr>
        <w:keepNext/>
        <w:spacing w:after="0" w:line="240" w:lineRule="auto"/>
        <w:ind w:left="357" w:hanging="357"/>
        <w:rPr>
          <w:rFonts w:eastAsia="Times New Roman"/>
          <w:b/>
          <w:bCs/>
          <w:lang w:val="fr-CH" w:eastAsia="en-GB"/>
        </w:rPr>
      </w:pPr>
      <w:r w:rsidRPr="0038308C">
        <w:rPr>
          <w:rFonts w:eastAsia="Times New Roman"/>
          <w:b/>
          <w:bCs/>
          <w:lang w:val="fr-CH" w:eastAsia="en-GB"/>
        </w:rPr>
        <w:t>Coopération</w:t>
      </w:r>
      <w:r w:rsidR="00017673" w:rsidRPr="0038308C">
        <w:rPr>
          <w:rFonts w:eastAsia="Times New Roman"/>
          <w:b/>
          <w:bCs/>
          <w:lang w:val="fr-CH" w:eastAsia="en-GB"/>
        </w:rPr>
        <w:t xml:space="preserve"> </w:t>
      </w:r>
      <w:r w:rsidR="001F1B15">
        <w:rPr>
          <w:rFonts w:eastAsia="Times New Roman"/>
          <w:b/>
          <w:bCs/>
          <w:lang w:val="fr-CH" w:eastAsia="en-GB"/>
        </w:rPr>
        <w:t>avec d’autres accords multilatéraux sur l’environnement</w:t>
      </w:r>
    </w:p>
    <w:p w14:paraId="592EB36B" w14:textId="77777777" w:rsidR="00017673" w:rsidRPr="0038308C" w:rsidRDefault="00017673" w:rsidP="002E77BF">
      <w:pPr>
        <w:keepNext/>
        <w:spacing w:after="0" w:line="240" w:lineRule="auto"/>
        <w:ind w:left="357" w:hanging="357"/>
        <w:rPr>
          <w:b/>
          <w:lang w:val="fr-CH"/>
        </w:rPr>
      </w:pPr>
    </w:p>
    <w:p w14:paraId="6FA5EC54" w14:textId="6EB09CAD" w:rsidR="00017673" w:rsidRPr="0038308C" w:rsidRDefault="00017673" w:rsidP="00017673">
      <w:pPr>
        <w:suppressAutoHyphens/>
        <w:spacing w:after="0" w:line="240" w:lineRule="auto"/>
        <w:ind w:left="425" w:hanging="425"/>
        <w:rPr>
          <w:rFonts w:eastAsia="Times New Roman" w:cstheme="minorHAnsi"/>
          <w:bCs/>
          <w:lang w:val="fr-CH" w:eastAsia="en-GB"/>
        </w:rPr>
      </w:pPr>
      <w:r w:rsidRPr="0038308C">
        <w:rPr>
          <w:rFonts w:eastAsia="Times New Roman" w:cstheme="minorHAnsi"/>
          <w:lang w:val="fr-CH" w:eastAsia="en-GB"/>
        </w:rPr>
        <w:t>6.</w:t>
      </w:r>
      <w:r w:rsidRPr="0038308C">
        <w:rPr>
          <w:rFonts w:eastAsia="Times New Roman" w:cstheme="minorHAnsi"/>
          <w:lang w:val="fr-CH" w:eastAsia="en-GB"/>
        </w:rPr>
        <w:tab/>
      </w:r>
      <w:r w:rsidR="001F1B15">
        <w:rPr>
          <w:rFonts w:eastAsia="Times New Roman" w:cstheme="minorHAnsi"/>
          <w:lang w:val="fr-CH" w:eastAsia="en-GB"/>
        </w:rPr>
        <w:t xml:space="preserve">Le Secrétariat poursuit </w:t>
      </w:r>
      <w:r w:rsidR="003B1722">
        <w:rPr>
          <w:rFonts w:eastAsia="Times New Roman" w:cstheme="minorHAnsi"/>
          <w:lang w:val="fr-CH" w:eastAsia="en-GB"/>
        </w:rPr>
        <w:t xml:space="preserve">activement </w:t>
      </w:r>
      <w:r w:rsidR="001F1B15">
        <w:rPr>
          <w:rFonts w:eastAsia="Times New Roman" w:cstheme="minorHAnsi"/>
          <w:lang w:val="fr-CH" w:eastAsia="en-GB"/>
        </w:rPr>
        <w:t>sa collaboration avec d’autres AME, concentrant ses efforts</w:t>
      </w:r>
      <w:r w:rsidR="003B1722">
        <w:rPr>
          <w:rFonts w:eastAsia="Times New Roman" w:cstheme="minorHAnsi"/>
          <w:lang w:val="fr-CH" w:eastAsia="en-GB"/>
        </w:rPr>
        <w:t>,</w:t>
      </w:r>
      <w:r w:rsidR="001F1B15">
        <w:rPr>
          <w:rFonts w:eastAsia="Times New Roman" w:cstheme="minorHAnsi"/>
          <w:lang w:val="fr-CH" w:eastAsia="en-GB"/>
        </w:rPr>
        <w:t xml:space="preserve"> conformément au paragraphe 36 de la Résolution </w:t>
      </w:r>
      <w:r w:rsidRPr="0038308C">
        <w:rPr>
          <w:rFonts w:eastAsia="Times New Roman" w:cstheme="minorHAnsi"/>
          <w:lang w:val="fr-CH" w:eastAsia="en-GB"/>
        </w:rPr>
        <w:t>XIV.6</w:t>
      </w:r>
      <w:r w:rsidR="003B1722">
        <w:rPr>
          <w:rFonts w:eastAsia="Times New Roman" w:cstheme="minorHAnsi"/>
          <w:lang w:val="fr-CH" w:eastAsia="en-GB"/>
        </w:rPr>
        <w:t>,</w:t>
      </w:r>
      <w:r w:rsidRPr="0038308C">
        <w:rPr>
          <w:rFonts w:eastAsia="Times New Roman" w:cstheme="minorHAnsi"/>
          <w:lang w:val="fr-CH" w:eastAsia="en-GB"/>
        </w:rPr>
        <w:t xml:space="preserve"> </w:t>
      </w:r>
      <w:r w:rsidR="001F1B15">
        <w:rPr>
          <w:rFonts w:eastAsia="Times New Roman" w:cstheme="minorHAnsi"/>
          <w:lang w:val="fr-CH" w:eastAsia="en-GB"/>
        </w:rPr>
        <w:t>sur la coopération et les synergies avec les Conventions relatives à la biodiversité. Les domaines de coopération les plus spécifiques continuent d’être mis en œuvre avec ces AME dans le cadre du mémorandum en vigueur, en particulier avec la CDB, la CMS</w:t>
      </w:r>
      <w:r w:rsidR="003B1722">
        <w:rPr>
          <w:rFonts w:eastAsia="Times New Roman" w:cstheme="minorHAnsi"/>
          <w:lang w:val="fr-CH" w:eastAsia="en-GB"/>
        </w:rPr>
        <w:t>,</w:t>
      </w:r>
      <w:r w:rsidR="001F1B15">
        <w:rPr>
          <w:rFonts w:eastAsia="Times New Roman" w:cstheme="minorHAnsi"/>
          <w:lang w:val="fr-CH" w:eastAsia="en-GB"/>
        </w:rPr>
        <w:t xml:space="preserve"> la Convention concernant la protection du patrimoine mondial</w:t>
      </w:r>
      <w:r w:rsidR="003B1722">
        <w:rPr>
          <w:rFonts w:eastAsia="Times New Roman" w:cstheme="minorHAnsi"/>
          <w:lang w:val="fr-CH" w:eastAsia="en-GB"/>
        </w:rPr>
        <w:t>,</w:t>
      </w:r>
      <w:r w:rsidR="001F1B15">
        <w:rPr>
          <w:rFonts w:eastAsia="Times New Roman" w:cstheme="minorHAnsi"/>
          <w:lang w:val="fr-CH" w:eastAsia="en-GB"/>
        </w:rPr>
        <w:t xml:space="preserve"> culturel et naturel, </w:t>
      </w:r>
      <w:r w:rsidR="003B1722">
        <w:rPr>
          <w:rFonts w:eastAsia="Times New Roman" w:cstheme="minorHAnsi"/>
          <w:lang w:val="fr-CH" w:eastAsia="en-GB"/>
        </w:rPr>
        <w:t>et</w:t>
      </w:r>
      <w:r w:rsidR="001F1B15">
        <w:rPr>
          <w:rFonts w:eastAsia="Times New Roman" w:cstheme="minorHAnsi"/>
          <w:lang w:val="fr-CH" w:eastAsia="en-GB"/>
        </w:rPr>
        <w:t xml:space="preserve"> la Convention des Nations Unies sur la lutte contre la désertification (CNULD)</w:t>
      </w:r>
      <w:r w:rsidRPr="0038308C">
        <w:rPr>
          <w:rFonts w:eastAsia="Times New Roman" w:cstheme="minorHAnsi"/>
          <w:bCs/>
          <w:lang w:val="fr-CH" w:eastAsia="en-GB"/>
        </w:rPr>
        <w:t>.</w:t>
      </w:r>
    </w:p>
    <w:p w14:paraId="1BE6B30F" w14:textId="77777777" w:rsidR="009C2848" w:rsidRPr="0038308C" w:rsidRDefault="009C2848" w:rsidP="000A264B">
      <w:pPr>
        <w:suppressAutoHyphens/>
        <w:spacing w:after="0" w:line="240" w:lineRule="auto"/>
        <w:ind w:left="425" w:hanging="425"/>
        <w:rPr>
          <w:rFonts w:eastAsia="Times New Roman" w:cstheme="minorHAnsi"/>
          <w:lang w:val="fr-CH" w:eastAsia="en-GB"/>
        </w:rPr>
      </w:pPr>
    </w:p>
    <w:p w14:paraId="7C6FFEDE" w14:textId="638B3CA5" w:rsidR="009C2848" w:rsidRPr="0038308C" w:rsidRDefault="002150A2" w:rsidP="000A264B">
      <w:pPr>
        <w:keepNext/>
        <w:spacing w:after="0" w:line="240" w:lineRule="auto"/>
        <w:ind w:left="357" w:hanging="357"/>
        <w:rPr>
          <w:i/>
          <w:lang w:val="fr-CH"/>
        </w:rPr>
      </w:pPr>
      <w:r>
        <w:rPr>
          <w:i/>
          <w:lang w:val="fr-CH"/>
        </w:rPr>
        <w:t xml:space="preserve">Les travaux dans le cadre du Groupe de liaison </w:t>
      </w:r>
      <w:r w:rsidR="007F618D">
        <w:rPr>
          <w:i/>
          <w:lang w:val="fr-CH"/>
        </w:rPr>
        <w:t>des Conventions relatives à</w:t>
      </w:r>
      <w:r>
        <w:rPr>
          <w:i/>
          <w:lang w:val="fr-CH"/>
        </w:rPr>
        <w:t xml:space="preserve"> la biodiversité</w:t>
      </w:r>
    </w:p>
    <w:p w14:paraId="6F91823B" w14:textId="7490BBDC" w:rsidR="009C2848" w:rsidRPr="0038308C" w:rsidRDefault="009C2848" w:rsidP="000A264B">
      <w:pPr>
        <w:keepNext/>
        <w:spacing w:after="0" w:line="240" w:lineRule="auto"/>
        <w:ind w:left="357" w:hanging="357"/>
        <w:rPr>
          <w:rFonts w:eastAsia="Times New Roman" w:cstheme="minorHAnsi"/>
          <w:lang w:val="fr-CH" w:eastAsia="en-GB"/>
        </w:rPr>
      </w:pPr>
    </w:p>
    <w:p w14:paraId="35750BA1" w14:textId="19ABA9CB" w:rsidR="00B50680" w:rsidRPr="0038308C" w:rsidRDefault="00017673" w:rsidP="00F76544">
      <w:pPr>
        <w:suppressAutoHyphens/>
        <w:spacing w:after="0" w:line="240" w:lineRule="auto"/>
        <w:ind w:left="426" w:hanging="425"/>
        <w:rPr>
          <w:lang w:val="fr-CH"/>
        </w:rPr>
      </w:pPr>
      <w:r w:rsidRPr="0038308C">
        <w:rPr>
          <w:rFonts w:eastAsia="Times New Roman"/>
          <w:lang w:val="fr-CH" w:eastAsia="en-GB"/>
        </w:rPr>
        <w:t>7</w:t>
      </w:r>
      <w:r w:rsidR="009C2848" w:rsidRPr="0038308C">
        <w:rPr>
          <w:rFonts w:eastAsia="Times New Roman"/>
          <w:lang w:val="fr-CH" w:eastAsia="en-GB"/>
        </w:rPr>
        <w:t>.</w:t>
      </w:r>
      <w:r w:rsidR="0068263E" w:rsidRPr="0038308C">
        <w:rPr>
          <w:lang w:val="fr-CH"/>
        </w:rPr>
        <w:tab/>
      </w:r>
      <w:r w:rsidR="002150A2">
        <w:rPr>
          <w:lang w:val="fr-CH"/>
        </w:rPr>
        <w:t xml:space="preserve">Le Secrétariat </w:t>
      </w:r>
      <w:r w:rsidR="00097608">
        <w:rPr>
          <w:lang w:val="fr-CH"/>
        </w:rPr>
        <w:t>participe aux réunions et aux actions conjointes du GLB, conformément au Plan d’activités conjointes du Groupe.</w:t>
      </w:r>
    </w:p>
    <w:p w14:paraId="6BA6A594" w14:textId="77777777" w:rsidR="00B50680" w:rsidRPr="0038308C" w:rsidRDefault="00B50680" w:rsidP="00F76544">
      <w:pPr>
        <w:suppressAutoHyphens/>
        <w:spacing w:after="0" w:line="240" w:lineRule="auto"/>
        <w:ind w:left="426" w:hanging="425"/>
        <w:rPr>
          <w:lang w:val="fr-CH"/>
        </w:rPr>
      </w:pPr>
    </w:p>
    <w:p w14:paraId="047F0E1B" w14:textId="15A2922F" w:rsidR="000B0585" w:rsidRPr="0038308C" w:rsidRDefault="00017673" w:rsidP="00F76544">
      <w:pPr>
        <w:suppressAutoHyphens/>
        <w:spacing w:after="0" w:line="240" w:lineRule="auto"/>
        <w:ind w:left="426" w:hanging="425"/>
        <w:rPr>
          <w:lang w:val="fr-CH"/>
        </w:rPr>
      </w:pPr>
      <w:r w:rsidRPr="0038308C">
        <w:rPr>
          <w:rFonts w:eastAsia="Times New Roman"/>
          <w:lang w:val="fr-CH" w:eastAsia="en-GB"/>
        </w:rPr>
        <w:t>8</w:t>
      </w:r>
      <w:r w:rsidR="00590CC1" w:rsidRPr="0038308C">
        <w:rPr>
          <w:rFonts w:eastAsia="Times New Roman"/>
          <w:lang w:val="fr-CH" w:eastAsia="en-GB"/>
        </w:rPr>
        <w:t>.</w:t>
      </w:r>
      <w:r w:rsidR="00590CC1" w:rsidRPr="0038308C">
        <w:rPr>
          <w:rFonts w:eastAsia="Times New Roman"/>
          <w:lang w:val="fr-CH" w:eastAsia="en-GB"/>
        </w:rPr>
        <w:tab/>
      </w:r>
      <w:r w:rsidR="00097608">
        <w:rPr>
          <w:rFonts w:eastAsia="Times New Roman"/>
          <w:lang w:val="fr-CH" w:eastAsia="en-GB"/>
        </w:rPr>
        <w:t>En mars </w:t>
      </w:r>
      <w:r w:rsidR="00590CC1" w:rsidRPr="0038308C">
        <w:rPr>
          <w:lang w:val="fr-CH"/>
        </w:rPr>
        <w:t xml:space="preserve">2022, </w:t>
      </w:r>
      <w:r w:rsidR="00097608">
        <w:rPr>
          <w:lang w:val="fr-CH"/>
        </w:rPr>
        <w:t>lors de la reprise des séances de la Vingt</w:t>
      </w:r>
      <w:r w:rsidR="00097608">
        <w:rPr>
          <w:lang w:val="fr-CH"/>
        </w:rPr>
        <w:noBreakHyphen/>
        <w:t xml:space="preserve">quatrième </w:t>
      </w:r>
      <w:r w:rsidR="004466AB">
        <w:rPr>
          <w:lang w:val="fr-CH"/>
        </w:rPr>
        <w:t>réunion</w:t>
      </w:r>
      <w:r w:rsidR="00097608">
        <w:rPr>
          <w:lang w:val="fr-CH"/>
        </w:rPr>
        <w:t xml:space="preserve"> de l’Organe subsidiaire chargé de fournir des avis scientifiques, techniques et technologiques (</w:t>
      </w:r>
      <w:r w:rsidR="77966822" w:rsidRPr="0038308C">
        <w:rPr>
          <w:lang w:val="fr-CH"/>
        </w:rPr>
        <w:t>SB</w:t>
      </w:r>
      <w:r w:rsidR="18A83E1E" w:rsidRPr="0038308C">
        <w:rPr>
          <w:lang w:val="fr-CH"/>
        </w:rPr>
        <w:t>S</w:t>
      </w:r>
      <w:r w:rsidR="2A33F897" w:rsidRPr="0038308C">
        <w:rPr>
          <w:lang w:val="fr-CH"/>
        </w:rPr>
        <w:t>TTA</w:t>
      </w:r>
      <w:r w:rsidR="3634E25B" w:rsidRPr="0038308C">
        <w:rPr>
          <w:lang w:val="fr-CH"/>
        </w:rPr>
        <w:t>24)</w:t>
      </w:r>
      <w:r w:rsidR="00097608">
        <w:rPr>
          <w:lang w:val="fr-CH"/>
        </w:rPr>
        <w:t xml:space="preserve"> de la CDB, de la troisième </w:t>
      </w:r>
      <w:r w:rsidR="004466AB">
        <w:rPr>
          <w:lang w:val="fr-CH"/>
        </w:rPr>
        <w:t>réunion</w:t>
      </w:r>
      <w:r w:rsidR="00097608">
        <w:rPr>
          <w:lang w:val="fr-CH"/>
        </w:rPr>
        <w:t xml:space="preserve"> de l’Organe subsidiaire </w:t>
      </w:r>
      <w:r w:rsidR="004466AB">
        <w:rPr>
          <w:lang w:val="fr-CH"/>
        </w:rPr>
        <w:t>chargé de</w:t>
      </w:r>
      <w:r w:rsidR="00097608">
        <w:rPr>
          <w:lang w:val="fr-CH"/>
        </w:rPr>
        <w:t xml:space="preserve"> l’application </w:t>
      </w:r>
      <w:r w:rsidR="3A597212" w:rsidRPr="0038308C">
        <w:rPr>
          <w:lang w:val="fr-CH"/>
        </w:rPr>
        <w:t xml:space="preserve">(SBI3) </w:t>
      </w:r>
      <w:r w:rsidR="00097608">
        <w:rPr>
          <w:lang w:val="fr-CH"/>
        </w:rPr>
        <w:t xml:space="preserve">de la CDB et de la troisième </w:t>
      </w:r>
      <w:r w:rsidR="004466AB">
        <w:rPr>
          <w:lang w:val="fr-CH"/>
        </w:rPr>
        <w:t xml:space="preserve">réunion </w:t>
      </w:r>
      <w:r w:rsidR="00097608">
        <w:rPr>
          <w:lang w:val="fr-CH"/>
        </w:rPr>
        <w:t>de son Groupe de travail à composition non limitée sur le Cadre mondial de la biodiversité pour l’après</w:t>
      </w:r>
      <w:r w:rsidR="00097608">
        <w:rPr>
          <w:lang w:val="fr-CH"/>
        </w:rPr>
        <w:noBreakHyphen/>
        <w:t xml:space="preserve">2020 (OEWG3) à Genève, Suisse, les Secrétariats des Conventions relatives à la biodiversité ont organisé une activité parallèle </w:t>
      </w:r>
      <w:r w:rsidR="006C18AF">
        <w:rPr>
          <w:lang w:val="fr-CH"/>
        </w:rPr>
        <w:t>intitulée</w:t>
      </w:r>
      <w:r w:rsidR="00097608">
        <w:rPr>
          <w:lang w:val="fr-CH"/>
        </w:rPr>
        <w:t xml:space="preserve"> « </w:t>
      </w:r>
      <w:r w:rsidR="38DADF5D" w:rsidRPr="0038308C">
        <w:rPr>
          <w:lang w:val="fr-CH"/>
        </w:rPr>
        <w:t>Strengthening the role of the biodiversity-related Conventions on the development of the Post-2020 Global Biodiversity Framework</w:t>
      </w:r>
      <w:r w:rsidR="00097608">
        <w:rPr>
          <w:lang w:val="fr-CH"/>
        </w:rPr>
        <w:t> »</w:t>
      </w:r>
      <w:r w:rsidR="004466AB">
        <w:rPr>
          <w:lang w:val="fr-CH"/>
        </w:rPr>
        <w:t xml:space="preserve"> </w:t>
      </w:r>
      <w:r w:rsidR="00097608">
        <w:rPr>
          <w:lang w:val="fr-CH"/>
        </w:rPr>
        <w:t xml:space="preserve">et </w:t>
      </w:r>
      <w:r w:rsidR="004466AB">
        <w:rPr>
          <w:lang w:val="fr-CH"/>
        </w:rPr>
        <w:t xml:space="preserve">ont présenté </w:t>
      </w:r>
      <w:r w:rsidR="00097608">
        <w:rPr>
          <w:lang w:val="fr-CH"/>
        </w:rPr>
        <w:t xml:space="preserve">une déclaration conjointe au nom du </w:t>
      </w:r>
      <w:r w:rsidR="006C18AF">
        <w:rPr>
          <w:lang w:val="fr-CH"/>
        </w:rPr>
        <w:t>GLB</w:t>
      </w:r>
      <w:r w:rsidR="38DADF5D" w:rsidRPr="0038308C">
        <w:rPr>
          <w:lang w:val="fr-CH"/>
        </w:rPr>
        <w:t>.</w:t>
      </w:r>
    </w:p>
    <w:p w14:paraId="6D032B3D" w14:textId="77777777" w:rsidR="000B0585" w:rsidRPr="0038308C" w:rsidRDefault="000B0585" w:rsidP="007678F1">
      <w:pPr>
        <w:suppressAutoHyphens/>
        <w:spacing w:after="0" w:line="240" w:lineRule="auto"/>
        <w:ind w:left="851" w:hanging="425"/>
        <w:rPr>
          <w:lang w:val="fr-CH"/>
        </w:rPr>
      </w:pPr>
    </w:p>
    <w:p w14:paraId="09E993CA" w14:textId="0C77FDAB" w:rsidR="000B0585" w:rsidRPr="0038308C" w:rsidRDefault="00017673" w:rsidP="000B0585">
      <w:pPr>
        <w:suppressAutoHyphens/>
        <w:spacing w:after="0" w:line="240" w:lineRule="auto"/>
        <w:ind w:left="426" w:hanging="425"/>
        <w:rPr>
          <w:lang w:val="fr-CH"/>
        </w:rPr>
      </w:pPr>
      <w:r w:rsidRPr="0038308C">
        <w:rPr>
          <w:lang w:val="fr-CH"/>
        </w:rPr>
        <w:t>9</w:t>
      </w:r>
      <w:r w:rsidR="00F20CB7" w:rsidRPr="0038308C">
        <w:rPr>
          <w:lang w:val="fr-CH"/>
        </w:rPr>
        <w:t>.</w:t>
      </w:r>
      <w:r w:rsidR="00F20CB7" w:rsidRPr="0038308C">
        <w:rPr>
          <w:lang w:val="fr-CH"/>
        </w:rPr>
        <w:tab/>
      </w:r>
      <w:r w:rsidR="006C18AF">
        <w:rPr>
          <w:lang w:val="fr-CH"/>
        </w:rPr>
        <w:t>À l’</w:t>
      </w:r>
      <w:r w:rsidR="000B0585" w:rsidRPr="0038308C">
        <w:rPr>
          <w:lang w:val="fr-CH"/>
        </w:rPr>
        <w:t>OEWG4</w:t>
      </w:r>
      <w:r w:rsidR="006C18AF">
        <w:rPr>
          <w:lang w:val="fr-CH"/>
        </w:rPr>
        <w:t xml:space="preserve">, en juin 2022, à Nairobi, Kenya, une autre déclaration conjointe du GLB a été présentée. </w:t>
      </w:r>
    </w:p>
    <w:p w14:paraId="20316812" w14:textId="77777777" w:rsidR="000B0585" w:rsidRPr="0038308C" w:rsidRDefault="000B0585" w:rsidP="000B0585">
      <w:pPr>
        <w:suppressAutoHyphens/>
        <w:spacing w:after="0" w:line="240" w:lineRule="auto"/>
        <w:ind w:left="426" w:hanging="425"/>
        <w:rPr>
          <w:lang w:val="fr-CH"/>
        </w:rPr>
      </w:pPr>
    </w:p>
    <w:p w14:paraId="40A9EDA7" w14:textId="7D53DF18" w:rsidR="007678F1" w:rsidRPr="0038308C" w:rsidRDefault="00017673" w:rsidP="000B0585">
      <w:pPr>
        <w:suppressAutoHyphens/>
        <w:spacing w:after="0" w:line="240" w:lineRule="auto"/>
        <w:ind w:left="426" w:hanging="425"/>
        <w:rPr>
          <w:rFonts w:eastAsia="Times New Roman"/>
          <w:lang w:val="fr-CH" w:eastAsia="en-GB"/>
        </w:rPr>
      </w:pPr>
      <w:r w:rsidRPr="0038308C">
        <w:rPr>
          <w:lang w:val="fr-CH"/>
        </w:rPr>
        <w:t>10</w:t>
      </w:r>
      <w:r w:rsidR="00F20CB7" w:rsidRPr="0038308C">
        <w:rPr>
          <w:lang w:val="fr-CH"/>
        </w:rPr>
        <w:t>.</w:t>
      </w:r>
      <w:r w:rsidR="00F20CB7" w:rsidRPr="0038308C">
        <w:rPr>
          <w:lang w:val="fr-CH"/>
        </w:rPr>
        <w:tab/>
      </w:r>
      <w:r w:rsidR="00BC1E74">
        <w:rPr>
          <w:lang w:val="fr-CH"/>
        </w:rPr>
        <w:t>Le Secrétariat a participé à une réunion virtuelle du GLB, en septembre 2022, sur les engagements pris à l’OEWG5 et à la deuxième partie, en présentiel, de la quinzième réunion de la Conférence des Parties à la CDB (COP15</w:t>
      </w:r>
      <w:r w:rsidR="007A7689">
        <w:rPr>
          <w:lang w:val="fr-CH"/>
        </w:rPr>
        <w:t xml:space="preserve"> de la CDB</w:t>
      </w:r>
      <w:r w:rsidR="00BC1E74">
        <w:rPr>
          <w:lang w:val="fr-CH"/>
        </w:rPr>
        <w:t xml:space="preserve">) en décembre 2022 à Montréal, Canada, </w:t>
      </w:r>
      <w:r w:rsidR="00F2489C">
        <w:rPr>
          <w:lang w:val="fr-CH"/>
        </w:rPr>
        <w:t xml:space="preserve">sous la </w:t>
      </w:r>
      <w:r w:rsidR="004466AB">
        <w:rPr>
          <w:lang w:val="fr-CH"/>
        </w:rPr>
        <w:t>p</w:t>
      </w:r>
      <w:r w:rsidR="00F2489C">
        <w:rPr>
          <w:lang w:val="fr-CH"/>
        </w:rPr>
        <w:t xml:space="preserve">résidence de la Chine. </w:t>
      </w:r>
      <w:r w:rsidR="007A7689">
        <w:rPr>
          <w:lang w:val="fr-CH"/>
        </w:rPr>
        <w:t xml:space="preserve">Des déclarations conjointes du GLB ont été présentées lors de </w:t>
      </w:r>
      <w:r w:rsidR="007A7689">
        <w:rPr>
          <w:lang w:val="fr-CH"/>
        </w:rPr>
        <w:lastRenderedPageBreak/>
        <w:t>ces réunions et lors d’un Segment de haut niveau de la COP15 de la CDB. En outre, à la COP15 de la CDB, le Secrétaire général adjoint a participé à une activité parallèle du GLB intitulée « </w:t>
      </w:r>
      <w:r w:rsidR="007678F1" w:rsidRPr="0038308C">
        <w:rPr>
          <w:shd w:val="clear" w:color="auto" w:fill="FFFFFF"/>
          <w:lang w:val="fr-CH"/>
        </w:rPr>
        <w:t>Mobilising the biodiversity-related Conventions on the implementation of the Post-2020 Global Biodiversity Framework</w:t>
      </w:r>
      <w:r w:rsidR="007A7689">
        <w:rPr>
          <w:shd w:val="clear" w:color="auto" w:fill="FFFFFF"/>
          <w:lang w:val="fr-CH"/>
        </w:rPr>
        <w:t> »</w:t>
      </w:r>
      <w:r w:rsidR="007678F1" w:rsidRPr="0038308C">
        <w:rPr>
          <w:shd w:val="clear" w:color="auto" w:fill="FFFFFF"/>
          <w:lang w:val="fr-CH"/>
        </w:rPr>
        <w:t>.</w:t>
      </w:r>
    </w:p>
    <w:p w14:paraId="7DF49233" w14:textId="77777777" w:rsidR="007678F1" w:rsidRPr="0038308C" w:rsidRDefault="007678F1" w:rsidP="009D2419">
      <w:pPr>
        <w:spacing w:after="0" w:line="240" w:lineRule="auto"/>
        <w:rPr>
          <w:rFonts w:eastAsia="Times New Roman" w:cstheme="minorHAnsi"/>
          <w:lang w:val="fr-CH" w:eastAsia="en-GB"/>
        </w:rPr>
      </w:pPr>
    </w:p>
    <w:p w14:paraId="6ED7C618" w14:textId="311519AD" w:rsidR="009C2848" w:rsidRPr="007A7689" w:rsidRDefault="003E48CC" w:rsidP="000A264B">
      <w:pPr>
        <w:keepNext/>
        <w:spacing w:after="0" w:line="240" w:lineRule="auto"/>
        <w:contextualSpacing/>
        <w:rPr>
          <w:rFonts w:eastAsia="Calibri"/>
          <w:i/>
          <w:iCs/>
          <w:lang w:val="fr-CH"/>
        </w:rPr>
      </w:pPr>
      <w:r>
        <w:rPr>
          <w:i/>
          <w:iCs/>
          <w:lang w:val="fr-CH"/>
        </w:rPr>
        <w:t xml:space="preserve">La </w:t>
      </w:r>
      <w:r w:rsidR="009C2848" w:rsidRPr="007A7689">
        <w:rPr>
          <w:i/>
          <w:iCs/>
          <w:lang w:val="fr-CH"/>
        </w:rPr>
        <w:t xml:space="preserve">Convention </w:t>
      </w:r>
      <w:r w:rsidR="007A7689">
        <w:rPr>
          <w:i/>
          <w:iCs/>
          <w:lang w:val="fr-CH"/>
        </w:rPr>
        <w:t>sur la diversité biologique</w:t>
      </w:r>
      <w:r w:rsidR="3EE363E6" w:rsidRPr="007A7689">
        <w:rPr>
          <w:b/>
          <w:bCs/>
          <w:lang w:val="fr-CH"/>
        </w:rPr>
        <w:t xml:space="preserve"> </w:t>
      </w:r>
    </w:p>
    <w:p w14:paraId="66D78891" w14:textId="77777777" w:rsidR="009C2848" w:rsidRPr="007A7689" w:rsidRDefault="009C2848" w:rsidP="000A264B">
      <w:pPr>
        <w:keepNext/>
        <w:spacing w:after="0" w:line="240" w:lineRule="auto"/>
        <w:contextualSpacing/>
        <w:rPr>
          <w:rFonts w:eastAsia="Calibri" w:cstheme="minorHAnsi"/>
          <w:lang w:val="fr-CH"/>
        </w:rPr>
      </w:pPr>
    </w:p>
    <w:p w14:paraId="229BA138" w14:textId="3F8BF751" w:rsidR="000246E1" w:rsidRPr="007A7689" w:rsidRDefault="00017673" w:rsidP="000A264B">
      <w:pPr>
        <w:suppressAutoHyphens/>
        <w:spacing w:after="0" w:line="240" w:lineRule="auto"/>
        <w:ind w:left="425" w:hanging="425"/>
        <w:rPr>
          <w:rFonts w:cstheme="minorHAnsi"/>
          <w:lang w:val="fr-CH"/>
        </w:rPr>
      </w:pPr>
      <w:r w:rsidRPr="007A7689">
        <w:rPr>
          <w:rFonts w:eastAsia="Times New Roman" w:cstheme="minorHAnsi"/>
          <w:lang w:val="fr-CH" w:eastAsia="en-GB"/>
        </w:rPr>
        <w:t>11</w:t>
      </w:r>
      <w:r w:rsidR="00EE3447" w:rsidRPr="007A7689">
        <w:rPr>
          <w:rFonts w:eastAsia="Times New Roman" w:cstheme="minorHAnsi"/>
          <w:lang w:val="fr-CH" w:eastAsia="en-GB"/>
        </w:rPr>
        <w:t>.</w:t>
      </w:r>
      <w:r w:rsidR="009C2848" w:rsidRPr="007A7689">
        <w:rPr>
          <w:rFonts w:eastAsia="Times New Roman" w:cstheme="minorHAnsi"/>
          <w:lang w:val="fr-CH" w:eastAsia="en-GB"/>
        </w:rPr>
        <w:tab/>
      </w:r>
      <w:r w:rsidR="007A7689">
        <w:rPr>
          <w:rFonts w:eastAsia="Times New Roman" w:cstheme="minorHAnsi"/>
          <w:lang w:val="fr-CH" w:eastAsia="en-GB"/>
        </w:rPr>
        <w:t xml:space="preserve">Le Secrétariat </w:t>
      </w:r>
      <w:r w:rsidR="00B66706">
        <w:rPr>
          <w:rFonts w:eastAsia="Times New Roman" w:cstheme="minorHAnsi"/>
          <w:lang w:val="fr-CH" w:eastAsia="en-GB"/>
        </w:rPr>
        <w:t xml:space="preserve">a </w:t>
      </w:r>
      <w:r w:rsidR="00D06516">
        <w:rPr>
          <w:rFonts w:eastAsia="Times New Roman" w:cstheme="minorHAnsi"/>
          <w:lang w:val="fr-CH" w:eastAsia="en-GB"/>
        </w:rPr>
        <w:t>poursuivi ses efforts</w:t>
      </w:r>
      <w:r w:rsidR="00B66706">
        <w:rPr>
          <w:rFonts w:eastAsia="Times New Roman" w:cstheme="minorHAnsi"/>
          <w:lang w:val="fr-CH" w:eastAsia="en-GB"/>
        </w:rPr>
        <w:t xml:space="preserve"> </w:t>
      </w:r>
      <w:r w:rsidR="00D06516">
        <w:rPr>
          <w:rFonts w:eastAsia="Times New Roman" w:cstheme="minorHAnsi"/>
          <w:lang w:val="fr-CH" w:eastAsia="en-GB"/>
        </w:rPr>
        <w:t>de</w:t>
      </w:r>
      <w:r w:rsidR="00B66706">
        <w:rPr>
          <w:rFonts w:eastAsia="Times New Roman" w:cstheme="minorHAnsi"/>
          <w:lang w:val="fr-CH" w:eastAsia="en-GB"/>
        </w:rPr>
        <w:t xml:space="preserve"> collaboration avec la CDB, en </w:t>
      </w:r>
      <w:r w:rsidR="00D06516">
        <w:rPr>
          <w:rFonts w:eastAsia="Times New Roman" w:cstheme="minorHAnsi"/>
          <w:lang w:val="fr-CH" w:eastAsia="en-GB"/>
        </w:rPr>
        <w:t>contribuant</w:t>
      </w:r>
      <w:r w:rsidR="00B66706">
        <w:rPr>
          <w:rFonts w:eastAsia="Times New Roman" w:cstheme="minorHAnsi"/>
          <w:lang w:val="fr-CH" w:eastAsia="en-GB"/>
        </w:rPr>
        <w:t xml:space="preserve"> à différents processus</w:t>
      </w:r>
      <w:r w:rsidR="005F401F">
        <w:rPr>
          <w:rFonts w:eastAsia="Times New Roman" w:cstheme="minorHAnsi"/>
          <w:lang w:val="fr-CH" w:eastAsia="en-GB"/>
        </w:rPr>
        <w:t xml:space="preserve"> et</w:t>
      </w:r>
      <w:r w:rsidR="00B66706">
        <w:rPr>
          <w:rFonts w:eastAsia="Times New Roman" w:cstheme="minorHAnsi"/>
          <w:lang w:val="fr-CH" w:eastAsia="en-GB"/>
        </w:rPr>
        <w:t>, principalement</w:t>
      </w:r>
      <w:r w:rsidR="005F401F">
        <w:rPr>
          <w:rFonts w:eastAsia="Times New Roman" w:cstheme="minorHAnsi"/>
          <w:lang w:val="fr-CH" w:eastAsia="en-GB"/>
        </w:rPr>
        <w:t>,</w:t>
      </w:r>
      <w:r w:rsidR="00B66706">
        <w:rPr>
          <w:rFonts w:eastAsia="Times New Roman" w:cstheme="minorHAnsi"/>
          <w:lang w:val="fr-CH" w:eastAsia="en-GB"/>
        </w:rPr>
        <w:t xml:space="preserve"> à la préparation du Cadre mondial de la biodiversité pour l’après</w:t>
      </w:r>
      <w:r w:rsidR="00B66706">
        <w:rPr>
          <w:rFonts w:eastAsia="Times New Roman" w:cstheme="minorHAnsi"/>
          <w:lang w:val="fr-CH" w:eastAsia="en-GB"/>
        </w:rPr>
        <w:noBreakHyphen/>
        <w:t xml:space="preserve">2020. </w:t>
      </w:r>
      <w:r w:rsidR="005F401F">
        <w:rPr>
          <w:rFonts w:eastAsia="Times New Roman" w:cstheme="minorHAnsi"/>
          <w:lang w:val="fr-CH" w:eastAsia="en-GB"/>
        </w:rPr>
        <w:t>En mars 2022, le Secrétariat a envoyé u</w:t>
      </w:r>
      <w:r w:rsidR="00B66706">
        <w:rPr>
          <w:rFonts w:eastAsia="Times New Roman" w:cstheme="minorHAnsi"/>
          <w:lang w:val="fr-CH" w:eastAsia="en-GB"/>
        </w:rPr>
        <w:t xml:space="preserve">n document à toutes les Parties contractantes, </w:t>
      </w:r>
      <w:r w:rsidR="005F401F">
        <w:rPr>
          <w:rFonts w:eastAsia="Times New Roman" w:cstheme="minorHAnsi"/>
          <w:lang w:val="fr-CH" w:eastAsia="en-GB"/>
        </w:rPr>
        <w:t>mettant</w:t>
      </w:r>
      <w:r w:rsidR="00B66706">
        <w:rPr>
          <w:rFonts w:eastAsia="Times New Roman" w:cstheme="minorHAnsi"/>
          <w:lang w:val="fr-CH" w:eastAsia="en-GB"/>
        </w:rPr>
        <w:t xml:space="preserve"> en lumière les questions </w:t>
      </w:r>
      <w:r w:rsidR="005F401F">
        <w:rPr>
          <w:rFonts w:eastAsia="Times New Roman" w:cstheme="minorHAnsi"/>
          <w:lang w:val="fr-CH" w:eastAsia="en-GB"/>
        </w:rPr>
        <w:t>jugées</w:t>
      </w:r>
      <w:r w:rsidR="00B66706">
        <w:rPr>
          <w:rFonts w:eastAsia="Times New Roman" w:cstheme="minorHAnsi"/>
          <w:lang w:val="fr-CH" w:eastAsia="en-GB"/>
        </w:rPr>
        <w:t xml:space="preserve"> les plus pertinentes pour la Convention </w:t>
      </w:r>
      <w:r w:rsidR="005F401F">
        <w:rPr>
          <w:rFonts w:eastAsia="Times New Roman" w:cstheme="minorHAnsi"/>
          <w:lang w:val="fr-CH" w:eastAsia="en-GB"/>
        </w:rPr>
        <w:t>afin</w:t>
      </w:r>
      <w:r w:rsidR="00B66706">
        <w:rPr>
          <w:rFonts w:eastAsia="Times New Roman" w:cstheme="minorHAnsi"/>
          <w:lang w:val="fr-CH" w:eastAsia="en-GB"/>
        </w:rPr>
        <w:t xml:space="preserve"> que les Parties qui assisteraient aux reprises de</w:t>
      </w:r>
      <w:r w:rsidR="00100337">
        <w:rPr>
          <w:rFonts w:eastAsia="Times New Roman" w:cstheme="minorHAnsi"/>
          <w:lang w:val="fr-CH" w:eastAsia="en-GB"/>
        </w:rPr>
        <w:t>s</w:t>
      </w:r>
      <w:r w:rsidR="00B66706">
        <w:rPr>
          <w:rFonts w:eastAsia="Times New Roman" w:cstheme="minorHAnsi"/>
          <w:lang w:val="fr-CH" w:eastAsia="en-GB"/>
        </w:rPr>
        <w:t xml:space="preserve"> séance</w:t>
      </w:r>
      <w:r w:rsidR="005F401F">
        <w:rPr>
          <w:rFonts w:eastAsia="Times New Roman" w:cstheme="minorHAnsi"/>
          <w:lang w:val="fr-CH" w:eastAsia="en-GB"/>
        </w:rPr>
        <w:t>s</w:t>
      </w:r>
      <w:r w:rsidR="00B66706">
        <w:rPr>
          <w:rFonts w:eastAsia="Times New Roman" w:cstheme="minorHAnsi"/>
          <w:lang w:val="fr-CH" w:eastAsia="en-GB"/>
        </w:rPr>
        <w:t xml:space="preserve"> du </w:t>
      </w:r>
      <w:r w:rsidR="00F51F0A" w:rsidRPr="007A7689">
        <w:rPr>
          <w:rFonts w:ascii="Calibri" w:hAnsi="Calibri" w:cs="Calibri"/>
          <w:lang w:val="fr-CH"/>
        </w:rPr>
        <w:t>SBSTTA</w:t>
      </w:r>
      <w:r w:rsidR="00A172A0" w:rsidRPr="007A7689">
        <w:rPr>
          <w:rFonts w:ascii="Calibri" w:hAnsi="Calibri" w:cs="Calibri"/>
          <w:lang w:val="fr-CH"/>
        </w:rPr>
        <w:t>24</w:t>
      </w:r>
      <w:r w:rsidR="00F51F0A" w:rsidRPr="007A7689">
        <w:rPr>
          <w:rFonts w:ascii="Calibri" w:hAnsi="Calibri" w:cs="Calibri"/>
          <w:lang w:val="fr-CH"/>
        </w:rPr>
        <w:t xml:space="preserve">, </w:t>
      </w:r>
      <w:r w:rsidR="005F401F">
        <w:rPr>
          <w:rFonts w:ascii="Calibri" w:hAnsi="Calibri" w:cs="Calibri"/>
          <w:lang w:val="fr-CH"/>
        </w:rPr>
        <w:t xml:space="preserve">du </w:t>
      </w:r>
      <w:r w:rsidR="00F51F0A" w:rsidRPr="007A7689">
        <w:rPr>
          <w:rFonts w:ascii="Calibri" w:hAnsi="Calibri" w:cs="Calibri"/>
          <w:lang w:val="fr-CH"/>
        </w:rPr>
        <w:t>SBI</w:t>
      </w:r>
      <w:r w:rsidR="00A172A0" w:rsidRPr="007A7689">
        <w:rPr>
          <w:rFonts w:ascii="Calibri" w:hAnsi="Calibri" w:cs="Calibri"/>
          <w:lang w:val="fr-CH"/>
        </w:rPr>
        <w:t>3</w:t>
      </w:r>
      <w:r w:rsidR="00F51F0A" w:rsidRPr="007A7689">
        <w:rPr>
          <w:rFonts w:cstheme="minorHAnsi"/>
          <w:lang w:val="fr-CH"/>
        </w:rPr>
        <w:t xml:space="preserve"> </w:t>
      </w:r>
      <w:r w:rsidR="00B66706">
        <w:rPr>
          <w:rFonts w:cstheme="minorHAnsi"/>
          <w:lang w:val="fr-CH"/>
        </w:rPr>
        <w:t>et</w:t>
      </w:r>
      <w:r w:rsidR="00F51F0A" w:rsidRPr="007A7689">
        <w:rPr>
          <w:rFonts w:cstheme="minorHAnsi"/>
          <w:lang w:val="fr-CH"/>
        </w:rPr>
        <w:t xml:space="preserve"> </w:t>
      </w:r>
      <w:r w:rsidR="005F401F">
        <w:rPr>
          <w:rFonts w:cstheme="minorHAnsi"/>
          <w:lang w:val="fr-CH"/>
        </w:rPr>
        <w:t>de l’</w:t>
      </w:r>
      <w:r w:rsidR="00A41ED7" w:rsidRPr="007A7689">
        <w:rPr>
          <w:lang w:val="fr-CH"/>
        </w:rPr>
        <w:t>OEWG3</w:t>
      </w:r>
      <w:r w:rsidR="00A41ED7" w:rsidRPr="007A7689">
        <w:rPr>
          <w:rFonts w:cstheme="minorHAnsi"/>
          <w:lang w:val="fr-CH"/>
        </w:rPr>
        <w:t xml:space="preserve"> </w:t>
      </w:r>
      <w:r w:rsidR="00B66706">
        <w:rPr>
          <w:rFonts w:cstheme="minorHAnsi"/>
          <w:lang w:val="fr-CH"/>
        </w:rPr>
        <w:t xml:space="preserve">puissent </w:t>
      </w:r>
      <w:r w:rsidR="005F401F">
        <w:rPr>
          <w:rFonts w:cstheme="minorHAnsi"/>
          <w:lang w:val="fr-CH"/>
        </w:rPr>
        <w:t>mettre en valeur</w:t>
      </w:r>
      <w:r w:rsidR="00D75BB6">
        <w:rPr>
          <w:rFonts w:cstheme="minorHAnsi"/>
          <w:lang w:val="fr-CH"/>
        </w:rPr>
        <w:t xml:space="preserve"> l’importance des zones humides.</w:t>
      </w:r>
    </w:p>
    <w:p w14:paraId="01804E25" w14:textId="77777777" w:rsidR="000246E1" w:rsidRPr="007A7689" w:rsidRDefault="000246E1" w:rsidP="000A264B">
      <w:pPr>
        <w:suppressAutoHyphens/>
        <w:spacing w:after="0" w:line="240" w:lineRule="auto"/>
        <w:ind w:left="425" w:hanging="425"/>
        <w:rPr>
          <w:rFonts w:cstheme="minorHAnsi"/>
          <w:lang w:val="fr-CH"/>
        </w:rPr>
      </w:pPr>
    </w:p>
    <w:p w14:paraId="326CD931" w14:textId="08F71A08" w:rsidR="00F678E0" w:rsidRPr="007A7689" w:rsidRDefault="00017673" w:rsidP="000A264B">
      <w:pPr>
        <w:suppressAutoHyphens/>
        <w:spacing w:after="0" w:line="240" w:lineRule="auto"/>
        <w:ind w:left="425" w:hanging="425"/>
        <w:rPr>
          <w:rFonts w:cstheme="minorHAnsi"/>
          <w:lang w:val="fr-CH"/>
        </w:rPr>
      </w:pPr>
      <w:r w:rsidRPr="007A7689">
        <w:rPr>
          <w:rFonts w:cstheme="minorHAnsi"/>
          <w:lang w:val="fr-CH"/>
        </w:rPr>
        <w:t>12.</w:t>
      </w:r>
      <w:r w:rsidRPr="007A7689">
        <w:rPr>
          <w:rFonts w:cstheme="minorHAnsi"/>
          <w:lang w:val="fr-CH"/>
        </w:rPr>
        <w:tab/>
      </w:r>
      <w:r w:rsidR="001A34C8">
        <w:rPr>
          <w:rFonts w:cstheme="minorHAnsi"/>
          <w:lang w:val="fr-CH"/>
        </w:rPr>
        <w:t xml:space="preserve">Le Secrétariat a également rappelé aux Parties contractantes la Décision </w:t>
      </w:r>
      <w:r w:rsidR="00DC2D37" w:rsidRPr="007A7689">
        <w:rPr>
          <w:rFonts w:cstheme="minorHAnsi"/>
          <w:lang w:val="fr-CH"/>
        </w:rPr>
        <w:t>SC57-26</w:t>
      </w:r>
      <w:r w:rsidR="00B00716" w:rsidRPr="007A7689">
        <w:rPr>
          <w:rFonts w:cstheme="minorHAnsi"/>
          <w:lang w:val="fr-CH"/>
        </w:rPr>
        <w:t xml:space="preserve"> </w:t>
      </w:r>
      <w:r w:rsidR="001A34C8">
        <w:rPr>
          <w:rFonts w:cstheme="minorHAnsi"/>
          <w:lang w:val="fr-CH"/>
        </w:rPr>
        <w:t xml:space="preserve">du Comité permanent encourageant les Parties, par l’intermédiaire de leurs Correspondants nationaux Ramsar, à établir </w:t>
      </w:r>
      <w:r w:rsidR="008838A9">
        <w:rPr>
          <w:rFonts w:cstheme="minorHAnsi"/>
          <w:lang w:val="fr-CH"/>
        </w:rPr>
        <w:t>des contacts</w:t>
      </w:r>
      <w:r w:rsidR="001A34C8">
        <w:rPr>
          <w:rFonts w:cstheme="minorHAnsi"/>
          <w:lang w:val="fr-CH"/>
        </w:rPr>
        <w:t xml:space="preserve"> et collaborer avec leurs collègues de la CDB, et </w:t>
      </w:r>
      <w:r w:rsidR="008838A9">
        <w:rPr>
          <w:rFonts w:cstheme="minorHAnsi"/>
          <w:lang w:val="fr-CH"/>
        </w:rPr>
        <w:t xml:space="preserve">à </w:t>
      </w:r>
      <w:r w:rsidR="001A34C8">
        <w:rPr>
          <w:rFonts w:cstheme="minorHAnsi"/>
          <w:lang w:val="fr-CH"/>
        </w:rPr>
        <w:t xml:space="preserve">participer à l’élaboration de positions nationales </w:t>
      </w:r>
      <w:r w:rsidR="008838A9">
        <w:rPr>
          <w:rFonts w:cstheme="minorHAnsi"/>
          <w:lang w:val="fr-CH"/>
        </w:rPr>
        <w:t>concernant le</w:t>
      </w:r>
      <w:r w:rsidR="001A34C8">
        <w:rPr>
          <w:rFonts w:cstheme="minorHAnsi"/>
          <w:lang w:val="fr-CH"/>
        </w:rPr>
        <w:t xml:space="preserve"> processus du Cadre mondial de la biodiversité de la CDB, afin de s’assurer que </w:t>
      </w:r>
      <w:r w:rsidR="008838A9">
        <w:rPr>
          <w:rFonts w:cstheme="minorHAnsi"/>
          <w:lang w:val="fr-CH"/>
        </w:rPr>
        <w:t>d</w:t>
      </w:r>
      <w:r w:rsidR="001A34C8">
        <w:rPr>
          <w:rFonts w:cstheme="minorHAnsi"/>
          <w:lang w:val="fr-CH"/>
        </w:rPr>
        <w:t xml:space="preserve">es éléments </w:t>
      </w:r>
      <w:r w:rsidR="008838A9">
        <w:rPr>
          <w:rFonts w:cstheme="minorHAnsi"/>
          <w:lang w:val="fr-CH"/>
        </w:rPr>
        <w:t>relatifs à</w:t>
      </w:r>
      <w:r w:rsidR="001A34C8">
        <w:rPr>
          <w:rFonts w:cstheme="minorHAnsi"/>
          <w:lang w:val="fr-CH"/>
        </w:rPr>
        <w:t xml:space="preserve"> Ramsar soient inclus dans la position et les soumissions des pays au moment de l’élaboration</w:t>
      </w:r>
      <w:r w:rsidR="008838A9">
        <w:rPr>
          <w:rFonts w:cstheme="minorHAnsi"/>
          <w:lang w:val="fr-CH"/>
        </w:rPr>
        <w:t xml:space="preserve"> du Cadre</w:t>
      </w:r>
      <w:r w:rsidR="001A34C8">
        <w:rPr>
          <w:rFonts w:cstheme="minorHAnsi"/>
          <w:lang w:val="fr-CH"/>
        </w:rPr>
        <w:t>. Avec ces éléments, le Secrétariat a pu contribuer aux réunions de la CDB mentionnées plus haut.</w:t>
      </w:r>
    </w:p>
    <w:p w14:paraId="1A9B4A39" w14:textId="77777777" w:rsidR="000B29EF" w:rsidRPr="007A7689" w:rsidRDefault="000B29EF" w:rsidP="000A264B">
      <w:pPr>
        <w:suppressAutoHyphens/>
        <w:spacing w:after="0" w:line="240" w:lineRule="auto"/>
        <w:ind w:left="425" w:hanging="425"/>
        <w:rPr>
          <w:rFonts w:cstheme="minorHAnsi"/>
          <w:lang w:val="fr-CH"/>
        </w:rPr>
      </w:pPr>
    </w:p>
    <w:p w14:paraId="6B6893C8" w14:textId="4B4AD66A" w:rsidR="000B29EF" w:rsidRPr="007A7689" w:rsidRDefault="00017673" w:rsidP="002E77BF">
      <w:pPr>
        <w:spacing w:after="0" w:line="240" w:lineRule="auto"/>
        <w:ind w:left="426" w:hanging="426"/>
        <w:rPr>
          <w:lang w:val="fr-CH"/>
        </w:rPr>
      </w:pPr>
      <w:r w:rsidRPr="007A7689">
        <w:rPr>
          <w:rFonts w:cstheme="minorHAnsi"/>
          <w:lang w:val="fr-CH"/>
        </w:rPr>
        <w:t>13</w:t>
      </w:r>
      <w:r w:rsidR="00344BCB" w:rsidRPr="007A7689">
        <w:rPr>
          <w:rFonts w:cstheme="minorHAnsi"/>
          <w:lang w:val="fr-CH"/>
        </w:rPr>
        <w:t>.</w:t>
      </w:r>
      <w:r w:rsidR="00A31E10" w:rsidRPr="007A7689">
        <w:rPr>
          <w:rFonts w:cstheme="minorHAnsi"/>
          <w:lang w:val="fr-CH"/>
        </w:rPr>
        <w:tab/>
      </w:r>
      <w:r w:rsidR="00C21978">
        <w:rPr>
          <w:rFonts w:cstheme="minorHAnsi"/>
          <w:lang w:val="fr-CH"/>
        </w:rPr>
        <w:t xml:space="preserve">Le Secrétaire général adjoint a participé à la </w:t>
      </w:r>
      <w:r w:rsidR="004E4059">
        <w:rPr>
          <w:rFonts w:cstheme="minorHAnsi"/>
          <w:lang w:val="fr-CH"/>
        </w:rPr>
        <w:t>séance</w:t>
      </w:r>
      <w:r w:rsidR="00C21978">
        <w:rPr>
          <w:rFonts w:cstheme="minorHAnsi"/>
          <w:lang w:val="fr-CH"/>
        </w:rPr>
        <w:t xml:space="preserve"> d’information </w:t>
      </w:r>
      <w:r w:rsidR="004E4059">
        <w:rPr>
          <w:rFonts w:cstheme="minorHAnsi"/>
          <w:lang w:val="fr-CH"/>
        </w:rPr>
        <w:t>des cadres</w:t>
      </w:r>
      <w:r w:rsidR="00C21978">
        <w:rPr>
          <w:rFonts w:cstheme="minorHAnsi"/>
          <w:lang w:val="fr-CH"/>
        </w:rPr>
        <w:t xml:space="preserve"> organisée par le </w:t>
      </w:r>
      <w:r w:rsidR="004E4059">
        <w:rPr>
          <w:rFonts w:cstheme="minorHAnsi"/>
          <w:lang w:val="fr-CH"/>
        </w:rPr>
        <w:t>Geneva Network</w:t>
      </w:r>
      <w:r w:rsidR="00C21978">
        <w:rPr>
          <w:rFonts w:cstheme="minorHAnsi"/>
          <w:lang w:val="fr-CH"/>
        </w:rPr>
        <w:t xml:space="preserve"> en novembre 2022 </w:t>
      </w:r>
      <w:r w:rsidR="004E4059">
        <w:rPr>
          <w:rFonts w:cstheme="minorHAnsi"/>
          <w:lang w:val="fr-CH"/>
        </w:rPr>
        <w:t>sur la préparation de</w:t>
      </w:r>
      <w:r w:rsidR="00C21978">
        <w:rPr>
          <w:rFonts w:cstheme="minorHAnsi"/>
          <w:lang w:val="fr-CH"/>
        </w:rPr>
        <w:t xml:space="preserve"> la COP15 de la CDB et </w:t>
      </w:r>
      <w:r w:rsidR="004E4059">
        <w:rPr>
          <w:rFonts w:cstheme="minorHAnsi"/>
          <w:lang w:val="fr-CH"/>
        </w:rPr>
        <w:t>d</w:t>
      </w:r>
      <w:r w:rsidR="00C21978">
        <w:rPr>
          <w:rFonts w:cstheme="minorHAnsi"/>
          <w:lang w:val="fr-CH"/>
        </w:rPr>
        <w:t>es résultats de la COP14 de la Convention sur les zones humides, de la COP27 de la Convention</w:t>
      </w:r>
      <w:r w:rsidR="00C21978">
        <w:rPr>
          <w:rFonts w:cstheme="minorHAnsi"/>
          <w:lang w:val="fr-CH"/>
        </w:rPr>
        <w:noBreakHyphen/>
        <w:t xml:space="preserve">cadre des Nations Unies sur les changements climatiques (CCNUCC) et </w:t>
      </w:r>
      <w:r w:rsidR="004E4059">
        <w:rPr>
          <w:rFonts w:cstheme="minorHAnsi"/>
          <w:lang w:val="fr-CH"/>
        </w:rPr>
        <w:t xml:space="preserve">de </w:t>
      </w:r>
      <w:r w:rsidR="00C21978">
        <w:rPr>
          <w:rFonts w:cstheme="minorHAnsi"/>
          <w:lang w:val="fr-CH"/>
        </w:rPr>
        <w:t>la COP19 de la CITES.</w:t>
      </w:r>
    </w:p>
    <w:p w14:paraId="7C26DCD9" w14:textId="77777777" w:rsidR="00F678E0" w:rsidRPr="007A7689" w:rsidDel="000B29EF" w:rsidRDefault="00F678E0" w:rsidP="002E77BF">
      <w:pPr>
        <w:spacing w:after="0" w:line="240" w:lineRule="auto"/>
        <w:ind w:left="426" w:hanging="426"/>
        <w:rPr>
          <w:lang w:val="fr-CH"/>
        </w:rPr>
      </w:pPr>
    </w:p>
    <w:p w14:paraId="354F499C" w14:textId="11A94836" w:rsidR="00A80A93" w:rsidRPr="007A7689" w:rsidRDefault="00017673" w:rsidP="002E77BF">
      <w:pPr>
        <w:spacing w:after="0" w:line="240" w:lineRule="auto"/>
        <w:ind w:left="426" w:hanging="426"/>
        <w:rPr>
          <w:lang w:val="fr-CH"/>
        </w:rPr>
      </w:pPr>
      <w:r w:rsidRPr="007A7689">
        <w:rPr>
          <w:lang w:val="fr-CH"/>
        </w:rPr>
        <w:t>14</w:t>
      </w:r>
      <w:r w:rsidR="396190B6" w:rsidRPr="007A7689">
        <w:rPr>
          <w:lang w:val="fr-CH"/>
        </w:rPr>
        <w:t>.</w:t>
      </w:r>
      <w:r w:rsidR="00EE3447" w:rsidRPr="007A7689">
        <w:rPr>
          <w:rFonts w:cstheme="minorHAnsi"/>
          <w:lang w:val="fr-CH"/>
        </w:rPr>
        <w:tab/>
      </w:r>
      <w:r w:rsidR="005D5C09">
        <w:rPr>
          <w:rFonts w:cstheme="minorHAnsi"/>
          <w:lang w:val="fr-CH"/>
        </w:rPr>
        <w:t xml:space="preserve">À la COP15 de la CDB, le Secrétariat s’est exprimé sur les résultats de la COP14 de la Convention sur les zones humides, intervention également publiée sur le site </w:t>
      </w:r>
      <w:r w:rsidR="00100337">
        <w:rPr>
          <w:rFonts w:cstheme="minorHAnsi"/>
          <w:lang w:val="fr-CH"/>
        </w:rPr>
        <w:t>W</w:t>
      </w:r>
      <w:r w:rsidR="005D5C09">
        <w:rPr>
          <w:rFonts w:cstheme="minorHAnsi"/>
          <w:lang w:val="fr-CH"/>
        </w:rPr>
        <w:t xml:space="preserve">eb de la COP15 de la CDB. </w:t>
      </w:r>
      <w:r w:rsidR="005D5C09" w:rsidRPr="007513A8">
        <w:rPr>
          <w:rFonts w:cstheme="minorHAnsi"/>
          <w:lang w:val="en-US"/>
        </w:rPr>
        <w:t xml:space="preserve">Le Secrétaire général adjoint a participé au </w:t>
      </w:r>
      <w:r w:rsidR="00C611AF">
        <w:rPr>
          <w:rFonts w:cstheme="minorHAnsi"/>
          <w:lang w:val="en-US"/>
        </w:rPr>
        <w:t>Groupe</w:t>
      </w:r>
      <w:r w:rsidR="005D5C09" w:rsidRPr="007513A8">
        <w:rPr>
          <w:rFonts w:cstheme="minorHAnsi"/>
          <w:lang w:val="en-US"/>
        </w:rPr>
        <w:t xml:space="preserve"> de haut niveau « U</w:t>
      </w:r>
      <w:r w:rsidR="4C276ADE" w:rsidRPr="007513A8">
        <w:rPr>
          <w:lang w:val="en-US"/>
        </w:rPr>
        <w:t>nited Nations Heads</w:t>
      </w:r>
      <w:r w:rsidR="00100337">
        <w:rPr>
          <w:lang w:val="en-US"/>
        </w:rPr>
        <w:t xml:space="preserve"> of</w:t>
      </w:r>
      <w:r w:rsidR="4C276ADE" w:rsidRPr="007513A8">
        <w:rPr>
          <w:lang w:val="en-US"/>
        </w:rPr>
        <w:t xml:space="preserve"> Agencies Dialogue: Pledging Commitments to implement the Common Approach on Biodiversity and the Post 2020 Global Biodiversity Framework</w:t>
      </w:r>
      <w:r w:rsidR="005D5C09" w:rsidRPr="007513A8">
        <w:rPr>
          <w:lang w:val="en-US"/>
        </w:rPr>
        <w:t> »</w:t>
      </w:r>
      <w:r w:rsidR="4C276ADE" w:rsidRPr="007513A8">
        <w:rPr>
          <w:lang w:val="en-US"/>
        </w:rPr>
        <w:t xml:space="preserve"> </w:t>
      </w:r>
      <w:r w:rsidR="005D5C09" w:rsidRPr="007513A8">
        <w:rPr>
          <w:lang w:val="en-US"/>
        </w:rPr>
        <w:t>et à l’activité parallèle « </w:t>
      </w:r>
      <w:r w:rsidR="4C276ADE" w:rsidRPr="007513A8">
        <w:rPr>
          <w:rFonts w:eastAsia="Roboto"/>
          <w:highlight w:val="white"/>
          <w:lang w:val="en-US"/>
        </w:rPr>
        <w:t>Beyond boundaries: The role of cities and regions in taking local action for global wetlan</w:t>
      </w:r>
      <w:r w:rsidR="4C276ADE" w:rsidRPr="007513A8">
        <w:rPr>
          <w:rFonts w:eastAsia="Roboto"/>
          <w:lang w:val="en-US"/>
        </w:rPr>
        <w:t>ds</w:t>
      </w:r>
      <w:r w:rsidR="005D5C09" w:rsidRPr="007513A8">
        <w:rPr>
          <w:rFonts w:eastAsia="Roboto"/>
          <w:lang w:val="en-US"/>
        </w:rPr>
        <w:t> »</w:t>
      </w:r>
      <w:r w:rsidR="4C276ADE" w:rsidRPr="007513A8">
        <w:rPr>
          <w:rFonts w:eastAsia="Roboto"/>
          <w:lang w:val="en-US"/>
        </w:rPr>
        <w:t>.</w:t>
      </w:r>
      <w:r w:rsidR="00B55CD2" w:rsidRPr="007513A8">
        <w:rPr>
          <w:rFonts w:eastAsia="Roboto"/>
          <w:lang w:val="en-US"/>
        </w:rPr>
        <w:t xml:space="preserve"> </w:t>
      </w:r>
      <w:r w:rsidR="00531421">
        <w:rPr>
          <w:rFonts w:eastAsia="Roboto"/>
          <w:lang w:val="fr-CH"/>
        </w:rPr>
        <w:t xml:space="preserve">Une déclaration </w:t>
      </w:r>
      <w:r w:rsidR="00C611AF">
        <w:rPr>
          <w:rFonts w:eastAsia="Roboto"/>
          <w:lang w:val="fr-CH"/>
        </w:rPr>
        <w:t xml:space="preserve">adressée </w:t>
      </w:r>
      <w:r w:rsidR="00531421">
        <w:rPr>
          <w:rFonts w:eastAsia="Roboto"/>
          <w:lang w:val="fr-CH"/>
        </w:rPr>
        <w:t>à la plénière</w:t>
      </w:r>
      <w:r w:rsidR="00C611AF">
        <w:rPr>
          <w:rFonts w:eastAsia="Roboto"/>
          <w:lang w:val="fr-CH"/>
        </w:rPr>
        <w:t>,</w:t>
      </w:r>
      <w:r w:rsidR="00531421">
        <w:rPr>
          <w:rFonts w:eastAsia="Roboto"/>
          <w:lang w:val="fr-CH"/>
        </w:rPr>
        <w:t xml:space="preserve"> sur la contribution de la Convention </w:t>
      </w:r>
      <w:r w:rsidR="00C611AF">
        <w:rPr>
          <w:rFonts w:eastAsia="Roboto"/>
          <w:lang w:val="fr-CH"/>
        </w:rPr>
        <w:t>aux</w:t>
      </w:r>
      <w:r w:rsidR="00531421">
        <w:rPr>
          <w:rFonts w:eastAsia="Roboto"/>
          <w:lang w:val="fr-CH"/>
        </w:rPr>
        <w:t xml:space="preserve"> mesures urgentes en matière de biodiversité pour le développement durable</w:t>
      </w:r>
      <w:r w:rsidR="00C611AF">
        <w:rPr>
          <w:rFonts w:eastAsia="Roboto"/>
          <w:lang w:val="fr-CH"/>
        </w:rPr>
        <w:t>,</w:t>
      </w:r>
      <w:r w:rsidR="00531421">
        <w:rPr>
          <w:rFonts w:eastAsia="Roboto"/>
          <w:lang w:val="fr-CH"/>
        </w:rPr>
        <w:t xml:space="preserve"> a également été </w:t>
      </w:r>
      <w:r w:rsidR="00C611AF">
        <w:rPr>
          <w:rFonts w:eastAsia="Roboto"/>
          <w:lang w:val="fr-CH"/>
        </w:rPr>
        <w:t>publiée</w:t>
      </w:r>
      <w:r w:rsidR="00531421">
        <w:rPr>
          <w:rFonts w:eastAsia="Roboto"/>
          <w:lang w:val="fr-CH"/>
        </w:rPr>
        <w:t xml:space="preserve"> sur le site </w:t>
      </w:r>
      <w:r w:rsidR="00C611AF">
        <w:rPr>
          <w:rFonts w:eastAsia="Roboto"/>
          <w:lang w:val="fr-CH"/>
        </w:rPr>
        <w:t>W</w:t>
      </w:r>
      <w:r w:rsidR="00531421">
        <w:rPr>
          <w:rFonts w:eastAsia="Roboto"/>
          <w:lang w:val="fr-CH"/>
        </w:rPr>
        <w:t>eb du Segment de haut niveau</w:t>
      </w:r>
      <w:r w:rsidR="009F1FDC">
        <w:rPr>
          <w:rFonts w:eastAsia="Roboto"/>
          <w:lang w:val="fr-CH"/>
        </w:rPr>
        <w:t>. Le Secrétariat a aussi participé en tant qu’</w:t>
      </w:r>
      <w:r w:rsidR="00C611AF">
        <w:rPr>
          <w:rFonts w:eastAsia="Roboto"/>
          <w:lang w:val="fr-CH"/>
        </w:rPr>
        <w:t>expert</w:t>
      </w:r>
      <w:r w:rsidR="009F1FDC">
        <w:rPr>
          <w:rFonts w:eastAsia="Roboto"/>
          <w:lang w:val="fr-CH"/>
        </w:rPr>
        <w:t xml:space="preserve"> aux activités parallèles intitulées </w:t>
      </w:r>
      <w:r w:rsidR="009F1FDC">
        <w:rPr>
          <w:lang w:val="fr-CH"/>
        </w:rPr>
        <w:t>« </w:t>
      </w:r>
      <w:r w:rsidR="4C276ADE" w:rsidRPr="007A7689">
        <w:rPr>
          <w:kern w:val="22"/>
          <w:lang w:val="fr-CH"/>
        </w:rPr>
        <w:t xml:space="preserve">Tools and solutions for the implementation of </w:t>
      </w:r>
      <w:r w:rsidR="16B6C312" w:rsidRPr="007A7689">
        <w:rPr>
          <w:kern w:val="22"/>
          <w:lang w:val="fr-CH"/>
        </w:rPr>
        <w:t xml:space="preserve">the </w:t>
      </w:r>
      <w:r w:rsidR="4C276ADE" w:rsidRPr="007A7689">
        <w:rPr>
          <w:kern w:val="22"/>
          <w:lang w:val="fr-CH"/>
        </w:rPr>
        <w:t>Post 2020 GBF: Enhancing Synergies and</w:t>
      </w:r>
      <w:r w:rsidR="00A2611F" w:rsidRPr="007A7689">
        <w:rPr>
          <w:kern w:val="22"/>
          <w:lang w:val="fr-CH"/>
        </w:rPr>
        <w:t xml:space="preserve"> Cooperation</w:t>
      </w:r>
      <w:r w:rsidR="009F1FDC">
        <w:rPr>
          <w:kern w:val="22"/>
          <w:lang w:val="fr-CH"/>
        </w:rPr>
        <w:t> »</w:t>
      </w:r>
      <w:r w:rsidR="00A2611F" w:rsidRPr="007A7689">
        <w:rPr>
          <w:kern w:val="22"/>
          <w:lang w:val="fr-CH"/>
        </w:rPr>
        <w:t xml:space="preserve"> organi</w:t>
      </w:r>
      <w:r w:rsidR="009F1FDC">
        <w:rPr>
          <w:kern w:val="22"/>
          <w:lang w:val="fr-CH"/>
        </w:rPr>
        <w:t>sée par le PNUE ; « </w:t>
      </w:r>
      <w:r w:rsidR="4C276ADE" w:rsidRPr="007A7689">
        <w:rPr>
          <w:lang w:val="fr-CH"/>
        </w:rPr>
        <w:t>Pathways for Inland Waters in the Post</w:t>
      </w:r>
      <w:r w:rsidR="009F1FDC">
        <w:rPr>
          <w:lang w:val="fr-CH"/>
        </w:rPr>
        <w:noBreakHyphen/>
      </w:r>
      <w:r w:rsidR="4C276ADE" w:rsidRPr="007A7689">
        <w:rPr>
          <w:lang w:val="fr-CH"/>
        </w:rPr>
        <w:t>2020 Global Biodiversity Framework: with a focus on Freshwater and Communities</w:t>
      </w:r>
      <w:r w:rsidR="009F1FDC">
        <w:rPr>
          <w:lang w:val="fr-CH"/>
        </w:rPr>
        <w:t> »</w:t>
      </w:r>
      <w:r w:rsidR="4C276ADE" w:rsidRPr="007A7689">
        <w:rPr>
          <w:lang w:val="fr-CH"/>
        </w:rPr>
        <w:t xml:space="preserve"> organi</w:t>
      </w:r>
      <w:r w:rsidR="009F1FDC">
        <w:rPr>
          <w:lang w:val="fr-CH"/>
        </w:rPr>
        <w:t xml:space="preserve">sée par </w:t>
      </w:r>
      <w:r w:rsidR="00B201A5" w:rsidRPr="007A7689">
        <w:rPr>
          <w:lang w:val="fr-CH"/>
        </w:rPr>
        <w:t xml:space="preserve">Nature Conservancy </w:t>
      </w:r>
      <w:r w:rsidR="009F1FDC">
        <w:rPr>
          <w:lang w:val="fr-CH"/>
        </w:rPr>
        <w:t>et le</w:t>
      </w:r>
      <w:r w:rsidR="4C276ADE" w:rsidRPr="007A7689">
        <w:rPr>
          <w:lang w:val="fr-CH"/>
        </w:rPr>
        <w:t xml:space="preserve"> WWF</w:t>
      </w:r>
      <w:r w:rsidR="009F1FDC">
        <w:rPr>
          <w:lang w:val="fr-CH"/>
        </w:rPr>
        <w:t> </w:t>
      </w:r>
      <w:r w:rsidR="00140078" w:rsidRPr="007A7689">
        <w:rPr>
          <w:lang w:val="fr-CH"/>
        </w:rPr>
        <w:t>;</w:t>
      </w:r>
      <w:r w:rsidR="4C276ADE" w:rsidRPr="007A7689">
        <w:rPr>
          <w:lang w:val="fr-CH"/>
        </w:rPr>
        <w:t xml:space="preserve"> </w:t>
      </w:r>
      <w:r w:rsidR="009F1FDC">
        <w:rPr>
          <w:lang w:val="fr-CH"/>
        </w:rPr>
        <w:t>et à une activité sur « </w:t>
      </w:r>
      <w:r w:rsidR="4C276ADE" w:rsidRPr="007A7689">
        <w:rPr>
          <w:kern w:val="22"/>
          <w:lang w:val="fr-CH"/>
        </w:rPr>
        <w:t xml:space="preserve">Freshwater ecosystems and their role in achieving the </w:t>
      </w:r>
      <w:r w:rsidR="00B201A5" w:rsidRPr="007A7689">
        <w:rPr>
          <w:kern w:val="22"/>
          <w:lang w:val="fr-CH"/>
        </w:rPr>
        <w:t>Post-</w:t>
      </w:r>
      <w:r w:rsidR="4C276ADE" w:rsidRPr="007A7689">
        <w:rPr>
          <w:kern w:val="22"/>
          <w:lang w:val="fr-CH"/>
        </w:rPr>
        <w:t>2020 Global Biodiversity Framework targets, call for action to strengthen the protection and restoration of inland waters</w:t>
      </w:r>
      <w:r w:rsidR="009F1FDC">
        <w:rPr>
          <w:kern w:val="22"/>
          <w:lang w:val="fr-CH"/>
        </w:rPr>
        <w:t> »</w:t>
      </w:r>
      <w:r w:rsidR="4C276ADE" w:rsidRPr="007A7689">
        <w:rPr>
          <w:kern w:val="22"/>
          <w:lang w:val="fr-CH"/>
        </w:rPr>
        <w:t xml:space="preserve"> organi</w:t>
      </w:r>
      <w:r w:rsidR="009F1FDC">
        <w:rPr>
          <w:kern w:val="22"/>
          <w:lang w:val="fr-CH"/>
        </w:rPr>
        <w:t xml:space="preserve">sée par le Ministère de l’environnement de la Colombie et le WWF. </w:t>
      </w:r>
    </w:p>
    <w:p w14:paraId="6C5212A1" w14:textId="77777777" w:rsidR="00F678E0" w:rsidRPr="007A7689" w:rsidRDefault="00F678E0" w:rsidP="002E77BF">
      <w:pPr>
        <w:suppressAutoHyphens/>
        <w:spacing w:after="0" w:line="240" w:lineRule="auto"/>
        <w:ind w:left="426" w:hanging="426"/>
        <w:rPr>
          <w:rFonts w:eastAsia="Times New Roman" w:cstheme="minorHAnsi"/>
          <w:lang w:val="fr-CH" w:eastAsia="en-GB"/>
        </w:rPr>
      </w:pPr>
    </w:p>
    <w:p w14:paraId="67C71ABE" w14:textId="5D124E58" w:rsidR="00D06E11" w:rsidRPr="007A7689" w:rsidRDefault="00017673" w:rsidP="002E77BF">
      <w:pPr>
        <w:spacing w:after="0" w:line="240" w:lineRule="auto"/>
        <w:ind w:left="426" w:hanging="426"/>
        <w:rPr>
          <w:lang w:val="fr-CH"/>
        </w:rPr>
      </w:pPr>
      <w:r w:rsidRPr="007A7689">
        <w:rPr>
          <w:rFonts w:eastAsia="Times New Roman"/>
          <w:lang w:val="fr-CH" w:eastAsia="en-GB"/>
        </w:rPr>
        <w:t>15</w:t>
      </w:r>
      <w:r w:rsidR="33EAF271" w:rsidRPr="007A7689">
        <w:rPr>
          <w:rFonts w:eastAsia="Times New Roman"/>
          <w:lang w:val="fr-CH" w:eastAsia="en-GB"/>
        </w:rPr>
        <w:t>.</w:t>
      </w:r>
      <w:r w:rsidR="00A56F0D" w:rsidRPr="007A7689">
        <w:rPr>
          <w:rFonts w:eastAsia="Times New Roman"/>
          <w:lang w:val="fr-CH" w:eastAsia="en-GB"/>
        </w:rPr>
        <w:tab/>
      </w:r>
      <w:r w:rsidR="009F1FDC">
        <w:rPr>
          <w:rFonts w:eastAsia="Times New Roman"/>
          <w:lang w:val="fr-CH" w:eastAsia="en-GB"/>
        </w:rPr>
        <w:t>Avec l’adoption du Cadre mondial de la biodiversité</w:t>
      </w:r>
      <w:r w:rsidR="003D0EA3">
        <w:rPr>
          <w:rFonts w:eastAsia="Times New Roman"/>
          <w:lang w:val="fr-CH" w:eastAsia="en-GB"/>
        </w:rPr>
        <w:t xml:space="preserve"> pour l’après-2020 (désormais Cadre mondial de la biodiversité de Kunming à Montréal - CMB)</w:t>
      </w:r>
      <w:r w:rsidR="009F1FDC">
        <w:rPr>
          <w:rFonts w:eastAsia="Times New Roman"/>
          <w:lang w:val="fr-CH" w:eastAsia="en-GB"/>
        </w:rPr>
        <w:t xml:space="preserve">, les Secrétariats de la CDB et de la Convention sur les zones humides ont poursuivi les préparatifs d’un </w:t>
      </w:r>
      <w:r w:rsidR="003D0EA3">
        <w:rPr>
          <w:rFonts w:eastAsia="Times New Roman"/>
          <w:lang w:val="fr-CH" w:eastAsia="en-GB"/>
        </w:rPr>
        <w:t>s</w:t>
      </w:r>
      <w:r w:rsidR="009F1FDC">
        <w:rPr>
          <w:rFonts w:eastAsia="Times New Roman"/>
          <w:lang w:val="fr-CH" w:eastAsia="en-GB"/>
        </w:rPr>
        <w:t>ixième Plan de travail conjoint et mémorandum d’accord</w:t>
      </w:r>
      <w:r w:rsidR="003D0EA3">
        <w:rPr>
          <w:rFonts w:eastAsia="Times New Roman"/>
          <w:lang w:val="fr-CH" w:eastAsia="en-GB"/>
        </w:rPr>
        <w:t>,</w:t>
      </w:r>
      <w:r w:rsidR="009F1FDC">
        <w:rPr>
          <w:rFonts w:eastAsia="Times New Roman"/>
          <w:lang w:val="fr-CH" w:eastAsia="en-GB"/>
        </w:rPr>
        <w:t xml:space="preserve"> </w:t>
      </w:r>
      <w:r w:rsidR="003D0EA3">
        <w:rPr>
          <w:rFonts w:eastAsia="Times New Roman"/>
          <w:lang w:val="fr-CH" w:eastAsia="en-GB"/>
        </w:rPr>
        <w:t>conformes aux</w:t>
      </w:r>
      <w:r w:rsidR="009F1FDC">
        <w:rPr>
          <w:rFonts w:eastAsia="Times New Roman"/>
          <w:lang w:val="fr-CH" w:eastAsia="en-GB"/>
        </w:rPr>
        <w:t xml:space="preserve"> processus de gouvernance des deux Conventions et à l’examen </w:t>
      </w:r>
      <w:r w:rsidR="003D0EA3">
        <w:rPr>
          <w:lang w:val="fr-CH"/>
        </w:rPr>
        <w:t>du cinquième Plan de travail conjoint</w:t>
      </w:r>
      <w:r w:rsidR="003D0EA3">
        <w:rPr>
          <w:rFonts w:eastAsia="Times New Roman"/>
          <w:lang w:val="fr-CH" w:eastAsia="en-GB"/>
        </w:rPr>
        <w:t xml:space="preserve"> (</w:t>
      </w:r>
      <w:r w:rsidR="009F1FDC">
        <w:rPr>
          <w:rFonts w:eastAsia="Times New Roman"/>
          <w:lang w:val="fr-CH" w:eastAsia="en-GB"/>
        </w:rPr>
        <w:t>2022</w:t>
      </w:r>
      <w:r w:rsidR="003D0EA3">
        <w:rPr>
          <w:rFonts w:eastAsia="Times New Roman"/>
          <w:lang w:val="fr-CH" w:eastAsia="en-GB"/>
        </w:rPr>
        <w:t>)</w:t>
      </w:r>
      <w:r w:rsidR="009F1FDC">
        <w:rPr>
          <w:rFonts w:eastAsia="Times New Roman"/>
          <w:lang w:val="fr-CH" w:eastAsia="en-GB"/>
        </w:rPr>
        <w:t xml:space="preserve"> réalisé par les deux Secrétariats</w:t>
      </w:r>
      <w:r w:rsidR="009F1FDC">
        <w:rPr>
          <w:lang w:val="fr-CH"/>
        </w:rPr>
        <w:t xml:space="preserve">. L’examen, qui propose une vue d’ensemble des progrès de mise en œuvre, </w:t>
      </w:r>
      <w:r w:rsidR="009F1FDC">
        <w:rPr>
          <w:lang w:val="fr-CH"/>
        </w:rPr>
        <w:lastRenderedPageBreak/>
        <w:t>identifie les enseignements acquis et con</w:t>
      </w:r>
      <w:r w:rsidR="00D25464">
        <w:rPr>
          <w:lang w:val="fr-CH"/>
        </w:rPr>
        <w:t>tribue aux</w:t>
      </w:r>
      <w:r w:rsidR="009F1FDC">
        <w:rPr>
          <w:lang w:val="fr-CH"/>
        </w:rPr>
        <w:t xml:space="preserve"> préparatifs d’un plan de travail conjoint mis à jour qui tiendra compte du C</w:t>
      </w:r>
      <w:r w:rsidR="00D25464">
        <w:rPr>
          <w:lang w:val="fr-CH"/>
        </w:rPr>
        <w:t>MB</w:t>
      </w:r>
      <w:r w:rsidR="009F1FDC">
        <w:rPr>
          <w:lang w:val="fr-CH"/>
        </w:rPr>
        <w:t xml:space="preserve">, est publié dans le document </w:t>
      </w:r>
      <w:r w:rsidR="1408EBAA" w:rsidRPr="007A7689">
        <w:rPr>
          <w:rFonts w:eastAsia="MS Mincho"/>
          <w:lang w:val="fr-CH" w:eastAsia="ja-JP"/>
        </w:rPr>
        <w:t>SC59 Doc.16.1</w:t>
      </w:r>
      <w:r w:rsidR="001851B6" w:rsidRPr="007A7689">
        <w:rPr>
          <w:rStyle w:val="FootnoteReference"/>
          <w:rFonts w:eastAsia="MS Mincho"/>
          <w:lang w:val="fr-CH" w:eastAsia="ja-JP"/>
        </w:rPr>
        <w:footnoteReference w:id="2"/>
      </w:r>
      <w:r w:rsidR="1408EBAA" w:rsidRPr="007A7689">
        <w:rPr>
          <w:rFonts w:eastAsia="MS Mincho"/>
          <w:lang w:val="fr-CH" w:eastAsia="ja-JP"/>
        </w:rPr>
        <w:t>.</w:t>
      </w:r>
    </w:p>
    <w:p w14:paraId="18F11727" w14:textId="7D14278B" w:rsidR="000A264B" w:rsidRPr="007A7689" w:rsidRDefault="000A264B" w:rsidP="000A264B">
      <w:pPr>
        <w:spacing w:after="0" w:line="240" w:lineRule="auto"/>
        <w:ind w:left="426" w:hanging="426"/>
        <w:rPr>
          <w:rFonts w:eastAsia="Times New Roman" w:cstheme="minorHAnsi"/>
          <w:lang w:val="fr-CH" w:eastAsia="en-GB"/>
        </w:rPr>
      </w:pPr>
    </w:p>
    <w:p w14:paraId="513A30AE" w14:textId="096EC35F" w:rsidR="00462A24" w:rsidRPr="007A7689" w:rsidRDefault="00017673" w:rsidP="002E77BF">
      <w:pPr>
        <w:spacing w:after="0" w:line="240" w:lineRule="auto"/>
        <w:ind w:left="426" w:hanging="426"/>
        <w:rPr>
          <w:rFonts w:cstheme="minorHAnsi"/>
          <w:lang w:val="fr-CH"/>
        </w:rPr>
      </w:pPr>
      <w:r w:rsidRPr="007A7689">
        <w:rPr>
          <w:rFonts w:eastAsia="Times New Roman" w:cstheme="minorHAnsi"/>
          <w:lang w:val="fr-CH" w:eastAsia="en-GB"/>
        </w:rPr>
        <w:t>16</w:t>
      </w:r>
      <w:r w:rsidR="00E32A20" w:rsidRPr="007A7689">
        <w:rPr>
          <w:rFonts w:eastAsia="Times New Roman" w:cstheme="minorHAnsi"/>
          <w:lang w:val="fr-CH" w:eastAsia="en-GB"/>
        </w:rPr>
        <w:t>.</w:t>
      </w:r>
      <w:r w:rsidR="00A56F0D" w:rsidRPr="007A7689">
        <w:rPr>
          <w:rFonts w:eastAsia="Times New Roman" w:cstheme="minorHAnsi"/>
          <w:lang w:val="fr-CH" w:eastAsia="en-GB"/>
        </w:rPr>
        <w:tab/>
      </w:r>
      <w:r w:rsidR="00521EAD">
        <w:rPr>
          <w:rFonts w:eastAsia="Times New Roman" w:cstheme="minorHAnsi"/>
          <w:lang w:val="fr-CH" w:eastAsia="en-GB"/>
        </w:rPr>
        <w:t>Conformément à la Décision </w:t>
      </w:r>
      <w:r w:rsidR="00462A24" w:rsidRPr="007A7689">
        <w:rPr>
          <w:rFonts w:cstheme="minorHAnsi"/>
          <w:lang w:val="fr-CH"/>
        </w:rPr>
        <w:t>15/5</w:t>
      </w:r>
      <w:r w:rsidR="006018D3" w:rsidRPr="007A7689">
        <w:rPr>
          <w:rFonts w:cstheme="minorHAnsi"/>
          <w:lang w:val="fr-CH"/>
        </w:rPr>
        <w:t xml:space="preserve"> </w:t>
      </w:r>
      <w:r w:rsidR="00521EAD">
        <w:rPr>
          <w:rFonts w:cstheme="minorHAnsi"/>
          <w:lang w:val="fr-CH"/>
        </w:rPr>
        <w:t xml:space="preserve">de la CDB, </w:t>
      </w:r>
      <w:r w:rsidR="00521EAD">
        <w:rPr>
          <w:rFonts w:cstheme="minorHAnsi"/>
          <w:i/>
          <w:lang w:val="fr-CH"/>
        </w:rPr>
        <w:t xml:space="preserve">Cadre de suivi du Cadre mondial de la biodiversité de </w:t>
      </w:r>
      <w:r w:rsidR="00462A24" w:rsidRPr="007A7689">
        <w:rPr>
          <w:rFonts w:cstheme="minorHAnsi"/>
          <w:i/>
          <w:lang w:val="fr-CH"/>
        </w:rPr>
        <w:t>Kunming</w:t>
      </w:r>
      <w:r w:rsidR="00521EAD">
        <w:rPr>
          <w:rFonts w:cstheme="minorHAnsi"/>
          <w:i/>
          <w:lang w:val="fr-CH"/>
        </w:rPr>
        <w:t xml:space="preserve"> à Montréal</w:t>
      </w:r>
      <w:r w:rsidR="00521EAD">
        <w:rPr>
          <w:rFonts w:cstheme="minorHAnsi"/>
          <w:lang w:val="fr-CH"/>
        </w:rPr>
        <w:t xml:space="preserve">, </w:t>
      </w:r>
      <w:r w:rsidR="00462A24" w:rsidRPr="007A7689">
        <w:rPr>
          <w:rFonts w:cstheme="minorHAnsi"/>
          <w:lang w:val="fr-CH"/>
        </w:rPr>
        <w:t>a</w:t>
      </w:r>
      <w:r w:rsidR="00521EAD">
        <w:rPr>
          <w:rFonts w:cstheme="minorHAnsi"/>
          <w:lang w:val="fr-CH"/>
        </w:rPr>
        <w:t xml:space="preserve">insi que des paragraphes 42 et 44 de la Résolution </w:t>
      </w:r>
      <w:r w:rsidR="000A2989" w:rsidRPr="007A7689">
        <w:rPr>
          <w:rFonts w:cstheme="minorHAnsi"/>
          <w:lang w:val="fr-CH"/>
        </w:rPr>
        <w:t>XIV.6</w:t>
      </w:r>
      <w:r w:rsidR="00462A24" w:rsidRPr="007A7689">
        <w:rPr>
          <w:rFonts w:cstheme="minorHAnsi"/>
          <w:lang w:val="fr-CH"/>
        </w:rPr>
        <w:t xml:space="preserve">, </w:t>
      </w:r>
      <w:r w:rsidR="005775E2">
        <w:rPr>
          <w:rFonts w:cstheme="minorHAnsi"/>
          <w:lang w:val="fr-CH"/>
        </w:rPr>
        <w:t xml:space="preserve">le Secrétariat </w:t>
      </w:r>
      <w:r w:rsidR="00D25464">
        <w:rPr>
          <w:rFonts w:cstheme="minorHAnsi"/>
          <w:lang w:val="fr-CH"/>
        </w:rPr>
        <w:t>a proposé</w:t>
      </w:r>
      <w:r w:rsidR="005775E2">
        <w:rPr>
          <w:rFonts w:cstheme="minorHAnsi"/>
          <w:lang w:val="fr-CH"/>
        </w:rPr>
        <w:t xml:space="preserve"> que le Vice</w:t>
      </w:r>
      <w:r w:rsidR="005775E2">
        <w:rPr>
          <w:rFonts w:cstheme="minorHAnsi"/>
          <w:lang w:val="fr-CH"/>
        </w:rPr>
        <w:noBreakHyphen/>
        <w:t xml:space="preserve">Président du Groupe d’évaluation scientifique et technique (GEST) et le Directeur, Sciences et Politiques du Secrétariat, participent au Groupe spécial d’experts techniques sur les indicateurs </w:t>
      </w:r>
      <w:r w:rsidR="00D25464">
        <w:rPr>
          <w:rFonts w:cstheme="minorHAnsi"/>
          <w:lang w:val="fr-CH"/>
        </w:rPr>
        <w:t>du</w:t>
      </w:r>
      <w:r w:rsidR="005775E2">
        <w:rPr>
          <w:rFonts w:cstheme="minorHAnsi"/>
          <w:lang w:val="fr-CH"/>
        </w:rPr>
        <w:t xml:space="preserve"> Cadre mondial de la biodiversité de </w:t>
      </w:r>
      <w:r w:rsidR="00462A24" w:rsidRPr="007A7689">
        <w:rPr>
          <w:rFonts w:cstheme="minorHAnsi"/>
          <w:lang w:val="fr-CH"/>
        </w:rPr>
        <w:t>Kunming</w:t>
      </w:r>
      <w:r w:rsidR="005775E2">
        <w:rPr>
          <w:rFonts w:cstheme="minorHAnsi"/>
          <w:lang w:val="fr-CH"/>
        </w:rPr>
        <w:t xml:space="preserve"> à Montréal. Toutefois, ils n’ont pas été sélectionnés. </w:t>
      </w:r>
    </w:p>
    <w:p w14:paraId="30ACD6A8" w14:textId="77777777" w:rsidR="00462A24" w:rsidRPr="007A7689" w:rsidRDefault="00462A24" w:rsidP="000A264B">
      <w:pPr>
        <w:spacing w:after="0" w:line="240" w:lineRule="auto"/>
        <w:contextualSpacing/>
        <w:rPr>
          <w:rFonts w:eastAsia="Times New Roman" w:cstheme="minorHAnsi"/>
          <w:lang w:val="fr-CH" w:eastAsia="en-GB"/>
        </w:rPr>
      </w:pPr>
    </w:p>
    <w:p w14:paraId="660B51FA" w14:textId="01F2A8B5" w:rsidR="00842B23" w:rsidRPr="007A7689" w:rsidRDefault="003E48CC" w:rsidP="000A264B">
      <w:pPr>
        <w:keepNext/>
        <w:spacing w:after="0" w:line="240" w:lineRule="auto"/>
        <w:rPr>
          <w:rFonts w:eastAsia="Times New Roman"/>
          <w:i/>
          <w:iCs/>
          <w:lang w:val="fr-CH" w:eastAsia="en-GB"/>
        </w:rPr>
      </w:pPr>
      <w:r>
        <w:rPr>
          <w:rFonts w:eastAsia="Times New Roman"/>
          <w:i/>
          <w:iCs/>
          <w:lang w:val="fr-CH" w:eastAsia="en-GB"/>
        </w:rPr>
        <w:t xml:space="preserve">La </w:t>
      </w:r>
      <w:r w:rsidR="009C2848" w:rsidRPr="007A7689">
        <w:rPr>
          <w:rFonts w:eastAsia="Times New Roman"/>
          <w:i/>
          <w:iCs/>
          <w:lang w:val="fr-CH" w:eastAsia="en-GB"/>
        </w:rPr>
        <w:t xml:space="preserve">Convention </w:t>
      </w:r>
      <w:r w:rsidR="008B1C11">
        <w:rPr>
          <w:rFonts w:eastAsia="Times New Roman"/>
          <w:i/>
          <w:iCs/>
          <w:lang w:val="fr-CH" w:eastAsia="en-GB"/>
        </w:rPr>
        <w:t xml:space="preserve">sur la conservation des espèces migratrices appartenant à la faune sauvage </w:t>
      </w:r>
    </w:p>
    <w:p w14:paraId="4A492454" w14:textId="775CA0F6" w:rsidR="00B05B72" w:rsidRPr="007A7689" w:rsidRDefault="00B05B72" w:rsidP="000A264B">
      <w:pPr>
        <w:keepNext/>
        <w:spacing w:after="0" w:line="240" w:lineRule="auto"/>
        <w:rPr>
          <w:lang w:val="fr-CH"/>
        </w:rPr>
      </w:pPr>
    </w:p>
    <w:p w14:paraId="48D88E14" w14:textId="1DF5DF6F" w:rsidR="00604A5B" w:rsidRPr="007A7689" w:rsidRDefault="00B30AE1" w:rsidP="002E77BF">
      <w:pPr>
        <w:spacing w:after="0" w:line="240" w:lineRule="auto"/>
        <w:ind w:left="426" w:hanging="426"/>
        <w:rPr>
          <w:rFonts w:eastAsia="Times New Roman"/>
          <w:lang w:val="fr-CH" w:eastAsia="en-GB"/>
        </w:rPr>
      </w:pPr>
      <w:r w:rsidRPr="007A7689">
        <w:rPr>
          <w:rFonts w:eastAsia="Times New Roman"/>
          <w:lang w:val="fr-CH" w:eastAsia="en-GB"/>
        </w:rPr>
        <w:t>1</w:t>
      </w:r>
      <w:r w:rsidR="000A2989" w:rsidRPr="007A7689">
        <w:rPr>
          <w:rFonts w:eastAsia="Times New Roman"/>
          <w:lang w:val="fr-CH" w:eastAsia="en-GB"/>
        </w:rPr>
        <w:t>7</w:t>
      </w:r>
      <w:r w:rsidRPr="007A7689">
        <w:rPr>
          <w:rFonts w:eastAsia="Times New Roman"/>
          <w:lang w:val="fr-CH" w:eastAsia="en-GB"/>
        </w:rPr>
        <w:t>.</w:t>
      </w:r>
      <w:r w:rsidR="00A56F0D" w:rsidRPr="007A7689">
        <w:rPr>
          <w:rFonts w:eastAsia="Times New Roman"/>
          <w:lang w:val="fr-CH" w:eastAsia="en-GB"/>
        </w:rPr>
        <w:tab/>
      </w:r>
      <w:r w:rsidR="008B1C11">
        <w:rPr>
          <w:rFonts w:eastAsia="Times New Roman"/>
          <w:lang w:val="fr-CH" w:eastAsia="en-GB"/>
        </w:rPr>
        <w:t xml:space="preserve">Le Secrétariat participe </w:t>
      </w:r>
      <w:r w:rsidR="0089701C">
        <w:rPr>
          <w:rFonts w:eastAsia="Times New Roman"/>
          <w:lang w:val="fr-CH" w:eastAsia="en-GB"/>
        </w:rPr>
        <w:t>aux travaux du</w:t>
      </w:r>
      <w:r w:rsidR="008B1C11">
        <w:rPr>
          <w:rFonts w:eastAsia="Times New Roman"/>
          <w:lang w:val="fr-CH" w:eastAsia="en-GB"/>
        </w:rPr>
        <w:t xml:space="preserve"> Groupe de travail de la CMS sur les voies de migration et a assisté à une réunion</w:t>
      </w:r>
      <w:r w:rsidR="0089701C">
        <w:rPr>
          <w:rFonts w:eastAsia="Times New Roman"/>
          <w:lang w:val="fr-CH" w:eastAsia="en-GB"/>
        </w:rPr>
        <w:t>,</w:t>
      </w:r>
      <w:r w:rsidR="008B1C11">
        <w:rPr>
          <w:rFonts w:eastAsia="Times New Roman"/>
          <w:lang w:val="fr-CH" w:eastAsia="en-GB"/>
        </w:rPr>
        <w:t xml:space="preserve"> organisée de manière virtuelle</w:t>
      </w:r>
      <w:r w:rsidR="0089701C">
        <w:rPr>
          <w:rFonts w:eastAsia="Times New Roman"/>
          <w:lang w:val="fr-CH" w:eastAsia="en-GB"/>
        </w:rPr>
        <w:t>,</w:t>
      </w:r>
      <w:r w:rsidR="008B1C11">
        <w:rPr>
          <w:rFonts w:eastAsia="Times New Roman"/>
          <w:lang w:val="fr-CH" w:eastAsia="en-GB"/>
        </w:rPr>
        <w:t xml:space="preserve"> en février 2023, </w:t>
      </w:r>
      <w:r w:rsidR="0089701C">
        <w:rPr>
          <w:rFonts w:eastAsia="Times New Roman"/>
          <w:lang w:val="fr-CH" w:eastAsia="en-GB"/>
        </w:rPr>
        <w:t>contribuant à</w:t>
      </w:r>
      <w:r w:rsidR="008B1C11">
        <w:rPr>
          <w:rFonts w:eastAsia="Times New Roman"/>
          <w:lang w:val="fr-CH" w:eastAsia="en-GB"/>
        </w:rPr>
        <w:t xml:space="preserve"> un examen stratégique en cours, </w:t>
      </w:r>
      <w:r w:rsidR="0089701C">
        <w:rPr>
          <w:rFonts w:eastAsia="Times New Roman"/>
          <w:lang w:val="fr-CH" w:eastAsia="en-GB"/>
        </w:rPr>
        <w:t xml:space="preserve">mené </w:t>
      </w:r>
      <w:r w:rsidR="008B1C11">
        <w:rPr>
          <w:rFonts w:eastAsia="Times New Roman"/>
          <w:lang w:val="fr-CH" w:eastAsia="en-GB"/>
        </w:rPr>
        <w:t xml:space="preserve">par le Secrétariat de la CMS, concernant les </w:t>
      </w:r>
      <w:r w:rsidR="0089701C">
        <w:rPr>
          <w:rFonts w:eastAsia="Times New Roman"/>
          <w:lang w:val="fr-CH" w:eastAsia="en-GB"/>
        </w:rPr>
        <w:t>activités</w:t>
      </w:r>
      <w:r w:rsidR="008B1C11">
        <w:rPr>
          <w:rFonts w:eastAsia="Times New Roman"/>
          <w:lang w:val="fr-CH" w:eastAsia="en-GB"/>
        </w:rPr>
        <w:t xml:space="preserve"> relati</w:t>
      </w:r>
      <w:r w:rsidR="0089701C">
        <w:rPr>
          <w:rFonts w:eastAsia="Times New Roman"/>
          <w:lang w:val="fr-CH" w:eastAsia="en-GB"/>
        </w:rPr>
        <w:t>ve</w:t>
      </w:r>
      <w:r w:rsidR="008B1C11">
        <w:rPr>
          <w:rFonts w:eastAsia="Times New Roman"/>
          <w:lang w:val="fr-CH" w:eastAsia="en-GB"/>
        </w:rPr>
        <w:t xml:space="preserve">s aux voies de migration dans le cadre de la CMS. </w:t>
      </w:r>
    </w:p>
    <w:p w14:paraId="4DFB5C1B" w14:textId="77777777" w:rsidR="00B05B72" w:rsidRPr="007A7689" w:rsidRDefault="00B05B72" w:rsidP="002E77BF">
      <w:pPr>
        <w:spacing w:after="0" w:line="240" w:lineRule="auto"/>
        <w:rPr>
          <w:lang w:val="fr-CH"/>
        </w:rPr>
      </w:pPr>
    </w:p>
    <w:p w14:paraId="65F335FD" w14:textId="4142C635" w:rsidR="00842B23" w:rsidRPr="007A7689" w:rsidRDefault="00E76100" w:rsidP="000A264B">
      <w:pPr>
        <w:keepNext/>
        <w:spacing w:after="0" w:line="240" w:lineRule="auto"/>
        <w:rPr>
          <w:rFonts w:eastAsia="Times New Roman"/>
          <w:i/>
          <w:iCs/>
          <w:lang w:val="fr-CH" w:eastAsia="en-GB"/>
        </w:rPr>
      </w:pPr>
      <w:r>
        <w:rPr>
          <w:rFonts w:eastAsia="Times New Roman"/>
          <w:i/>
          <w:iCs/>
          <w:lang w:val="fr-CH" w:eastAsia="en-GB"/>
        </w:rPr>
        <w:t>La c</w:t>
      </w:r>
      <w:r w:rsidR="00842B23" w:rsidRPr="007A7689">
        <w:rPr>
          <w:rFonts w:eastAsia="Times New Roman"/>
          <w:i/>
          <w:iCs/>
          <w:lang w:val="fr-CH" w:eastAsia="en-GB"/>
        </w:rPr>
        <w:t xml:space="preserve">onservation </w:t>
      </w:r>
      <w:r>
        <w:rPr>
          <w:rFonts w:eastAsia="Times New Roman"/>
          <w:i/>
          <w:iCs/>
          <w:lang w:val="fr-CH" w:eastAsia="en-GB"/>
        </w:rPr>
        <w:t>des oiseaux d’eau migrateurs d’Afrique</w:t>
      </w:r>
      <w:r w:rsidR="0093360E">
        <w:rPr>
          <w:rFonts w:eastAsia="Times New Roman"/>
          <w:i/>
          <w:iCs/>
          <w:lang w:val="fr-CH" w:eastAsia="en-GB"/>
        </w:rPr>
        <w:t>-</w:t>
      </w:r>
      <w:r>
        <w:rPr>
          <w:rFonts w:eastAsia="Times New Roman"/>
          <w:i/>
          <w:iCs/>
          <w:lang w:val="fr-CH" w:eastAsia="en-GB"/>
        </w:rPr>
        <w:t>Eurasie</w:t>
      </w:r>
    </w:p>
    <w:p w14:paraId="255F5161" w14:textId="77777777" w:rsidR="00FE4127" w:rsidRPr="007A7689" w:rsidRDefault="00FE4127" w:rsidP="000A264B">
      <w:pPr>
        <w:keepNext/>
        <w:spacing w:after="0" w:line="240" w:lineRule="auto"/>
        <w:rPr>
          <w:lang w:val="fr-CH"/>
        </w:rPr>
      </w:pPr>
    </w:p>
    <w:p w14:paraId="1A382496" w14:textId="242C9B14" w:rsidR="00A82144" w:rsidRPr="007A7689" w:rsidRDefault="00A82144" w:rsidP="00A56F0D">
      <w:pPr>
        <w:spacing w:after="0" w:line="240" w:lineRule="auto"/>
        <w:ind w:left="425" w:hanging="425"/>
        <w:contextualSpacing/>
        <w:rPr>
          <w:rFonts w:ascii="Calibri" w:eastAsia="Calibri" w:hAnsi="Calibri" w:cs="Calibri"/>
          <w:lang w:val="fr-CH"/>
        </w:rPr>
      </w:pPr>
      <w:r w:rsidRPr="007A7689">
        <w:rPr>
          <w:rFonts w:ascii="Calibri" w:eastAsia="Calibri" w:hAnsi="Calibri" w:cs="Calibri"/>
          <w:lang w:val="fr-CH"/>
        </w:rPr>
        <w:t>18</w:t>
      </w:r>
      <w:r w:rsidR="00E93BA4" w:rsidRPr="007A7689">
        <w:rPr>
          <w:rFonts w:ascii="Calibri" w:eastAsia="Calibri" w:hAnsi="Calibri" w:cs="Calibri"/>
          <w:lang w:val="fr-CH"/>
        </w:rPr>
        <w:t>.</w:t>
      </w:r>
      <w:r w:rsidR="00A56F0D" w:rsidRPr="007A7689">
        <w:rPr>
          <w:rFonts w:ascii="Calibri" w:eastAsia="Calibri" w:hAnsi="Calibri" w:cs="Calibri"/>
          <w:lang w:val="fr-CH"/>
        </w:rPr>
        <w:tab/>
      </w:r>
      <w:r w:rsidR="00387711">
        <w:rPr>
          <w:rFonts w:ascii="Calibri" w:eastAsia="Calibri" w:hAnsi="Calibri" w:cs="Calibri"/>
          <w:lang w:val="fr-CH"/>
        </w:rPr>
        <w:t xml:space="preserve">Le Secrétariat a </w:t>
      </w:r>
      <w:r w:rsidR="0093360E">
        <w:rPr>
          <w:rFonts w:ascii="Calibri" w:eastAsia="Calibri" w:hAnsi="Calibri" w:cs="Calibri"/>
          <w:lang w:val="fr-CH"/>
        </w:rPr>
        <w:t>pris</w:t>
      </w:r>
      <w:r w:rsidR="00387711">
        <w:rPr>
          <w:rFonts w:ascii="Calibri" w:eastAsia="Calibri" w:hAnsi="Calibri" w:cs="Calibri"/>
          <w:lang w:val="fr-CH"/>
        </w:rPr>
        <w:t xml:space="preserve"> activement </w:t>
      </w:r>
      <w:r w:rsidR="0093360E">
        <w:rPr>
          <w:rFonts w:ascii="Calibri" w:eastAsia="Calibri" w:hAnsi="Calibri" w:cs="Calibri"/>
          <w:lang w:val="fr-CH"/>
        </w:rPr>
        <w:t xml:space="preserve">part </w:t>
      </w:r>
      <w:r w:rsidR="00387711">
        <w:rPr>
          <w:rFonts w:ascii="Calibri" w:eastAsia="Calibri" w:hAnsi="Calibri" w:cs="Calibri"/>
          <w:lang w:val="fr-CH"/>
        </w:rPr>
        <w:t xml:space="preserve">à la </w:t>
      </w:r>
      <w:r w:rsidR="0093360E" w:rsidRPr="0093360E">
        <w:rPr>
          <w:rFonts w:ascii="Calibri" w:eastAsia="Calibri" w:hAnsi="Calibri" w:cs="Calibri"/>
          <w:lang w:val="fr-CH"/>
        </w:rPr>
        <w:t xml:space="preserve">huitième réunion des Parties </w:t>
      </w:r>
      <w:r w:rsidR="0093360E">
        <w:rPr>
          <w:rFonts w:ascii="Calibri" w:eastAsia="Calibri" w:hAnsi="Calibri" w:cs="Calibri"/>
          <w:lang w:val="fr-CH"/>
        </w:rPr>
        <w:t xml:space="preserve">(MOP8) </w:t>
      </w:r>
      <w:r w:rsidR="0093360E" w:rsidRPr="0093360E">
        <w:rPr>
          <w:rFonts w:ascii="Calibri" w:eastAsia="Calibri" w:hAnsi="Calibri" w:cs="Calibri"/>
          <w:lang w:val="fr-CH"/>
        </w:rPr>
        <w:t>à l'Accord sur la conservation des oiseaux d'eau migrateurs d'Afrique-Eurasie (AEWA)</w:t>
      </w:r>
      <w:r w:rsidR="0093360E">
        <w:rPr>
          <w:rFonts w:ascii="Calibri" w:eastAsia="Calibri" w:hAnsi="Calibri" w:cs="Calibri"/>
          <w:lang w:val="fr-CH"/>
        </w:rPr>
        <w:t>,</w:t>
      </w:r>
      <w:r w:rsidR="0093360E" w:rsidRPr="0093360E">
        <w:rPr>
          <w:rFonts w:ascii="Calibri" w:eastAsia="Calibri" w:hAnsi="Calibri" w:cs="Calibri"/>
          <w:lang w:val="fr-CH"/>
        </w:rPr>
        <w:t xml:space="preserve"> </w:t>
      </w:r>
      <w:r w:rsidR="00387711">
        <w:rPr>
          <w:rFonts w:ascii="Calibri" w:eastAsia="Calibri" w:hAnsi="Calibri" w:cs="Calibri"/>
          <w:lang w:val="fr-CH"/>
        </w:rPr>
        <w:t>en septembre 2022 à</w:t>
      </w:r>
      <w:r w:rsidR="7A96DC6C" w:rsidRPr="007A7689">
        <w:rPr>
          <w:rFonts w:ascii="Calibri" w:eastAsia="Calibri" w:hAnsi="Calibri" w:cs="Calibri"/>
          <w:lang w:val="fr-CH"/>
        </w:rPr>
        <w:t xml:space="preserve"> Budapest, H</w:t>
      </w:r>
      <w:r w:rsidR="00387711">
        <w:rPr>
          <w:rFonts w:ascii="Calibri" w:eastAsia="Calibri" w:hAnsi="Calibri" w:cs="Calibri"/>
          <w:lang w:val="fr-CH"/>
        </w:rPr>
        <w:t>ongrie</w:t>
      </w:r>
      <w:r w:rsidR="7A96DC6C" w:rsidRPr="007A7689">
        <w:rPr>
          <w:rFonts w:ascii="Calibri" w:eastAsia="Calibri" w:hAnsi="Calibri" w:cs="Calibri"/>
          <w:lang w:val="fr-CH"/>
        </w:rPr>
        <w:t xml:space="preserve">. </w:t>
      </w:r>
      <w:r w:rsidR="00387711">
        <w:rPr>
          <w:rFonts w:ascii="Calibri" w:eastAsia="Calibri" w:hAnsi="Calibri" w:cs="Calibri"/>
          <w:lang w:val="fr-CH"/>
        </w:rPr>
        <w:t xml:space="preserve">La réunion a souligné le rôle vital de la contribution politique et technique de l’AEWA </w:t>
      </w:r>
      <w:r w:rsidR="0093360E">
        <w:rPr>
          <w:rFonts w:ascii="Calibri" w:eastAsia="Calibri" w:hAnsi="Calibri" w:cs="Calibri"/>
          <w:lang w:val="fr-CH"/>
        </w:rPr>
        <w:t xml:space="preserve">à </w:t>
      </w:r>
      <w:r w:rsidR="00387711">
        <w:rPr>
          <w:rFonts w:ascii="Calibri" w:eastAsia="Calibri" w:hAnsi="Calibri" w:cs="Calibri"/>
          <w:lang w:val="fr-CH"/>
        </w:rPr>
        <w:t>la mise en œuvre de la CMS, de la CDB et de la Convention sur les zones humides, et a invité son Secrétaire exécutif à renforcer les synergies avec ces AME. La MOP8 a examiné et adopté 18 résolutions, dont six étaient directement liées à l’utilisation rationnelle des zones humides et aux synergies.</w:t>
      </w:r>
    </w:p>
    <w:p w14:paraId="7A399DD1" w14:textId="77777777" w:rsidR="00A82144" w:rsidRPr="007A7689" w:rsidRDefault="00A82144" w:rsidP="00A56F0D">
      <w:pPr>
        <w:spacing w:after="0" w:line="240" w:lineRule="auto"/>
        <w:ind w:left="425" w:hanging="425"/>
        <w:contextualSpacing/>
        <w:rPr>
          <w:rFonts w:ascii="Calibri" w:eastAsia="Calibri" w:hAnsi="Calibri" w:cs="Calibri"/>
          <w:lang w:val="fr-CH"/>
        </w:rPr>
      </w:pPr>
    </w:p>
    <w:p w14:paraId="4913ACE9" w14:textId="158331AC" w:rsidR="00765608" w:rsidRPr="007A7689" w:rsidRDefault="00A82144" w:rsidP="002E77BF">
      <w:pPr>
        <w:spacing w:after="0" w:line="240" w:lineRule="auto"/>
        <w:ind w:left="425" w:hanging="425"/>
        <w:contextualSpacing/>
        <w:rPr>
          <w:rFonts w:ascii="Calibri" w:eastAsia="Calibri" w:hAnsi="Calibri" w:cs="Calibri"/>
          <w:color w:val="000000" w:themeColor="text1"/>
          <w:lang w:val="fr-CH"/>
        </w:rPr>
      </w:pPr>
      <w:r w:rsidRPr="007A7689">
        <w:rPr>
          <w:rFonts w:ascii="Calibri" w:eastAsia="Calibri" w:hAnsi="Calibri" w:cs="Calibri"/>
          <w:lang w:val="fr-CH"/>
        </w:rPr>
        <w:t>19.</w:t>
      </w:r>
      <w:r w:rsidRPr="007A7689">
        <w:rPr>
          <w:rFonts w:ascii="Calibri" w:eastAsia="Calibri" w:hAnsi="Calibri" w:cs="Calibri"/>
          <w:lang w:val="fr-CH"/>
        </w:rPr>
        <w:tab/>
      </w:r>
      <w:r w:rsidR="00387711">
        <w:rPr>
          <w:rFonts w:ascii="Calibri" w:eastAsia="Calibri" w:hAnsi="Calibri" w:cs="Calibri"/>
          <w:lang w:val="fr-CH"/>
        </w:rPr>
        <w:t xml:space="preserve">Le Secrétariat </w:t>
      </w:r>
      <w:r w:rsidR="005A1E5C">
        <w:rPr>
          <w:rFonts w:ascii="Calibri" w:eastAsia="Calibri" w:hAnsi="Calibri" w:cs="Calibri"/>
          <w:lang w:val="fr-CH"/>
        </w:rPr>
        <w:t>a également participé à la 18</w:t>
      </w:r>
      <w:r w:rsidR="005A1E5C" w:rsidRPr="005A1E5C">
        <w:rPr>
          <w:rFonts w:ascii="Calibri" w:eastAsia="Calibri" w:hAnsi="Calibri" w:cs="Calibri"/>
          <w:vertAlign w:val="superscript"/>
          <w:lang w:val="fr-CH"/>
        </w:rPr>
        <w:t>e</w:t>
      </w:r>
      <w:r w:rsidR="005A1E5C">
        <w:rPr>
          <w:rFonts w:ascii="Calibri" w:eastAsia="Calibri" w:hAnsi="Calibri" w:cs="Calibri"/>
          <w:lang w:val="fr-CH"/>
        </w:rPr>
        <w:t xml:space="preserve"> réunion du Comité technique de l’AEWA en mars 2023 à Bonn, en Allemagne. Les participants ont examiné et approuvé les tâches du plan de travail du Comité technique </w:t>
      </w:r>
      <w:r w:rsidR="0056779E">
        <w:rPr>
          <w:rFonts w:ascii="Calibri" w:eastAsia="Calibri" w:hAnsi="Calibri" w:cs="Calibri"/>
          <w:lang w:val="fr-CH"/>
        </w:rPr>
        <w:t>pour</w:t>
      </w:r>
      <w:r w:rsidR="005A1E5C">
        <w:rPr>
          <w:rFonts w:ascii="Calibri" w:eastAsia="Calibri" w:hAnsi="Calibri" w:cs="Calibri"/>
          <w:lang w:val="fr-CH"/>
        </w:rPr>
        <w:t xml:space="preserve"> la période triennale </w:t>
      </w:r>
      <w:r w:rsidR="7A96DC6C" w:rsidRPr="007A7689">
        <w:rPr>
          <w:rFonts w:ascii="Calibri" w:eastAsia="Calibri" w:hAnsi="Calibri" w:cs="Calibri"/>
          <w:lang w:val="fr-CH"/>
        </w:rPr>
        <w:t>2023-2025</w:t>
      </w:r>
      <w:r w:rsidR="17DD9452" w:rsidRPr="007A7689" w:rsidDel="00412836">
        <w:rPr>
          <w:rFonts w:ascii="Calibri" w:eastAsia="Calibri" w:hAnsi="Calibri" w:cs="Calibri"/>
          <w:lang w:val="fr-CH"/>
        </w:rPr>
        <w:t>.</w:t>
      </w:r>
    </w:p>
    <w:p w14:paraId="500EEA9C" w14:textId="77777777" w:rsidR="00765608" w:rsidRPr="007A7689" w:rsidRDefault="00765608" w:rsidP="002E77BF">
      <w:pPr>
        <w:spacing w:after="0" w:line="240" w:lineRule="auto"/>
        <w:ind w:left="425" w:hanging="425"/>
        <w:contextualSpacing/>
        <w:rPr>
          <w:rFonts w:ascii="Calibri" w:eastAsia="Calibri" w:hAnsi="Calibri" w:cs="Calibri"/>
          <w:color w:val="000000" w:themeColor="text1"/>
          <w:lang w:val="fr-CH"/>
        </w:rPr>
      </w:pPr>
    </w:p>
    <w:p w14:paraId="7475EEE3" w14:textId="72B38AAA" w:rsidR="00B677F9" w:rsidRPr="005A1E5C" w:rsidRDefault="00403F41" w:rsidP="009D2419">
      <w:pPr>
        <w:keepNext/>
        <w:spacing w:after="0" w:line="240" w:lineRule="auto"/>
        <w:contextualSpacing/>
        <w:rPr>
          <w:rFonts w:eastAsia="Times New Roman" w:cstheme="minorHAnsi"/>
          <w:i/>
          <w:lang w:val="fr-CH" w:eastAsia="en-GB"/>
        </w:rPr>
      </w:pPr>
      <w:r w:rsidRPr="00C82341">
        <w:rPr>
          <w:rFonts w:eastAsia="Times New Roman" w:cstheme="minorHAnsi"/>
          <w:i/>
          <w:lang w:val="fr-CH" w:eastAsia="en-GB"/>
        </w:rPr>
        <w:t>Le Forum mondial du littoral</w:t>
      </w:r>
    </w:p>
    <w:p w14:paraId="29B92005" w14:textId="77777777" w:rsidR="00B677F9" w:rsidRPr="005A1E5C" w:rsidRDefault="00B677F9" w:rsidP="009D2419">
      <w:pPr>
        <w:keepNext/>
        <w:spacing w:after="0" w:line="240" w:lineRule="auto"/>
        <w:ind w:left="425" w:hanging="425"/>
        <w:contextualSpacing/>
        <w:rPr>
          <w:rFonts w:eastAsia="Times New Roman" w:cstheme="minorHAnsi"/>
          <w:lang w:val="fr-CH" w:eastAsia="en-GB"/>
        </w:rPr>
      </w:pPr>
    </w:p>
    <w:p w14:paraId="6DD4F5D5" w14:textId="0305B32A" w:rsidR="00E45516" w:rsidRPr="005A1E5C" w:rsidRDefault="009D2419" w:rsidP="00403F41">
      <w:pPr>
        <w:tabs>
          <w:tab w:val="left" w:pos="142"/>
        </w:tabs>
        <w:suppressAutoHyphens/>
        <w:spacing w:after="0" w:line="240" w:lineRule="auto"/>
        <w:ind w:left="426" w:hanging="426"/>
        <w:rPr>
          <w:rFonts w:eastAsia="Times New Roman" w:cstheme="minorHAnsi"/>
          <w:lang w:val="fr-CH" w:eastAsia="en-GB"/>
        </w:rPr>
      </w:pPr>
      <w:r w:rsidRPr="005A1E5C">
        <w:rPr>
          <w:rFonts w:eastAsia="Times New Roman" w:cstheme="minorHAnsi"/>
          <w:lang w:val="fr-CH" w:eastAsia="en-GB"/>
        </w:rPr>
        <w:t>20</w:t>
      </w:r>
      <w:r w:rsidR="009C2848" w:rsidRPr="005A1E5C">
        <w:rPr>
          <w:rFonts w:eastAsia="Times New Roman" w:cstheme="minorHAnsi"/>
          <w:lang w:val="fr-CH" w:eastAsia="en-GB"/>
        </w:rPr>
        <w:t>.</w:t>
      </w:r>
      <w:bookmarkStart w:id="1" w:name="_Hlk52804242"/>
      <w:r w:rsidR="00A56F0D" w:rsidRPr="005A1E5C">
        <w:rPr>
          <w:rFonts w:eastAsia="Times New Roman" w:cstheme="minorHAnsi"/>
          <w:lang w:val="fr-CH" w:eastAsia="en-GB"/>
        </w:rPr>
        <w:tab/>
      </w:r>
      <w:r w:rsidR="00237973">
        <w:rPr>
          <w:rFonts w:eastAsia="Times New Roman" w:cstheme="minorHAnsi"/>
          <w:lang w:val="fr-CH" w:eastAsia="en-GB"/>
        </w:rPr>
        <w:t xml:space="preserve">Le Secrétariat a participé en tant qu’expert </w:t>
      </w:r>
      <w:r w:rsidR="00403F41" w:rsidRPr="00C82341">
        <w:rPr>
          <w:rFonts w:eastAsia="Times New Roman" w:cstheme="minorHAnsi"/>
          <w:lang w:val="fr-CH" w:eastAsia="en-GB"/>
        </w:rPr>
        <w:t xml:space="preserve">au </w:t>
      </w:r>
      <w:r w:rsidR="00C82341">
        <w:rPr>
          <w:rFonts w:eastAsia="Times New Roman" w:cstheme="minorHAnsi"/>
          <w:lang w:val="fr-CH" w:eastAsia="en-GB"/>
        </w:rPr>
        <w:t>colloque</w:t>
      </w:r>
      <w:r w:rsidR="00403F41" w:rsidRPr="00C82341">
        <w:rPr>
          <w:rFonts w:eastAsia="Times New Roman" w:cstheme="minorHAnsi"/>
          <w:lang w:val="fr-CH" w:eastAsia="en-GB"/>
        </w:rPr>
        <w:t xml:space="preserve"> du</w:t>
      </w:r>
      <w:r w:rsidR="00E45516" w:rsidRPr="00C82341">
        <w:rPr>
          <w:rFonts w:eastAsia="Times New Roman" w:cstheme="minorHAnsi"/>
          <w:lang w:val="fr-CH" w:eastAsia="en-GB"/>
        </w:rPr>
        <w:t xml:space="preserve"> </w:t>
      </w:r>
      <w:r w:rsidR="00403F41" w:rsidRPr="00C82341">
        <w:rPr>
          <w:rFonts w:eastAsia="Times New Roman" w:cstheme="minorHAnsi"/>
          <w:lang w:val="fr-CH" w:eastAsia="en-GB"/>
        </w:rPr>
        <w:t xml:space="preserve">Forum mondial du littoral </w:t>
      </w:r>
      <w:r w:rsidR="00E45516" w:rsidRPr="00C82341">
        <w:rPr>
          <w:rFonts w:eastAsia="Times New Roman" w:cstheme="minorHAnsi"/>
          <w:lang w:val="fr-CH" w:eastAsia="en-GB"/>
        </w:rPr>
        <w:t>(</w:t>
      </w:r>
      <w:r w:rsidR="00403F41" w:rsidRPr="00C82341">
        <w:rPr>
          <w:rFonts w:eastAsia="Times New Roman" w:cstheme="minorHAnsi"/>
          <w:lang w:val="fr-CH" w:eastAsia="en-GB"/>
        </w:rPr>
        <w:t>FML</w:t>
      </w:r>
      <w:r w:rsidR="00E45516" w:rsidRPr="00C82341">
        <w:rPr>
          <w:rFonts w:eastAsia="Times New Roman" w:cstheme="minorHAnsi"/>
          <w:lang w:val="fr-CH" w:eastAsia="en-GB"/>
        </w:rPr>
        <w:t>),</w:t>
      </w:r>
      <w:r w:rsidR="00E45516" w:rsidRPr="005A1E5C">
        <w:rPr>
          <w:rFonts w:eastAsia="Times New Roman" w:cstheme="minorHAnsi"/>
          <w:lang w:val="fr-CH" w:eastAsia="en-GB"/>
        </w:rPr>
        <w:t xml:space="preserve"> </w:t>
      </w:r>
      <w:r w:rsidR="00237973">
        <w:rPr>
          <w:rFonts w:eastAsia="Times New Roman" w:cstheme="minorHAnsi"/>
          <w:lang w:val="fr-CH" w:eastAsia="en-GB"/>
        </w:rPr>
        <w:t xml:space="preserve">une activité parallèle organisée à la COP14 en novembre 2022. Le FML a été conçu par un consortium international </w:t>
      </w:r>
      <w:r w:rsidR="00C82341">
        <w:rPr>
          <w:rFonts w:eastAsia="Times New Roman" w:cstheme="minorHAnsi"/>
          <w:lang w:val="fr-CH" w:eastAsia="en-GB"/>
        </w:rPr>
        <w:t xml:space="preserve">d’ONG </w:t>
      </w:r>
      <w:r w:rsidR="00237973">
        <w:rPr>
          <w:rFonts w:eastAsia="Times New Roman" w:cstheme="minorHAnsi"/>
          <w:lang w:val="fr-CH" w:eastAsia="en-GB"/>
        </w:rPr>
        <w:t xml:space="preserve">en réponse à la </w:t>
      </w:r>
      <w:r w:rsidR="00403F41" w:rsidRPr="00C82341">
        <w:rPr>
          <w:rFonts w:eastAsia="Times New Roman" w:cstheme="minorHAnsi"/>
          <w:lang w:val="fr-CH" w:eastAsia="en-GB"/>
        </w:rPr>
        <w:t>Résolution</w:t>
      </w:r>
      <w:r w:rsidR="00424682" w:rsidRPr="00C82341">
        <w:rPr>
          <w:rFonts w:eastAsia="Times New Roman" w:cstheme="minorHAnsi"/>
          <w:lang w:val="fr-CH" w:eastAsia="en-GB"/>
        </w:rPr>
        <w:t xml:space="preserve"> XIII.20</w:t>
      </w:r>
      <w:r w:rsidR="00403F41" w:rsidRPr="00C82341">
        <w:rPr>
          <w:rFonts w:eastAsia="Times New Roman" w:cstheme="minorHAnsi"/>
          <w:lang w:val="fr-CH" w:eastAsia="en-GB"/>
        </w:rPr>
        <w:t>,</w:t>
      </w:r>
      <w:r w:rsidR="00424682" w:rsidRPr="00C82341">
        <w:rPr>
          <w:rFonts w:cstheme="minorHAnsi"/>
          <w:bCs/>
          <w:lang w:val="fr-CH"/>
        </w:rPr>
        <w:t xml:space="preserve"> </w:t>
      </w:r>
      <w:r w:rsidR="00403F41" w:rsidRPr="00C82341">
        <w:rPr>
          <w:rFonts w:cstheme="minorHAnsi"/>
          <w:bCs/>
          <w:i/>
          <w:lang w:val="fr-CH"/>
        </w:rPr>
        <w:t>Promouvoir la conservation et l’utilisation rationnelle des zones humides intertidales et des habitats associés sur le plan écologique</w:t>
      </w:r>
      <w:r w:rsidR="00403F41" w:rsidRPr="005A1E5C">
        <w:rPr>
          <w:rFonts w:cstheme="minorHAnsi"/>
          <w:bCs/>
          <w:i/>
          <w:lang w:val="fr-CH"/>
        </w:rPr>
        <w:t xml:space="preserve"> </w:t>
      </w:r>
      <w:r w:rsidR="00424682" w:rsidRPr="005A1E5C">
        <w:rPr>
          <w:rFonts w:eastAsia="Times New Roman" w:cstheme="minorHAnsi"/>
          <w:lang w:val="fr-CH" w:eastAsia="en-GB"/>
        </w:rPr>
        <w:t>a</w:t>
      </w:r>
      <w:r w:rsidR="00237973">
        <w:rPr>
          <w:rFonts w:eastAsia="Times New Roman" w:cstheme="minorHAnsi"/>
          <w:lang w:val="fr-CH" w:eastAsia="en-GB"/>
        </w:rPr>
        <w:t xml:space="preserve">insi qu’à la </w:t>
      </w:r>
      <w:r w:rsidR="00C82341">
        <w:rPr>
          <w:rFonts w:eastAsia="Times New Roman" w:cstheme="minorHAnsi"/>
          <w:lang w:val="fr-CH" w:eastAsia="en-GB"/>
        </w:rPr>
        <w:t>r</w:t>
      </w:r>
      <w:r w:rsidR="00237973">
        <w:rPr>
          <w:rFonts w:eastAsia="Times New Roman" w:cstheme="minorHAnsi"/>
          <w:lang w:val="fr-CH" w:eastAsia="en-GB"/>
        </w:rPr>
        <w:t>ésolution </w:t>
      </w:r>
      <w:r w:rsidR="00424682" w:rsidRPr="005A1E5C">
        <w:rPr>
          <w:rFonts w:cstheme="minorHAnsi"/>
          <w:lang w:val="fr-CH"/>
        </w:rPr>
        <w:t>12.25</w:t>
      </w:r>
      <w:r w:rsidR="00237973">
        <w:rPr>
          <w:rFonts w:cstheme="minorHAnsi"/>
          <w:lang w:val="fr-CH"/>
        </w:rPr>
        <w:t xml:space="preserve"> de la CMS</w:t>
      </w:r>
      <w:r w:rsidR="00424682" w:rsidRPr="005A1E5C">
        <w:rPr>
          <w:rFonts w:cstheme="minorHAnsi"/>
          <w:lang w:val="fr-CH"/>
        </w:rPr>
        <w:t xml:space="preserve">, </w:t>
      </w:r>
      <w:r w:rsidR="00237973">
        <w:rPr>
          <w:rFonts w:cstheme="minorHAnsi"/>
          <w:lang w:val="fr-CH"/>
        </w:rPr>
        <w:t xml:space="preserve">à la </w:t>
      </w:r>
      <w:r w:rsidR="00C82341">
        <w:rPr>
          <w:rFonts w:cstheme="minorHAnsi"/>
          <w:lang w:val="fr-CH"/>
        </w:rPr>
        <w:t>d</w:t>
      </w:r>
      <w:r w:rsidR="00237973">
        <w:rPr>
          <w:rFonts w:cstheme="minorHAnsi"/>
          <w:lang w:val="fr-CH"/>
        </w:rPr>
        <w:t>écision </w:t>
      </w:r>
      <w:r w:rsidR="00424682" w:rsidRPr="005A1E5C">
        <w:rPr>
          <w:rFonts w:cstheme="minorHAnsi"/>
          <w:lang w:val="fr-CH"/>
        </w:rPr>
        <w:t>14/30</w:t>
      </w:r>
      <w:r w:rsidR="00237973">
        <w:rPr>
          <w:rFonts w:cstheme="minorHAnsi"/>
          <w:lang w:val="fr-CH"/>
        </w:rPr>
        <w:t xml:space="preserve"> de la CDB et à la Résolution 030 du Congrès mondial de la nature de l’UICN, en 2020. Le colloque s’est concentré, entre autres, sur les préparatifs de la Conférence du FML, en 2023. </w:t>
      </w:r>
      <w:r w:rsidR="00424682" w:rsidRPr="005A1E5C">
        <w:rPr>
          <w:rFonts w:cstheme="minorHAnsi"/>
          <w:lang w:val="fr-CH"/>
        </w:rPr>
        <w:t xml:space="preserve"> </w:t>
      </w:r>
    </w:p>
    <w:p w14:paraId="6615F0CC" w14:textId="62C35031" w:rsidR="00BF6BED" w:rsidRPr="005A1E5C" w:rsidRDefault="00BF6BED" w:rsidP="000A264B">
      <w:pPr>
        <w:tabs>
          <w:tab w:val="left" w:pos="0"/>
        </w:tabs>
        <w:suppressAutoHyphens/>
        <w:spacing w:after="0" w:line="240" w:lineRule="auto"/>
        <w:ind w:left="426" w:hanging="426"/>
        <w:rPr>
          <w:rFonts w:cstheme="minorHAnsi"/>
          <w:lang w:val="fr-CH"/>
        </w:rPr>
      </w:pPr>
    </w:p>
    <w:bookmarkEnd w:id="1"/>
    <w:p w14:paraId="3C836A43" w14:textId="0CB707E9" w:rsidR="009C2848" w:rsidRPr="005A1E5C" w:rsidRDefault="003E48CC" w:rsidP="000A264B">
      <w:pPr>
        <w:keepNext/>
        <w:spacing w:after="0" w:line="240" w:lineRule="auto"/>
        <w:ind w:left="425" w:hanging="425"/>
        <w:rPr>
          <w:rFonts w:eastAsia="Times New Roman" w:cstheme="minorHAnsi"/>
          <w:i/>
          <w:lang w:val="fr-CH" w:eastAsia="en-GB"/>
        </w:rPr>
      </w:pPr>
      <w:r>
        <w:rPr>
          <w:rFonts w:eastAsia="Times New Roman" w:cstheme="minorHAnsi"/>
          <w:i/>
          <w:lang w:val="fr-CH" w:eastAsia="en-GB"/>
        </w:rPr>
        <w:t xml:space="preserve">La </w:t>
      </w:r>
      <w:r w:rsidR="009C2848" w:rsidRPr="005A1E5C">
        <w:rPr>
          <w:rFonts w:eastAsia="Times New Roman" w:cstheme="minorHAnsi"/>
          <w:i/>
          <w:lang w:val="fr-CH" w:eastAsia="en-GB"/>
        </w:rPr>
        <w:t xml:space="preserve">Convention </w:t>
      </w:r>
      <w:r w:rsidR="00237973">
        <w:rPr>
          <w:rFonts w:eastAsia="Times New Roman" w:cstheme="minorHAnsi"/>
          <w:i/>
          <w:lang w:val="fr-CH" w:eastAsia="en-GB"/>
        </w:rPr>
        <w:t>concernant la protection du patrimoine mondial</w:t>
      </w:r>
      <w:r w:rsidR="00C82341">
        <w:rPr>
          <w:rFonts w:eastAsia="Times New Roman" w:cstheme="minorHAnsi"/>
          <w:i/>
          <w:lang w:val="fr-CH" w:eastAsia="en-GB"/>
        </w:rPr>
        <w:t>,</w:t>
      </w:r>
      <w:r w:rsidR="00237973">
        <w:rPr>
          <w:rFonts w:eastAsia="Times New Roman" w:cstheme="minorHAnsi"/>
          <w:i/>
          <w:lang w:val="fr-CH" w:eastAsia="en-GB"/>
        </w:rPr>
        <w:t xml:space="preserve"> culturel et naturel </w:t>
      </w:r>
    </w:p>
    <w:p w14:paraId="18905759" w14:textId="77777777" w:rsidR="009C2848" w:rsidRPr="005A1E5C" w:rsidRDefault="009C2848" w:rsidP="000A264B">
      <w:pPr>
        <w:keepNext/>
        <w:spacing w:after="0" w:line="240" w:lineRule="auto"/>
        <w:ind w:left="425" w:hanging="425"/>
        <w:rPr>
          <w:rFonts w:eastAsia="Times New Roman" w:cstheme="minorHAnsi"/>
          <w:lang w:val="fr-CH" w:eastAsia="en-GB"/>
        </w:rPr>
      </w:pPr>
    </w:p>
    <w:p w14:paraId="21B608CE" w14:textId="62809A8D" w:rsidR="7869CBE8" w:rsidRPr="005A1E5C" w:rsidRDefault="009D2419" w:rsidP="000A264B">
      <w:pPr>
        <w:suppressAutoHyphens/>
        <w:spacing w:after="0" w:line="240" w:lineRule="auto"/>
        <w:ind w:left="425" w:hanging="425"/>
        <w:rPr>
          <w:rFonts w:eastAsia="Times New Roman"/>
          <w:lang w:val="fr-CH" w:eastAsia="en-GB"/>
        </w:rPr>
      </w:pPr>
      <w:r w:rsidRPr="005A1E5C">
        <w:rPr>
          <w:rFonts w:eastAsia="Times New Roman"/>
          <w:lang w:val="fr-CH" w:eastAsia="en-GB"/>
        </w:rPr>
        <w:t>21</w:t>
      </w:r>
      <w:r w:rsidR="009C2848" w:rsidRPr="005A1E5C">
        <w:rPr>
          <w:rFonts w:eastAsia="Times New Roman"/>
          <w:lang w:val="fr-CH" w:eastAsia="en-GB"/>
        </w:rPr>
        <w:t>.</w:t>
      </w:r>
      <w:r w:rsidR="00A56F0D" w:rsidRPr="005A1E5C">
        <w:rPr>
          <w:rFonts w:eastAsia="Times New Roman"/>
          <w:lang w:val="fr-CH" w:eastAsia="en-GB"/>
        </w:rPr>
        <w:tab/>
      </w:r>
      <w:r w:rsidR="0051121A">
        <w:rPr>
          <w:rFonts w:eastAsia="Times New Roman"/>
          <w:lang w:val="fr-CH" w:eastAsia="en-GB"/>
        </w:rPr>
        <w:t xml:space="preserve">Le Secrétariat a contribué à l’initiative de l’UNESCO sur les sites à désignations </w:t>
      </w:r>
      <w:r w:rsidR="003E48CC">
        <w:rPr>
          <w:rFonts w:eastAsia="Times New Roman"/>
          <w:lang w:val="fr-CH" w:eastAsia="en-GB"/>
        </w:rPr>
        <w:t>internationales multiples</w:t>
      </w:r>
      <w:r w:rsidR="0051121A">
        <w:rPr>
          <w:rFonts w:eastAsia="Times New Roman"/>
          <w:lang w:val="fr-CH" w:eastAsia="en-GB"/>
        </w:rPr>
        <w:t xml:space="preserve"> </w:t>
      </w:r>
      <w:r w:rsidR="08B6A326" w:rsidRPr="005A1E5C">
        <w:rPr>
          <w:rFonts w:eastAsia="Times New Roman"/>
          <w:lang w:val="fr-CH" w:eastAsia="en-GB"/>
        </w:rPr>
        <w:t>(</w:t>
      </w:r>
      <w:r w:rsidR="003E48CC">
        <w:rPr>
          <w:rFonts w:eastAsia="Times New Roman"/>
          <w:lang w:val="fr-CH" w:eastAsia="en-GB"/>
        </w:rPr>
        <w:t>SDIM</w:t>
      </w:r>
      <w:r w:rsidR="08B6A326" w:rsidRPr="005A1E5C">
        <w:rPr>
          <w:rFonts w:eastAsia="Times New Roman"/>
          <w:lang w:val="fr-CH" w:eastAsia="en-GB"/>
        </w:rPr>
        <w:t>)</w:t>
      </w:r>
      <w:r w:rsidR="00B677F9" w:rsidRPr="005A1E5C">
        <w:rPr>
          <w:rFonts w:eastAsia="Times New Roman"/>
          <w:lang w:val="fr-CH" w:eastAsia="en-GB"/>
        </w:rPr>
        <w:t xml:space="preserve">, </w:t>
      </w:r>
      <w:r w:rsidR="003E48CC">
        <w:rPr>
          <w:rFonts w:eastAsia="Times New Roman"/>
          <w:lang w:val="fr-CH" w:eastAsia="en-GB"/>
        </w:rPr>
        <w:t>qui a pour mission d’harmoniser la gestion des aires naturelles ayant des désignations internationales multiples, par exemple, zone humide d’importance internationale, bien du patrimoine mondial, réserve de biosphère et géoparc mondia</w:t>
      </w:r>
      <w:r w:rsidR="00C82341">
        <w:rPr>
          <w:rFonts w:eastAsia="Times New Roman"/>
          <w:lang w:val="fr-CH" w:eastAsia="en-GB"/>
        </w:rPr>
        <w:t>l</w:t>
      </w:r>
      <w:r w:rsidR="003E48CC">
        <w:rPr>
          <w:rFonts w:eastAsia="Times New Roman"/>
          <w:lang w:val="fr-CH" w:eastAsia="en-GB"/>
        </w:rPr>
        <w:t>. Le Secrétariat a participé à une réunion de l’UNESCO</w:t>
      </w:r>
      <w:r w:rsidR="00C82341">
        <w:rPr>
          <w:rFonts w:eastAsia="Times New Roman"/>
          <w:lang w:val="fr-CH" w:eastAsia="en-GB"/>
        </w:rPr>
        <w:t>,</w:t>
      </w:r>
      <w:r w:rsidR="003E48CC">
        <w:rPr>
          <w:rFonts w:eastAsia="Times New Roman"/>
          <w:lang w:val="fr-CH" w:eastAsia="en-GB"/>
        </w:rPr>
        <w:t xml:space="preserve"> en décembre 2022</w:t>
      </w:r>
      <w:r w:rsidR="00C82341">
        <w:rPr>
          <w:rFonts w:eastAsia="Times New Roman"/>
          <w:lang w:val="fr-CH" w:eastAsia="en-GB"/>
        </w:rPr>
        <w:t>,</w:t>
      </w:r>
      <w:r w:rsidR="003E48CC">
        <w:rPr>
          <w:rFonts w:eastAsia="Times New Roman"/>
          <w:lang w:val="fr-CH" w:eastAsia="en-GB"/>
        </w:rPr>
        <w:t xml:space="preserve"> </w:t>
      </w:r>
      <w:r w:rsidR="00C82341">
        <w:rPr>
          <w:rFonts w:eastAsia="Times New Roman"/>
          <w:lang w:val="fr-CH" w:eastAsia="en-GB"/>
        </w:rPr>
        <w:t>dont le but était de</w:t>
      </w:r>
      <w:r w:rsidR="003E48CC">
        <w:rPr>
          <w:rFonts w:eastAsia="Times New Roman"/>
          <w:lang w:val="fr-CH" w:eastAsia="en-GB"/>
        </w:rPr>
        <w:t xml:space="preserve"> contribuer à l’élaboration d’un guide des SDIM.</w:t>
      </w:r>
    </w:p>
    <w:p w14:paraId="652C60E6" w14:textId="77777777" w:rsidR="00DA5E4B" w:rsidRPr="005A1E5C" w:rsidRDefault="00DA5E4B" w:rsidP="000A264B">
      <w:pPr>
        <w:suppressAutoHyphens/>
        <w:spacing w:after="0" w:line="240" w:lineRule="auto"/>
        <w:ind w:left="425" w:hanging="425"/>
        <w:rPr>
          <w:rFonts w:eastAsia="Times New Roman" w:cstheme="minorHAnsi"/>
          <w:lang w:val="fr-CH" w:eastAsia="en-GB"/>
        </w:rPr>
      </w:pPr>
    </w:p>
    <w:p w14:paraId="4634FEC5" w14:textId="431D50C7" w:rsidR="009C2848" w:rsidRPr="005A1E5C" w:rsidRDefault="003E48CC" w:rsidP="002E77BF">
      <w:pPr>
        <w:keepNext/>
        <w:autoSpaceDE w:val="0"/>
        <w:autoSpaceDN w:val="0"/>
        <w:adjustRightInd w:val="0"/>
        <w:spacing w:after="0" w:line="240" w:lineRule="auto"/>
        <w:rPr>
          <w:rFonts w:eastAsia="Times New Roman" w:cstheme="minorHAnsi"/>
          <w:bCs/>
          <w:i/>
          <w:lang w:val="fr-CH" w:eastAsia="en-GB"/>
        </w:rPr>
      </w:pPr>
      <w:r>
        <w:rPr>
          <w:rFonts w:eastAsia="Times New Roman" w:cstheme="minorHAnsi"/>
          <w:i/>
          <w:lang w:val="fr-CH" w:eastAsia="en-GB"/>
        </w:rPr>
        <w:t xml:space="preserve">La Convention-cadre des Nations Unies </w:t>
      </w:r>
      <w:r w:rsidR="004874B5">
        <w:rPr>
          <w:rFonts w:eastAsia="Times New Roman" w:cstheme="minorHAnsi"/>
          <w:i/>
          <w:lang w:val="fr-CH" w:eastAsia="en-GB"/>
        </w:rPr>
        <w:t>sur les changements climatiques</w:t>
      </w:r>
    </w:p>
    <w:p w14:paraId="7A1EB1C4" w14:textId="77777777" w:rsidR="009C2848" w:rsidRPr="005A1E5C" w:rsidRDefault="009C2848" w:rsidP="0098275E">
      <w:pPr>
        <w:keepNext/>
        <w:autoSpaceDE w:val="0"/>
        <w:autoSpaceDN w:val="0"/>
        <w:adjustRightInd w:val="0"/>
        <w:spacing w:after="0" w:line="240" w:lineRule="auto"/>
        <w:ind w:left="357" w:hanging="357"/>
        <w:rPr>
          <w:rFonts w:eastAsia="Times New Roman" w:cstheme="minorHAnsi"/>
          <w:bCs/>
          <w:lang w:val="fr-CH" w:eastAsia="en-GB"/>
        </w:rPr>
      </w:pPr>
    </w:p>
    <w:p w14:paraId="4FD81A6E" w14:textId="787AE422" w:rsidR="0098275E" w:rsidRPr="005A1E5C" w:rsidRDefault="009D2419" w:rsidP="0098275E">
      <w:pPr>
        <w:spacing w:after="0" w:line="240" w:lineRule="auto"/>
        <w:ind w:left="426" w:hanging="426"/>
        <w:rPr>
          <w:rFonts w:cstheme="minorHAnsi"/>
          <w:lang w:val="fr-CH"/>
        </w:rPr>
      </w:pPr>
      <w:r w:rsidRPr="005A1E5C">
        <w:rPr>
          <w:rFonts w:eastAsia="Times New Roman" w:cstheme="minorHAnsi"/>
          <w:lang w:val="fr-CH" w:eastAsia="en-GB"/>
        </w:rPr>
        <w:t>22</w:t>
      </w:r>
      <w:r w:rsidR="009C2848" w:rsidRPr="005A1E5C">
        <w:rPr>
          <w:rFonts w:eastAsia="Times New Roman" w:cstheme="minorHAnsi"/>
          <w:lang w:val="fr-CH" w:eastAsia="en-GB"/>
        </w:rPr>
        <w:t>.</w:t>
      </w:r>
      <w:r w:rsidR="0006611C" w:rsidRPr="005A1E5C">
        <w:rPr>
          <w:rFonts w:cstheme="minorHAnsi"/>
          <w:lang w:val="fr-CH"/>
        </w:rPr>
        <w:tab/>
      </w:r>
      <w:r w:rsidR="007510EC">
        <w:rPr>
          <w:rFonts w:cstheme="minorHAnsi"/>
          <w:lang w:val="fr-CH"/>
        </w:rPr>
        <w:t xml:space="preserve">Le Secrétariat a participé à la COP27 de la CCNUCC en novembre 2022, à </w:t>
      </w:r>
      <w:r w:rsidR="007510EC" w:rsidRPr="007510EC">
        <w:rPr>
          <w:rFonts w:cstheme="minorHAnsi"/>
          <w:lang w:val="fr-CH"/>
        </w:rPr>
        <w:t>Charm el</w:t>
      </w:r>
      <w:r w:rsidR="007510EC">
        <w:rPr>
          <w:rFonts w:cstheme="minorHAnsi"/>
          <w:lang w:val="fr-CH"/>
        </w:rPr>
        <w:noBreakHyphen/>
      </w:r>
      <w:r w:rsidR="007510EC" w:rsidRPr="007510EC">
        <w:rPr>
          <w:rFonts w:cstheme="minorHAnsi"/>
          <w:lang w:val="fr-CH"/>
        </w:rPr>
        <w:t>Cheik</w:t>
      </w:r>
      <w:r w:rsidR="004A150F">
        <w:rPr>
          <w:rFonts w:cstheme="minorHAnsi"/>
          <w:lang w:val="fr-CH"/>
        </w:rPr>
        <w:t>h</w:t>
      </w:r>
      <w:r w:rsidR="394B9BDF" w:rsidRPr="005A1E5C">
        <w:rPr>
          <w:rFonts w:cstheme="minorHAnsi"/>
          <w:lang w:val="fr-CH"/>
        </w:rPr>
        <w:t xml:space="preserve">, </w:t>
      </w:r>
      <w:r w:rsidR="007510EC">
        <w:rPr>
          <w:rFonts w:cstheme="minorHAnsi"/>
          <w:lang w:val="fr-CH"/>
        </w:rPr>
        <w:t>en Égypte, en tant qu’orateur</w:t>
      </w:r>
      <w:r w:rsidR="00DE3A5B">
        <w:rPr>
          <w:rFonts w:cstheme="minorHAnsi"/>
          <w:lang w:val="fr-CH"/>
        </w:rPr>
        <w:t>,</w:t>
      </w:r>
      <w:r w:rsidR="007510EC">
        <w:rPr>
          <w:rFonts w:cstheme="minorHAnsi"/>
          <w:lang w:val="fr-CH"/>
        </w:rPr>
        <w:t xml:space="preserve"> lors d’une activité parallèle officielle</w:t>
      </w:r>
      <w:r w:rsidR="004A150F">
        <w:rPr>
          <w:rFonts w:cstheme="minorHAnsi"/>
          <w:lang w:val="fr-CH"/>
        </w:rPr>
        <w:t xml:space="preserve"> où ont eu lieu </w:t>
      </w:r>
      <w:r w:rsidR="007510EC">
        <w:rPr>
          <w:rFonts w:cstheme="minorHAnsi"/>
          <w:lang w:val="fr-CH"/>
        </w:rPr>
        <w:t>:</w:t>
      </w:r>
    </w:p>
    <w:p w14:paraId="044BA5BF" w14:textId="7BC7556F" w:rsidR="0098275E" w:rsidRPr="005A1E5C" w:rsidRDefault="004A150F" w:rsidP="0098275E">
      <w:pPr>
        <w:pStyle w:val="ListParagraph"/>
        <w:numPr>
          <w:ilvl w:val="0"/>
          <w:numId w:val="28"/>
        </w:numPr>
        <w:ind w:left="851" w:hanging="425"/>
        <w:jc w:val="left"/>
        <w:rPr>
          <w:rFonts w:asciiTheme="minorHAnsi" w:hAnsiTheme="minorHAnsi" w:cstheme="minorHAnsi"/>
          <w:lang w:val="fr-CH"/>
        </w:rPr>
      </w:pPr>
      <w:r>
        <w:rPr>
          <w:rFonts w:asciiTheme="minorHAnsi" w:hAnsiTheme="minorHAnsi"/>
          <w:lang w:val="fr-CH"/>
        </w:rPr>
        <w:t>le lancement officiel de l’Évaluation mondiale des tourbières</w:t>
      </w:r>
      <w:r w:rsidR="008C56D9">
        <w:rPr>
          <w:rFonts w:asciiTheme="minorHAnsi" w:hAnsiTheme="minorHAnsi"/>
          <w:lang w:val="fr-CH"/>
        </w:rPr>
        <w:t>,</w:t>
      </w:r>
      <w:r>
        <w:rPr>
          <w:rFonts w:asciiTheme="minorHAnsi" w:hAnsiTheme="minorHAnsi"/>
          <w:lang w:val="fr-CH"/>
        </w:rPr>
        <w:t xml:space="preserve"> organisé par le PNUE et d’autres partenaires de l’Initiative mondiale pour les tourbières, où l’on a également pu entendre un message vidéo de la Secrétaire générale ;</w:t>
      </w:r>
    </w:p>
    <w:p w14:paraId="79488D9D" w14:textId="29258C85" w:rsidR="0098275E" w:rsidRPr="005A1E5C" w:rsidRDefault="004A150F" w:rsidP="0098275E">
      <w:pPr>
        <w:pStyle w:val="ListParagraph"/>
        <w:numPr>
          <w:ilvl w:val="0"/>
          <w:numId w:val="28"/>
        </w:numPr>
        <w:ind w:left="851" w:hanging="425"/>
        <w:jc w:val="left"/>
        <w:rPr>
          <w:rFonts w:asciiTheme="minorHAnsi" w:hAnsiTheme="minorHAnsi" w:cstheme="minorHAnsi"/>
          <w:lang w:val="fr-CH"/>
        </w:rPr>
      </w:pPr>
      <w:r>
        <w:rPr>
          <w:rFonts w:asciiTheme="minorHAnsi" w:hAnsiTheme="minorHAnsi"/>
          <w:lang w:val="fr-CH"/>
        </w:rPr>
        <w:t>une activité parallèle sur les tourbières dans les contributions déterminées au niveau national (CDN)</w:t>
      </w:r>
      <w:r w:rsidR="008C56D9">
        <w:rPr>
          <w:rFonts w:asciiTheme="minorHAnsi" w:hAnsiTheme="minorHAnsi"/>
          <w:lang w:val="fr-CH"/>
        </w:rPr>
        <w:t>,</w:t>
      </w:r>
      <w:r>
        <w:rPr>
          <w:rFonts w:asciiTheme="minorHAnsi" w:hAnsiTheme="minorHAnsi"/>
          <w:lang w:val="fr-CH"/>
        </w:rPr>
        <w:t xml:space="preserve"> organisée par </w:t>
      </w:r>
      <w:r w:rsidR="75546714" w:rsidRPr="005A1E5C">
        <w:rPr>
          <w:rFonts w:asciiTheme="minorHAnsi" w:hAnsiTheme="minorHAnsi"/>
          <w:lang w:val="fr-CH"/>
        </w:rPr>
        <w:t>Global Environment Centre</w:t>
      </w:r>
      <w:r w:rsidR="0098275E" w:rsidRPr="005A1E5C">
        <w:rPr>
          <w:rFonts w:asciiTheme="minorHAnsi" w:hAnsiTheme="minorHAnsi" w:cstheme="minorHAnsi"/>
          <w:lang w:val="fr-CH"/>
        </w:rPr>
        <w:t xml:space="preserve"> </w:t>
      </w:r>
      <w:r>
        <w:rPr>
          <w:rFonts w:asciiTheme="minorHAnsi" w:hAnsiTheme="minorHAnsi" w:cstheme="minorHAnsi"/>
          <w:lang w:val="fr-CH"/>
        </w:rPr>
        <w:t xml:space="preserve">et </w:t>
      </w:r>
      <w:r w:rsidR="3AF8EEE5" w:rsidRPr="005A1E5C">
        <w:rPr>
          <w:rFonts w:asciiTheme="minorHAnsi" w:hAnsiTheme="minorHAnsi"/>
          <w:lang w:val="fr-CH"/>
        </w:rPr>
        <w:t>Wetlands International</w:t>
      </w:r>
      <w:r>
        <w:rPr>
          <w:rFonts w:asciiTheme="minorHAnsi" w:hAnsiTheme="minorHAnsi"/>
          <w:lang w:val="fr-CH"/>
        </w:rPr>
        <w:t xml:space="preserve">, en collaboration avec l’Organisation des Nations Unies pour l’alimentation et l’agriculture (FAO) et d’autres partenaires de l’Initiative mondiale pour les tourbières ; et </w:t>
      </w:r>
    </w:p>
    <w:p w14:paraId="3A73F80A" w14:textId="04DB54F4" w:rsidR="0098275E" w:rsidRPr="005A1E5C" w:rsidRDefault="004A150F" w:rsidP="0098275E">
      <w:pPr>
        <w:pStyle w:val="ListParagraph"/>
        <w:numPr>
          <w:ilvl w:val="0"/>
          <w:numId w:val="28"/>
        </w:numPr>
        <w:ind w:left="851" w:hanging="425"/>
        <w:jc w:val="left"/>
        <w:rPr>
          <w:rFonts w:asciiTheme="minorHAnsi" w:hAnsiTheme="minorHAnsi" w:cstheme="minorHAnsi"/>
          <w:lang w:val="fr-CH"/>
        </w:rPr>
      </w:pPr>
      <w:r>
        <w:rPr>
          <w:rFonts w:asciiTheme="minorHAnsi" w:hAnsiTheme="minorHAnsi"/>
          <w:lang w:val="fr-CH"/>
        </w:rPr>
        <w:t>une activité parallèle intitulée « </w:t>
      </w:r>
      <w:r w:rsidR="79A81EB5" w:rsidRPr="005A1E5C">
        <w:rPr>
          <w:rFonts w:asciiTheme="minorHAnsi" w:hAnsiTheme="minorHAnsi"/>
          <w:lang w:val="fr-CH"/>
        </w:rPr>
        <w:t>Partnerships to accelerate action to protect blue carbon ecosystems for mitigation and adaptation</w:t>
      </w:r>
      <w:r>
        <w:rPr>
          <w:rFonts w:asciiTheme="minorHAnsi" w:hAnsiTheme="minorHAnsi"/>
          <w:lang w:val="fr-CH"/>
        </w:rPr>
        <w:t> »</w:t>
      </w:r>
      <w:r w:rsidR="79A81EB5" w:rsidRPr="005A1E5C">
        <w:rPr>
          <w:rFonts w:asciiTheme="minorHAnsi" w:hAnsiTheme="minorHAnsi"/>
          <w:lang w:val="fr-CH"/>
        </w:rPr>
        <w:t>, organi</w:t>
      </w:r>
      <w:r>
        <w:rPr>
          <w:rFonts w:asciiTheme="minorHAnsi" w:hAnsiTheme="minorHAnsi"/>
          <w:lang w:val="fr-CH"/>
        </w:rPr>
        <w:t xml:space="preserve">sée par le Partenariat international pour le carbone bleu et </w:t>
      </w:r>
      <w:r w:rsidR="79A81EB5" w:rsidRPr="005A1E5C">
        <w:rPr>
          <w:rFonts w:asciiTheme="minorHAnsi" w:hAnsiTheme="minorHAnsi"/>
          <w:lang w:val="fr-CH"/>
        </w:rPr>
        <w:t>Pew Charitable Trus</w:t>
      </w:r>
      <w:r w:rsidR="192D3D95" w:rsidRPr="005A1E5C">
        <w:rPr>
          <w:rFonts w:asciiTheme="minorHAnsi" w:hAnsiTheme="minorHAnsi"/>
          <w:lang w:val="fr-CH"/>
        </w:rPr>
        <w:t>t</w:t>
      </w:r>
      <w:r w:rsidR="009D2419" w:rsidRPr="005A1E5C">
        <w:rPr>
          <w:rFonts w:asciiTheme="minorHAnsi" w:hAnsiTheme="minorHAnsi"/>
          <w:lang w:val="fr-CH"/>
        </w:rPr>
        <w:t>.</w:t>
      </w:r>
    </w:p>
    <w:p w14:paraId="2A94DA09" w14:textId="77777777" w:rsidR="0098275E" w:rsidRPr="005A1E5C" w:rsidRDefault="0098275E" w:rsidP="0098275E">
      <w:pPr>
        <w:spacing w:after="0" w:line="240" w:lineRule="auto"/>
        <w:ind w:left="851" w:hanging="426"/>
        <w:rPr>
          <w:lang w:val="fr-CH"/>
        </w:rPr>
      </w:pPr>
    </w:p>
    <w:p w14:paraId="3CBBA45E" w14:textId="6031379E" w:rsidR="00FE7A27" w:rsidRPr="005A1E5C" w:rsidRDefault="009D2419" w:rsidP="002E77BF">
      <w:pPr>
        <w:spacing w:after="0" w:line="240" w:lineRule="auto"/>
        <w:ind w:left="426" w:hanging="426"/>
        <w:rPr>
          <w:lang w:val="fr-CH"/>
        </w:rPr>
      </w:pPr>
      <w:r w:rsidRPr="005A1E5C">
        <w:rPr>
          <w:lang w:val="fr-CH"/>
        </w:rPr>
        <w:t>23</w:t>
      </w:r>
      <w:r w:rsidR="0098275E" w:rsidRPr="005A1E5C">
        <w:rPr>
          <w:lang w:val="fr-CH"/>
        </w:rPr>
        <w:t>.</w:t>
      </w:r>
      <w:r w:rsidR="0098275E" w:rsidRPr="005A1E5C">
        <w:rPr>
          <w:lang w:val="fr-CH"/>
        </w:rPr>
        <w:tab/>
      </w:r>
      <w:r w:rsidR="008C56D9">
        <w:rPr>
          <w:lang w:val="fr-CH"/>
        </w:rPr>
        <w:t>Le Secrétariat a participé en tant qu’expert à l’activité parallèle intitulée « </w:t>
      </w:r>
      <w:r w:rsidR="2034DA43" w:rsidRPr="005A1E5C">
        <w:rPr>
          <w:lang w:val="fr-CH"/>
        </w:rPr>
        <w:t>Blue Carbon Implementation Lab</w:t>
      </w:r>
      <w:r w:rsidR="008C56D9">
        <w:rPr>
          <w:lang w:val="fr-CH"/>
        </w:rPr>
        <w:t xml:space="preserve"> », organisée dans le contexte de la Journée d’action pour l’océan convoquée dans le cadre du Partenariat de </w:t>
      </w:r>
      <w:r w:rsidR="008C56D9" w:rsidRPr="005A1E5C">
        <w:rPr>
          <w:lang w:val="fr-CH"/>
        </w:rPr>
        <w:t>Marrakech</w:t>
      </w:r>
      <w:r w:rsidR="1C2DF363" w:rsidRPr="005A1E5C">
        <w:rPr>
          <w:lang w:val="fr-CH"/>
        </w:rPr>
        <w:t xml:space="preserve">, </w:t>
      </w:r>
      <w:r w:rsidR="008C56D9">
        <w:rPr>
          <w:lang w:val="fr-CH"/>
        </w:rPr>
        <w:t xml:space="preserve">et à l’Activité d’action pour l’eau, organisée par le Partenariat de </w:t>
      </w:r>
      <w:r w:rsidR="008C56D9" w:rsidRPr="005A1E5C">
        <w:rPr>
          <w:lang w:val="fr-CH"/>
        </w:rPr>
        <w:t>Marrakech</w:t>
      </w:r>
      <w:r w:rsidR="0F75E13B" w:rsidRPr="005A1E5C">
        <w:rPr>
          <w:lang w:val="fr-CH"/>
        </w:rPr>
        <w:t xml:space="preserve">. </w:t>
      </w:r>
      <w:r w:rsidR="008C56D9">
        <w:rPr>
          <w:lang w:val="fr-CH"/>
        </w:rPr>
        <w:t xml:space="preserve">Avant la </w:t>
      </w:r>
      <w:r w:rsidR="0F75E13B" w:rsidRPr="005A1E5C">
        <w:rPr>
          <w:lang w:val="fr-CH"/>
        </w:rPr>
        <w:t>COP27</w:t>
      </w:r>
      <w:r w:rsidR="0098275E" w:rsidRPr="005A1E5C">
        <w:rPr>
          <w:lang w:val="fr-CH"/>
        </w:rPr>
        <w:t>,</w:t>
      </w:r>
      <w:r w:rsidR="0F75E13B" w:rsidRPr="005A1E5C">
        <w:rPr>
          <w:lang w:val="fr-CH"/>
        </w:rPr>
        <w:t xml:space="preserve"> </w:t>
      </w:r>
      <w:r w:rsidR="008C56D9">
        <w:rPr>
          <w:lang w:val="fr-CH"/>
        </w:rPr>
        <w:t xml:space="preserve">le Secrétariat a fourni des contributions à deux initiatives de la présidence lancées durant la </w:t>
      </w:r>
      <w:r w:rsidR="00017D02">
        <w:rPr>
          <w:lang w:val="fr-CH"/>
        </w:rPr>
        <w:t>réunion</w:t>
      </w:r>
      <w:r w:rsidR="005E7CE6">
        <w:rPr>
          <w:lang w:val="fr-CH"/>
        </w:rPr>
        <w:t xml:space="preserve"> et intitulées</w:t>
      </w:r>
      <w:r w:rsidR="008C56D9">
        <w:rPr>
          <w:lang w:val="fr-CH"/>
        </w:rPr>
        <w:t xml:space="preserve"> « </w:t>
      </w:r>
      <w:r w:rsidR="37BF9D08" w:rsidRPr="005A1E5C">
        <w:rPr>
          <w:lang w:val="fr-CH"/>
        </w:rPr>
        <w:t>Action on Water Adaptation and Resilience</w:t>
      </w:r>
      <w:r w:rsidR="00017D02">
        <w:rPr>
          <w:lang w:val="fr-CH"/>
        </w:rPr>
        <w:t> »</w:t>
      </w:r>
      <w:r w:rsidR="37BF9D08" w:rsidRPr="005A1E5C">
        <w:rPr>
          <w:lang w:val="fr-CH"/>
        </w:rPr>
        <w:t xml:space="preserve"> (AWARe</w:t>
      </w:r>
      <w:r w:rsidR="71C1149D" w:rsidRPr="005A1E5C">
        <w:rPr>
          <w:lang w:val="fr-CH"/>
        </w:rPr>
        <w:t xml:space="preserve">) </w:t>
      </w:r>
      <w:r w:rsidR="00017D02">
        <w:rPr>
          <w:lang w:val="fr-CH"/>
        </w:rPr>
        <w:t>et « </w:t>
      </w:r>
      <w:r w:rsidR="783D74B0" w:rsidRPr="005A1E5C">
        <w:rPr>
          <w:lang w:val="fr-CH"/>
        </w:rPr>
        <w:t xml:space="preserve">Enhancing Nature-based Solutions for an Accelerated </w:t>
      </w:r>
      <w:r w:rsidR="00A56F0D" w:rsidRPr="005A1E5C">
        <w:rPr>
          <w:lang w:val="fr-CH"/>
        </w:rPr>
        <w:t>Climate Transformation</w:t>
      </w:r>
      <w:r w:rsidR="00017D02">
        <w:rPr>
          <w:lang w:val="fr-CH"/>
        </w:rPr>
        <w:t> »</w:t>
      </w:r>
      <w:r w:rsidR="00A56F0D" w:rsidRPr="005A1E5C">
        <w:rPr>
          <w:lang w:val="fr-CH"/>
        </w:rPr>
        <w:t xml:space="preserve"> (ENACT).</w:t>
      </w:r>
    </w:p>
    <w:p w14:paraId="59B136F0" w14:textId="77777777" w:rsidR="00FE7A27" w:rsidRPr="005A1E5C" w:rsidRDefault="00FE7A27" w:rsidP="002E77BF">
      <w:pPr>
        <w:tabs>
          <w:tab w:val="left" w:pos="426"/>
        </w:tabs>
        <w:spacing w:after="0" w:line="240" w:lineRule="auto"/>
        <w:ind w:left="426" w:hanging="426"/>
        <w:rPr>
          <w:rFonts w:cstheme="minorHAnsi"/>
          <w:lang w:val="fr-CH"/>
        </w:rPr>
      </w:pPr>
    </w:p>
    <w:p w14:paraId="3CEF43A3" w14:textId="0F637599" w:rsidR="009C2848" w:rsidRPr="005A1E5C" w:rsidRDefault="00017D02" w:rsidP="000A264B">
      <w:pPr>
        <w:keepNext/>
        <w:spacing w:after="0" w:line="240" w:lineRule="auto"/>
        <w:ind w:left="425" w:hanging="425"/>
        <w:rPr>
          <w:rFonts w:eastAsia="Times New Roman" w:cstheme="minorHAnsi"/>
          <w:i/>
          <w:lang w:val="fr-CH" w:eastAsia="en-GB"/>
        </w:rPr>
      </w:pPr>
      <w:r>
        <w:rPr>
          <w:rFonts w:eastAsia="Times New Roman" w:cstheme="minorHAnsi"/>
          <w:i/>
          <w:lang w:val="fr-CH" w:eastAsia="en-GB"/>
        </w:rPr>
        <w:t>La Convention des Nations Unies sur la lutte contre la désertification</w:t>
      </w:r>
    </w:p>
    <w:p w14:paraId="42029C08" w14:textId="77777777" w:rsidR="009C2848" w:rsidRPr="005A1E5C" w:rsidRDefault="009C2848" w:rsidP="000A264B">
      <w:pPr>
        <w:keepNext/>
        <w:spacing w:after="0" w:line="240" w:lineRule="auto"/>
        <w:ind w:left="425" w:hanging="425"/>
        <w:rPr>
          <w:rFonts w:eastAsia="Times New Roman" w:cstheme="minorHAnsi"/>
          <w:lang w:val="fr-CH" w:eastAsia="en-GB"/>
        </w:rPr>
      </w:pPr>
    </w:p>
    <w:p w14:paraId="42AB3BC7" w14:textId="5107F198" w:rsidR="006C431C" w:rsidRPr="005A1E5C" w:rsidRDefault="009D2419" w:rsidP="000A264B">
      <w:pPr>
        <w:spacing w:after="0" w:line="240" w:lineRule="auto"/>
        <w:ind w:left="426" w:hanging="426"/>
        <w:rPr>
          <w:rFonts w:eastAsia="Times New Roman" w:cstheme="minorHAnsi"/>
          <w:lang w:val="fr-CH" w:eastAsia="en-GB"/>
        </w:rPr>
      </w:pPr>
      <w:r w:rsidRPr="005A1E5C">
        <w:rPr>
          <w:rFonts w:eastAsia="Times New Roman" w:cstheme="minorHAnsi"/>
          <w:lang w:val="fr-CH" w:eastAsia="en-GB"/>
        </w:rPr>
        <w:t>24</w:t>
      </w:r>
      <w:r w:rsidR="009C2848" w:rsidRPr="005A1E5C">
        <w:rPr>
          <w:rFonts w:eastAsia="Times New Roman" w:cstheme="minorHAnsi"/>
          <w:lang w:val="fr-CH" w:eastAsia="en-GB"/>
        </w:rPr>
        <w:t>.</w:t>
      </w:r>
      <w:r w:rsidR="0006113B" w:rsidRPr="005A1E5C">
        <w:rPr>
          <w:rFonts w:eastAsia="Times New Roman" w:cstheme="minorHAnsi"/>
          <w:lang w:val="fr-CH" w:eastAsia="en-GB"/>
        </w:rPr>
        <w:tab/>
      </w:r>
      <w:r w:rsidR="00017D02">
        <w:rPr>
          <w:rFonts w:eastAsia="Times New Roman" w:cstheme="minorHAnsi"/>
          <w:lang w:val="fr-CH" w:eastAsia="en-GB"/>
        </w:rPr>
        <w:t xml:space="preserve">Les contacts avec le Secrétariat </w:t>
      </w:r>
      <w:r w:rsidR="00E63408">
        <w:rPr>
          <w:rFonts w:eastAsia="Times New Roman" w:cstheme="minorHAnsi"/>
          <w:lang w:val="fr-CH" w:eastAsia="en-GB"/>
        </w:rPr>
        <w:t xml:space="preserve">de la CNULD </w:t>
      </w:r>
      <w:r w:rsidR="00077ABC">
        <w:rPr>
          <w:rFonts w:eastAsia="Times New Roman" w:cstheme="minorHAnsi"/>
          <w:lang w:val="fr-CH" w:eastAsia="en-GB"/>
        </w:rPr>
        <w:t xml:space="preserve">ont </w:t>
      </w:r>
      <w:r w:rsidR="008C70F6">
        <w:rPr>
          <w:rFonts w:eastAsia="Times New Roman" w:cstheme="minorHAnsi"/>
          <w:lang w:val="fr-CH" w:eastAsia="en-GB"/>
        </w:rPr>
        <w:t>porté</w:t>
      </w:r>
      <w:r w:rsidR="00077ABC">
        <w:rPr>
          <w:rFonts w:eastAsia="Times New Roman" w:cstheme="minorHAnsi"/>
          <w:lang w:val="fr-CH" w:eastAsia="en-GB"/>
        </w:rPr>
        <w:t xml:space="preserve"> sur les résultats de la COP15 de la CNULD, réuni</w:t>
      </w:r>
      <w:r w:rsidR="008C70F6">
        <w:rPr>
          <w:rFonts w:eastAsia="Times New Roman" w:cstheme="minorHAnsi"/>
          <w:lang w:val="fr-CH" w:eastAsia="en-GB"/>
        </w:rPr>
        <w:t>e</w:t>
      </w:r>
      <w:r w:rsidR="00077ABC">
        <w:rPr>
          <w:rFonts w:eastAsia="Times New Roman" w:cstheme="minorHAnsi"/>
          <w:lang w:val="fr-CH" w:eastAsia="en-GB"/>
        </w:rPr>
        <w:t xml:space="preserve"> en mai 2022 à </w:t>
      </w:r>
      <w:r w:rsidR="00D12B79" w:rsidRPr="005A1E5C">
        <w:rPr>
          <w:rFonts w:cstheme="minorHAnsi"/>
          <w:color w:val="000000"/>
          <w:shd w:val="clear" w:color="auto" w:fill="FFFFFF"/>
          <w:lang w:val="fr-CH"/>
        </w:rPr>
        <w:t>Abidjan, C</w:t>
      </w:r>
      <w:r w:rsidR="006C431C" w:rsidRPr="005A1E5C">
        <w:rPr>
          <w:rFonts w:cstheme="minorHAnsi"/>
          <w:color w:val="000000"/>
          <w:shd w:val="clear" w:color="auto" w:fill="FFFFFF"/>
          <w:lang w:val="fr-CH"/>
        </w:rPr>
        <w:t>ô</w:t>
      </w:r>
      <w:r w:rsidR="00D12B79" w:rsidRPr="005A1E5C">
        <w:rPr>
          <w:rFonts w:cstheme="minorHAnsi"/>
          <w:color w:val="000000"/>
          <w:shd w:val="clear" w:color="auto" w:fill="FFFFFF"/>
          <w:lang w:val="fr-CH"/>
        </w:rPr>
        <w:t>te d’Ivoire</w:t>
      </w:r>
      <w:r w:rsidR="000B3FAB" w:rsidRPr="005A1E5C">
        <w:rPr>
          <w:rFonts w:cstheme="minorHAnsi"/>
          <w:lang w:val="fr-CH"/>
        </w:rPr>
        <w:t xml:space="preserve">, </w:t>
      </w:r>
      <w:r w:rsidR="00077ABC">
        <w:rPr>
          <w:rFonts w:cstheme="minorHAnsi"/>
          <w:lang w:val="fr-CH"/>
        </w:rPr>
        <w:t>notamment la Décision </w:t>
      </w:r>
      <w:r w:rsidR="000B3FAB" w:rsidRPr="005A1E5C">
        <w:rPr>
          <w:rFonts w:cstheme="minorHAnsi"/>
          <w:lang w:val="fr-CH"/>
        </w:rPr>
        <w:t>20</w:t>
      </w:r>
      <w:r w:rsidR="00E524B6" w:rsidRPr="005A1E5C">
        <w:rPr>
          <w:rFonts w:cstheme="minorHAnsi"/>
          <w:lang w:val="fr-CH"/>
        </w:rPr>
        <w:t>/</w:t>
      </w:r>
      <w:r w:rsidR="00436582" w:rsidRPr="005A1E5C">
        <w:rPr>
          <w:rFonts w:cstheme="minorHAnsi"/>
          <w:lang w:val="fr-CH"/>
        </w:rPr>
        <w:t>COP15</w:t>
      </w:r>
      <w:r w:rsidR="00077ABC">
        <w:rPr>
          <w:rFonts w:cstheme="minorHAnsi"/>
          <w:lang w:val="fr-CH"/>
        </w:rPr>
        <w:t>,</w:t>
      </w:r>
      <w:r w:rsidR="00B55CD2" w:rsidRPr="005A1E5C">
        <w:rPr>
          <w:rFonts w:cstheme="minorHAnsi"/>
          <w:lang w:val="fr-CH"/>
        </w:rPr>
        <w:t xml:space="preserve"> </w:t>
      </w:r>
      <w:r w:rsidR="00E524B6" w:rsidRPr="005A1E5C">
        <w:rPr>
          <w:rFonts w:cstheme="minorHAnsi"/>
          <w:i/>
          <w:iCs/>
          <w:color w:val="000000"/>
          <w:shd w:val="clear" w:color="auto" w:fill="FFFFFF"/>
          <w:lang w:val="fr-CH"/>
        </w:rPr>
        <w:t>Policy-oriented recommendations resulting from the cooperation with other intergovernmental scientific panels and bodies</w:t>
      </w:r>
      <w:r w:rsidR="00077ABC">
        <w:rPr>
          <w:rFonts w:cstheme="minorHAnsi"/>
          <w:lang w:val="fr-CH"/>
        </w:rPr>
        <w:t xml:space="preserve"> (Recommandations à orientation politique résultant de la coopération avec d’autres </w:t>
      </w:r>
      <w:r w:rsidR="008C70F6">
        <w:rPr>
          <w:rFonts w:cstheme="minorHAnsi"/>
          <w:lang w:val="fr-CH"/>
        </w:rPr>
        <w:t>groupes</w:t>
      </w:r>
      <w:r w:rsidR="00077ABC">
        <w:rPr>
          <w:rFonts w:cstheme="minorHAnsi"/>
          <w:lang w:val="fr-CH"/>
        </w:rPr>
        <w:t xml:space="preserve"> et organismes scientifiques intergouvernementaux), qui appelle à l’élaboration « d’une série de guides techniques sur les solutions de gestion intégrée des terres pour les écosystèmes des zones sèches, en tenant compte des contextes nationaux et de l’interaction entre la dégradation des terres, la perte de biodiversité et les changements climatiques », et la possibilité de collabor</w:t>
      </w:r>
      <w:r w:rsidR="008C70F6">
        <w:rPr>
          <w:rFonts w:cstheme="minorHAnsi"/>
          <w:lang w:val="fr-CH"/>
        </w:rPr>
        <w:t>er</w:t>
      </w:r>
      <w:r w:rsidR="00077ABC">
        <w:rPr>
          <w:rFonts w:cstheme="minorHAnsi"/>
          <w:lang w:val="fr-CH"/>
        </w:rPr>
        <w:t xml:space="preserve"> dans le cadre du GEST. Il y a également eu des échanges approfondis sur la communication, y compris dans le contexte de la Journée mondiale des zones humides 2023. La Secrétaire générale a rencontré le Secrétaire exécutif de la CNULD, en mai 2023.</w:t>
      </w:r>
    </w:p>
    <w:p w14:paraId="20D2AEB4" w14:textId="77777777" w:rsidR="006C431C" w:rsidRPr="005A1E5C" w:rsidRDefault="006C431C" w:rsidP="000A264B">
      <w:pPr>
        <w:spacing w:after="0" w:line="240" w:lineRule="auto"/>
        <w:ind w:left="426" w:hanging="426"/>
        <w:rPr>
          <w:rFonts w:eastAsia="Times New Roman" w:cstheme="minorHAnsi"/>
          <w:lang w:val="fr-CH" w:eastAsia="en-GB"/>
        </w:rPr>
      </w:pPr>
    </w:p>
    <w:p w14:paraId="0C15522C" w14:textId="591C654C" w:rsidR="0076054E" w:rsidRPr="005A1E5C" w:rsidRDefault="006C431C" w:rsidP="000A264B">
      <w:pPr>
        <w:spacing w:after="0" w:line="240" w:lineRule="auto"/>
        <w:ind w:left="426" w:hanging="426"/>
        <w:rPr>
          <w:rFonts w:eastAsia="Times New Roman" w:cstheme="minorHAnsi"/>
          <w:lang w:val="fr-CH" w:eastAsia="en-GB"/>
        </w:rPr>
      </w:pPr>
      <w:r w:rsidRPr="005A1E5C">
        <w:rPr>
          <w:rFonts w:cstheme="minorHAnsi"/>
          <w:color w:val="212121"/>
          <w:lang w:val="fr-CH"/>
        </w:rPr>
        <w:t>2</w:t>
      </w:r>
      <w:r w:rsidR="00BB6EA8" w:rsidRPr="005A1E5C">
        <w:rPr>
          <w:rFonts w:cstheme="minorHAnsi"/>
          <w:color w:val="212121"/>
          <w:lang w:val="fr-CH"/>
        </w:rPr>
        <w:t>5</w:t>
      </w:r>
      <w:r w:rsidRPr="005A1E5C">
        <w:rPr>
          <w:rFonts w:cstheme="minorHAnsi"/>
          <w:color w:val="212121"/>
          <w:lang w:val="fr-CH"/>
        </w:rPr>
        <w:t>.</w:t>
      </w:r>
      <w:r w:rsidRPr="005A1E5C">
        <w:rPr>
          <w:rFonts w:cstheme="minorHAnsi"/>
          <w:color w:val="212121"/>
          <w:lang w:val="fr-CH"/>
        </w:rPr>
        <w:tab/>
      </w:r>
      <w:r w:rsidR="001F1B2C">
        <w:rPr>
          <w:rFonts w:cstheme="minorHAnsi"/>
          <w:color w:val="212121"/>
          <w:lang w:val="fr-CH"/>
        </w:rPr>
        <w:t>La CNULD accueille le Secrétariat de l’Initiative mondiale du G20 sur la réduction de la dégradation des terres et l’amélioration de la conservation des habitats terrestres</w:t>
      </w:r>
      <w:r w:rsidR="0072272A" w:rsidRPr="005A1E5C">
        <w:rPr>
          <w:rStyle w:val="FootnoteReference"/>
          <w:rFonts w:cstheme="minorHAnsi"/>
          <w:lang w:val="fr-CH"/>
        </w:rPr>
        <w:footnoteReference w:id="3"/>
      </w:r>
      <w:r w:rsidR="004B0254" w:rsidRPr="005A1E5C">
        <w:rPr>
          <w:rFonts w:cstheme="minorHAnsi"/>
          <w:color w:val="212121"/>
          <w:lang w:val="fr-CH"/>
        </w:rPr>
        <w:t xml:space="preserve">, </w:t>
      </w:r>
      <w:r w:rsidR="001F1B2C">
        <w:rPr>
          <w:rFonts w:cstheme="minorHAnsi"/>
          <w:color w:val="212121"/>
          <w:lang w:val="fr-CH"/>
        </w:rPr>
        <w:t>dont l’objectif est de réduire la superficie des terres dégradées de 50 % d’ici à 2040, en s’appuyant</w:t>
      </w:r>
      <w:r w:rsidR="00FE1275">
        <w:rPr>
          <w:rFonts w:cstheme="minorHAnsi"/>
          <w:color w:val="212121"/>
          <w:lang w:val="fr-CH"/>
        </w:rPr>
        <w:t xml:space="preserve"> volontaire</w:t>
      </w:r>
      <w:r w:rsidR="00100337">
        <w:rPr>
          <w:rFonts w:cstheme="minorHAnsi"/>
          <w:color w:val="212121"/>
          <w:lang w:val="fr-CH"/>
        </w:rPr>
        <w:t xml:space="preserve">ment </w:t>
      </w:r>
      <w:r w:rsidR="001F1B2C">
        <w:rPr>
          <w:rFonts w:cstheme="minorHAnsi"/>
          <w:color w:val="212121"/>
          <w:lang w:val="fr-CH"/>
        </w:rPr>
        <w:t xml:space="preserve">sur des initiatives existantes. Le Secrétariat a rencontré le Directeur de l’Initiative en juillet 2022, pour discuter de la possibilité de tenir compte des zones humides dans le contexte de l’Initiative, ainsi que de la réunion de 2022 du Groupe de travail </w:t>
      </w:r>
      <w:r w:rsidR="00FE1275">
        <w:rPr>
          <w:rFonts w:cstheme="minorHAnsi"/>
          <w:color w:val="212121"/>
          <w:lang w:val="fr-CH"/>
        </w:rPr>
        <w:t xml:space="preserve">du G20 </w:t>
      </w:r>
      <w:r w:rsidR="001F1B2C">
        <w:rPr>
          <w:rFonts w:cstheme="minorHAnsi"/>
          <w:color w:val="212121"/>
          <w:lang w:val="fr-CH"/>
        </w:rPr>
        <w:t xml:space="preserve">sur l’environnement. Le Secrétariat a participé en tant qu’orateur à une activité </w:t>
      </w:r>
      <w:r w:rsidR="00717CC2">
        <w:rPr>
          <w:rFonts w:cstheme="minorHAnsi"/>
          <w:color w:val="212121"/>
          <w:lang w:val="fr-CH"/>
        </w:rPr>
        <w:t xml:space="preserve">de la Réunion des </w:t>
      </w:r>
      <w:r w:rsidR="00FE1275">
        <w:rPr>
          <w:rFonts w:cstheme="minorHAnsi"/>
          <w:color w:val="212121"/>
          <w:lang w:val="fr-CH"/>
        </w:rPr>
        <w:t xml:space="preserve">députés </w:t>
      </w:r>
      <w:r w:rsidR="00717CC2">
        <w:rPr>
          <w:rFonts w:cstheme="minorHAnsi"/>
          <w:color w:val="212121"/>
          <w:lang w:val="fr-CH"/>
        </w:rPr>
        <w:t>pour l’environnement</w:t>
      </w:r>
      <w:r w:rsidR="00E22BA7" w:rsidRPr="00E22BA7">
        <w:rPr>
          <w:rFonts w:cstheme="minorHAnsi"/>
          <w:color w:val="212121"/>
          <w:lang w:val="fr-CH"/>
        </w:rPr>
        <w:t xml:space="preserve"> </w:t>
      </w:r>
      <w:r w:rsidR="00E22BA7">
        <w:rPr>
          <w:rFonts w:cstheme="minorHAnsi"/>
          <w:color w:val="212121"/>
          <w:lang w:val="fr-CH"/>
        </w:rPr>
        <w:t>du G20</w:t>
      </w:r>
      <w:r w:rsidR="00717CC2">
        <w:rPr>
          <w:rFonts w:cstheme="minorHAnsi"/>
          <w:color w:val="212121"/>
          <w:lang w:val="fr-CH"/>
        </w:rPr>
        <w:t xml:space="preserve"> sur la réduction de la dégradation des terres et la restauration des écosystèmes de mangroves, organisée dans le cadre de la </w:t>
      </w:r>
      <w:r w:rsidR="00E22BA7">
        <w:rPr>
          <w:rFonts w:cstheme="minorHAnsi"/>
          <w:color w:val="212121"/>
          <w:lang w:val="fr-CH"/>
        </w:rPr>
        <w:t>p</w:t>
      </w:r>
      <w:r w:rsidR="00717CC2">
        <w:rPr>
          <w:rFonts w:cstheme="minorHAnsi"/>
          <w:color w:val="212121"/>
          <w:lang w:val="fr-CH"/>
        </w:rPr>
        <w:t>résidence indonésienne du G20, en août 2022.</w:t>
      </w:r>
    </w:p>
    <w:p w14:paraId="3AA660C9" w14:textId="77777777" w:rsidR="004B0254" w:rsidRPr="005A1E5C" w:rsidRDefault="004B0254" w:rsidP="000A264B">
      <w:pPr>
        <w:spacing w:after="0" w:line="240" w:lineRule="auto"/>
        <w:ind w:left="426" w:hanging="426"/>
        <w:rPr>
          <w:rFonts w:eastAsia="Times New Roman" w:cstheme="minorHAnsi"/>
          <w:lang w:val="fr-CH" w:eastAsia="en-GB"/>
        </w:rPr>
      </w:pPr>
    </w:p>
    <w:p w14:paraId="4032CC8D" w14:textId="1FD0E19D" w:rsidR="009C2848" w:rsidRPr="00B11D57" w:rsidRDefault="00B11D57" w:rsidP="000A264B">
      <w:pPr>
        <w:keepNext/>
        <w:spacing w:after="0" w:line="240" w:lineRule="auto"/>
        <w:ind w:left="425" w:hanging="425"/>
        <w:rPr>
          <w:rFonts w:eastAsia="Times New Roman" w:cstheme="minorHAnsi"/>
          <w:i/>
          <w:spacing w:val="-4"/>
          <w:lang w:val="fr-FR" w:eastAsia="en-GB"/>
        </w:rPr>
      </w:pPr>
      <w:r w:rsidRPr="00601403">
        <w:rPr>
          <w:rFonts w:eastAsia="Times New Roman" w:cstheme="minorHAnsi"/>
          <w:i/>
          <w:lang w:val="fr-FR" w:eastAsia="en-GB"/>
        </w:rPr>
        <w:t>La Convention sur la protection et l'utilisation des cours d'eau transfrontières et des lacs internationaux</w:t>
      </w:r>
    </w:p>
    <w:p w14:paraId="77DE02E7" w14:textId="77777777" w:rsidR="009C2848" w:rsidRPr="00B11D57" w:rsidRDefault="009C2848" w:rsidP="000A264B">
      <w:pPr>
        <w:keepNext/>
        <w:spacing w:after="0" w:line="240" w:lineRule="auto"/>
        <w:ind w:left="425" w:hanging="425"/>
        <w:rPr>
          <w:rFonts w:eastAsia="Times New Roman" w:cstheme="minorHAnsi"/>
          <w:spacing w:val="-4"/>
          <w:lang w:val="fr-FR" w:eastAsia="en-GB"/>
        </w:rPr>
      </w:pPr>
    </w:p>
    <w:p w14:paraId="75034EEA" w14:textId="12ACE865" w:rsidR="008F21C0" w:rsidRPr="00717CC2" w:rsidRDefault="00403AEE" w:rsidP="00EA610C">
      <w:pPr>
        <w:spacing w:after="0" w:line="240" w:lineRule="auto"/>
        <w:ind w:left="425" w:hanging="425"/>
        <w:rPr>
          <w:lang w:val="fr-CH"/>
        </w:rPr>
      </w:pPr>
      <w:r w:rsidRPr="00717CC2">
        <w:rPr>
          <w:rFonts w:eastAsia="Times New Roman" w:cstheme="minorHAnsi"/>
          <w:lang w:val="fr-CH" w:eastAsia="en-GB"/>
        </w:rPr>
        <w:t>2</w:t>
      </w:r>
      <w:r w:rsidR="00BB6EA8" w:rsidRPr="00717CC2">
        <w:rPr>
          <w:rFonts w:eastAsia="Times New Roman" w:cstheme="minorHAnsi"/>
          <w:lang w:val="fr-CH" w:eastAsia="en-GB"/>
        </w:rPr>
        <w:t>6</w:t>
      </w:r>
      <w:r w:rsidR="0006611C" w:rsidRPr="00717CC2">
        <w:rPr>
          <w:rFonts w:eastAsia="Times New Roman" w:cstheme="minorHAnsi"/>
          <w:lang w:val="fr-CH" w:eastAsia="en-GB"/>
        </w:rPr>
        <w:t>.</w:t>
      </w:r>
      <w:r w:rsidR="009C2848" w:rsidRPr="00717CC2">
        <w:rPr>
          <w:rFonts w:eastAsia="Times New Roman" w:cstheme="minorHAnsi"/>
          <w:lang w:val="fr-CH" w:eastAsia="en-GB"/>
        </w:rPr>
        <w:tab/>
      </w:r>
      <w:r w:rsidR="002A6B2A">
        <w:rPr>
          <w:rFonts w:eastAsia="Times New Roman" w:cstheme="minorHAnsi"/>
          <w:lang w:val="fr-CH" w:eastAsia="en-GB"/>
        </w:rPr>
        <w:t xml:space="preserve">Le Secrétariat a participé à la </w:t>
      </w:r>
      <w:r w:rsidR="0082214A">
        <w:rPr>
          <w:rFonts w:eastAsia="Times New Roman" w:cstheme="minorHAnsi"/>
          <w:lang w:val="fr-CH" w:eastAsia="en-GB"/>
        </w:rPr>
        <w:t>s</w:t>
      </w:r>
      <w:r w:rsidR="002A6B2A">
        <w:rPr>
          <w:rFonts w:eastAsia="Times New Roman" w:cstheme="minorHAnsi"/>
          <w:lang w:val="fr-CH" w:eastAsia="en-GB"/>
        </w:rPr>
        <w:t xml:space="preserve">eptième réunion de </w:t>
      </w:r>
      <w:r w:rsidR="00EA610C">
        <w:rPr>
          <w:rFonts w:eastAsia="Times New Roman" w:cstheme="minorHAnsi"/>
          <w:lang w:val="fr-CH" w:eastAsia="en-GB"/>
        </w:rPr>
        <w:t>l</w:t>
      </w:r>
      <w:r w:rsidR="00EA610C" w:rsidRPr="00EA610C">
        <w:rPr>
          <w:rFonts w:eastAsia="Times New Roman" w:cstheme="minorHAnsi"/>
          <w:lang w:val="fr-CH" w:eastAsia="en-GB"/>
        </w:rPr>
        <w:t>’Équipe spéciale des interactions entre l’eau, l’alimentation, l’énergie et</w:t>
      </w:r>
      <w:r w:rsidR="00EA610C">
        <w:rPr>
          <w:rFonts w:eastAsia="Times New Roman" w:cstheme="minorHAnsi"/>
          <w:lang w:val="fr-CH" w:eastAsia="en-GB"/>
        </w:rPr>
        <w:t xml:space="preserve"> </w:t>
      </w:r>
      <w:r w:rsidR="00EA610C" w:rsidRPr="00EA610C">
        <w:rPr>
          <w:rFonts w:eastAsia="Times New Roman" w:cstheme="minorHAnsi"/>
          <w:lang w:val="fr-CH" w:eastAsia="en-GB"/>
        </w:rPr>
        <w:t>les écosystèmes</w:t>
      </w:r>
      <w:r w:rsidR="002A6B2A">
        <w:rPr>
          <w:rFonts w:eastAsia="Times New Roman" w:cstheme="minorHAnsi"/>
          <w:lang w:val="fr-CH" w:eastAsia="en-GB"/>
        </w:rPr>
        <w:t xml:space="preserve"> de la Convention des Nations Unies sur l’eau ainsi qu’à l’Atelier mondial sur la gestion de la source à la mer, organisé dans le cadre de la Convention, en décembre 2022.</w:t>
      </w:r>
    </w:p>
    <w:p w14:paraId="66817125" w14:textId="3E8F2E92" w:rsidR="008F21C0" w:rsidRPr="00717CC2" w:rsidRDefault="008F21C0" w:rsidP="002E77BF">
      <w:pPr>
        <w:spacing w:after="0" w:line="240" w:lineRule="auto"/>
        <w:ind w:left="425" w:hanging="425"/>
        <w:rPr>
          <w:lang w:val="fr-CH"/>
        </w:rPr>
      </w:pPr>
    </w:p>
    <w:p w14:paraId="1A21A609" w14:textId="16F720D6" w:rsidR="008F21C0" w:rsidRPr="00717CC2" w:rsidRDefault="00403AEE" w:rsidP="002E77BF">
      <w:pPr>
        <w:spacing w:after="0" w:line="240" w:lineRule="auto"/>
        <w:ind w:left="425" w:hanging="425"/>
        <w:rPr>
          <w:lang w:val="fr-CH"/>
        </w:rPr>
      </w:pPr>
      <w:r w:rsidRPr="00717CC2">
        <w:rPr>
          <w:lang w:val="fr-CH"/>
        </w:rPr>
        <w:t>2</w:t>
      </w:r>
      <w:r w:rsidR="00BB6EA8" w:rsidRPr="00717CC2">
        <w:rPr>
          <w:lang w:val="fr-CH"/>
        </w:rPr>
        <w:t>7</w:t>
      </w:r>
      <w:r w:rsidR="00DD0941" w:rsidRPr="00717CC2">
        <w:rPr>
          <w:lang w:val="fr-CH"/>
        </w:rPr>
        <w:t>.</w:t>
      </w:r>
      <w:r w:rsidR="00A56F0D" w:rsidRPr="00717CC2">
        <w:rPr>
          <w:lang w:val="fr-CH"/>
        </w:rPr>
        <w:tab/>
      </w:r>
      <w:r w:rsidR="00774C54">
        <w:rPr>
          <w:lang w:val="fr-CH"/>
        </w:rPr>
        <w:t>La Secrétaire générale a rencontré l</w:t>
      </w:r>
      <w:r w:rsidR="00F9683B">
        <w:rPr>
          <w:lang w:val="fr-CH"/>
        </w:rPr>
        <w:t>a</w:t>
      </w:r>
      <w:r w:rsidR="00774C54">
        <w:rPr>
          <w:lang w:val="fr-CH"/>
        </w:rPr>
        <w:t xml:space="preserve"> Secrétaire de la Convention sur l’eau, en février 2023, pour aborder la collaboration du point de vue des réunions intergouvernementales des Conventions, des processus mondiaux tels que la Conférence des Nations Unies sur l’eau de 2023, le sommet sur les ODD et la COP28 de la CCNUCC, ainsi que des domaines thématiques tels que l’adaptation aux changements climatiques et </w:t>
      </w:r>
      <w:r w:rsidR="00F9683B">
        <w:rPr>
          <w:lang w:val="fr-CH"/>
        </w:rPr>
        <w:t xml:space="preserve">les </w:t>
      </w:r>
      <w:r w:rsidR="00F9683B" w:rsidRPr="00EA610C">
        <w:rPr>
          <w:rFonts w:eastAsia="Times New Roman" w:cstheme="minorHAnsi"/>
          <w:lang w:val="fr-CH" w:eastAsia="en-GB"/>
        </w:rPr>
        <w:t>interactions entre l’eau, l’alimentation, l’énergie et</w:t>
      </w:r>
      <w:r w:rsidR="00F9683B">
        <w:rPr>
          <w:rFonts w:eastAsia="Times New Roman" w:cstheme="minorHAnsi"/>
          <w:lang w:val="fr-CH" w:eastAsia="en-GB"/>
        </w:rPr>
        <w:t xml:space="preserve"> </w:t>
      </w:r>
      <w:r w:rsidR="00F9683B" w:rsidRPr="00EA610C">
        <w:rPr>
          <w:rFonts w:eastAsia="Times New Roman" w:cstheme="minorHAnsi"/>
          <w:lang w:val="fr-CH" w:eastAsia="en-GB"/>
        </w:rPr>
        <w:t>les écosystèmes</w:t>
      </w:r>
      <w:r w:rsidR="00665AC9">
        <w:rPr>
          <w:lang w:val="fr-CH"/>
        </w:rPr>
        <w:t>.</w:t>
      </w:r>
    </w:p>
    <w:p w14:paraId="704D6B26" w14:textId="77777777" w:rsidR="008F21C0" w:rsidRPr="00717CC2" w:rsidRDefault="008F21C0" w:rsidP="002E77BF">
      <w:pPr>
        <w:spacing w:after="0" w:line="240" w:lineRule="auto"/>
        <w:ind w:left="425" w:hanging="425"/>
        <w:rPr>
          <w:rFonts w:eastAsia="Times New Roman" w:cstheme="minorHAnsi"/>
          <w:lang w:val="fr-CH" w:eastAsia="en-GB"/>
        </w:rPr>
      </w:pPr>
    </w:p>
    <w:p w14:paraId="42E0FFDD" w14:textId="29B0F4AB" w:rsidR="00F65492" w:rsidRPr="00717CC2" w:rsidRDefault="00403AEE" w:rsidP="00CA2FEA">
      <w:pPr>
        <w:spacing w:after="0" w:line="240" w:lineRule="auto"/>
        <w:ind w:left="425" w:hanging="426"/>
        <w:rPr>
          <w:lang w:val="fr-CH"/>
        </w:rPr>
      </w:pPr>
      <w:r w:rsidRPr="00717CC2">
        <w:rPr>
          <w:rFonts w:eastAsia="Times New Roman"/>
          <w:lang w:val="fr-CH" w:eastAsia="en-GB"/>
        </w:rPr>
        <w:t>2</w:t>
      </w:r>
      <w:r w:rsidR="00BB6EA8" w:rsidRPr="00717CC2">
        <w:rPr>
          <w:rFonts w:eastAsia="Times New Roman"/>
          <w:lang w:val="fr-CH" w:eastAsia="en-GB"/>
        </w:rPr>
        <w:t>8</w:t>
      </w:r>
      <w:r w:rsidR="00DD0941" w:rsidRPr="00717CC2">
        <w:rPr>
          <w:rFonts w:eastAsia="Times New Roman"/>
          <w:lang w:val="fr-CH" w:eastAsia="en-GB"/>
        </w:rPr>
        <w:t>.</w:t>
      </w:r>
      <w:r w:rsidR="00A56F0D" w:rsidRPr="00717CC2">
        <w:rPr>
          <w:rFonts w:eastAsia="Times New Roman"/>
          <w:lang w:val="fr-CH" w:eastAsia="en-GB"/>
        </w:rPr>
        <w:tab/>
      </w:r>
      <w:r w:rsidR="00665AC9">
        <w:rPr>
          <w:rFonts w:eastAsia="Times New Roman"/>
          <w:lang w:val="fr-CH" w:eastAsia="en-GB"/>
        </w:rPr>
        <w:t>En mars </w:t>
      </w:r>
      <w:r w:rsidR="00FC53C0" w:rsidRPr="00717CC2">
        <w:rPr>
          <w:rFonts w:eastAsia="Times New Roman"/>
          <w:lang w:val="fr-CH" w:eastAsia="en-GB"/>
        </w:rPr>
        <w:t>2023</w:t>
      </w:r>
      <w:r w:rsidR="00FA0126" w:rsidRPr="00717CC2">
        <w:rPr>
          <w:rFonts w:eastAsia="Times New Roman"/>
          <w:lang w:val="fr-CH" w:eastAsia="en-GB"/>
        </w:rPr>
        <w:t>,</w:t>
      </w:r>
      <w:r w:rsidR="294FDC56" w:rsidRPr="00717CC2">
        <w:rPr>
          <w:rFonts w:eastAsia="Times New Roman"/>
          <w:lang w:val="fr-CH" w:eastAsia="en-GB"/>
        </w:rPr>
        <w:t xml:space="preserve"> </w:t>
      </w:r>
      <w:r w:rsidR="00665AC9">
        <w:rPr>
          <w:rFonts w:eastAsia="Times New Roman"/>
          <w:lang w:val="fr-CH" w:eastAsia="en-GB"/>
        </w:rPr>
        <w:t xml:space="preserve">les cadres des deux Secrétariats ont tenu une réunion de suivi pour discuter de domaines concrets de collaboration potentielle, notamment dans le cadre des Initiatives régionales Ramsar. </w:t>
      </w:r>
      <w:r w:rsidR="003A30CD">
        <w:rPr>
          <w:rFonts w:eastAsia="Times New Roman"/>
          <w:lang w:val="fr-CH" w:eastAsia="en-GB"/>
        </w:rPr>
        <w:t>En mai 2023, l</w:t>
      </w:r>
      <w:r w:rsidR="00665AC9">
        <w:rPr>
          <w:rFonts w:eastAsia="Times New Roman"/>
          <w:lang w:val="fr-CH" w:eastAsia="en-GB"/>
        </w:rPr>
        <w:t>e Secrétariat et un représentant de l’Initiative régionale Ramsar indo</w:t>
      </w:r>
      <w:r w:rsidR="00665AC9">
        <w:rPr>
          <w:rFonts w:eastAsia="Times New Roman"/>
          <w:lang w:val="fr-CH" w:eastAsia="en-GB"/>
        </w:rPr>
        <w:noBreakHyphen/>
        <w:t xml:space="preserve">birmane </w:t>
      </w:r>
      <w:r w:rsidR="00665AC9" w:rsidRPr="00100337">
        <w:rPr>
          <w:rFonts w:eastAsia="Times New Roman"/>
          <w:lang w:val="fr-CH" w:eastAsia="en-GB"/>
        </w:rPr>
        <w:t>devaient p</w:t>
      </w:r>
      <w:r w:rsidR="00665AC9">
        <w:rPr>
          <w:rFonts w:eastAsia="Times New Roman"/>
          <w:lang w:val="fr-CH" w:eastAsia="en-GB"/>
        </w:rPr>
        <w:t xml:space="preserve">articiper à la </w:t>
      </w:r>
      <w:r w:rsidR="003A30CD">
        <w:rPr>
          <w:rFonts w:eastAsia="Times New Roman"/>
          <w:lang w:val="fr-CH" w:eastAsia="en-GB"/>
        </w:rPr>
        <w:t xml:space="preserve">deuxième session de la </w:t>
      </w:r>
      <w:r w:rsidR="00CA2FEA">
        <w:rPr>
          <w:rFonts w:eastAsia="Times New Roman"/>
          <w:lang w:val="fr-CH" w:eastAsia="en-GB"/>
        </w:rPr>
        <w:t>s</w:t>
      </w:r>
      <w:r w:rsidR="00CA2FEA" w:rsidRPr="00CA2FEA">
        <w:rPr>
          <w:rFonts w:eastAsia="Times New Roman"/>
          <w:lang w:val="fr-CH" w:eastAsia="en-GB"/>
        </w:rPr>
        <w:t>eptième réunion du</w:t>
      </w:r>
      <w:r w:rsidR="00CA2FEA">
        <w:rPr>
          <w:rFonts w:eastAsia="Times New Roman"/>
          <w:lang w:val="fr-CH" w:eastAsia="en-GB"/>
        </w:rPr>
        <w:t xml:space="preserve"> </w:t>
      </w:r>
      <w:r w:rsidR="00CA2FEA" w:rsidRPr="00CA2FEA">
        <w:rPr>
          <w:rFonts w:eastAsia="Times New Roman"/>
          <w:lang w:val="fr-CH" w:eastAsia="en-GB"/>
        </w:rPr>
        <w:t>Réseau mondial de bassins travaillant sur l’adaptation au changement</w:t>
      </w:r>
      <w:r w:rsidR="00CA2FEA">
        <w:rPr>
          <w:rFonts w:eastAsia="Times New Roman"/>
          <w:lang w:val="fr-CH" w:eastAsia="en-GB"/>
        </w:rPr>
        <w:t xml:space="preserve"> </w:t>
      </w:r>
      <w:r w:rsidR="00CA2FEA" w:rsidRPr="00CA2FEA">
        <w:rPr>
          <w:rFonts w:eastAsia="Times New Roman"/>
          <w:lang w:val="fr-CH" w:eastAsia="en-GB"/>
        </w:rPr>
        <w:t>climatique</w:t>
      </w:r>
      <w:r w:rsidR="003A30CD">
        <w:rPr>
          <w:rFonts w:eastAsia="Times New Roman"/>
          <w:lang w:val="fr-CH" w:eastAsia="en-GB"/>
        </w:rPr>
        <w:t>, consacrée</w:t>
      </w:r>
      <w:r w:rsidR="00233C6C">
        <w:rPr>
          <w:rFonts w:eastAsia="Times New Roman"/>
          <w:lang w:val="fr-CH" w:eastAsia="en-GB"/>
        </w:rPr>
        <w:t>, notamment,</w:t>
      </w:r>
      <w:r w:rsidR="003A30CD" w:rsidRPr="003A30CD">
        <w:rPr>
          <w:rFonts w:eastAsia="Times New Roman"/>
          <w:lang w:val="fr-CH" w:eastAsia="en-GB"/>
        </w:rPr>
        <w:t xml:space="preserve"> </w:t>
      </w:r>
      <w:r w:rsidR="003A30CD">
        <w:rPr>
          <w:rFonts w:eastAsia="Times New Roman"/>
          <w:lang w:val="fr-CH" w:eastAsia="en-GB"/>
        </w:rPr>
        <w:t xml:space="preserve">à la </w:t>
      </w:r>
      <w:r w:rsidR="003A30CD" w:rsidRPr="003A30CD">
        <w:rPr>
          <w:rFonts w:eastAsia="Times New Roman"/>
          <w:lang w:val="fr-CH" w:eastAsia="en-GB"/>
        </w:rPr>
        <w:t>coopération dans le domaine des eaux transfrontières</w:t>
      </w:r>
      <w:r w:rsidR="00665AC9">
        <w:rPr>
          <w:rFonts w:eastAsia="Times New Roman"/>
          <w:lang w:val="fr-CH" w:eastAsia="en-GB"/>
        </w:rPr>
        <w:t>.</w:t>
      </w:r>
    </w:p>
    <w:p w14:paraId="0CDEAA01" w14:textId="77777777" w:rsidR="00605783" w:rsidRPr="00717CC2" w:rsidRDefault="00605783" w:rsidP="000A264B">
      <w:pPr>
        <w:tabs>
          <w:tab w:val="left" w:pos="426"/>
        </w:tabs>
        <w:spacing w:after="0" w:line="240" w:lineRule="auto"/>
        <w:ind w:left="425" w:hanging="425"/>
        <w:rPr>
          <w:rFonts w:eastAsia="Times New Roman" w:cstheme="minorHAnsi"/>
          <w:lang w:val="fr-CH" w:eastAsia="en-GB"/>
        </w:rPr>
      </w:pPr>
    </w:p>
    <w:p w14:paraId="49056F28" w14:textId="7E9D656C" w:rsidR="00F04E34" w:rsidRPr="00717CC2" w:rsidRDefault="00B11D57" w:rsidP="000A264B">
      <w:pPr>
        <w:keepNext/>
        <w:spacing w:after="0" w:line="240" w:lineRule="auto"/>
        <w:contextualSpacing/>
        <w:rPr>
          <w:rFonts w:eastAsia="Calibri"/>
          <w:i/>
          <w:iCs/>
          <w:lang w:val="fr-CH"/>
        </w:rPr>
      </w:pPr>
      <w:r w:rsidRPr="001E0C6E">
        <w:rPr>
          <w:i/>
          <w:iCs/>
          <w:lang w:val="fr-CH"/>
        </w:rPr>
        <w:t>La Convention interaméricaine pour la protection et la conservation des tortues marines</w:t>
      </w:r>
    </w:p>
    <w:p w14:paraId="4BC97EF6" w14:textId="3E26C9F3" w:rsidR="00FB5F08" w:rsidRPr="00717CC2" w:rsidRDefault="00FB5F08" w:rsidP="000A264B">
      <w:pPr>
        <w:keepNext/>
        <w:tabs>
          <w:tab w:val="left" w:pos="426"/>
        </w:tabs>
        <w:spacing w:after="0" w:line="240" w:lineRule="auto"/>
        <w:ind w:left="425" w:hanging="425"/>
        <w:rPr>
          <w:rFonts w:cstheme="minorHAnsi"/>
          <w:bCs/>
          <w:i/>
          <w:lang w:val="fr-CH"/>
        </w:rPr>
      </w:pPr>
    </w:p>
    <w:p w14:paraId="74557A07" w14:textId="0268B1F7" w:rsidR="007E1F19" w:rsidRPr="00717CC2" w:rsidRDefault="00BB6EA8" w:rsidP="002E77BF">
      <w:pPr>
        <w:spacing w:after="0" w:line="240" w:lineRule="auto"/>
        <w:ind w:left="426" w:hanging="426"/>
        <w:rPr>
          <w:lang w:val="fr-CH"/>
        </w:rPr>
      </w:pPr>
      <w:r w:rsidRPr="00717CC2">
        <w:rPr>
          <w:lang w:val="fr-CH"/>
        </w:rPr>
        <w:t>29</w:t>
      </w:r>
      <w:r w:rsidR="00981D9A" w:rsidRPr="00717CC2">
        <w:rPr>
          <w:lang w:val="fr-CH"/>
        </w:rPr>
        <w:t>.</w:t>
      </w:r>
      <w:r w:rsidR="00981D9A" w:rsidRPr="00717CC2">
        <w:rPr>
          <w:rFonts w:cstheme="minorHAnsi"/>
          <w:lang w:val="fr-CH"/>
        </w:rPr>
        <w:tab/>
      </w:r>
      <w:r w:rsidR="003E76A2">
        <w:rPr>
          <w:lang w:val="fr-CH"/>
        </w:rPr>
        <w:t xml:space="preserve">Dans le cadre du mémorandum d’entente signé en 2020, le Secrétariat de la Convention sur les zones humides et le Secrétaire temporaire de la </w:t>
      </w:r>
      <w:r w:rsidR="00B11D57" w:rsidRPr="00833F97">
        <w:rPr>
          <w:lang w:val="fr-CH"/>
        </w:rPr>
        <w:t>Convention interaméricaine pour la protection et la conservation des tortues marines</w:t>
      </w:r>
      <w:r w:rsidR="00833F97">
        <w:rPr>
          <w:iCs/>
          <w:lang w:val="fr-CH"/>
        </w:rPr>
        <w:t xml:space="preserve"> (IAC)</w:t>
      </w:r>
      <w:r w:rsidR="00B11D57" w:rsidRPr="001E0C6E">
        <w:rPr>
          <w:iCs/>
          <w:lang w:val="fr-CH"/>
        </w:rPr>
        <w:t xml:space="preserve"> </w:t>
      </w:r>
      <w:r w:rsidR="003E76A2" w:rsidRPr="001E0C6E">
        <w:rPr>
          <w:lang w:val="fr-CH"/>
        </w:rPr>
        <w:t>on</w:t>
      </w:r>
      <w:r w:rsidR="003E76A2">
        <w:rPr>
          <w:lang w:val="fr-CH"/>
        </w:rPr>
        <w:t>t continué d’échanger des informations sur des activités et du matériel pertinent</w:t>
      </w:r>
      <w:r w:rsidR="00833F97">
        <w:rPr>
          <w:lang w:val="fr-CH"/>
        </w:rPr>
        <w:t>s</w:t>
      </w:r>
      <w:r w:rsidR="003E76A2">
        <w:rPr>
          <w:lang w:val="fr-CH"/>
        </w:rPr>
        <w:t xml:space="preserve"> en vue de permettre l’inscription de zones humides d’importance internationale</w:t>
      </w:r>
      <w:r w:rsidR="00833F97">
        <w:rPr>
          <w:lang w:val="fr-CH"/>
        </w:rPr>
        <w:t>, vitales</w:t>
      </w:r>
      <w:r w:rsidR="003E76A2">
        <w:rPr>
          <w:lang w:val="fr-CH"/>
        </w:rPr>
        <w:t xml:space="preserve"> pour les tortues marines. Les deux Secrétariats ont participé à l’activité parallèle « </w:t>
      </w:r>
      <w:r w:rsidR="00833F97" w:rsidRPr="00833F97">
        <w:rPr>
          <w:lang w:val="fr-CH"/>
        </w:rPr>
        <w:t xml:space="preserve">Application de la résolution XIII-24 sur les habitats des tortues marines </w:t>
      </w:r>
      <w:r w:rsidR="00A02E8A">
        <w:rPr>
          <w:lang w:val="fr-CH"/>
        </w:rPr>
        <w:t>dans les</w:t>
      </w:r>
      <w:r w:rsidR="00833F97" w:rsidRPr="00833F97">
        <w:rPr>
          <w:lang w:val="fr-CH"/>
        </w:rPr>
        <w:t xml:space="preserve"> Amérique</w:t>
      </w:r>
      <w:r w:rsidR="00A02E8A">
        <w:rPr>
          <w:lang w:val="fr-CH"/>
        </w:rPr>
        <w:t>s</w:t>
      </w:r>
      <w:r w:rsidR="00833F97" w:rsidRPr="00833F97">
        <w:rPr>
          <w:lang w:val="fr-CH"/>
        </w:rPr>
        <w:t xml:space="preserve"> </w:t>
      </w:r>
      <w:r w:rsidR="00A02E8A">
        <w:rPr>
          <w:lang w:val="fr-CH"/>
        </w:rPr>
        <w:t>et</w:t>
      </w:r>
      <w:r w:rsidR="00833F97" w:rsidRPr="00833F97">
        <w:rPr>
          <w:lang w:val="fr-CH"/>
        </w:rPr>
        <w:t xml:space="preserve"> Perspectives de partenariat avec l'IA</w:t>
      </w:r>
      <w:r w:rsidR="00833F97">
        <w:rPr>
          <w:lang w:val="fr-CH"/>
        </w:rPr>
        <w:t>C et la Convention sur les zones humides</w:t>
      </w:r>
      <w:r w:rsidR="003E76A2">
        <w:rPr>
          <w:lang w:val="fr-CH"/>
        </w:rPr>
        <w:t xml:space="preserve"> », organisée par le Ministère de la transition écologique de la France et l’Association </w:t>
      </w:r>
      <w:r w:rsidR="005063C0" w:rsidRPr="00717CC2">
        <w:rPr>
          <w:lang w:val="fr-CH"/>
        </w:rPr>
        <w:t>Chélonée</w:t>
      </w:r>
      <w:r w:rsidR="00CD4BA8" w:rsidRPr="00717CC2">
        <w:rPr>
          <w:lang w:val="fr-CH"/>
        </w:rPr>
        <w:t xml:space="preserve">. </w:t>
      </w:r>
      <w:r w:rsidR="00A02E8A">
        <w:rPr>
          <w:lang w:val="fr-CH"/>
        </w:rPr>
        <w:t>L</w:t>
      </w:r>
      <w:r w:rsidR="003E76A2">
        <w:rPr>
          <w:lang w:val="fr-CH"/>
        </w:rPr>
        <w:t>es résultats d’une étude conjointe sur l’application de la Résolution </w:t>
      </w:r>
      <w:r w:rsidR="00D22AC2" w:rsidRPr="00717CC2">
        <w:rPr>
          <w:lang w:val="fr-CH"/>
        </w:rPr>
        <w:t>X</w:t>
      </w:r>
      <w:r w:rsidR="00A0056E" w:rsidRPr="00717CC2">
        <w:rPr>
          <w:lang w:val="fr-CH"/>
        </w:rPr>
        <w:t xml:space="preserve">III.24 </w:t>
      </w:r>
      <w:r w:rsidR="003E76A2">
        <w:rPr>
          <w:lang w:val="fr-CH"/>
        </w:rPr>
        <w:t xml:space="preserve">qui soutiendra </w:t>
      </w:r>
      <w:r w:rsidR="002D4B84">
        <w:rPr>
          <w:lang w:val="fr-CH"/>
        </w:rPr>
        <w:t>une mise à jour du rapport de 2013 sur les zones humides et la conservation des tortues marines dans les Amériques</w:t>
      </w:r>
      <w:r w:rsidR="00A02E8A">
        <w:rPr>
          <w:lang w:val="fr-CH"/>
        </w:rPr>
        <w:t xml:space="preserve"> ont été présentés</w:t>
      </w:r>
      <w:r w:rsidR="002D4B84">
        <w:rPr>
          <w:lang w:val="fr-CH"/>
        </w:rPr>
        <w:t xml:space="preserve">. </w:t>
      </w:r>
    </w:p>
    <w:p w14:paraId="4FDE46C7" w14:textId="43C7FA9D" w:rsidR="008E4A4B" w:rsidRPr="00717CC2" w:rsidRDefault="008E4A4B" w:rsidP="000A264B">
      <w:pPr>
        <w:spacing w:after="0" w:line="240" w:lineRule="auto"/>
        <w:rPr>
          <w:rFonts w:cstheme="minorHAnsi"/>
          <w:lang w:val="fr-CH"/>
        </w:rPr>
      </w:pPr>
    </w:p>
    <w:p w14:paraId="379DCF26" w14:textId="01EC88F6" w:rsidR="00F04E34" w:rsidRPr="00717CC2" w:rsidRDefault="0035110B" w:rsidP="000A264B">
      <w:pPr>
        <w:keepNext/>
        <w:spacing w:after="0" w:line="240" w:lineRule="auto"/>
        <w:contextualSpacing/>
        <w:rPr>
          <w:rFonts w:eastAsia="Calibri" w:cstheme="minorHAnsi"/>
          <w:i/>
          <w:lang w:val="fr-CH"/>
        </w:rPr>
      </w:pPr>
      <w:r w:rsidRPr="00A02E8A">
        <w:rPr>
          <w:rFonts w:eastAsia="Times New Roman" w:cstheme="minorHAnsi"/>
          <w:b/>
          <w:bCs/>
          <w:lang w:val="fr-CH" w:eastAsia="en-GB"/>
        </w:rPr>
        <w:t>Les objectifs de développement durable</w:t>
      </w:r>
      <w:r w:rsidR="00F04E34" w:rsidRPr="00717CC2">
        <w:rPr>
          <w:rFonts w:eastAsia="Times New Roman" w:cstheme="minorHAnsi"/>
          <w:b/>
          <w:bCs/>
          <w:lang w:val="fr-CH" w:eastAsia="en-GB"/>
        </w:rPr>
        <w:t xml:space="preserve"> </w:t>
      </w:r>
    </w:p>
    <w:p w14:paraId="3930AE64" w14:textId="7431DAA5" w:rsidR="009C2848" w:rsidRPr="00717CC2" w:rsidRDefault="009C2848" w:rsidP="000A264B">
      <w:pPr>
        <w:keepNext/>
        <w:spacing w:after="0" w:line="240" w:lineRule="auto"/>
        <w:ind w:left="357" w:hanging="357"/>
        <w:rPr>
          <w:rFonts w:eastAsia="Times New Roman" w:cstheme="minorHAnsi"/>
          <w:b/>
          <w:bCs/>
          <w:lang w:val="fr-CH" w:eastAsia="en-GB"/>
        </w:rPr>
      </w:pPr>
    </w:p>
    <w:p w14:paraId="40661680" w14:textId="79734D3D" w:rsidR="009C2848" w:rsidRPr="00717CC2" w:rsidRDefault="00BB6EA8" w:rsidP="000A264B">
      <w:pPr>
        <w:suppressAutoHyphens/>
        <w:spacing w:after="0" w:line="240" w:lineRule="auto"/>
        <w:ind w:left="425" w:hanging="425"/>
        <w:rPr>
          <w:rFonts w:eastAsia="Times New Roman" w:cstheme="minorHAnsi"/>
          <w:lang w:val="fr-CH" w:eastAsia="en-GB"/>
        </w:rPr>
      </w:pPr>
      <w:r w:rsidRPr="00717CC2">
        <w:rPr>
          <w:rFonts w:eastAsia="Times New Roman" w:cstheme="minorHAnsi"/>
          <w:lang w:val="fr-CH" w:eastAsia="en-GB"/>
        </w:rPr>
        <w:t>30</w:t>
      </w:r>
      <w:r w:rsidR="009C2848" w:rsidRPr="00717CC2">
        <w:rPr>
          <w:rFonts w:eastAsia="Times New Roman" w:cstheme="minorHAnsi"/>
          <w:lang w:val="fr-CH" w:eastAsia="en-GB"/>
        </w:rPr>
        <w:t>.</w:t>
      </w:r>
      <w:r w:rsidR="009C2848" w:rsidRPr="00717CC2">
        <w:rPr>
          <w:rFonts w:eastAsia="Times New Roman" w:cstheme="minorHAnsi"/>
          <w:lang w:val="fr-CH" w:eastAsia="en-GB"/>
        </w:rPr>
        <w:tab/>
      </w:r>
      <w:r w:rsidR="00311A77">
        <w:rPr>
          <w:rFonts w:eastAsia="Times New Roman" w:cstheme="minorHAnsi"/>
          <w:lang w:val="fr-CH" w:eastAsia="en-GB"/>
        </w:rPr>
        <w:t>Conformément à la Décision</w:t>
      </w:r>
      <w:r w:rsidR="009C2848" w:rsidRPr="00717CC2">
        <w:rPr>
          <w:rFonts w:eastAsia="Times New Roman" w:cstheme="minorHAnsi"/>
          <w:lang w:val="fr-CH" w:eastAsia="en-GB"/>
        </w:rPr>
        <w:t xml:space="preserve"> SC53-17 </w:t>
      </w:r>
      <w:r w:rsidR="00311A77">
        <w:rPr>
          <w:rFonts w:eastAsia="Times New Roman" w:cstheme="minorHAnsi"/>
          <w:lang w:val="fr-CH" w:eastAsia="en-GB"/>
        </w:rPr>
        <w:t>du Comité permanent et à la Résolution</w:t>
      </w:r>
      <w:r w:rsidR="009C2848" w:rsidRPr="00717CC2">
        <w:rPr>
          <w:rFonts w:eastAsia="Times New Roman" w:cstheme="minorHAnsi"/>
          <w:lang w:val="fr-CH" w:eastAsia="en-GB"/>
        </w:rPr>
        <w:t xml:space="preserve"> XIII.7, </w:t>
      </w:r>
      <w:r w:rsidR="00311A77">
        <w:rPr>
          <w:rFonts w:eastAsia="Times New Roman" w:cstheme="minorHAnsi"/>
          <w:lang w:val="fr-CH" w:eastAsia="en-GB"/>
        </w:rPr>
        <w:t xml:space="preserve">le Secrétariat continue de participer activement aux travaux en cours sur les ODD, y compris lors des réunions du </w:t>
      </w:r>
      <w:r w:rsidR="00CA2D34" w:rsidRPr="0091260C">
        <w:rPr>
          <w:rFonts w:eastAsia="Times New Roman" w:cstheme="minorHAnsi"/>
          <w:lang w:val="fr-CH" w:eastAsia="en-GB"/>
        </w:rPr>
        <w:t>Groupe d’experts interinstitutionnel chargé des indicateurs des objectifs de développement durable</w:t>
      </w:r>
      <w:r w:rsidR="009C2848" w:rsidRPr="0091260C">
        <w:rPr>
          <w:rFonts w:eastAsia="Times New Roman" w:cstheme="minorHAnsi"/>
          <w:lang w:val="fr-CH" w:eastAsia="en-GB"/>
        </w:rPr>
        <w:t xml:space="preserve"> (IAEG-SDG)</w:t>
      </w:r>
      <w:r w:rsidR="007B73E8" w:rsidRPr="0091260C">
        <w:rPr>
          <w:rFonts w:eastAsia="Times New Roman" w:cstheme="minorHAnsi"/>
          <w:lang w:val="fr-CH" w:eastAsia="en-GB"/>
        </w:rPr>
        <w:t xml:space="preserve"> </w:t>
      </w:r>
      <w:r w:rsidR="00236475" w:rsidRPr="0091260C">
        <w:rPr>
          <w:rFonts w:eastAsia="Times New Roman" w:cstheme="minorHAnsi"/>
          <w:lang w:val="fr-CH" w:eastAsia="en-GB"/>
        </w:rPr>
        <w:t>en tant que coresponsable de l’ODD</w:t>
      </w:r>
      <w:r w:rsidR="007B73E8" w:rsidRPr="0091260C">
        <w:rPr>
          <w:rFonts w:cstheme="minorHAnsi"/>
          <w:lang w:val="fr-CH"/>
        </w:rPr>
        <w:t xml:space="preserve"> 6 </w:t>
      </w:r>
      <w:r w:rsidR="00877D5C" w:rsidRPr="0091260C">
        <w:rPr>
          <w:rFonts w:cstheme="minorHAnsi"/>
          <w:lang w:val="fr-CH"/>
        </w:rPr>
        <w:t>(</w:t>
      </w:r>
      <w:r w:rsidR="00236475" w:rsidRPr="0091260C">
        <w:rPr>
          <w:rFonts w:cstheme="minorHAnsi"/>
          <w:lang w:val="fr-CH"/>
        </w:rPr>
        <w:t>« eau propre et assainissement »</w:t>
      </w:r>
      <w:r w:rsidR="00877D5C" w:rsidRPr="0091260C">
        <w:rPr>
          <w:rFonts w:eastAsia="Times New Roman" w:cstheme="minorHAnsi"/>
          <w:lang w:val="fr-CH" w:eastAsia="en-GB"/>
        </w:rPr>
        <w:t xml:space="preserve">) </w:t>
      </w:r>
      <w:r w:rsidR="007946B1">
        <w:rPr>
          <w:rFonts w:cstheme="minorHAnsi"/>
          <w:lang w:val="fr-CH"/>
        </w:rPr>
        <w:t>i</w:t>
      </w:r>
      <w:r w:rsidR="007B73E8" w:rsidRPr="0091260C">
        <w:rPr>
          <w:rFonts w:cstheme="minorHAnsi"/>
          <w:lang w:val="fr-CH"/>
        </w:rPr>
        <w:t>ndicat</w:t>
      </w:r>
      <w:r w:rsidR="00236475" w:rsidRPr="0091260C">
        <w:rPr>
          <w:rFonts w:cstheme="minorHAnsi"/>
          <w:lang w:val="fr-CH"/>
        </w:rPr>
        <w:t>eu</w:t>
      </w:r>
      <w:r w:rsidR="007B73E8" w:rsidRPr="0091260C">
        <w:rPr>
          <w:rFonts w:cstheme="minorHAnsi"/>
          <w:lang w:val="fr-CH"/>
        </w:rPr>
        <w:t>r 6.6.1 (</w:t>
      </w:r>
      <w:r w:rsidR="00236475" w:rsidRPr="0091260C">
        <w:rPr>
          <w:rFonts w:cstheme="minorHAnsi"/>
          <w:lang w:val="fr-CH"/>
        </w:rPr>
        <w:t>« variation de l’étendue des écosystèmes tributaires de l’eau »</w:t>
      </w:r>
      <w:r w:rsidR="007B73E8" w:rsidRPr="0091260C">
        <w:rPr>
          <w:rFonts w:cstheme="minorHAnsi"/>
          <w:lang w:val="fr-CH"/>
        </w:rPr>
        <w:t>)</w:t>
      </w:r>
      <w:r w:rsidR="009C2848" w:rsidRPr="0091260C">
        <w:rPr>
          <w:rFonts w:eastAsia="Times New Roman" w:cstheme="minorHAnsi"/>
          <w:lang w:val="fr-CH" w:eastAsia="en-GB"/>
        </w:rPr>
        <w:t>.</w:t>
      </w:r>
    </w:p>
    <w:p w14:paraId="2779FA34" w14:textId="77777777" w:rsidR="009C2848" w:rsidRPr="00717CC2" w:rsidRDefault="009C2848" w:rsidP="000A264B">
      <w:pPr>
        <w:spacing w:after="0" w:line="240" w:lineRule="auto"/>
        <w:ind w:left="425" w:hanging="425"/>
        <w:rPr>
          <w:rFonts w:eastAsia="Times New Roman" w:cstheme="minorHAnsi"/>
          <w:lang w:val="fr-CH" w:eastAsia="en-GB"/>
        </w:rPr>
      </w:pPr>
    </w:p>
    <w:p w14:paraId="26DC9D5C" w14:textId="134A0140" w:rsidR="00AC02AC" w:rsidRPr="00717CC2" w:rsidRDefault="00403AEE" w:rsidP="002E77BF">
      <w:pPr>
        <w:tabs>
          <w:tab w:val="left" w:pos="426"/>
        </w:tabs>
        <w:spacing w:after="0" w:line="240" w:lineRule="auto"/>
        <w:ind w:left="425" w:hanging="425"/>
        <w:rPr>
          <w:lang w:val="fr-CH"/>
        </w:rPr>
      </w:pPr>
      <w:r w:rsidRPr="00717CC2">
        <w:rPr>
          <w:rFonts w:eastAsia="Times New Roman" w:cstheme="minorHAnsi"/>
          <w:lang w:val="fr-CH" w:eastAsia="en-GB"/>
        </w:rPr>
        <w:t>3</w:t>
      </w:r>
      <w:r w:rsidR="00BB6EA8" w:rsidRPr="00717CC2">
        <w:rPr>
          <w:rFonts w:eastAsia="Times New Roman" w:cstheme="minorHAnsi"/>
          <w:lang w:val="fr-CH" w:eastAsia="en-GB"/>
        </w:rPr>
        <w:t>1</w:t>
      </w:r>
      <w:r w:rsidR="009C2848" w:rsidRPr="00717CC2">
        <w:rPr>
          <w:rFonts w:eastAsia="Times New Roman" w:cstheme="minorHAnsi"/>
          <w:lang w:val="fr-CH" w:eastAsia="en-GB"/>
        </w:rPr>
        <w:t>.</w:t>
      </w:r>
      <w:r w:rsidR="009C2848" w:rsidRPr="00717CC2">
        <w:rPr>
          <w:rFonts w:eastAsia="Times New Roman" w:cstheme="minorHAnsi"/>
          <w:lang w:val="fr-CH" w:eastAsia="en-GB"/>
        </w:rPr>
        <w:tab/>
      </w:r>
      <w:r w:rsidR="00311A77">
        <w:rPr>
          <w:rFonts w:eastAsia="Times New Roman" w:cstheme="minorHAnsi"/>
          <w:lang w:val="fr-CH" w:eastAsia="en-GB"/>
        </w:rPr>
        <w:t xml:space="preserve">Dans ce contexte, le Secrétariat a </w:t>
      </w:r>
      <w:r w:rsidR="006B13AF">
        <w:rPr>
          <w:rFonts w:eastAsia="Times New Roman" w:cstheme="minorHAnsi"/>
          <w:lang w:val="fr-CH" w:eastAsia="en-GB"/>
        </w:rPr>
        <w:t>pris part</w:t>
      </w:r>
      <w:r w:rsidR="00311A77">
        <w:rPr>
          <w:rFonts w:eastAsia="Times New Roman" w:cstheme="minorHAnsi"/>
          <w:lang w:val="fr-CH" w:eastAsia="en-GB"/>
        </w:rPr>
        <w:t xml:space="preserve"> aux réunions du Département des affaires économiques et sociales des Nations Unies avec d’autres institutions pour discuter de la soumission de données et métadonnées sur les ODD</w:t>
      </w:r>
      <w:r w:rsidR="006B13AF">
        <w:rPr>
          <w:rFonts w:eastAsia="Times New Roman" w:cstheme="minorHAnsi"/>
          <w:lang w:val="fr-CH" w:eastAsia="en-GB"/>
        </w:rPr>
        <w:t>,</w:t>
      </w:r>
      <w:r w:rsidR="00311A77">
        <w:rPr>
          <w:rFonts w:eastAsia="Times New Roman" w:cstheme="minorHAnsi"/>
          <w:lang w:val="fr-CH" w:eastAsia="en-GB"/>
        </w:rPr>
        <w:t xml:space="preserve"> en juin et novembre 2022</w:t>
      </w:r>
      <w:r w:rsidR="006B13AF">
        <w:rPr>
          <w:rFonts w:eastAsia="Times New Roman" w:cstheme="minorHAnsi"/>
          <w:lang w:val="fr-CH" w:eastAsia="en-GB"/>
        </w:rPr>
        <w:t>,</w:t>
      </w:r>
      <w:r w:rsidR="00311A77">
        <w:rPr>
          <w:rFonts w:eastAsia="Times New Roman" w:cstheme="minorHAnsi"/>
          <w:lang w:val="fr-CH" w:eastAsia="en-GB"/>
        </w:rPr>
        <w:t xml:space="preserve"> et à la réunion virtuelle de l’IAEG</w:t>
      </w:r>
      <w:r w:rsidR="00311A77">
        <w:rPr>
          <w:rFonts w:eastAsia="Times New Roman" w:cstheme="minorHAnsi"/>
          <w:lang w:val="fr-CH" w:eastAsia="en-GB"/>
        </w:rPr>
        <w:noBreakHyphen/>
        <w:t xml:space="preserve">SDG </w:t>
      </w:r>
      <w:r w:rsidR="00BA4014">
        <w:rPr>
          <w:rFonts w:eastAsia="Times New Roman" w:cstheme="minorHAnsi"/>
          <w:lang w:val="fr-CH" w:eastAsia="en-GB"/>
        </w:rPr>
        <w:t>sur</w:t>
      </w:r>
      <w:r w:rsidR="00311A77">
        <w:rPr>
          <w:rFonts w:eastAsia="Times New Roman" w:cstheme="minorHAnsi"/>
          <w:lang w:val="fr-CH" w:eastAsia="en-GB"/>
        </w:rPr>
        <w:t xml:space="preserve"> « Les données, l</w:t>
      </w:r>
      <w:r w:rsidR="006B13AF">
        <w:rPr>
          <w:rFonts w:eastAsia="Times New Roman" w:cstheme="minorHAnsi"/>
          <w:lang w:val="fr-CH" w:eastAsia="en-GB"/>
        </w:rPr>
        <w:t>a pandémie de</w:t>
      </w:r>
      <w:r w:rsidR="00311A77">
        <w:rPr>
          <w:rFonts w:eastAsia="Times New Roman" w:cstheme="minorHAnsi"/>
          <w:lang w:val="fr-CH" w:eastAsia="en-GB"/>
        </w:rPr>
        <w:t xml:space="preserve"> COVID</w:t>
      </w:r>
      <w:r w:rsidR="00311A77">
        <w:rPr>
          <w:rFonts w:eastAsia="Times New Roman" w:cstheme="minorHAnsi"/>
          <w:lang w:val="fr-CH" w:eastAsia="en-GB"/>
        </w:rPr>
        <w:noBreakHyphen/>
        <w:t>19 et les ODD » en juin 2022.</w:t>
      </w:r>
    </w:p>
    <w:p w14:paraId="1C227BF0" w14:textId="788DA045" w:rsidR="00AC02AC" w:rsidRPr="00717CC2" w:rsidRDefault="00AC02AC" w:rsidP="000A264B">
      <w:pPr>
        <w:spacing w:after="0" w:line="240" w:lineRule="auto"/>
        <w:ind w:left="425" w:hanging="425"/>
        <w:rPr>
          <w:rFonts w:eastAsia="Times New Roman" w:cstheme="minorHAnsi"/>
          <w:lang w:val="fr-CH" w:eastAsia="en-GB"/>
        </w:rPr>
      </w:pPr>
    </w:p>
    <w:p w14:paraId="3EAF7836" w14:textId="4566078E" w:rsidR="001052EE" w:rsidRPr="00717CC2" w:rsidRDefault="00403AEE" w:rsidP="002E77BF">
      <w:pPr>
        <w:spacing w:after="0" w:line="240" w:lineRule="auto"/>
        <w:ind w:left="425" w:hanging="425"/>
        <w:rPr>
          <w:lang w:val="fr-CH"/>
        </w:rPr>
      </w:pPr>
      <w:r w:rsidRPr="00717CC2">
        <w:rPr>
          <w:lang w:val="fr-CH"/>
        </w:rPr>
        <w:lastRenderedPageBreak/>
        <w:t>3</w:t>
      </w:r>
      <w:r w:rsidR="00BB6EA8" w:rsidRPr="00717CC2">
        <w:rPr>
          <w:lang w:val="fr-CH"/>
        </w:rPr>
        <w:t>2</w:t>
      </w:r>
      <w:r w:rsidR="0006611C" w:rsidRPr="00717CC2">
        <w:rPr>
          <w:lang w:val="fr-CH"/>
        </w:rPr>
        <w:t>.</w:t>
      </w:r>
      <w:r w:rsidR="00EB5D3E" w:rsidRPr="00717CC2">
        <w:rPr>
          <w:lang w:val="fr-CH"/>
        </w:rPr>
        <w:tab/>
      </w:r>
      <w:r w:rsidR="00424032">
        <w:rPr>
          <w:lang w:val="fr-CH"/>
        </w:rPr>
        <w:t>Pour le Forum politique de haut niveau sur le développement durable de 2022, le Secrétariat a préparé un compte rendu conjoint avec le PNUE pour le Rapport du Secrétaire général des Nations Unies au Forum politique de haut niveau. Le Secrétariat continue de participer avec ONU</w:t>
      </w:r>
      <w:r w:rsidR="00424032">
        <w:rPr>
          <w:lang w:val="fr-CH"/>
        </w:rPr>
        <w:noBreakHyphen/>
        <w:t>Eau, au programme de travail de l’ODD 6.</w:t>
      </w:r>
    </w:p>
    <w:p w14:paraId="0BA8EE24" w14:textId="77777777" w:rsidR="001052EE" w:rsidRPr="00717CC2" w:rsidRDefault="001052EE" w:rsidP="000A264B">
      <w:pPr>
        <w:spacing w:after="0" w:line="240" w:lineRule="auto"/>
        <w:rPr>
          <w:rFonts w:cstheme="minorHAnsi"/>
          <w:lang w:val="fr-CH"/>
        </w:rPr>
      </w:pPr>
    </w:p>
    <w:p w14:paraId="27ED9274" w14:textId="34EDD6D7" w:rsidR="00E33BA8" w:rsidRPr="00717CC2" w:rsidRDefault="00403AEE" w:rsidP="000A264B">
      <w:pPr>
        <w:spacing w:after="0" w:line="240" w:lineRule="auto"/>
        <w:ind w:left="425" w:hanging="425"/>
        <w:rPr>
          <w:rFonts w:eastAsia="Times New Roman"/>
          <w:lang w:val="fr-CH" w:eastAsia="en-GB"/>
        </w:rPr>
      </w:pPr>
      <w:r w:rsidRPr="00717CC2">
        <w:rPr>
          <w:lang w:val="fr-CH"/>
        </w:rPr>
        <w:t>3</w:t>
      </w:r>
      <w:r w:rsidR="00BB6EA8" w:rsidRPr="00717CC2">
        <w:rPr>
          <w:lang w:val="fr-CH"/>
        </w:rPr>
        <w:t>3</w:t>
      </w:r>
      <w:r w:rsidR="0682B626" w:rsidRPr="00717CC2">
        <w:rPr>
          <w:lang w:val="fr-CH"/>
        </w:rPr>
        <w:t>.</w:t>
      </w:r>
      <w:r w:rsidR="0006611C" w:rsidRPr="00717CC2">
        <w:rPr>
          <w:lang w:val="fr-CH"/>
        </w:rPr>
        <w:tab/>
      </w:r>
      <w:r w:rsidR="00424032">
        <w:rPr>
          <w:lang w:val="fr-CH"/>
        </w:rPr>
        <w:t>Conformément à la Résolution</w:t>
      </w:r>
      <w:r w:rsidR="570F2CE0" w:rsidRPr="00717CC2">
        <w:rPr>
          <w:lang w:val="fr-CH"/>
        </w:rPr>
        <w:t xml:space="preserve"> XIII.7 </w:t>
      </w:r>
      <w:r w:rsidR="00424032">
        <w:rPr>
          <w:lang w:val="fr-CH"/>
        </w:rPr>
        <w:t>et à la Décision</w:t>
      </w:r>
      <w:r w:rsidR="570F2CE0" w:rsidRPr="00717CC2">
        <w:rPr>
          <w:lang w:val="fr-CH"/>
        </w:rPr>
        <w:t xml:space="preserve"> SC57-47 </w:t>
      </w:r>
      <w:r w:rsidR="00424032">
        <w:rPr>
          <w:lang w:val="fr-CH"/>
        </w:rPr>
        <w:t>sur les inventaires des zones humides, le Secrétariat continue de collaborer avec les Parties contractantes pour compléter et affiner l’information sur l’étendue des zones humides soumise dans les Rapports nationaux à la COP14. D’autres efforts sont en cours pour soutenir les Parties contractantes en matière d’élaboration d’inventaires des zones humides</w:t>
      </w:r>
      <w:r w:rsidR="00185F7B">
        <w:rPr>
          <w:lang w:val="fr-CH"/>
        </w:rPr>
        <w:t xml:space="preserve"> et de collecte des données manquantes sur l’étendue des zones humides afin de faire rapport sur l’</w:t>
      </w:r>
      <w:r w:rsidR="007946B1">
        <w:rPr>
          <w:lang w:val="fr-CH"/>
        </w:rPr>
        <w:t>i</w:t>
      </w:r>
      <w:r w:rsidR="00185F7B">
        <w:rPr>
          <w:lang w:val="fr-CH"/>
        </w:rPr>
        <w:t xml:space="preserve">ndicateur 6.6.1 de l’ODD 6. À cet égard, une description des progrès sur les </w:t>
      </w:r>
      <w:r w:rsidR="00FC467B">
        <w:rPr>
          <w:lang w:val="fr-CH"/>
        </w:rPr>
        <w:t>actions de la Convention visant à accélérer</w:t>
      </w:r>
      <w:r w:rsidR="00185F7B">
        <w:rPr>
          <w:lang w:val="fr-CH"/>
        </w:rPr>
        <w:t xml:space="preserve"> </w:t>
      </w:r>
      <w:r w:rsidR="00FC467B">
        <w:rPr>
          <w:lang w:val="fr-CH"/>
        </w:rPr>
        <w:t>la mise en œuvre des</w:t>
      </w:r>
      <w:r w:rsidR="00185F7B">
        <w:rPr>
          <w:lang w:val="fr-CH"/>
        </w:rPr>
        <w:t xml:space="preserve"> ODD « Inventaires des zones humides pour soutenir les Parties contractantes </w:t>
      </w:r>
      <w:r w:rsidR="00FC467B">
        <w:rPr>
          <w:lang w:val="fr-CH"/>
        </w:rPr>
        <w:t>en matière d’</w:t>
      </w:r>
      <w:r w:rsidR="00185F7B">
        <w:rPr>
          <w:lang w:val="fr-CH"/>
        </w:rPr>
        <w:t>application de l’</w:t>
      </w:r>
      <w:r w:rsidR="007946B1">
        <w:rPr>
          <w:lang w:val="fr-CH"/>
        </w:rPr>
        <w:t>i</w:t>
      </w:r>
      <w:r w:rsidR="00185F7B">
        <w:rPr>
          <w:lang w:val="fr-CH"/>
        </w:rPr>
        <w:t xml:space="preserve">ndicateur 6.6.1 » au titre de l’ODD 6, est décrite dans les documents </w:t>
      </w:r>
      <w:r w:rsidR="0A12D9A1" w:rsidRPr="00717CC2">
        <w:rPr>
          <w:rFonts w:eastAsia="Times New Roman"/>
          <w:lang w:val="fr-CH" w:eastAsia="en-GB"/>
        </w:rPr>
        <w:t>SC5</w:t>
      </w:r>
      <w:r w:rsidR="7B6DF72A" w:rsidRPr="00717CC2">
        <w:rPr>
          <w:rFonts w:eastAsia="Times New Roman"/>
          <w:lang w:val="fr-CH" w:eastAsia="en-GB"/>
        </w:rPr>
        <w:t>8</w:t>
      </w:r>
      <w:r w:rsidR="2923D7F5" w:rsidRPr="00717CC2">
        <w:rPr>
          <w:rFonts w:eastAsia="Times New Roman"/>
          <w:lang w:val="fr-CH" w:eastAsia="en-GB"/>
        </w:rPr>
        <w:t xml:space="preserve"> Doc.</w:t>
      </w:r>
      <w:r w:rsidR="64B70372" w:rsidRPr="00717CC2">
        <w:rPr>
          <w:rFonts w:eastAsia="Times New Roman"/>
          <w:lang w:val="fr-CH" w:eastAsia="en-GB"/>
        </w:rPr>
        <w:t>9</w:t>
      </w:r>
      <w:r w:rsidR="78020E8B" w:rsidRPr="00717CC2">
        <w:rPr>
          <w:rFonts w:eastAsia="Times New Roman"/>
          <w:lang w:val="fr-CH" w:eastAsia="en-GB"/>
        </w:rPr>
        <w:t xml:space="preserve">, </w:t>
      </w:r>
      <w:r w:rsidR="7B6DF72A" w:rsidRPr="00717CC2">
        <w:rPr>
          <w:rFonts w:eastAsia="Times New Roman"/>
          <w:lang w:val="fr-CH" w:eastAsia="en-GB"/>
        </w:rPr>
        <w:t>SC59</w:t>
      </w:r>
      <w:r w:rsidR="2923D7F5" w:rsidRPr="00717CC2">
        <w:rPr>
          <w:rFonts w:eastAsia="Times New Roman"/>
          <w:lang w:val="fr-CH" w:eastAsia="en-GB"/>
        </w:rPr>
        <w:t xml:space="preserve"> Doc.</w:t>
      </w:r>
      <w:r w:rsidR="7B6DF72A" w:rsidRPr="00717CC2">
        <w:rPr>
          <w:rFonts w:eastAsia="Times New Roman"/>
          <w:lang w:val="fr-CH" w:eastAsia="en-GB"/>
        </w:rPr>
        <w:t xml:space="preserve">9 </w:t>
      </w:r>
      <w:r w:rsidR="00185F7B">
        <w:rPr>
          <w:rFonts w:eastAsia="Times New Roman"/>
          <w:lang w:val="fr-CH" w:eastAsia="en-GB"/>
        </w:rPr>
        <w:t>et</w:t>
      </w:r>
      <w:r w:rsidR="350B057B" w:rsidRPr="00717CC2">
        <w:rPr>
          <w:rFonts w:eastAsia="Times New Roman"/>
          <w:lang w:val="fr-CH" w:eastAsia="en-GB"/>
        </w:rPr>
        <w:t xml:space="preserve"> SC62 </w:t>
      </w:r>
      <w:r w:rsidR="0040060A" w:rsidRPr="00717CC2">
        <w:rPr>
          <w:rFonts w:eastAsia="Times New Roman"/>
          <w:lang w:val="fr-CH" w:eastAsia="en-GB"/>
        </w:rPr>
        <w:t>Doc.</w:t>
      </w:r>
      <w:r w:rsidR="3113A9FD" w:rsidRPr="00717CC2">
        <w:rPr>
          <w:rFonts w:eastAsia="Times New Roman"/>
          <w:lang w:val="fr-CH" w:eastAsia="en-GB"/>
        </w:rPr>
        <w:t>9.</w:t>
      </w:r>
    </w:p>
    <w:p w14:paraId="601832F2" w14:textId="77777777" w:rsidR="00AC19F6" w:rsidRPr="00717CC2" w:rsidRDefault="00AC19F6" w:rsidP="000A264B">
      <w:pPr>
        <w:spacing w:after="0" w:line="240" w:lineRule="auto"/>
        <w:ind w:left="425" w:hanging="425"/>
        <w:rPr>
          <w:rFonts w:eastAsia="Times New Roman" w:cstheme="minorHAnsi"/>
          <w:lang w:val="fr-CH" w:eastAsia="en-GB"/>
        </w:rPr>
      </w:pPr>
    </w:p>
    <w:p w14:paraId="2164C85B" w14:textId="662783E7" w:rsidR="00455E7C" w:rsidRPr="00717CC2" w:rsidRDefault="00403AEE" w:rsidP="000A264B">
      <w:pPr>
        <w:suppressAutoHyphens/>
        <w:spacing w:after="0" w:line="240" w:lineRule="auto"/>
        <w:ind w:left="425" w:hanging="425"/>
        <w:rPr>
          <w:rFonts w:eastAsia="Times New Roman"/>
          <w:lang w:val="fr-CH" w:eastAsia="en-GB"/>
        </w:rPr>
      </w:pPr>
      <w:r w:rsidRPr="00717CC2">
        <w:rPr>
          <w:rFonts w:eastAsia="Times New Roman"/>
          <w:lang w:val="fr-CH" w:eastAsia="en-GB"/>
        </w:rPr>
        <w:t>3</w:t>
      </w:r>
      <w:r w:rsidR="00BB6EA8" w:rsidRPr="00717CC2">
        <w:rPr>
          <w:rFonts w:eastAsia="Times New Roman"/>
          <w:lang w:val="fr-CH" w:eastAsia="en-GB"/>
        </w:rPr>
        <w:t>4</w:t>
      </w:r>
      <w:r w:rsidR="009C2848" w:rsidRPr="00717CC2">
        <w:rPr>
          <w:rFonts w:eastAsia="Times New Roman"/>
          <w:lang w:val="fr-CH" w:eastAsia="en-GB"/>
        </w:rPr>
        <w:t>.</w:t>
      </w:r>
      <w:r w:rsidR="009C2848" w:rsidRPr="00717CC2">
        <w:rPr>
          <w:lang w:val="fr-CH"/>
        </w:rPr>
        <w:tab/>
      </w:r>
      <w:r w:rsidR="00185F7B">
        <w:rPr>
          <w:lang w:val="fr-CH"/>
        </w:rPr>
        <w:t xml:space="preserve">Concernant </w:t>
      </w:r>
      <w:r w:rsidR="00EA50F0">
        <w:rPr>
          <w:lang w:val="fr-CH"/>
        </w:rPr>
        <w:t>la réalisation de l’ODD 14 « </w:t>
      </w:r>
      <w:r w:rsidR="005E5F83" w:rsidRPr="00FC467B">
        <w:rPr>
          <w:rFonts w:eastAsia="Times New Roman"/>
          <w:lang w:val="fr-CH" w:eastAsia="en-GB"/>
        </w:rPr>
        <w:t>Conserver et exploiter de manière durable les océans, les mers et les ressources marines aux fins du développement durable</w:t>
      </w:r>
      <w:r w:rsidR="00EA50F0">
        <w:rPr>
          <w:rFonts w:eastAsia="Times New Roman"/>
          <w:lang w:val="fr-CH" w:eastAsia="en-GB"/>
        </w:rPr>
        <w:t> », le Secrétariat a participé à la deuxième Conférence des Nations Unies sur l</w:t>
      </w:r>
      <w:r w:rsidR="00FC467B">
        <w:rPr>
          <w:rFonts w:eastAsia="Times New Roman"/>
          <w:lang w:val="fr-CH" w:eastAsia="en-GB"/>
        </w:rPr>
        <w:t xml:space="preserve">es </w:t>
      </w:r>
      <w:r w:rsidR="00EA50F0">
        <w:rPr>
          <w:rFonts w:eastAsia="Times New Roman"/>
          <w:lang w:val="fr-CH" w:eastAsia="en-GB"/>
        </w:rPr>
        <w:t>océan</w:t>
      </w:r>
      <w:r w:rsidR="00FC467B">
        <w:rPr>
          <w:rFonts w:eastAsia="Times New Roman"/>
          <w:lang w:val="fr-CH" w:eastAsia="en-GB"/>
        </w:rPr>
        <w:t>s</w:t>
      </w:r>
      <w:r w:rsidR="00EA50F0">
        <w:rPr>
          <w:rFonts w:eastAsia="Times New Roman"/>
          <w:lang w:val="fr-CH" w:eastAsia="en-GB"/>
        </w:rPr>
        <w:t xml:space="preserve"> afin de soutenir l’application de l’ODD 14, en juin et juillet 2022, à </w:t>
      </w:r>
      <w:r w:rsidR="00EA50F0" w:rsidRPr="00717CC2">
        <w:rPr>
          <w:lang w:val="fr-CH"/>
        </w:rPr>
        <w:t>Lisbonne</w:t>
      </w:r>
      <w:r w:rsidR="36BEAC9C" w:rsidRPr="00717CC2">
        <w:rPr>
          <w:lang w:val="fr-CH"/>
        </w:rPr>
        <w:t xml:space="preserve">, Portugal. </w:t>
      </w:r>
      <w:r w:rsidR="00A67596">
        <w:rPr>
          <w:lang w:val="fr-CH"/>
        </w:rPr>
        <w:t xml:space="preserve">La Secrétaire générale a </w:t>
      </w:r>
      <w:r w:rsidR="00FC467B">
        <w:rPr>
          <w:lang w:val="fr-CH"/>
        </w:rPr>
        <w:t>pris part</w:t>
      </w:r>
      <w:r w:rsidR="00A67596">
        <w:rPr>
          <w:lang w:val="fr-CH"/>
        </w:rPr>
        <w:t xml:space="preserve"> au dialogue interactif « Gérer, protéger et restaurer les écosystèmes marins et côtiers » et à la Table ronde de haut niveau sur les synergies entre l’ODD 6 et l’ODD 14 du Symposium de haut niveau sur l’eau</w:t>
      </w:r>
      <w:r w:rsidR="00BA5AA6">
        <w:rPr>
          <w:lang w:val="fr-CH"/>
        </w:rPr>
        <w:t>. Le Secrétariat a également pris part à plusieurs activités parallèles, notamment sur le C</w:t>
      </w:r>
      <w:r w:rsidR="00FC467B">
        <w:rPr>
          <w:lang w:val="fr-CH"/>
        </w:rPr>
        <w:t>MB</w:t>
      </w:r>
      <w:r w:rsidR="00BA5AA6">
        <w:rPr>
          <w:lang w:val="fr-CH"/>
        </w:rPr>
        <w:t>, la conservation des espèces, le carbone bleu et la restauration.</w:t>
      </w:r>
    </w:p>
    <w:p w14:paraId="44F3CC19" w14:textId="3C20AB2A" w:rsidR="00947D80" w:rsidRPr="00717CC2" w:rsidRDefault="00947D80" w:rsidP="000A264B">
      <w:pPr>
        <w:suppressAutoHyphens/>
        <w:spacing w:after="0" w:line="240" w:lineRule="auto"/>
        <w:ind w:left="426" w:hanging="426"/>
        <w:rPr>
          <w:rFonts w:eastAsia="Times New Roman" w:cstheme="minorHAnsi"/>
          <w:lang w:val="fr-CH" w:eastAsia="en-GB"/>
        </w:rPr>
      </w:pPr>
    </w:p>
    <w:p w14:paraId="4C53333D" w14:textId="35295029" w:rsidR="00F04E34" w:rsidRPr="00BA5AA6" w:rsidRDefault="00BA5AA6" w:rsidP="009D2419">
      <w:pPr>
        <w:keepNext/>
        <w:suppressAutoHyphens/>
        <w:spacing w:after="0" w:line="240" w:lineRule="auto"/>
        <w:ind w:left="425" w:hanging="425"/>
        <w:rPr>
          <w:rFonts w:eastAsia="Times New Roman" w:cstheme="minorHAnsi"/>
          <w:b/>
          <w:lang w:val="fr-CH" w:eastAsia="en-GB"/>
        </w:rPr>
      </w:pPr>
      <w:r>
        <w:rPr>
          <w:rFonts w:eastAsia="Times New Roman" w:cstheme="minorHAnsi"/>
          <w:b/>
          <w:lang w:val="fr-CH" w:eastAsia="en-GB"/>
        </w:rPr>
        <w:t xml:space="preserve">Conférence des Nations Unies sur l’eau </w:t>
      </w:r>
      <w:r w:rsidR="00A547DF" w:rsidRPr="00BA5AA6">
        <w:rPr>
          <w:rFonts w:eastAsia="Times New Roman" w:cstheme="minorHAnsi"/>
          <w:b/>
          <w:lang w:val="fr-CH" w:eastAsia="en-GB"/>
        </w:rPr>
        <w:t xml:space="preserve">2023 </w:t>
      </w:r>
    </w:p>
    <w:p w14:paraId="1C3F681B" w14:textId="3C8D505E" w:rsidR="00F04E34" w:rsidRPr="00BA5AA6" w:rsidRDefault="00F04E34" w:rsidP="009D2419">
      <w:pPr>
        <w:keepNext/>
        <w:suppressAutoHyphens/>
        <w:spacing w:after="0" w:line="240" w:lineRule="auto"/>
        <w:ind w:left="425" w:hanging="425"/>
        <w:rPr>
          <w:rFonts w:eastAsia="Times New Roman" w:cstheme="minorHAnsi"/>
          <w:lang w:val="fr-CH" w:eastAsia="en-GB"/>
        </w:rPr>
      </w:pPr>
    </w:p>
    <w:p w14:paraId="4479A1E0" w14:textId="0DB8E306" w:rsidR="00BF3C4B" w:rsidRPr="00BA5AA6" w:rsidRDefault="00403AEE" w:rsidP="002E77BF">
      <w:pPr>
        <w:suppressAutoHyphens/>
        <w:spacing w:after="0" w:line="240" w:lineRule="auto"/>
        <w:ind w:left="425" w:hanging="425"/>
        <w:rPr>
          <w:rFonts w:eastAsia="Times New Roman" w:cstheme="minorHAnsi"/>
          <w:lang w:val="fr-CH" w:eastAsia="en-GB"/>
        </w:rPr>
      </w:pPr>
      <w:r w:rsidRPr="00BA5AA6">
        <w:rPr>
          <w:rFonts w:eastAsia="Times New Roman" w:cstheme="minorHAnsi"/>
          <w:lang w:val="fr-CH" w:eastAsia="en-GB"/>
        </w:rPr>
        <w:t>3</w:t>
      </w:r>
      <w:r w:rsidR="00BB6EA8" w:rsidRPr="00BA5AA6">
        <w:rPr>
          <w:rFonts w:eastAsia="Times New Roman" w:cstheme="minorHAnsi"/>
          <w:lang w:val="fr-CH" w:eastAsia="en-GB"/>
        </w:rPr>
        <w:t>5</w:t>
      </w:r>
      <w:r w:rsidR="00A56F0D" w:rsidRPr="00BA5AA6">
        <w:rPr>
          <w:rFonts w:eastAsia="Times New Roman" w:cstheme="minorHAnsi"/>
          <w:lang w:val="fr-CH" w:eastAsia="en-GB"/>
        </w:rPr>
        <w:t>.</w:t>
      </w:r>
      <w:r w:rsidR="00A547DF" w:rsidRPr="00BA5AA6">
        <w:rPr>
          <w:rFonts w:eastAsia="Times New Roman" w:cstheme="minorHAnsi"/>
          <w:lang w:val="fr-CH" w:eastAsia="en-GB"/>
        </w:rPr>
        <w:tab/>
      </w:r>
      <w:r w:rsidR="00BA5AA6">
        <w:rPr>
          <w:rFonts w:eastAsia="Times New Roman" w:cstheme="minorHAnsi"/>
          <w:lang w:val="fr-CH" w:eastAsia="en-GB"/>
        </w:rPr>
        <w:t xml:space="preserve">Le Secrétariat </w:t>
      </w:r>
      <w:r w:rsidR="009A337F">
        <w:rPr>
          <w:rFonts w:eastAsia="Times New Roman" w:cstheme="minorHAnsi"/>
          <w:lang w:val="fr-CH" w:eastAsia="en-GB"/>
        </w:rPr>
        <w:t xml:space="preserve">a apporté </w:t>
      </w:r>
      <w:r w:rsidR="00FC467B">
        <w:rPr>
          <w:rFonts w:eastAsia="Times New Roman" w:cstheme="minorHAnsi"/>
          <w:lang w:val="fr-CH" w:eastAsia="en-GB"/>
        </w:rPr>
        <w:t>d’importantes</w:t>
      </w:r>
      <w:r w:rsidR="009A337F">
        <w:rPr>
          <w:rFonts w:eastAsia="Times New Roman" w:cstheme="minorHAnsi"/>
          <w:lang w:val="fr-CH" w:eastAsia="en-GB"/>
        </w:rPr>
        <w:t xml:space="preserve"> contributions à la Conférence des Nations Unies sur l’ex</w:t>
      </w:r>
      <w:r w:rsidR="0039044E">
        <w:rPr>
          <w:rFonts w:eastAsia="Times New Roman" w:cstheme="minorHAnsi"/>
          <w:lang w:val="fr-CH" w:eastAsia="en-GB"/>
        </w:rPr>
        <w:t xml:space="preserve">amen complet à moyen terme de la mise en œuvre des Objectifs de la Décennie internationale d’action « L’eau pour le développement durable » </w:t>
      </w:r>
      <w:r w:rsidR="00BF3C4B" w:rsidRPr="00BA5AA6">
        <w:rPr>
          <w:lang w:val="fr-CH"/>
        </w:rPr>
        <w:t>2018–2028 (</w:t>
      </w:r>
      <w:r w:rsidR="0039044E">
        <w:rPr>
          <w:lang w:val="fr-CH"/>
        </w:rPr>
        <w:t>Conférence des Nations Unies sur l’eau 2023), qui a eu lieu à</w:t>
      </w:r>
      <w:r w:rsidR="00BF3C4B" w:rsidRPr="00BA5AA6">
        <w:rPr>
          <w:lang w:val="fr-CH"/>
        </w:rPr>
        <w:t xml:space="preserve"> New York, </w:t>
      </w:r>
      <w:r w:rsidR="0039044E">
        <w:rPr>
          <w:lang w:val="fr-CH"/>
        </w:rPr>
        <w:t>États</w:t>
      </w:r>
      <w:r w:rsidR="0039044E">
        <w:rPr>
          <w:lang w:val="fr-CH"/>
        </w:rPr>
        <w:noBreakHyphen/>
        <w:t xml:space="preserve">Unis d’Amérique, en mars 2023, soulignant à quel point la Convention et ses matériels et orientations peuvent catalyser la réalisation du Programme d’action </w:t>
      </w:r>
      <w:r w:rsidR="00C16B27">
        <w:rPr>
          <w:lang w:val="fr-CH"/>
        </w:rPr>
        <w:t>po</w:t>
      </w:r>
      <w:r w:rsidR="0039044E">
        <w:rPr>
          <w:lang w:val="fr-CH"/>
        </w:rPr>
        <w:t>ur l’eau.</w:t>
      </w:r>
    </w:p>
    <w:p w14:paraId="0F807D04" w14:textId="77777777" w:rsidR="00BF3C4B" w:rsidRPr="00BA5AA6" w:rsidRDefault="00BF3C4B" w:rsidP="000A264B">
      <w:pPr>
        <w:suppressAutoHyphens/>
        <w:spacing w:after="0" w:line="240" w:lineRule="auto"/>
        <w:ind w:left="425" w:hanging="425"/>
        <w:rPr>
          <w:rStyle w:val="normaltextrun"/>
          <w:rFonts w:ascii="Calibri" w:hAnsi="Calibri"/>
          <w:color w:val="000000"/>
          <w:shd w:val="clear" w:color="auto" w:fill="FFFFFF"/>
          <w:lang w:val="fr-CH"/>
        </w:rPr>
      </w:pPr>
    </w:p>
    <w:p w14:paraId="7CA184F8" w14:textId="34DDE134" w:rsidR="00A56F0D" w:rsidRPr="00BA5AA6" w:rsidRDefault="00403AEE" w:rsidP="002E77BF">
      <w:pPr>
        <w:suppressAutoHyphens/>
        <w:spacing w:after="0" w:line="240" w:lineRule="auto"/>
        <w:ind w:left="425" w:hanging="425"/>
        <w:rPr>
          <w:rStyle w:val="normaltextrun"/>
          <w:rFonts w:ascii="Calibri" w:hAnsi="Calibri"/>
          <w:color w:val="000000"/>
          <w:shd w:val="clear" w:color="auto" w:fill="FFFFFF"/>
          <w:lang w:val="fr-CH"/>
        </w:rPr>
      </w:pPr>
      <w:r w:rsidRPr="00BA5AA6">
        <w:rPr>
          <w:rStyle w:val="normaltextrun"/>
          <w:rFonts w:ascii="Calibri" w:hAnsi="Calibri" w:cs="Calibri"/>
          <w:color w:val="000000"/>
          <w:shd w:val="clear" w:color="auto" w:fill="FFFFFF"/>
          <w:lang w:val="fr-CH"/>
        </w:rPr>
        <w:t>3</w:t>
      </w:r>
      <w:r w:rsidR="00BB6EA8" w:rsidRPr="00BA5AA6">
        <w:rPr>
          <w:rStyle w:val="normaltextrun"/>
          <w:rFonts w:ascii="Calibri" w:hAnsi="Calibri" w:cs="Calibri"/>
          <w:color w:val="000000"/>
          <w:shd w:val="clear" w:color="auto" w:fill="FFFFFF"/>
          <w:lang w:val="fr-CH"/>
        </w:rPr>
        <w:t>6</w:t>
      </w:r>
      <w:r w:rsidR="0AA777C1" w:rsidRPr="00BA5AA6">
        <w:rPr>
          <w:rStyle w:val="normaltextrun"/>
          <w:rFonts w:ascii="Calibri" w:hAnsi="Calibri" w:cs="Calibri"/>
          <w:color w:val="000000"/>
          <w:shd w:val="clear" w:color="auto" w:fill="FFFFFF"/>
          <w:lang w:val="fr-CH"/>
        </w:rPr>
        <w:t>.</w:t>
      </w:r>
      <w:r w:rsidR="00A56F0D" w:rsidRPr="00BA5AA6">
        <w:rPr>
          <w:rStyle w:val="normaltextrun"/>
          <w:rFonts w:ascii="Calibri" w:hAnsi="Calibri" w:cs="Calibri"/>
          <w:color w:val="000000"/>
          <w:shd w:val="clear" w:color="auto" w:fill="FFFFFF"/>
          <w:lang w:val="fr-CH"/>
        </w:rPr>
        <w:tab/>
      </w:r>
      <w:r w:rsidR="000E4AA0">
        <w:rPr>
          <w:rStyle w:val="normaltextrun"/>
          <w:rFonts w:ascii="Calibri" w:hAnsi="Calibri" w:cs="Calibri"/>
          <w:color w:val="000000"/>
          <w:shd w:val="clear" w:color="auto" w:fill="FFFFFF"/>
          <w:lang w:val="fr-CH"/>
        </w:rPr>
        <w:t>En séance plénière</w:t>
      </w:r>
      <w:r w:rsidR="000E4AA0" w:rsidRPr="00BA5AA6">
        <w:rPr>
          <w:rStyle w:val="FootnoteReference"/>
          <w:rFonts w:ascii="Calibri" w:eastAsia="Calibri" w:hAnsi="Calibri" w:cs="Times New Roman"/>
          <w:lang w:val="fr-CH"/>
        </w:rPr>
        <w:footnoteReference w:id="4"/>
      </w:r>
      <w:r w:rsidR="000E4AA0">
        <w:rPr>
          <w:rStyle w:val="normaltextrun"/>
          <w:rFonts w:ascii="Calibri" w:hAnsi="Calibri" w:cs="Calibri"/>
          <w:color w:val="000000"/>
          <w:shd w:val="clear" w:color="auto" w:fill="FFFFFF"/>
          <w:lang w:val="fr-CH"/>
        </w:rPr>
        <w:t>,</w:t>
      </w:r>
      <w:r w:rsidR="000E4AA0" w:rsidRPr="00BA5AA6">
        <w:rPr>
          <w:rStyle w:val="normaltextrun"/>
          <w:rFonts w:ascii="Calibri" w:hAnsi="Calibri" w:cs="Calibri"/>
          <w:color w:val="000000"/>
          <w:shd w:val="clear" w:color="auto" w:fill="FFFFFF"/>
          <w:lang w:val="fr-CH"/>
        </w:rPr>
        <w:t xml:space="preserve"> dur</w:t>
      </w:r>
      <w:r w:rsidR="000E4AA0">
        <w:rPr>
          <w:rStyle w:val="normaltextrun"/>
          <w:rFonts w:ascii="Calibri" w:hAnsi="Calibri" w:cs="Calibri"/>
          <w:color w:val="000000"/>
          <w:shd w:val="clear" w:color="auto" w:fill="FFFFFF"/>
          <w:lang w:val="fr-CH"/>
        </w:rPr>
        <w:t>ant le débat général, l</w:t>
      </w:r>
      <w:r w:rsidR="008366B3">
        <w:rPr>
          <w:rStyle w:val="normaltextrun"/>
          <w:rFonts w:ascii="Calibri" w:hAnsi="Calibri" w:cs="Calibri"/>
          <w:color w:val="000000"/>
          <w:shd w:val="clear" w:color="auto" w:fill="FFFFFF"/>
          <w:lang w:val="fr-CH"/>
        </w:rPr>
        <w:t xml:space="preserve">a Secrétaire générale a prononcé une déclaration mettant en relief l’idée que nos besoins de développement durable et relatifs à l’eau ne peuvent être </w:t>
      </w:r>
      <w:r w:rsidR="000E4AA0">
        <w:rPr>
          <w:rStyle w:val="normaltextrun"/>
          <w:rFonts w:ascii="Calibri" w:hAnsi="Calibri" w:cs="Calibri"/>
          <w:color w:val="000000"/>
          <w:shd w:val="clear" w:color="auto" w:fill="FFFFFF"/>
          <w:lang w:val="fr-CH"/>
        </w:rPr>
        <w:t>résolus</w:t>
      </w:r>
      <w:r w:rsidR="008366B3">
        <w:rPr>
          <w:rStyle w:val="normaltextrun"/>
          <w:rFonts w:ascii="Calibri" w:hAnsi="Calibri" w:cs="Calibri"/>
          <w:color w:val="000000"/>
          <w:shd w:val="clear" w:color="auto" w:fill="FFFFFF"/>
          <w:lang w:val="fr-CH"/>
        </w:rPr>
        <w:t xml:space="preserve"> sans les zones humides. Une déclaration a également été soumise au dialogue interactif 3 sur « L’eau pour le climat, la résilience et l’environnement »</w:t>
      </w:r>
      <w:r w:rsidR="00AB27CF" w:rsidRPr="00BA5AA6">
        <w:rPr>
          <w:rStyle w:val="FootnoteReference"/>
          <w:lang w:val="fr-CH"/>
        </w:rPr>
        <w:footnoteReference w:id="5"/>
      </w:r>
      <w:r w:rsidR="00A56F0D" w:rsidRPr="00BA5AA6">
        <w:rPr>
          <w:rStyle w:val="normaltextrun"/>
          <w:rFonts w:ascii="Calibri" w:hAnsi="Calibri" w:cs="Calibri"/>
          <w:color w:val="000000"/>
          <w:shd w:val="clear" w:color="auto" w:fill="FFFFFF"/>
          <w:lang w:val="fr-CH"/>
        </w:rPr>
        <w:t>.</w:t>
      </w:r>
    </w:p>
    <w:p w14:paraId="3EDCB6C6" w14:textId="77777777" w:rsidR="00A56F0D" w:rsidRPr="00BA5AA6" w:rsidRDefault="00A56F0D" w:rsidP="002E77BF">
      <w:pPr>
        <w:suppressAutoHyphens/>
        <w:spacing w:after="0" w:line="240" w:lineRule="auto"/>
        <w:ind w:left="425" w:hanging="425"/>
        <w:rPr>
          <w:rStyle w:val="normaltextrun"/>
          <w:rFonts w:ascii="Calibri" w:hAnsi="Calibri" w:cs="Calibri"/>
          <w:color w:val="000000"/>
          <w:shd w:val="clear" w:color="auto" w:fill="FFFFFF"/>
          <w:lang w:val="fr-CH"/>
        </w:rPr>
      </w:pPr>
    </w:p>
    <w:p w14:paraId="45751A0A" w14:textId="4BB22910" w:rsidR="00221769" w:rsidRPr="00BA5AA6" w:rsidRDefault="00403AEE" w:rsidP="002E77BF">
      <w:pPr>
        <w:suppressAutoHyphens/>
        <w:spacing w:after="0" w:line="240" w:lineRule="auto"/>
        <w:ind w:left="425" w:hanging="425"/>
        <w:rPr>
          <w:rFonts w:eastAsia="Times New Roman" w:cstheme="minorHAnsi"/>
          <w:lang w:val="fr-CH" w:eastAsia="en-GB"/>
        </w:rPr>
      </w:pPr>
      <w:r w:rsidRPr="00BA5AA6">
        <w:rPr>
          <w:rFonts w:eastAsia="Times New Roman" w:cstheme="minorHAnsi"/>
          <w:lang w:val="fr-CH" w:eastAsia="en-GB"/>
        </w:rPr>
        <w:t>3</w:t>
      </w:r>
      <w:r w:rsidR="00BB6EA8" w:rsidRPr="00BA5AA6">
        <w:rPr>
          <w:rFonts w:eastAsia="Times New Roman" w:cstheme="minorHAnsi"/>
          <w:lang w:val="fr-CH" w:eastAsia="en-GB"/>
        </w:rPr>
        <w:t>7</w:t>
      </w:r>
      <w:r w:rsidR="002D0F0F" w:rsidRPr="00BA5AA6">
        <w:rPr>
          <w:rFonts w:eastAsia="Times New Roman" w:cstheme="minorHAnsi"/>
          <w:lang w:val="fr-CH" w:eastAsia="en-GB"/>
        </w:rPr>
        <w:t>.</w:t>
      </w:r>
      <w:r w:rsidR="00A56F0D" w:rsidRPr="00BA5AA6">
        <w:rPr>
          <w:rFonts w:eastAsia="Times New Roman" w:cstheme="minorHAnsi"/>
          <w:lang w:val="fr-CH" w:eastAsia="en-GB"/>
        </w:rPr>
        <w:tab/>
      </w:r>
      <w:r w:rsidR="008366B3">
        <w:rPr>
          <w:rFonts w:eastAsia="Times New Roman" w:cstheme="minorHAnsi"/>
          <w:lang w:val="fr-CH" w:eastAsia="en-GB"/>
        </w:rPr>
        <w:t>La Secrétaire générale a participé en qualité d’oratrice à l’</w:t>
      </w:r>
      <w:r w:rsidR="001B15E6">
        <w:rPr>
          <w:rFonts w:eastAsia="Times New Roman" w:cstheme="minorHAnsi"/>
          <w:lang w:val="fr-CH" w:eastAsia="en-GB"/>
        </w:rPr>
        <w:t>a</w:t>
      </w:r>
      <w:r w:rsidR="008366B3">
        <w:rPr>
          <w:rFonts w:eastAsia="Times New Roman" w:cstheme="minorHAnsi"/>
          <w:lang w:val="fr-CH" w:eastAsia="en-GB"/>
        </w:rPr>
        <w:t>ctivité spéciale « </w:t>
      </w:r>
      <w:r w:rsidR="008366B3" w:rsidRPr="007513A8">
        <w:rPr>
          <w:rFonts w:eastAsia="Times New Roman" w:cstheme="minorHAnsi"/>
          <w:lang w:val="fr-FR" w:eastAsia="en-GB"/>
        </w:rPr>
        <w:t xml:space="preserve">Radical collaboration for water resilience: </w:t>
      </w:r>
      <w:r w:rsidR="008366B3">
        <w:rPr>
          <w:rFonts w:eastAsia="Times New Roman" w:cstheme="minorHAnsi"/>
          <w:lang w:val="fr-CH" w:eastAsia="en-GB"/>
        </w:rPr>
        <w:t xml:space="preserve">Action </w:t>
      </w:r>
      <w:r w:rsidR="008366B3" w:rsidRPr="00BA5AA6">
        <w:rPr>
          <w:rFonts w:eastAsia="Times New Roman" w:cstheme="minorHAnsi"/>
          <w:lang w:val="fr-CH" w:eastAsia="en-GB"/>
        </w:rPr>
        <w:t>with our greatest allies in the climate crisis</w:t>
      </w:r>
      <w:r w:rsidR="008366B3">
        <w:rPr>
          <w:rFonts w:eastAsia="Times New Roman" w:cstheme="minorHAnsi"/>
          <w:lang w:val="fr-CH" w:eastAsia="en-GB"/>
        </w:rPr>
        <w:t> »</w:t>
      </w:r>
      <w:r w:rsidR="008366B3" w:rsidRPr="00BA5AA6">
        <w:rPr>
          <w:rFonts w:eastAsia="Times New Roman" w:cstheme="minorHAnsi"/>
          <w:lang w:val="fr-CH" w:eastAsia="en-GB"/>
        </w:rPr>
        <w:t xml:space="preserve"> </w:t>
      </w:r>
      <w:r w:rsidR="008366B3">
        <w:rPr>
          <w:rFonts w:eastAsia="Times New Roman" w:cstheme="minorHAnsi"/>
          <w:lang w:val="fr-CH" w:eastAsia="en-GB"/>
        </w:rPr>
        <w:t xml:space="preserve">(Collaboration radicale pour la résilience de l’eau : </w:t>
      </w:r>
      <w:r w:rsidR="00BF3C4B" w:rsidRPr="00BA5AA6">
        <w:rPr>
          <w:rFonts w:eastAsia="Times New Roman" w:cstheme="minorHAnsi"/>
          <w:lang w:val="fr-CH" w:eastAsia="en-GB"/>
        </w:rPr>
        <w:t xml:space="preserve">Action </w:t>
      </w:r>
      <w:r w:rsidR="008366B3">
        <w:rPr>
          <w:rFonts w:eastAsia="Times New Roman" w:cstheme="minorHAnsi"/>
          <w:lang w:val="fr-CH" w:eastAsia="en-GB"/>
        </w:rPr>
        <w:t xml:space="preserve">avec nos principaux alliés dans la crise climatique), ainsi qu’à deux activités des médias, en compagnie du Secrétaire exécutif par intérim de la CDB. </w:t>
      </w:r>
      <w:r w:rsidR="00BF3C4B" w:rsidRPr="00BA5AA6">
        <w:rPr>
          <w:rFonts w:eastAsia="Times New Roman" w:cstheme="minorHAnsi"/>
          <w:lang w:val="fr-CH" w:eastAsia="en-GB"/>
        </w:rPr>
        <w:t xml:space="preserve"> </w:t>
      </w:r>
    </w:p>
    <w:p w14:paraId="726CC11C" w14:textId="77777777" w:rsidR="00221769" w:rsidRPr="00BA5AA6" w:rsidRDefault="00221769" w:rsidP="000A264B">
      <w:pPr>
        <w:suppressAutoHyphens/>
        <w:spacing w:after="0" w:line="240" w:lineRule="auto"/>
        <w:ind w:left="425" w:hanging="425"/>
        <w:rPr>
          <w:rFonts w:eastAsia="Times New Roman" w:cstheme="minorHAnsi"/>
          <w:lang w:val="fr-CH" w:eastAsia="en-GB"/>
        </w:rPr>
      </w:pPr>
    </w:p>
    <w:p w14:paraId="6911ACFD" w14:textId="51A8959F" w:rsidR="0030031A" w:rsidRPr="00BA5AA6" w:rsidRDefault="00403AEE" w:rsidP="008366B3">
      <w:pPr>
        <w:keepNext/>
        <w:keepLines/>
        <w:suppressAutoHyphens/>
        <w:spacing w:after="0" w:line="240" w:lineRule="auto"/>
        <w:ind w:left="425" w:hanging="425"/>
        <w:rPr>
          <w:rFonts w:eastAsia="Times New Roman" w:cstheme="minorHAnsi"/>
          <w:lang w:val="fr-CH" w:eastAsia="en-GB"/>
        </w:rPr>
      </w:pPr>
      <w:r w:rsidRPr="00BA5AA6">
        <w:rPr>
          <w:rFonts w:eastAsia="Times New Roman" w:cstheme="minorHAnsi"/>
          <w:lang w:val="fr-CH" w:eastAsia="en-GB"/>
        </w:rPr>
        <w:lastRenderedPageBreak/>
        <w:t>3</w:t>
      </w:r>
      <w:r w:rsidR="00BB6EA8" w:rsidRPr="00BA5AA6">
        <w:rPr>
          <w:rFonts w:eastAsia="Times New Roman" w:cstheme="minorHAnsi"/>
          <w:lang w:val="fr-CH" w:eastAsia="en-GB"/>
        </w:rPr>
        <w:t>8</w:t>
      </w:r>
      <w:r w:rsidR="004157DF" w:rsidRPr="00BA5AA6">
        <w:rPr>
          <w:rFonts w:eastAsia="Times New Roman" w:cstheme="minorHAnsi"/>
          <w:lang w:val="fr-CH" w:eastAsia="en-GB"/>
        </w:rPr>
        <w:t>.</w:t>
      </w:r>
      <w:r w:rsidR="00A56F0D" w:rsidRPr="00BA5AA6">
        <w:rPr>
          <w:rFonts w:eastAsia="Times New Roman" w:cstheme="minorHAnsi"/>
          <w:lang w:val="fr-CH" w:eastAsia="en-GB"/>
        </w:rPr>
        <w:tab/>
      </w:r>
      <w:r w:rsidR="00167785">
        <w:rPr>
          <w:rFonts w:eastAsia="Times New Roman" w:cstheme="minorHAnsi"/>
          <w:lang w:val="fr-CH" w:eastAsia="en-GB"/>
        </w:rPr>
        <w:t xml:space="preserve">La Secrétaire générale a </w:t>
      </w:r>
      <w:r w:rsidR="00ED2826">
        <w:rPr>
          <w:rFonts w:eastAsia="Times New Roman" w:cstheme="minorHAnsi"/>
          <w:lang w:val="fr-CH" w:eastAsia="en-GB"/>
        </w:rPr>
        <w:t xml:space="preserve">aussi </w:t>
      </w:r>
      <w:r w:rsidR="00167785">
        <w:rPr>
          <w:rFonts w:eastAsia="Times New Roman" w:cstheme="minorHAnsi"/>
          <w:lang w:val="fr-CH" w:eastAsia="en-GB"/>
        </w:rPr>
        <w:t>participé en tant qu’oratrice à plusieurs activités parallèles, notamment :</w:t>
      </w:r>
    </w:p>
    <w:p w14:paraId="2A9AECA6" w14:textId="3DFAD2C7" w:rsidR="0030031A" w:rsidRPr="00BA5AA6" w:rsidRDefault="00167785" w:rsidP="008366B3">
      <w:pPr>
        <w:pStyle w:val="ListParagraph"/>
        <w:keepNext/>
        <w:keepLines/>
        <w:numPr>
          <w:ilvl w:val="0"/>
          <w:numId w:val="29"/>
        </w:numPr>
        <w:suppressAutoHyphens/>
        <w:ind w:left="851" w:hanging="425"/>
        <w:jc w:val="left"/>
        <w:rPr>
          <w:rFonts w:asciiTheme="minorHAnsi" w:eastAsia="Times New Roman" w:hAnsiTheme="minorHAnsi" w:cstheme="minorHAnsi"/>
          <w:lang w:val="fr-CH" w:eastAsia="en-GB"/>
        </w:rPr>
      </w:pPr>
      <w:r>
        <w:rPr>
          <w:rFonts w:asciiTheme="minorHAnsi" w:hAnsiTheme="minorHAnsi"/>
          <w:lang w:val="fr-CH"/>
        </w:rPr>
        <w:t>« </w:t>
      </w:r>
      <w:r w:rsidR="006067B8">
        <w:rPr>
          <w:rFonts w:asciiTheme="minorHAnsi" w:hAnsiTheme="minorHAnsi"/>
          <w:lang w:val="fr-CH"/>
        </w:rPr>
        <w:t>Le Défi de l’eau douce</w:t>
      </w:r>
      <w:r w:rsidR="00221769" w:rsidRPr="00BA5AA6">
        <w:rPr>
          <w:rFonts w:asciiTheme="minorHAnsi" w:hAnsiTheme="minorHAnsi"/>
          <w:lang w:val="fr-CH"/>
        </w:rPr>
        <w:t xml:space="preserve"> – Mobili</w:t>
      </w:r>
      <w:r w:rsidR="006067B8">
        <w:rPr>
          <w:rFonts w:asciiTheme="minorHAnsi" w:hAnsiTheme="minorHAnsi"/>
          <w:lang w:val="fr-CH"/>
        </w:rPr>
        <w:t>ser pour restaurer les écosystèmes d’eau douce</w:t>
      </w:r>
      <w:r>
        <w:rPr>
          <w:rFonts w:asciiTheme="minorHAnsi" w:hAnsiTheme="minorHAnsi"/>
          <w:lang w:val="fr-CH"/>
        </w:rPr>
        <w:t> »</w:t>
      </w:r>
      <w:r w:rsidR="00221769" w:rsidRPr="00BA5AA6">
        <w:rPr>
          <w:rFonts w:asciiTheme="minorHAnsi" w:eastAsia="Times New Roman" w:hAnsiTheme="minorHAnsi" w:cstheme="minorHAnsi"/>
          <w:lang w:val="fr-CH" w:eastAsia="en-GB"/>
        </w:rPr>
        <w:t>,</w:t>
      </w:r>
      <w:r w:rsidR="00221769" w:rsidRPr="00BA5AA6">
        <w:rPr>
          <w:rFonts w:asciiTheme="minorHAnsi" w:hAnsiTheme="minorHAnsi"/>
          <w:lang w:val="fr-CH"/>
        </w:rPr>
        <w:t xml:space="preserve"> </w:t>
      </w:r>
      <w:r>
        <w:rPr>
          <w:rFonts w:asciiTheme="minorHAnsi" w:hAnsiTheme="minorHAnsi"/>
          <w:lang w:val="fr-CH"/>
        </w:rPr>
        <w:t xml:space="preserve">réunion à laquelle le </w:t>
      </w:r>
      <w:r w:rsidR="006067B8">
        <w:rPr>
          <w:rFonts w:asciiTheme="minorHAnsi" w:hAnsiTheme="minorHAnsi"/>
          <w:lang w:val="fr-CH"/>
        </w:rPr>
        <w:t>Défi de l’eau douce</w:t>
      </w:r>
      <w:r w:rsidR="006067B8" w:rsidRPr="00BA5AA6">
        <w:rPr>
          <w:rFonts w:asciiTheme="minorHAnsi" w:hAnsiTheme="minorHAnsi"/>
          <w:lang w:val="fr-CH"/>
        </w:rPr>
        <w:t xml:space="preserve"> </w:t>
      </w:r>
      <w:r>
        <w:rPr>
          <w:rFonts w:asciiTheme="minorHAnsi" w:hAnsiTheme="minorHAnsi"/>
          <w:lang w:val="fr-CH"/>
        </w:rPr>
        <w:t>a été lancé ;</w:t>
      </w:r>
    </w:p>
    <w:p w14:paraId="165517D2" w14:textId="1431DDB9" w:rsidR="0030031A" w:rsidRPr="00BA5AA6" w:rsidRDefault="00167785" w:rsidP="0030031A">
      <w:pPr>
        <w:pStyle w:val="ListParagraph"/>
        <w:numPr>
          <w:ilvl w:val="0"/>
          <w:numId w:val="29"/>
        </w:numPr>
        <w:suppressAutoHyphens/>
        <w:ind w:left="851" w:hanging="425"/>
        <w:jc w:val="left"/>
        <w:rPr>
          <w:rFonts w:asciiTheme="minorHAnsi" w:eastAsia="Times New Roman" w:hAnsiTheme="minorHAnsi" w:cstheme="minorHAnsi"/>
          <w:lang w:val="fr-CH" w:eastAsia="en-GB"/>
        </w:rPr>
      </w:pPr>
      <w:r>
        <w:rPr>
          <w:rFonts w:asciiTheme="minorHAnsi" w:hAnsiTheme="minorHAnsi"/>
          <w:lang w:val="fr-CH"/>
        </w:rPr>
        <w:t>« Le panel de haut niveau du groupe LGMA (</w:t>
      </w:r>
      <w:r w:rsidR="00221769" w:rsidRPr="00BA5AA6">
        <w:rPr>
          <w:rFonts w:asciiTheme="minorHAnsi" w:hAnsiTheme="minorHAnsi"/>
          <w:lang w:val="fr-CH"/>
        </w:rPr>
        <w:t>Local governments and municipal authorities</w:t>
      </w:r>
      <w:r w:rsidR="007A30EE">
        <w:rPr>
          <w:rFonts w:asciiTheme="minorHAnsi" w:hAnsiTheme="minorHAnsi"/>
          <w:lang w:val="fr-CH"/>
        </w:rPr>
        <w:t>)</w:t>
      </w:r>
      <w:r>
        <w:rPr>
          <w:rFonts w:asciiTheme="minorHAnsi" w:hAnsiTheme="minorHAnsi"/>
          <w:lang w:val="fr-CH"/>
        </w:rPr>
        <w:t> </w:t>
      </w:r>
      <w:r w:rsidR="00221769" w:rsidRPr="00BA5AA6">
        <w:rPr>
          <w:rFonts w:asciiTheme="minorHAnsi" w:hAnsiTheme="minorHAnsi"/>
          <w:lang w:val="fr-CH"/>
        </w:rPr>
        <w:t xml:space="preserve">: </w:t>
      </w:r>
      <w:r>
        <w:rPr>
          <w:rFonts w:asciiTheme="minorHAnsi" w:hAnsiTheme="minorHAnsi"/>
          <w:lang w:val="fr-CH"/>
        </w:rPr>
        <w:t>Le lien connaissances-politiques-pratiques entre la COP27, la COP15, la Convention sur les zones humides et son programme d</w:t>
      </w:r>
      <w:r w:rsidR="00823772">
        <w:rPr>
          <w:rFonts w:asciiTheme="minorHAnsi" w:hAnsiTheme="minorHAnsi"/>
          <w:lang w:val="fr-CH"/>
        </w:rPr>
        <w:t>e</w:t>
      </w:r>
      <w:r>
        <w:rPr>
          <w:rFonts w:asciiTheme="minorHAnsi" w:hAnsiTheme="minorHAnsi"/>
          <w:lang w:val="fr-CH"/>
        </w:rPr>
        <w:t xml:space="preserve"> label Ville des Zones Humides et l’eau » ; et </w:t>
      </w:r>
    </w:p>
    <w:p w14:paraId="6C826317" w14:textId="7CF28BAF" w:rsidR="00221769" w:rsidRPr="00BA5AA6" w:rsidRDefault="00167785" w:rsidP="002E77BF">
      <w:pPr>
        <w:pStyle w:val="ListParagraph"/>
        <w:numPr>
          <w:ilvl w:val="0"/>
          <w:numId w:val="29"/>
        </w:numPr>
        <w:suppressAutoHyphens/>
        <w:ind w:left="851" w:hanging="425"/>
        <w:jc w:val="left"/>
        <w:rPr>
          <w:rFonts w:asciiTheme="minorHAnsi" w:hAnsiTheme="minorHAnsi"/>
          <w:lang w:val="fr-CH"/>
        </w:rPr>
      </w:pPr>
      <w:r>
        <w:rPr>
          <w:rFonts w:asciiTheme="minorHAnsi" w:hAnsiTheme="minorHAnsi"/>
          <w:lang w:val="fr-CH"/>
        </w:rPr>
        <w:t xml:space="preserve">« De l’Assemblée des Nations Unies pour l’environnement à l’Assemblée générale : Agir pour la gestion durable des lacs – en tant que catalyseur d’accélération de l’engagement mondial dans le Programme d’action pour l’eau ».  </w:t>
      </w:r>
    </w:p>
    <w:p w14:paraId="6130600C" w14:textId="77777777" w:rsidR="00221769" w:rsidRPr="00BA5AA6" w:rsidRDefault="00221769" w:rsidP="002E77BF">
      <w:pPr>
        <w:suppressAutoHyphens/>
        <w:spacing w:after="0" w:line="240" w:lineRule="auto"/>
        <w:ind w:left="425" w:hanging="425"/>
        <w:rPr>
          <w:rStyle w:val="normaltextrun"/>
          <w:rFonts w:ascii="Calibri" w:hAnsi="Calibri" w:cs="Calibri"/>
          <w:color w:val="000000"/>
          <w:shd w:val="clear" w:color="auto" w:fill="FFFFFF"/>
          <w:lang w:val="fr-CH"/>
        </w:rPr>
      </w:pPr>
    </w:p>
    <w:p w14:paraId="65B0E313" w14:textId="4B22A395" w:rsidR="00BF3C4B" w:rsidRPr="00BA5AA6" w:rsidRDefault="00BB6EA8" w:rsidP="000A264B">
      <w:pPr>
        <w:suppressAutoHyphens/>
        <w:spacing w:after="0" w:line="240" w:lineRule="auto"/>
        <w:ind w:left="425" w:hanging="425"/>
        <w:rPr>
          <w:rFonts w:eastAsia="Times New Roman"/>
          <w:lang w:val="fr-CH" w:eastAsia="en-GB"/>
        </w:rPr>
      </w:pPr>
      <w:r w:rsidRPr="00BA5AA6">
        <w:rPr>
          <w:rFonts w:eastAsia="Times New Roman"/>
          <w:lang w:val="fr-CH" w:eastAsia="en-GB"/>
        </w:rPr>
        <w:t>39</w:t>
      </w:r>
      <w:r w:rsidR="68F8B673" w:rsidRPr="00BA5AA6">
        <w:rPr>
          <w:rFonts w:eastAsia="Times New Roman"/>
          <w:lang w:val="fr-CH" w:eastAsia="en-GB"/>
        </w:rPr>
        <w:t>.</w:t>
      </w:r>
      <w:r w:rsidR="00A56F0D" w:rsidRPr="00BA5AA6">
        <w:rPr>
          <w:rFonts w:eastAsia="Times New Roman"/>
          <w:lang w:val="fr-CH" w:eastAsia="en-GB"/>
        </w:rPr>
        <w:tab/>
      </w:r>
      <w:r w:rsidR="00167785">
        <w:rPr>
          <w:rFonts w:eastAsia="Times New Roman"/>
          <w:lang w:val="fr-CH" w:eastAsia="en-GB"/>
        </w:rPr>
        <w:t>Le Secrétariat a participé en tant qu’orateur à des activités parallèles telles que : « </w:t>
      </w:r>
      <w:r w:rsidR="0AF3A45B" w:rsidRPr="00BA5AA6">
        <w:rPr>
          <w:rFonts w:eastAsia="Times New Roman"/>
          <w:lang w:val="fr-CH" w:eastAsia="en-GB"/>
        </w:rPr>
        <w:t>Water for nature, nature for water: Policies, solutions and commitments for sustainable development</w:t>
      </w:r>
      <w:r w:rsidR="00167785">
        <w:rPr>
          <w:rFonts w:eastAsia="Times New Roman"/>
          <w:lang w:val="fr-CH" w:eastAsia="en-GB"/>
        </w:rPr>
        <w:t> »</w:t>
      </w:r>
      <w:r w:rsidR="14258C8B" w:rsidRPr="00BA5AA6">
        <w:rPr>
          <w:rFonts w:eastAsia="Times New Roman"/>
          <w:lang w:val="fr-CH" w:eastAsia="en-GB"/>
        </w:rPr>
        <w:t xml:space="preserve"> </w:t>
      </w:r>
      <w:r w:rsidR="00167785">
        <w:rPr>
          <w:rFonts w:eastAsia="Times New Roman"/>
          <w:lang w:val="fr-CH" w:eastAsia="en-GB"/>
        </w:rPr>
        <w:t>et</w:t>
      </w:r>
      <w:r w:rsidR="2C461FB5" w:rsidRPr="00BA5AA6">
        <w:rPr>
          <w:rFonts w:eastAsia="Times New Roman"/>
          <w:lang w:val="fr-CH" w:eastAsia="en-GB"/>
        </w:rPr>
        <w:t xml:space="preserve"> </w:t>
      </w:r>
      <w:r w:rsidR="00167785">
        <w:rPr>
          <w:rFonts w:eastAsia="Times New Roman"/>
          <w:lang w:val="fr-CH" w:eastAsia="en-GB"/>
        </w:rPr>
        <w:t>« </w:t>
      </w:r>
      <w:r w:rsidR="7299B496" w:rsidRPr="00BA5AA6">
        <w:rPr>
          <w:rFonts w:eastAsia="Times New Roman"/>
          <w:lang w:val="fr-CH" w:eastAsia="en-GB"/>
        </w:rPr>
        <w:t>Turning the tide on the freshwater biodiversity crisis</w:t>
      </w:r>
      <w:r w:rsidR="00167785">
        <w:rPr>
          <w:rFonts w:eastAsia="Times New Roman"/>
          <w:lang w:val="fr-CH" w:eastAsia="en-GB"/>
        </w:rPr>
        <w:t> »</w:t>
      </w:r>
      <w:r w:rsidR="0DA94EA3" w:rsidRPr="00BA5AA6">
        <w:rPr>
          <w:rFonts w:eastAsia="Times New Roman"/>
          <w:lang w:val="fr-CH" w:eastAsia="en-GB"/>
        </w:rPr>
        <w:t>,</w:t>
      </w:r>
      <w:r w:rsidR="39BC5BC1" w:rsidRPr="00BA5AA6">
        <w:rPr>
          <w:rFonts w:eastAsia="Times New Roman"/>
          <w:lang w:val="fr-CH" w:eastAsia="en-GB"/>
        </w:rPr>
        <w:t xml:space="preserve"> a</w:t>
      </w:r>
      <w:r w:rsidR="00167785">
        <w:rPr>
          <w:rFonts w:eastAsia="Times New Roman"/>
          <w:lang w:val="fr-CH" w:eastAsia="en-GB"/>
        </w:rPr>
        <w:t>insi qu’à l’activité parallèle virtuelle intitulée « </w:t>
      </w:r>
      <w:r w:rsidR="0DA94EA3" w:rsidRPr="00BA5AA6">
        <w:rPr>
          <w:rFonts w:eastAsia="Times New Roman"/>
          <w:lang w:val="fr-CH" w:eastAsia="en-GB"/>
        </w:rPr>
        <w:t>Earth observations in support of water action</w:t>
      </w:r>
      <w:r w:rsidR="00167785">
        <w:rPr>
          <w:rFonts w:eastAsia="Times New Roman"/>
          <w:lang w:val="fr-CH" w:eastAsia="en-GB"/>
        </w:rPr>
        <w:t> »</w:t>
      </w:r>
      <w:r w:rsidR="00A56F0D" w:rsidRPr="00BA5AA6">
        <w:rPr>
          <w:rFonts w:eastAsia="Times New Roman"/>
          <w:lang w:val="fr-CH" w:eastAsia="en-GB"/>
        </w:rPr>
        <w:t>.</w:t>
      </w:r>
    </w:p>
    <w:p w14:paraId="56CC18FC" w14:textId="77777777" w:rsidR="00404DA0" w:rsidRPr="00BA5AA6" w:rsidRDefault="00404DA0" w:rsidP="000A264B">
      <w:pPr>
        <w:suppressAutoHyphens/>
        <w:spacing w:after="0" w:line="240" w:lineRule="auto"/>
        <w:ind w:left="425" w:hanging="425"/>
        <w:rPr>
          <w:rFonts w:eastAsia="Times New Roman" w:cstheme="minorHAnsi"/>
          <w:lang w:val="fr-CH" w:eastAsia="en-GB"/>
        </w:rPr>
      </w:pPr>
    </w:p>
    <w:p w14:paraId="40A943BC" w14:textId="2F1A6B03" w:rsidR="00BF3C4B" w:rsidRPr="00BA5AA6" w:rsidRDefault="00403AEE" w:rsidP="000A264B">
      <w:pPr>
        <w:suppressAutoHyphens/>
        <w:spacing w:after="0" w:line="240" w:lineRule="auto"/>
        <w:ind w:left="425" w:hanging="425"/>
        <w:rPr>
          <w:rFonts w:eastAsia="Times New Roman"/>
          <w:lang w:val="fr-CH" w:eastAsia="en-GB"/>
        </w:rPr>
      </w:pPr>
      <w:r w:rsidRPr="00BA5AA6">
        <w:rPr>
          <w:rFonts w:eastAsia="Times New Roman"/>
          <w:lang w:val="fr-CH" w:eastAsia="en-GB"/>
        </w:rPr>
        <w:t>4</w:t>
      </w:r>
      <w:r w:rsidR="00BB6EA8" w:rsidRPr="00BA5AA6">
        <w:rPr>
          <w:rFonts w:eastAsia="Times New Roman"/>
          <w:lang w:val="fr-CH" w:eastAsia="en-GB"/>
        </w:rPr>
        <w:t>0</w:t>
      </w:r>
      <w:r w:rsidR="75C5E33B" w:rsidRPr="00BA5AA6">
        <w:rPr>
          <w:rFonts w:eastAsia="Times New Roman"/>
          <w:lang w:val="fr-CH" w:eastAsia="en-GB"/>
        </w:rPr>
        <w:t>.</w:t>
      </w:r>
      <w:r w:rsidR="00A56F0D" w:rsidRPr="00BA5AA6">
        <w:rPr>
          <w:rFonts w:eastAsia="Times New Roman"/>
          <w:lang w:val="fr-CH" w:eastAsia="en-GB"/>
        </w:rPr>
        <w:tab/>
      </w:r>
      <w:r w:rsidR="00EB0114">
        <w:rPr>
          <w:rFonts w:eastAsia="Times New Roman"/>
          <w:lang w:val="fr-CH" w:eastAsia="en-GB"/>
        </w:rPr>
        <w:t>Plusieurs réunions bilatérales ont été organisées avec des délégués représentant des Parties, notamment les États</w:t>
      </w:r>
      <w:r w:rsidR="00EB0114">
        <w:rPr>
          <w:rFonts w:eastAsia="Times New Roman"/>
          <w:lang w:val="fr-CH" w:eastAsia="en-GB"/>
        </w:rPr>
        <w:noBreakHyphen/>
        <w:t>Unis d’Amérique, le Gabon et l’Uruguay</w:t>
      </w:r>
      <w:r w:rsidR="00AB27CF" w:rsidRPr="00BA5AA6">
        <w:rPr>
          <w:rFonts w:eastAsia="Times New Roman"/>
          <w:lang w:val="fr-CH" w:eastAsia="en-GB"/>
        </w:rPr>
        <w:t>,</w:t>
      </w:r>
      <w:r w:rsidR="2126169B" w:rsidRPr="00BA5AA6">
        <w:rPr>
          <w:rFonts w:eastAsia="Times New Roman"/>
          <w:lang w:val="fr-CH" w:eastAsia="en-GB"/>
        </w:rPr>
        <w:t xml:space="preserve"> </w:t>
      </w:r>
      <w:r w:rsidR="00EB0114">
        <w:rPr>
          <w:rFonts w:eastAsia="Times New Roman"/>
          <w:lang w:val="fr-CH" w:eastAsia="en-GB"/>
        </w:rPr>
        <w:t xml:space="preserve">et avec des cadres représentant la CDB, </w:t>
      </w:r>
      <w:r w:rsidR="00364C5F">
        <w:rPr>
          <w:rFonts w:eastAsia="Times New Roman"/>
          <w:lang w:val="fr-CH" w:eastAsia="en-GB"/>
        </w:rPr>
        <w:t>The Nature Conservancy, ONU</w:t>
      </w:r>
      <w:r w:rsidR="00364C5F">
        <w:rPr>
          <w:rFonts w:eastAsia="Times New Roman"/>
          <w:lang w:val="fr-CH" w:eastAsia="en-GB"/>
        </w:rPr>
        <w:noBreakHyphen/>
        <w:t xml:space="preserve">Habitat, le Programme des Nations Unies pour le développement et le </w:t>
      </w:r>
      <w:r w:rsidR="00823772">
        <w:rPr>
          <w:rFonts w:eastAsia="Times New Roman"/>
          <w:lang w:val="fr-CH" w:eastAsia="en-GB"/>
        </w:rPr>
        <w:t>Programme des Nations Unies pour l’environnement</w:t>
      </w:r>
      <w:r w:rsidR="00364C5F">
        <w:rPr>
          <w:rFonts w:eastAsia="Times New Roman"/>
          <w:lang w:val="fr-CH" w:eastAsia="en-GB"/>
        </w:rPr>
        <w:t>.</w:t>
      </w:r>
    </w:p>
    <w:p w14:paraId="2B4C9056" w14:textId="36796932" w:rsidR="00404DA0" w:rsidRPr="00BA5AA6" w:rsidRDefault="00404DA0" w:rsidP="000A264B">
      <w:pPr>
        <w:suppressAutoHyphens/>
        <w:spacing w:after="0" w:line="240" w:lineRule="auto"/>
        <w:ind w:left="425" w:hanging="425"/>
        <w:rPr>
          <w:rFonts w:eastAsia="Times New Roman" w:cstheme="minorHAnsi"/>
          <w:lang w:val="fr-CH" w:eastAsia="en-GB"/>
        </w:rPr>
      </w:pPr>
    </w:p>
    <w:p w14:paraId="43BB1055" w14:textId="6396F250" w:rsidR="009C2848" w:rsidRPr="00BA5AA6" w:rsidRDefault="009C2848" w:rsidP="000A264B">
      <w:pPr>
        <w:keepNext/>
        <w:spacing w:after="0" w:line="240" w:lineRule="auto"/>
        <w:rPr>
          <w:rFonts w:eastAsia="Times New Roman" w:cstheme="minorHAnsi"/>
          <w:b/>
          <w:bCs/>
          <w:lang w:val="fr-CH" w:eastAsia="en-GB"/>
        </w:rPr>
      </w:pPr>
      <w:r w:rsidRPr="00BA5AA6">
        <w:rPr>
          <w:rFonts w:eastAsia="Times New Roman" w:cstheme="minorHAnsi"/>
          <w:b/>
          <w:bCs/>
          <w:lang w:val="fr-CH" w:eastAsia="en-GB"/>
        </w:rPr>
        <w:t xml:space="preserve">Actions </w:t>
      </w:r>
      <w:r w:rsidR="00364C5F">
        <w:rPr>
          <w:rFonts w:eastAsia="Times New Roman" w:cstheme="minorHAnsi"/>
          <w:b/>
          <w:bCs/>
          <w:lang w:val="fr-CH" w:eastAsia="en-GB"/>
        </w:rPr>
        <w:t xml:space="preserve">visant à renforcer la coopération avec le Programme des Nations Unies pour l’environnement et d’autres institutions internationales </w:t>
      </w:r>
    </w:p>
    <w:p w14:paraId="7A6E5675" w14:textId="77777777" w:rsidR="009C2848" w:rsidRPr="00BA5AA6" w:rsidRDefault="009C2848" w:rsidP="000A264B">
      <w:pPr>
        <w:keepNext/>
        <w:spacing w:after="0" w:line="240" w:lineRule="auto"/>
        <w:rPr>
          <w:rFonts w:eastAsia="Times New Roman" w:cstheme="minorHAnsi"/>
          <w:b/>
          <w:bCs/>
          <w:lang w:val="fr-CH" w:eastAsia="en-GB"/>
        </w:rPr>
      </w:pPr>
    </w:p>
    <w:p w14:paraId="75F7AE94" w14:textId="7E676BF3" w:rsidR="009C2848" w:rsidRPr="00BA5AA6" w:rsidRDefault="009510FB" w:rsidP="000A264B">
      <w:pPr>
        <w:suppressAutoHyphens/>
        <w:spacing w:after="0" w:line="240" w:lineRule="auto"/>
        <w:ind w:left="425" w:hanging="425"/>
        <w:rPr>
          <w:rFonts w:eastAsia="Times New Roman" w:cstheme="minorHAnsi"/>
          <w:lang w:val="fr-CH" w:eastAsia="en-GB"/>
        </w:rPr>
      </w:pPr>
      <w:r w:rsidRPr="00BA5AA6">
        <w:rPr>
          <w:rFonts w:eastAsia="Times New Roman" w:cstheme="minorHAnsi"/>
          <w:lang w:val="fr-CH" w:eastAsia="en-GB"/>
        </w:rPr>
        <w:t>4</w:t>
      </w:r>
      <w:r w:rsidR="00BB6EA8" w:rsidRPr="00BA5AA6">
        <w:rPr>
          <w:rFonts w:eastAsia="Times New Roman" w:cstheme="minorHAnsi"/>
          <w:lang w:val="fr-CH" w:eastAsia="en-GB"/>
        </w:rPr>
        <w:t>1</w:t>
      </w:r>
      <w:r w:rsidR="009C2848" w:rsidRPr="00BA5AA6">
        <w:rPr>
          <w:rFonts w:eastAsia="Times New Roman" w:cstheme="minorHAnsi"/>
          <w:lang w:val="fr-CH" w:eastAsia="en-GB"/>
        </w:rPr>
        <w:t>.</w:t>
      </w:r>
      <w:r w:rsidR="009C2848" w:rsidRPr="00BA5AA6">
        <w:rPr>
          <w:rFonts w:eastAsia="Times New Roman" w:cstheme="minorHAnsi"/>
          <w:lang w:val="fr-CH" w:eastAsia="en-GB"/>
        </w:rPr>
        <w:tab/>
      </w:r>
      <w:r w:rsidR="00364C5F">
        <w:rPr>
          <w:rFonts w:eastAsia="Times New Roman" w:cstheme="minorHAnsi"/>
          <w:lang w:val="fr-CH" w:eastAsia="en-GB"/>
        </w:rPr>
        <w:t xml:space="preserve">Comme indiqué dans des rapports précédents au Comité permanent, le Secrétariat </w:t>
      </w:r>
      <w:r w:rsidR="00B64235">
        <w:rPr>
          <w:rFonts w:eastAsia="Times New Roman" w:cstheme="minorHAnsi"/>
          <w:lang w:val="fr-CH" w:eastAsia="en-GB"/>
        </w:rPr>
        <w:t>s’efforce de renforcer ses liens de</w:t>
      </w:r>
      <w:r w:rsidR="00364C5F">
        <w:rPr>
          <w:rFonts w:eastAsia="Times New Roman" w:cstheme="minorHAnsi"/>
          <w:lang w:val="fr-CH" w:eastAsia="en-GB"/>
        </w:rPr>
        <w:t xml:space="preserve"> collaboration avec les institutions des Nations Unies et d’autres institutions internationales.</w:t>
      </w:r>
    </w:p>
    <w:p w14:paraId="39F14925" w14:textId="77777777" w:rsidR="009C2848" w:rsidRPr="00BA5AA6" w:rsidRDefault="009C2848" w:rsidP="000A264B">
      <w:pPr>
        <w:autoSpaceDE w:val="0"/>
        <w:autoSpaceDN w:val="0"/>
        <w:adjustRightInd w:val="0"/>
        <w:spacing w:after="0" w:line="240" w:lineRule="auto"/>
        <w:ind w:left="426" w:hanging="426"/>
        <w:rPr>
          <w:rFonts w:cstheme="minorHAnsi"/>
          <w:lang w:val="fr-CH"/>
        </w:rPr>
      </w:pPr>
    </w:p>
    <w:p w14:paraId="18550B77" w14:textId="77C6C34B" w:rsidR="00F04E34" w:rsidRPr="00BA5AA6" w:rsidRDefault="00364C5F" w:rsidP="000A264B">
      <w:pPr>
        <w:keepNext/>
        <w:spacing w:after="0" w:line="240" w:lineRule="auto"/>
        <w:contextualSpacing/>
        <w:rPr>
          <w:rFonts w:eastAsia="Calibri" w:cstheme="minorHAnsi"/>
          <w:i/>
          <w:lang w:val="fr-CH"/>
        </w:rPr>
      </w:pPr>
      <w:r>
        <w:rPr>
          <w:rFonts w:eastAsia="Times New Roman" w:cstheme="minorHAnsi"/>
          <w:i/>
          <w:lang w:val="fr-CH" w:eastAsia="en-GB"/>
        </w:rPr>
        <w:t>Le Groupe de gestion de l’environnement</w:t>
      </w:r>
      <w:r w:rsidR="00F04E34" w:rsidRPr="00BA5AA6">
        <w:rPr>
          <w:rFonts w:eastAsia="Times New Roman" w:cstheme="minorHAnsi"/>
          <w:i/>
          <w:lang w:val="fr-CH" w:eastAsia="en-GB"/>
        </w:rPr>
        <w:t xml:space="preserve"> </w:t>
      </w:r>
    </w:p>
    <w:p w14:paraId="2277AB7D" w14:textId="3728F6A3" w:rsidR="009C2848" w:rsidRPr="00BA5AA6" w:rsidRDefault="009C2848" w:rsidP="000A264B">
      <w:pPr>
        <w:keepNext/>
        <w:spacing w:after="0" w:line="240" w:lineRule="auto"/>
        <w:ind w:left="425" w:hanging="425"/>
        <w:rPr>
          <w:lang w:val="fr-CH"/>
        </w:rPr>
      </w:pPr>
    </w:p>
    <w:p w14:paraId="39832291" w14:textId="7088BF38" w:rsidR="001F4FA6" w:rsidRPr="00BA5AA6" w:rsidRDefault="009510FB" w:rsidP="000A264B">
      <w:pPr>
        <w:autoSpaceDE w:val="0"/>
        <w:autoSpaceDN w:val="0"/>
        <w:adjustRightInd w:val="0"/>
        <w:spacing w:after="0" w:line="240" w:lineRule="auto"/>
        <w:ind w:left="426" w:hanging="426"/>
        <w:rPr>
          <w:rFonts w:cstheme="minorHAnsi"/>
          <w:lang w:val="fr-CH"/>
        </w:rPr>
      </w:pPr>
      <w:r w:rsidRPr="00BA5AA6">
        <w:rPr>
          <w:rFonts w:eastAsia="Times New Roman" w:cstheme="minorHAnsi"/>
          <w:lang w:val="fr-CH" w:eastAsia="en-GB"/>
        </w:rPr>
        <w:t>4</w:t>
      </w:r>
      <w:r w:rsidR="00BB6EA8" w:rsidRPr="00BA5AA6">
        <w:rPr>
          <w:rFonts w:eastAsia="Times New Roman" w:cstheme="minorHAnsi"/>
          <w:lang w:val="fr-CH" w:eastAsia="en-GB"/>
        </w:rPr>
        <w:t>2</w:t>
      </w:r>
      <w:r w:rsidR="009C2848" w:rsidRPr="00BA5AA6">
        <w:rPr>
          <w:rFonts w:eastAsia="Times New Roman" w:cstheme="minorHAnsi"/>
          <w:lang w:val="fr-CH" w:eastAsia="en-GB"/>
        </w:rPr>
        <w:t>.</w:t>
      </w:r>
      <w:r w:rsidR="009C2848" w:rsidRPr="00BA5AA6">
        <w:rPr>
          <w:rFonts w:eastAsia="Times New Roman" w:cstheme="minorHAnsi"/>
          <w:lang w:val="fr-CH" w:eastAsia="en-GB"/>
        </w:rPr>
        <w:tab/>
      </w:r>
      <w:r w:rsidR="00364C5F">
        <w:rPr>
          <w:rFonts w:eastAsia="Times New Roman" w:cstheme="minorHAnsi"/>
          <w:lang w:val="fr-CH" w:eastAsia="en-GB"/>
        </w:rPr>
        <w:t xml:space="preserve">Le Secrétariat </w:t>
      </w:r>
      <w:r w:rsidR="00E879D9">
        <w:rPr>
          <w:rFonts w:eastAsia="Times New Roman" w:cstheme="minorHAnsi"/>
          <w:lang w:val="fr-CH" w:eastAsia="en-GB"/>
        </w:rPr>
        <w:t>reste engagé</w:t>
      </w:r>
      <w:r w:rsidR="00364C5F">
        <w:rPr>
          <w:rFonts w:eastAsia="Times New Roman" w:cstheme="minorHAnsi"/>
          <w:lang w:val="fr-CH" w:eastAsia="en-GB"/>
        </w:rPr>
        <w:t xml:space="preserve"> dans les travaux en cours du Groupe de gestion de l’environnement des Nations Unies (GGE). La Secrétaire générale a participé à la 28</w:t>
      </w:r>
      <w:r w:rsidR="00364C5F" w:rsidRPr="00364C5F">
        <w:rPr>
          <w:rFonts w:eastAsia="Times New Roman" w:cstheme="minorHAnsi"/>
          <w:vertAlign w:val="superscript"/>
          <w:lang w:val="fr-CH" w:eastAsia="en-GB"/>
        </w:rPr>
        <w:t>e</w:t>
      </w:r>
      <w:r w:rsidR="00364C5F">
        <w:rPr>
          <w:rFonts w:eastAsia="Times New Roman" w:cstheme="minorHAnsi"/>
          <w:lang w:val="fr-CH" w:eastAsia="en-GB"/>
        </w:rPr>
        <w:t> </w:t>
      </w:r>
      <w:r w:rsidR="00E879D9">
        <w:rPr>
          <w:rFonts w:eastAsia="Times New Roman" w:cstheme="minorHAnsi"/>
          <w:lang w:val="fr-CH" w:eastAsia="en-GB"/>
        </w:rPr>
        <w:t>r</w:t>
      </w:r>
      <w:r w:rsidR="00364C5F">
        <w:rPr>
          <w:rFonts w:eastAsia="Times New Roman" w:cstheme="minorHAnsi"/>
          <w:lang w:val="fr-CH" w:eastAsia="en-GB"/>
        </w:rPr>
        <w:t xml:space="preserve">éunion des cadres du GGE qui a eu lieu de façon virtuelle en novembre 2022, et </w:t>
      </w:r>
      <w:r w:rsidR="00E879D9">
        <w:rPr>
          <w:rFonts w:eastAsia="Times New Roman" w:cstheme="minorHAnsi"/>
          <w:lang w:val="fr-CH" w:eastAsia="en-GB"/>
        </w:rPr>
        <w:t xml:space="preserve">à laquelle </w:t>
      </w:r>
      <w:r w:rsidR="00364C5F">
        <w:rPr>
          <w:rFonts w:eastAsia="Times New Roman" w:cstheme="minorHAnsi"/>
          <w:lang w:val="fr-CH" w:eastAsia="en-GB"/>
        </w:rPr>
        <w:t xml:space="preserve">a </w:t>
      </w:r>
      <w:r w:rsidR="00E879D9">
        <w:rPr>
          <w:rFonts w:eastAsia="Times New Roman" w:cstheme="minorHAnsi"/>
          <w:lang w:val="fr-CH" w:eastAsia="en-GB"/>
        </w:rPr>
        <w:t xml:space="preserve">été </w:t>
      </w:r>
      <w:r w:rsidR="00364C5F">
        <w:rPr>
          <w:rFonts w:eastAsia="Times New Roman" w:cstheme="minorHAnsi"/>
          <w:lang w:val="fr-CH" w:eastAsia="en-GB"/>
        </w:rPr>
        <w:t xml:space="preserve">créé un </w:t>
      </w:r>
      <w:r w:rsidR="00E879D9">
        <w:rPr>
          <w:rFonts w:eastAsia="Times New Roman" w:cstheme="minorHAnsi"/>
          <w:lang w:val="fr-CH" w:eastAsia="en-GB"/>
        </w:rPr>
        <w:t>g</w:t>
      </w:r>
      <w:r w:rsidR="00364C5F">
        <w:rPr>
          <w:rFonts w:eastAsia="Times New Roman" w:cstheme="minorHAnsi"/>
          <w:lang w:val="fr-CH" w:eastAsia="en-GB"/>
        </w:rPr>
        <w:t>roupe de gestion GGE des problèmes sur la biodiversité</w:t>
      </w:r>
      <w:r w:rsidR="00E879D9">
        <w:rPr>
          <w:rFonts w:eastAsia="Times New Roman" w:cstheme="minorHAnsi"/>
          <w:lang w:val="fr-CH" w:eastAsia="en-GB"/>
        </w:rPr>
        <w:t>,</w:t>
      </w:r>
      <w:r w:rsidR="00364C5F">
        <w:rPr>
          <w:rFonts w:eastAsia="Times New Roman" w:cstheme="minorHAnsi"/>
          <w:lang w:val="fr-CH" w:eastAsia="en-GB"/>
        </w:rPr>
        <w:t xml:space="preserve"> pour faciliter et permettre une approche simplifiée et un appui à la mise en œuvre du Cadre mondial de la biodiversité, de l’approche commune des Nations Unies à la biodiversité, de la Décennie des Nations Unies </w:t>
      </w:r>
      <w:r w:rsidR="00B63325">
        <w:rPr>
          <w:rFonts w:eastAsia="Times New Roman" w:cstheme="minorHAnsi"/>
          <w:lang w:val="fr-CH" w:eastAsia="en-GB"/>
        </w:rPr>
        <w:t>po</w:t>
      </w:r>
      <w:r w:rsidR="00364C5F">
        <w:rPr>
          <w:rFonts w:eastAsia="Times New Roman" w:cstheme="minorHAnsi"/>
          <w:lang w:val="fr-CH" w:eastAsia="en-GB"/>
        </w:rPr>
        <w:t xml:space="preserve">ur la restauration des écosystèmes et du </w:t>
      </w:r>
      <w:r w:rsidR="00E879D9">
        <w:rPr>
          <w:rFonts w:eastAsia="Times New Roman" w:cstheme="minorHAnsi"/>
          <w:lang w:val="fr-CH" w:eastAsia="en-GB"/>
        </w:rPr>
        <w:t>p</w:t>
      </w:r>
      <w:r w:rsidR="00364C5F">
        <w:rPr>
          <w:rFonts w:eastAsia="Times New Roman" w:cstheme="minorHAnsi"/>
          <w:lang w:val="fr-CH" w:eastAsia="en-GB"/>
        </w:rPr>
        <w:t xml:space="preserve">rocessus consultatif </w:t>
      </w:r>
      <w:r w:rsidR="00E879D9" w:rsidRPr="001B15E6">
        <w:rPr>
          <w:rFonts w:eastAsia="Times New Roman" w:cstheme="minorHAnsi"/>
          <w:i/>
          <w:iCs/>
          <w:lang w:val="fr-CH" w:eastAsia="en-GB"/>
        </w:rPr>
        <w:t>Vers</w:t>
      </w:r>
      <w:r w:rsidR="00364C5F" w:rsidRPr="001B15E6">
        <w:rPr>
          <w:rFonts w:eastAsia="Times New Roman" w:cstheme="minorHAnsi"/>
          <w:i/>
          <w:iCs/>
          <w:lang w:val="fr-CH" w:eastAsia="en-GB"/>
        </w:rPr>
        <w:t xml:space="preserve"> une planète </w:t>
      </w:r>
      <w:r w:rsidR="00E879D9" w:rsidRPr="001B15E6">
        <w:rPr>
          <w:rFonts w:eastAsia="Times New Roman" w:cstheme="minorHAnsi"/>
          <w:i/>
          <w:iCs/>
          <w:lang w:val="fr-CH" w:eastAsia="en-GB"/>
        </w:rPr>
        <w:t>sans</w:t>
      </w:r>
      <w:r w:rsidR="00364C5F" w:rsidRPr="001B15E6">
        <w:rPr>
          <w:rFonts w:eastAsia="Times New Roman" w:cstheme="minorHAnsi"/>
          <w:i/>
          <w:iCs/>
          <w:lang w:val="fr-CH" w:eastAsia="en-GB"/>
        </w:rPr>
        <w:t xml:space="preserve"> pollution</w:t>
      </w:r>
      <w:r w:rsidR="00364C5F">
        <w:rPr>
          <w:rFonts w:eastAsia="Times New Roman" w:cstheme="minorHAnsi"/>
          <w:lang w:val="fr-CH" w:eastAsia="en-GB"/>
        </w:rPr>
        <w:t xml:space="preserve">.  </w:t>
      </w:r>
    </w:p>
    <w:p w14:paraId="7BF57AA2" w14:textId="6BC5459F" w:rsidR="0094492C" w:rsidRPr="00BA5AA6" w:rsidRDefault="0094492C" w:rsidP="000A264B">
      <w:pPr>
        <w:autoSpaceDE w:val="0"/>
        <w:autoSpaceDN w:val="0"/>
        <w:adjustRightInd w:val="0"/>
        <w:spacing w:after="0" w:line="240" w:lineRule="auto"/>
        <w:ind w:left="426" w:hanging="426"/>
        <w:rPr>
          <w:rFonts w:cstheme="minorHAnsi"/>
          <w:lang w:val="fr-CH"/>
        </w:rPr>
      </w:pPr>
    </w:p>
    <w:p w14:paraId="6CA8730B" w14:textId="2706F24F" w:rsidR="0094492C" w:rsidRPr="00BA5AA6" w:rsidRDefault="009510FB" w:rsidP="000A264B">
      <w:pPr>
        <w:autoSpaceDE w:val="0"/>
        <w:autoSpaceDN w:val="0"/>
        <w:adjustRightInd w:val="0"/>
        <w:spacing w:after="0" w:line="240" w:lineRule="auto"/>
        <w:ind w:left="426" w:hanging="426"/>
        <w:rPr>
          <w:rFonts w:eastAsia="Times New Roman" w:cstheme="minorHAnsi"/>
          <w:lang w:val="fr-CH" w:eastAsia="en-GB"/>
        </w:rPr>
      </w:pPr>
      <w:r w:rsidRPr="00BA5AA6">
        <w:rPr>
          <w:rFonts w:eastAsia="Times New Roman" w:cstheme="minorHAnsi"/>
          <w:lang w:val="fr-CH" w:eastAsia="en-GB"/>
        </w:rPr>
        <w:t>4</w:t>
      </w:r>
      <w:r w:rsidR="00BB6EA8" w:rsidRPr="00BA5AA6">
        <w:rPr>
          <w:rFonts w:eastAsia="Times New Roman" w:cstheme="minorHAnsi"/>
          <w:lang w:val="fr-CH" w:eastAsia="en-GB"/>
        </w:rPr>
        <w:t>3</w:t>
      </w:r>
      <w:r w:rsidR="00981447" w:rsidRPr="00BA5AA6">
        <w:rPr>
          <w:rFonts w:eastAsia="Times New Roman" w:cstheme="minorHAnsi"/>
          <w:lang w:val="fr-CH" w:eastAsia="en-GB"/>
        </w:rPr>
        <w:t>.</w:t>
      </w:r>
      <w:r w:rsidR="00C6182C" w:rsidRPr="00BA5AA6">
        <w:rPr>
          <w:rFonts w:eastAsia="Times New Roman" w:cstheme="minorHAnsi"/>
          <w:lang w:val="fr-CH" w:eastAsia="en-GB"/>
        </w:rPr>
        <w:tab/>
      </w:r>
      <w:r w:rsidR="00364C5F">
        <w:rPr>
          <w:rFonts w:eastAsia="Times New Roman" w:cstheme="minorHAnsi"/>
          <w:lang w:val="fr-CH" w:eastAsia="en-GB"/>
        </w:rPr>
        <w:t xml:space="preserve">Le Secrétariat a participé à la préparation du rapport </w:t>
      </w:r>
      <w:r w:rsidR="000F45CE">
        <w:rPr>
          <w:rFonts w:eastAsia="Times New Roman" w:cstheme="minorHAnsi"/>
          <w:lang w:val="fr-CH" w:eastAsia="en-GB"/>
        </w:rPr>
        <w:t xml:space="preserve">intitulé </w:t>
      </w:r>
      <w:r w:rsidR="000F45CE" w:rsidRPr="000F45CE">
        <w:rPr>
          <w:rFonts w:eastAsia="Times New Roman" w:cstheme="minorHAnsi"/>
          <w:i/>
          <w:iCs/>
          <w:lang w:val="fr-CH" w:eastAsia="en-GB"/>
        </w:rPr>
        <w:t>Aperçu des activités et initiatives des Nations Unies relatives aux déchets marins et aux microplastiques</w:t>
      </w:r>
      <w:r w:rsidR="000F45CE">
        <w:rPr>
          <w:rFonts w:eastAsia="Times New Roman" w:cstheme="minorHAnsi"/>
          <w:lang w:val="fr-CH" w:eastAsia="en-GB"/>
        </w:rPr>
        <w:t>, comm</w:t>
      </w:r>
      <w:r w:rsidR="00364C5F">
        <w:rPr>
          <w:rFonts w:eastAsia="Times New Roman" w:cstheme="minorHAnsi"/>
          <w:lang w:val="fr-CH" w:eastAsia="en-GB"/>
        </w:rPr>
        <w:t>andé par le GGE</w:t>
      </w:r>
      <w:r w:rsidR="001A01BD">
        <w:rPr>
          <w:rFonts w:eastAsia="Times New Roman" w:cstheme="minorHAnsi"/>
          <w:lang w:val="fr-CH" w:eastAsia="en-GB"/>
        </w:rPr>
        <w:t>. Le rapport souligne</w:t>
      </w:r>
      <w:r w:rsidR="00364C5F">
        <w:rPr>
          <w:rFonts w:eastAsia="Times New Roman" w:cstheme="minorHAnsi"/>
          <w:lang w:val="fr-CH" w:eastAsia="en-GB"/>
        </w:rPr>
        <w:t xml:space="preserve"> que les déchets marins et les microplastiques sont portés vers les mers et les océans </w:t>
      </w:r>
      <w:r w:rsidR="0082028C">
        <w:rPr>
          <w:rFonts w:eastAsia="Times New Roman" w:cstheme="minorHAnsi"/>
          <w:lang w:val="fr-CH" w:eastAsia="en-GB"/>
        </w:rPr>
        <w:t xml:space="preserve">essentiellement par les zones humides intérieures et côtières, que la pollution par les plastiques peut entraîner une dégradation importante des zones humides et de leurs services, que certaines espèces tributaires des </w:t>
      </w:r>
      <w:r w:rsidR="002525BE">
        <w:rPr>
          <w:rFonts w:eastAsia="Times New Roman" w:cstheme="minorHAnsi"/>
          <w:lang w:val="fr-CH" w:eastAsia="en-GB"/>
        </w:rPr>
        <w:t>zones humides sont particulièrement vulnérables à la pollution par les plastiques en raison de leur comportement et de leur écologie, et que ces questions doivent être prises en compte dans les solutions visant à réduire cette forme de pollution.</w:t>
      </w:r>
    </w:p>
    <w:p w14:paraId="0A0CC38D" w14:textId="77777777" w:rsidR="0094492C" w:rsidRPr="00BA5AA6" w:rsidRDefault="0094492C" w:rsidP="000A264B">
      <w:pPr>
        <w:autoSpaceDE w:val="0"/>
        <w:autoSpaceDN w:val="0"/>
        <w:adjustRightInd w:val="0"/>
        <w:spacing w:after="0" w:line="240" w:lineRule="auto"/>
        <w:ind w:left="426" w:hanging="426"/>
        <w:rPr>
          <w:rFonts w:cstheme="minorHAnsi"/>
          <w:lang w:val="fr-CH"/>
        </w:rPr>
      </w:pPr>
    </w:p>
    <w:p w14:paraId="6A04F0B6" w14:textId="5D5B61A5" w:rsidR="00FD2EFA" w:rsidRPr="00BA5AA6" w:rsidRDefault="002525BE" w:rsidP="000A264B">
      <w:pPr>
        <w:keepNext/>
        <w:autoSpaceDE w:val="0"/>
        <w:autoSpaceDN w:val="0"/>
        <w:adjustRightInd w:val="0"/>
        <w:spacing w:after="0" w:line="240" w:lineRule="auto"/>
        <w:ind w:left="426" w:hanging="426"/>
        <w:rPr>
          <w:rFonts w:cstheme="minorHAnsi"/>
          <w:i/>
          <w:lang w:val="fr-CH"/>
        </w:rPr>
      </w:pPr>
      <w:r>
        <w:rPr>
          <w:rFonts w:cstheme="minorHAnsi"/>
          <w:i/>
          <w:lang w:val="fr-CH"/>
        </w:rPr>
        <w:lastRenderedPageBreak/>
        <w:t>La c</w:t>
      </w:r>
      <w:r w:rsidR="00FD2EFA" w:rsidRPr="00BA5AA6">
        <w:rPr>
          <w:rFonts w:cstheme="minorHAnsi"/>
          <w:i/>
          <w:lang w:val="fr-CH"/>
        </w:rPr>
        <w:t xml:space="preserve">ollaboration </w:t>
      </w:r>
      <w:r>
        <w:rPr>
          <w:rFonts w:cstheme="minorHAnsi"/>
          <w:i/>
          <w:lang w:val="fr-CH"/>
        </w:rPr>
        <w:t>avec le PNUE</w:t>
      </w:r>
      <w:r w:rsidR="00FD2EFA" w:rsidRPr="00BA5AA6">
        <w:rPr>
          <w:rFonts w:cstheme="minorHAnsi"/>
          <w:i/>
          <w:lang w:val="fr-CH"/>
        </w:rPr>
        <w:t xml:space="preserve"> </w:t>
      </w:r>
    </w:p>
    <w:p w14:paraId="2FB3160D" w14:textId="77777777" w:rsidR="009C2848" w:rsidRPr="00BA5AA6" w:rsidRDefault="009C2848" w:rsidP="000A264B">
      <w:pPr>
        <w:keepNext/>
        <w:spacing w:after="0" w:line="240" w:lineRule="auto"/>
        <w:ind w:left="425" w:hanging="425"/>
        <w:rPr>
          <w:rFonts w:eastAsia="Times New Roman" w:cstheme="minorHAnsi"/>
          <w:lang w:val="fr-CH" w:eastAsia="en-GB"/>
        </w:rPr>
      </w:pPr>
    </w:p>
    <w:p w14:paraId="64C34AFA" w14:textId="6D229042" w:rsidR="009C2848" w:rsidRPr="00BA5AA6" w:rsidRDefault="009510FB" w:rsidP="000A264B">
      <w:pPr>
        <w:suppressAutoHyphens/>
        <w:spacing w:after="0" w:line="240" w:lineRule="auto"/>
        <w:ind w:left="425" w:hanging="425"/>
        <w:rPr>
          <w:rFonts w:eastAsia="Times New Roman" w:cstheme="minorHAnsi"/>
          <w:color w:val="000000"/>
          <w:lang w:val="fr-CH" w:eastAsia="en-GB"/>
        </w:rPr>
      </w:pPr>
      <w:r w:rsidRPr="00BA5AA6">
        <w:rPr>
          <w:rFonts w:eastAsia="Times New Roman" w:cstheme="minorHAnsi"/>
          <w:lang w:val="fr-CH" w:eastAsia="en-GB"/>
        </w:rPr>
        <w:t>4</w:t>
      </w:r>
      <w:r w:rsidR="00BB6EA8" w:rsidRPr="00BA5AA6">
        <w:rPr>
          <w:rFonts w:eastAsia="Times New Roman" w:cstheme="minorHAnsi"/>
          <w:lang w:val="fr-CH" w:eastAsia="en-GB"/>
        </w:rPr>
        <w:t>4</w:t>
      </w:r>
      <w:r w:rsidR="009C2848" w:rsidRPr="00BA5AA6">
        <w:rPr>
          <w:rFonts w:eastAsia="Times New Roman" w:cstheme="minorHAnsi"/>
          <w:lang w:val="fr-CH" w:eastAsia="en-GB"/>
        </w:rPr>
        <w:t>.</w:t>
      </w:r>
      <w:r w:rsidR="009C2848" w:rsidRPr="00BA5AA6">
        <w:rPr>
          <w:rFonts w:eastAsia="Times New Roman" w:cstheme="minorHAnsi"/>
          <w:lang w:val="fr-CH" w:eastAsia="en-GB"/>
        </w:rPr>
        <w:tab/>
      </w:r>
      <w:r w:rsidR="00FF718D">
        <w:rPr>
          <w:rFonts w:eastAsia="Times New Roman" w:cstheme="minorHAnsi"/>
          <w:lang w:val="fr-CH" w:eastAsia="en-GB"/>
        </w:rPr>
        <w:t>Pour promouvoir des synergies et améliorer la mise en œuvre de la Convention, l</w:t>
      </w:r>
      <w:r w:rsidR="002525BE">
        <w:rPr>
          <w:rFonts w:eastAsia="Times New Roman" w:cstheme="minorHAnsi"/>
          <w:lang w:val="fr-CH" w:eastAsia="en-GB"/>
        </w:rPr>
        <w:t xml:space="preserve">e Secrétariat et le PNUE continuent de développer des activités en coopération </w:t>
      </w:r>
      <w:r w:rsidR="00F64A6B">
        <w:rPr>
          <w:rFonts w:eastAsia="Times New Roman" w:cstheme="minorHAnsi"/>
          <w:lang w:val="fr-CH" w:eastAsia="en-GB"/>
        </w:rPr>
        <w:t xml:space="preserve">et </w:t>
      </w:r>
      <w:r w:rsidR="00FF718D">
        <w:rPr>
          <w:rFonts w:eastAsia="Times New Roman" w:cstheme="minorHAnsi"/>
          <w:lang w:val="fr-CH" w:eastAsia="en-GB"/>
        </w:rPr>
        <w:t>sont en train de</w:t>
      </w:r>
      <w:r w:rsidR="00F64A6B">
        <w:rPr>
          <w:rFonts w:eastAsia="Times New Roman" w:cstheme="minorHAnsi"/>
          <w:lang w:val="fr-CH" w:eastAsia="en-GB"/>
        </w:rPr>
        <w:t xml:space="preserve"> renouveler le mémorandum d’entente.</w:t>
      </w:r>
    </w:p>
    <w:p w14:paraId="33203B94" w14:textId="77777777" w:rsidR="0062622F" w:rsidRPr="00BA5AA6" w:rsidRDefault="0062622F" w:rsidP="000A264B">
      <w:pPr>
        <w:suppressAutoHyphens/>
        <w:spacing w:after="0" w:line="240" w:lineRule="auto"/>
        <w:ind w:left="425" w:hanging="425"/>
        <w:rPr>
          <w:rFonts w:eastAsia="Times New Roman" w:cstheme="minorHAnsi"/>
          <w:color w:val="000000"/>
          <w:lang w:val="fr-CH" w:eastAsia="en-GB"/>
        </w:rPr>
      </w:pPr>
    </w:p>
    <w:p w14:paraId="56C61154" w14:textId="7BD9DD98" w:rsidR="009C2848" w:rsidRPr="00BA5AA6" w:rsidRDefault="00BB6EA8" w:rsidP="002E77BF">
      <w:pPr>
        <w:tabs>
          <w:tab w:val="left" w:pos="426"/>
        </w:tabs>
        <w:autoSpaceDE w:val="0"/>
        <w:autoSpaceDN w:val="0"/>
        <w:adjustRightInd w:val="0"/>
        <w:spacing w:after="0" w:line="240" w:lineRule="auto"/>
        <w:ind w:left="425" w:hanging="425"/>
        <w:rPr>
          <w:rFonts w:eastAsia="Times New Roman" w:cstheme="minorHAnsi"/>
          <w:color w:val="000000"/>
          <w:lang w:val="fr-CH" w:eastAsia="en-GB"/>
        </w:rPr>
      </w:pPr>
      <w:r w:rsidRPr="00BA5AA6">
        <w:rPr>
          <w:rFonts w:eastAsia="Times New Roman" w:cstheme="minorHAnsi"/>
          <w:color w:val="000000"/>
          <w:lang w:val="fr-CH" w:eastAsia="en-GB"/>
        </w:rPr>
        <w:t>45</w:t>
      </w:r>
      <w:r w:rsidR="00FD2EFA" w:rsidRPr="00BA5AA6">
        <w:rPr>
          <w:rFonts w:eastAsia="Times New Roman" w:cstheme="minorHAnsi"/>
          <w:color w:val="000000"/>
          <w:lang w:val="fr-CH" w:eastAsia="en-GB"/>
        </w:rPr>
        <w:t>.</w:t>
      </w:r>
      <w:r w:rsidR="00FD2EFA" w:rsidRPr="00BA5AA6">
        <w:rPr>
          <w:rFonts w:eastAsia="Times New Roman" w:cstheme="minorHAnsi"/>
          <w:color w:val="000000"/>
          <w:lang w:val="fr-CH" w:eastAsia="en-GB"/>
        </w:rPr>
        <w:tab/>
      </w:r>
      <w:r w:rsidR="00F64A6B">
        <w:rPr>
          <w:rFonts w:eastAsia="Times New Roman" w:cstheme="minorHAnsi"/>
          <w:color w:val="000000"/>
          <w:lang w:val="fr-CH" w:eastAsia="en-GB"/>
        </w:rPr>
        <w:t>Comme indiqué au paragraphe 33 ci</w:t>
      </w:r>
      <w:r w:rsidR="00F64A6B">
        <w:rPr>
          <w:rFonts w:eastAsia="Times New Roman" w:cstheme="minorHAnsi"/>
          <w:color w:val="000000"/>
          <w:lang w:val="fr-CH" w:eastAsia="en-GB"/>
        </w:rPr>
        <w:noBreakHyphen/>
        <w:t>dessus, la Convention sur les zones humides</w:t>
      </w:r>
      <w:r w:rsidR="00FF718D">
        <w:rPr>
          <w:rFonts w:eastAsia="Times New Roman" w:cstheme="minorHAnsi"/>
          <w:color w:val="000000"/>
          <w:lang w:val="fr-CH" w:eastAsia="en-GB"/>
        </w:rPr>
        <w:t>,</w:t>
      </w:r>
      <w:r w:rsidR="00F64A6B">
        <w:rPr>
          <w:rFonts w:eastAsia="Times New Roman" w:cstheme="minorHAnsi"/>
          <w:color w:val="000000"/>
          <w:lang w:val="fr-CH" w:eastAsia="en-GB"/>
        </w:rPr>
        <w:t xml:space="preserve"> en </w:t>
      </w:r>
      <w:r w:rsidR="00FF718D">
        <w:rPr>
          <w:rFonts w:eastAsia="Times New Roman" w:cstheme="minorHAnsi"/>
          <w:color w:val="000000"/>
          <w:lang w:val="fr-CH" w:eastAsia="en-GB"/>
        </w:rPr>
        <w:t>sa qualité de</w:t>
      </w:r>
      <w:r w:rsidR="00F64A6B">
        <w:rPr>
          <w:rFonts w:eastAsia="Times New Roman" w:cstheme="minorHAnsi"/>
          <w:color w:val="000000"/>
          <w:lang w:val="fr-CH" w:eastAsia="en-GB"/>
        </w:rPr>
        <w:t xml:space="preserve"> coresponsable avec le PNUE de l’</w:t>
      </w:r>
      <w:r w:rsidR="00FF718D">
        <w:rPr>
          <w:rFonts w:eastAsia="Times New Roman" w:cstheme="minorHAnsi"/>
          <w:color w:val="000000"/>
          <w:lang w:val="fr-CH" w:eastAsia="en-GB"/>
        </w:rPr>
        <w:t>i</w:t>
      </w:r>
      <w:r w:rsidR="00F64A6B">
        <w:rPr>
          <w:rFonts w:eastAsia="Times New Roman" w:cstheme="minorHAnsi"/>
          <w:color w:val="000000"/>
          <w:lang w:val="fr-CH" w:eastAsia="en-GB"/>
        </w:rPr>
        <w:t>ndicateur 6.6.1 de l’ODD 6</w:t>
      </w:r>
      <w:r w:rsidR="00FF718D">
        <w:rPr>
          <w:rFonts w:eastAsia="Times New Roman" w:cstheme="minorHAnsi"/>
          <w:color w:val="000000"/>
          <w:lang w:val="fr-CH" w:eastAsia="en-GB"/>
        </w:rPr>
        <w:t>,</w:t>
      </w:r>
      <w:r w:rsidR="00F64A6B">
        <w:rPr>
          <w:rFonts w:eastAsia="Times New Roman" w:cstheme="minorHAnsi"/>
          <w:color w:val="000000"/>
          <w:lang w:val="fr-CH" w:eastAsia="en-GB"/>
        </w:rPr>
        <w:t xml:space="preserve"> a préparé un compte rendu conjoint avec le PNUE pour le Rapport du Secrétaire général des Nations Unies sur les ODD </w:t>
      </w:r>
      <w:r w:rsidR="00FF718D">
        <w:rPr>
          <w:rFonts w:eastAsia="Times New Roman" w:cstheme="minorHAnsi"/>
          <w:color w:val="000000"/>
          <w:lang w:val="fr-CH" w:eastAsia="en-GB"/>
        </w:rPr>
        <w:t>à l’adresse du</w:t>
      </w:r>
      <w:r w:rsidR="00F64A6B">
        <w:rPr>
          <w:rFonts w:eastAsia="Times New Roman" w:cstheme="minorHAnsi"/>
          <w:color w:val="000000"/>
          <w:lang w:val="fr-CH" w:eastAsia="en-GB"/>
        </w:rPr>
        <w:t xml:space="preserve"> Forum politique de haut niveau de juillet 2022.</w:t>
      </w:r>
    </w:p>
    <w:p w14:paraId="07939D22" w14:textId="77777777" w:rsidR="009C2848" w:rsidRPr="00BA5AA6" w:rsidRDefault="009C2848" w:rsidP="000A264B">
      <w:pPr>
        <w:suppressAutoHyphens/>
        <w:spacing w:after="0" w:line="240" w:lineRule="auto"/>
        <w:ind w:left="425" w:hanging="425"/>
        <w:rPr>
          <w:rFonts w:eastAsia="Times New Roman" w:cstheme="minorHAnsi"/>
          <w:color w:val="000000"/>
          <w:lang w:val="fr-CH" w:eastAsia="en-GB"/>
        </w:rPr>
      </w:pPr>
    </w:p>
    <w:p w14:paraId="44FFDE1E" w14:textId="09EE9336" w:rsidR="009C2848" w:rsidRPr="00BA5AA6" w:rsidRDefault="00BB6EA8" w:rsidP="000A264B">
      <w:pPr>
        <w:suppressAutoHyphens/>
        <w:spacing w:after="0" w:line="240" w:lineRule="auto"/>
        <w:ind w:left="425" w:hanging="425"/>
        <w:rPr>
          <w:rFonts w:eastAsia="Times New Roman" w:cstheme="minorHAnsi"/>
          <w:color w:val="000000"/>
          <w:lang w:val="fr-CH" w:eastAsia="en-GB"/>
        </w:rPr>
      </w:pPr>
      <w:r w:rsidRPr="00BA5AA6">
        <w:rPr>
          <w:rFonts w:eastAsia="Times New Roman" w:cstheme="minorHAnsi"/>
          <w:color w:val="000000"/>
          <w:lang w:val="fr-CH" w:eastAsia="en-GB"/>
        </w:rPr>
        <w:t>46.</w:t>
      </w:r>
      <w:r w:rsidR="009C2848" w:rsidRPr="00BA5AA6">
        <w:rPr>
          <w:rFonts w:eastAsia="Times New Roman" w:cstheme="minorHAnsi"/>
          <w:color w:val="000000"/>
          <w:lang w:val="fr-CH" w:eastAsia="en-GB"/>
        </w:rPr>
        <w:tab/>
      </w:r>
      <w:r w:rsidR="00F64A6B">
        <w:rPr>
          <w:rFonts w:eastAsia="Times New Roman" w:cstheme="minorHAnsi"/>
          <w:color w:val="000000"/>
          <w:lang w:val="fr-CH" w:eastAsia="en-GB"/>
        </w:rPr>
        <w:t xml:space="preserve">Le Secrétariat a continué de participer au projet sur les synergies « Réaliser </w:t>
      </w:r>
      <w:r w:rsidR="00FF718D">
        <w:rPr>
          <w:rFonts w:eastAsia="Times New Roman" w:cstheme="minorHAnsi"/>
          <w:color w:val="000000"/>
          <w:lang w:val="fr-CH" w:eastAsia="en-GB"/>
        </w:rPr>
        <w:t>d</w:t>
      </w:r>
      <w:r w:rsidR="00F64A6B">
        <w:rPr>
          <w:rFonts w:eastAsia="Times New Roman" w:cstheme="minorHAnsi"/>
          <w:color w:val="000000"/>
          <w:lang w:val="fr-CH" w:eastAsia="en-GB"/>
        </w:rPr>
        <w:t xml:space="preserve">es synergies pour la biodiversité » sous la houlette du PNUE, avec la participation des autres Conventions relatives à la biodiversité et en réponse à la </w:t>
      </w:r>
      <w:r w:rsidR="00FF718D">
        <w:rPr>
          <w:rFonts w:eastAsia="Times New Roman" w:cstheme="minorHAnsi"/>
          <w:color w:val="000000"/>
          <w:lang w:val="fr-CH" w:eastAsia="en-GB"/>
        </w:rPr>
        <w:t>r</w:t>
      </w:r>
      <w:r w:rsidR="00F64A6B">
        <w:rPr>
          <w:rFonts w:eastAsia="Times New Roman" w:cstheme="minorHAnsi"/>
          <w:color w:val="000000"/>
          <w:lang w:val="fr-CH" w:eastAsia="en-GB"/>
        </w:rPr>
        <w:t>ésolution </w:t>
      </w:r>
      <w:r w:rsidR="00A56F0D" w:rsidRPr="00BA5AA6">
        <w:rPr>
          <w:rFonts w:eastAsia="Times New Roman" w:cstheme="minorHAnsi"/>
          <w:color w:val="000000"/>
          <w:lang w:val="fr-CH" w:eastAsia="en-GB"/>
        </w:rPr>
        <w:t>2/17</w:t>
      </w:r>
      <w:r w:rsidR="00F64A6B">
        <w:rPr>
          <w:rFonts w:eastAsia="Times New Roman" w:cstheme="minorHAnsi"/>
          <w:color w:val="000000"/>
          <w:lang w:val="fr-CH" w:eastAsia="en-GB"/>
        </w:rPr>
        <w:t xml:space="preserve"> de l’Assemblée générale des Nations Unies pour l’environnement</w:t>
      </w:r>
      <w:r w:rsidR="00A56F0D" w:rsidRPr="00BA5AA6">
        <w:rPr>
          <w:rFonts w:eastAsia="Times New Roman" w:cstheme="minorHAnsi"/>
          <w:color w:val="000000"/>
          <w:lang w:val="fr-CH" w:eastAsia="en-GB"/>
        </w:rPr>
        <w:t>.</w:t>
      </w:r>
    </w:p>
    <w:p w14:paraId="254EDFEE" w14:textId="0AD4C8BE" w:rsidR="00F57B2D" w:rsidRPr="007513A8" w:rsidRDefault="00F57B2D" w:rsidP="000A264B">
      <w:pPr>
        <w:suppressAutoHyphens/>
        <w:spacing w:after="0" w:line="240" w:lineRule="auto"/>
        <w:ind w:left="425" w:hanging="425"/>
        <w:rPr>
          <w:rFonts w:eastAsia="Times New Roman" w:cstheme="minorHAnsi"/>
          <w:color w:val="000000"/>
          <w:lang w:val="fr-FR" w:eastAsia="en-GB"/>
        </w:rPr>
      </w:pPr>
    </w:p>
    <w:p w14:paraId="24C19745" w14:textId="2092383D" w:rsidR="0056447C" w:rsidRPr="00F64A6B" w:rsidRDefault="002E389B" w:rsidP="002E77BF">
      <w:pPr>
        <w:spacing w:after="0" w:line="240" w:lineRule="auto"/>
        <w:ind w:left="425" w:hanging="425"/>
        <w:rPr>
          <w:rFonts w:cstheme="minorHAnsi"/>
          <w:lang w:val="fr-CH"/>
        </w:rPr>
      </w:pPr>
      <w:r w:rsidRPr="00F64A6B">
        <w:rPr>
          <w:rFonts w:eastAsia="Times New Roman" w:cstheme="minorHAnsi"/>
          <w:color w:val="000000"/>
          <w:lang w:val="fr-CH" w:eastAsia="en-GB"/>
        </w:rPr>
        <w:t>4</w:t>
      </w:r>
      <w:r w:rsidR="00BB6EA8" w:rsidRPr="00F64A6B">
        <w:rPr>
          <w:rFonts w:eastAsia="Times New Roman" w:cstheme="minorHAnsi"/>
          <w:color w:val="000000"/>
          <w:lang w:val="fr-CH" w:eastAsia="en-GB"/>
        </w:rPr>
        <w:t>7</w:t>
      </w:r>
      <w:r w:rsidR="00981447" w:rsidRPr="00F64A6B">
        <w:rPr>
          <w:rFonts w:eastAsia="Times New Roman" w:cstheme="minorHAnsi"/>
          <w:color w:val="000000"/>
          <w:lang w:val="fr-CH" w:eastAsia="en-GB"/>
        </w:rPr>
        <w:t>.</w:t>
      </w:r>
      <w:r w:rsidR="00EB5D3E" w:rsidRPr="00F64A6B">
        <w:rPr>
          <w:rFonts w:eastAsia="Times New Roman" w:cstheme="minorHAnsi"/>
          <w:color w:val="000000"/>
          <w:lang w:val="fr-CH" w:eastAsia="en-GB"/>
        </w:rPr>
        <w:tab/>
      </w:r>
      <w:r w:rsidR="00B7091A">
        <w:rPr>
          <w:rFonts w:eastAsia="Times New Roman" w:cstheme="minorHAnsi"/>
          <w:color w:val="000000"/>
          <w:lang w:val="fr-CH" w:eastAsia="en-GB"/>
        </w:rPr>
        <w:t xml:space="preserve">Le Secrétariat a participé en tant qu’orateur au cours interactif en ligne intitulé « Mise en œuvre des accords multilatéraux », organisé par le PNUE et le </w:t>
      </w:r>
      <w:r w:rsidR="00935D19" w:rsidRPr="00F64A6B">
        <w:rPr>
          <w:rFonts w:eastAsia="Times New Roman" w:cstheme="minorHAnsi"/>
          <w:color w:val="000000"/>
          <w:lang w:val="fr-CH" w:eastAsia="en-GB"/>
        </w:rPr>
        <w:t xml:space="preserve">Center for Governance and Sustainability </w:t>
      </w:r>
      <w:r w:rsidR="00B7091A">
        <w:rPr>
          <w:rFonts w:eastAsia="Times New Roman" w:cstheme="minorHAnsi"/>
          <w:color w:val="000000"/>
          <w:lang w:val="fr-CH" w:eastAsia="en-GB"/>
        </w:rPr>
        <w:t xml:space="preserve">de l’Université du </w:t>
      </w:r>
      <w:r w:rsidR="00F57B2D" w:rsidRPr="00F64A6B">
        <w:rPr>
          <w:rFonts w:cstheme="minorHAnsi"/>
          <w:bCs/>
          <w:lang w:val="fr-CH"/>
        </w:rPr>
        <w:t xml:space="preserve">Massachusetts </w:t>
      </w:r>
      <w:r w:rsidR="00B7091A">
        <w:rPr>
          <w:rFonts w:cstheme="minorHAnsi"/>
          <w:bCs/>
          <w:lang w:val="fr-CH"/>
        </w:rPr>
        <w:t xml:space="preserve">à </w:t>
      </w:r>
      <w:r w:rsidR="00F57B2D" w:rsidRPr="00F64A6B">
        <w:rPr>
          <w:rFonts w:cstheme="minorHAnsi"/>
          <w:bCs/>
          <w:lang w:val="fr-CH"/>
        </w:rPr>
        <w:t>Boston</w:t>
      </w:r>
      <w:r w:rsidR="00B7091A">
        <w:rPr>
          <w:rFonts w:cstheme="minorHAnsi"/>
          <w:bCs/>
          <w:lang w:val="fr-CH"/>
        </w:rPr>
        <w:t xml:space="preserve"> en novembre 2022, qui mettait l’accent sur les pays de la Communauté d’Afrique australe pour le développement. </w:t>
      </w:r>
      <w:r w:rsidR="00935D19" w:rsidRPr="00F64A6B">
        <w:rPr>
          <w:rFonts w:cstheme="minorHAnsi"/>
          <w:bCs/>
          <w:lang w:val="fr-CH"/>
        </w:rPr>
        <w:t xml:space="preserve"> </w:t>
      </w:r>
    </w:p>
    <w:p w14:paraId="2A7F9F6D" w14:textId="5EA914FF" w:rsidR="0056447C" w:rsidRPr="00F64A6B" w:rsidRDefault="0056447C" w:rsidP="000A264B">
      <w:pPr>
        <w:suppressAutoHyphens/>
        <w:spacing w:after="0" w:line="240" w:lineRule="auto"/>
        <w:ind w:left="425" w:hanging="425"/>
        <w:rPr>
          <w:rFonts w:eastAsia="Times New Roman" w:cstheme="minorHAnsi"/>
          <w:color w:val="000000"/>
          <w:lang w:val="fr-CH" w:eastAsia="en-GB"/>
        </w:rPr>
      </w:pPr>
    </w:p>
    <w:p w14:paraId="65EC2FA3" w14:textId="2D8BABA9" w:rsidR="00127675" w:rsidRPr="00F64A6B" w:rsidRDefault="002E389B" w:rsidP="000A264B">
      <w:pPr>
        <w:suppressAutoHyphens/>
        <w:spacing w:after="0" w:line="240" w:lineRule="auto"/>
        <w:ind w:left="425" w:hanging="425"/>
        <w:rPr>
          <w:rFonts w:cstheme="minorHAnsi"/>
          <w:lang w:val="fr-CH"/>
        </w:rPr>
      </w:pPr>
      <w:r w:rsidRPr="00F64A6B">
        <w:rPr>
          <w:rFonts w:eastAsia="Times New Roman" w:cstheme="minorHAnsi"/>
          <w:color w:val="000000"/>
          <w:lang w:val="fr-CH" w:eastAsia="en-GB"/>
        </w:rPr>
        <w:t>4</w:t>
      </w:r>
      <w:r w:rsidR="00BB6EA8" w:rsidRPr="00F64A6B">
        <w:rPr>
          <w:rFonts w:eastAsia="Times New Roman" w:cstheme="minorHAnsi"/>
          <w:color w:val="000000"/>
          <w:lang w:val="fr-CH" w:eastAsia="en-GB"/>
        </w:rPr>
        <w:t>8</w:t>
      </w:r>
      <w:r w:rsidR="009C2848" w:rsidRPr="00F64A6B">
        <w:rPr>
          <w:rFonts w:eastAsia="Times New Roman" w:cstheme="minorHAnsi"/>
          <w:color w:val="000000"/>
          <w:lang w:val="fr-CH" w:eastAsia="en-GB"/>
        </w:rPr>
        <w:t>.</w:t>
      </w:r>
      <w:r w:rsidR="009C2848" w:rsidRPr="00F64A6B">
        <w:rPr>
          <w:rFonts w:eastAsia="Times New Roman" w:cstheme="minorHAnsi"/>
          <w:color w:val="000000"/>
          <w:lang w:val="fr-CH" w:eastAsia="en-GB"/>
        </w:rPr>
        <w:tab/>
      </w:r>
      <w:r w:rsidR="00630C3D">
        <w:rPr>
          <w:rFonts w:eastAsia="Times New Roman" w:cstheme="minorHAnsi"/>
          <w:color w:val="000000"/>
          <w:lang w:val="fr-CH" w:eastAsia="en-GB"/>
        </w:rPr>
        <w:t xml:space="preserve">Le Secrétariat a continué de contribuer à l’initiative </w:t>
      </w:r>
      <w:r w:rsidR="009C2848" w:rsidRPr="00F64A6B">
        <w:rPr>
          <w:rFonts w:eastAsia="Times New Roman" w:cstheme="minorHAnsi"/>
          <w:color w:val="000000"/>
          <w:lang w:val="fr-CH" w:eastAsia="en-GB"/>
        </w:rPr>
        <w:t xml:space="preserve">InforMEA </w:t>
      </w:r>
      <w:r w:rsidR="00630C3D">
        <w:rPr>
          <w:rFonts w:eastAsia="Times New Roman" w:cstheme="minorHAnsi"/>
          <w:color w:val="000000"/>
          <w:lang w:val="fr-CH" w:eastAsia="en-GB"/>
        </w:rPr>
        <w:t>et a participé à la 13</w:t>
      </w:r>
      <w:r w:rsidR="00630C3D" w:rsidRPr="00630C3D">
        <w:rPr>
          <w:rFonts w:eastAsia="Times New Roman" w:cstheme="minorHAnsi"/>
          <w:color w:val="000000"/>
          <w:vertAlign w:val="superscript"/>
          <w:lang w:val="fr-CH" w:eastAsia="en-GB"/>
        </w:rPr>
        <w:t>e</w:t>
      </w:r>
      <w:r w:rsidR="00630C3D">
        <w:rPr>
          <w:rFonts w:eastAsia="Times New Roman" w:cstheme="minorHAnsi"/>
          <w:color w:val="000000"/>
          <w:lang w:val="fr-CH" w:eastAsia="en-GB"/>
        </w:rPr>
        <w:t> réunion du Comité directeur d’</w:t>
      </w:r>
      <w:r w:rsidR="00127675" w:rsidRPr="00F64A6B">
        <w:rPr>
          <w:rFonts w:cstheme="minorHAnsi"/>
          <w:lang w:val="fr-CH"/>
        </w:rPr>
        <w:t>InforMEA</w:t>
      </w:r>
      <w:r w:rsidR="00630C3D">
        <w:rPr>
          <w:rFonts w:cstheme="minorHAnsi"/>
          <w:lang w:val="fr-CH"/>
        </w:rPr>
        <w:t xml:space="preserve">, à </w:t>
      </w:r>
      <w:r w:rsidR="001E680E" w:rsidRPr="00F64A6B">
        <w:rPr>
          <w:rFonts w:cstheme="minorHAnsi"/>
          <w:lang w:val="fr-CH"/>
        </w:rPr>
        <w:t>Montreux</w:t>
      </w:r>
      <w:r w:rsidR="009510FB" w:rsidRPr="00F64A6B">
        <w:rPr>
          <w:rFonts w:cstheme="minorHAnsi"/>
          <w:lang w:val="fr-CH"/>
        </w:rPr>
        <w:t>, S</w:t>
      </w:r>
      <w:r w:rsidR="00630C3D">
        <w:rPr>
          <w:rFonts w:cstheme="minorHAnsi"/>
          <w:lang w:val="fr-CH"/>
        </w:rPr>
        <w:t xml:space="preserve">uisse, en octobre 2022. </w:t>
      </w:r>
      <w:r w:rsidR="00BB2B3F">
        <w:rPr>
          <w:rFonts w:cstheme="minorHAnsi"/>
          <w:lang w:val="fr-CH"/>
        </w:rPr>
        <w:t xml:space="preserve">Le Secrétariat s’est impliqué sur des questions comprenant l’application API (interopérabilité du site </w:t>
      </w:r>
      <w:r w:rsidR="004C36AE">
        <w:rPr>
          <w:rFonts w:cstheme="minorHAnsi"/>
          <w:lang w:val="fr-CH"/>
        </w:rPr>
        <w:t>W</w:t>
      </w:r>
      <w:r w:rsidR="00BB2B3F">
        <w:rPr>
          <w:rFonts w:cstheme="minorHAnsi"/>
          <w:lang w:val="fr-CH"/>
        </w:rPr>
        <w:t>eb), indexation sémantique et e</w:t>
      </w:r>
      <w:r w:rsidR="00BB2B3F">
        <w:rPr>
          <w:rFonts w:cstheme="minorHAnsi"/>
          <w:lang w:val="fr-CH"/>
        </w:rPr>
        <w:noBreakHyphen/>
        <w:t>apprentissage.</w:t>
      </w:r>
    </w:p>
    <w:p w14:paraId="1E3F3633" w14:textId="5BB01D66" w:rsidR="00590992" w:rsidRPr="00F64A6B" w:rsidRDefault="00590992" w:rsidP="002E77BF">
      <w:pPr>
        <w:spacing w:after="0" w:line="240" w:lineRule="auto"/>
        <w:ind w:left="425" w:hanging="425"/>
        <w:rPr>
          <w:rFonts w:eastAsia="Times New Roman" w:cstheme="minorHAnsi"/>
          <w:color w:val="000000"/>
          <w:highlight w:val="yellow"/>
          <w:lang w:val="fr-CH" w:eastAsia="en-GB"/>
        </w:rPr>
      </w:pPr>
    </w:p>
    <w:p w14:paraId="7889ACE0" w14:textId="3EA5F40D" w:rsidR="00222353" w:rsidRPr="00F64A6B" w:rsidRDefault="00655BD4" w:rsidP="002E77BF">
      <w:pPr>
        <w:spacing w:after="0" w:line="240" w:lineRule="auto"/>
        <w:ind w:left="425" w:hanging="425"/>
        <w:rPr>
          <w:rFonts w:cstheme="minorHAnsi"/>
          <w:lang w:val="fr-CH"/>
        </w:rPr>
      </w:pPr>
      <w:r w:rsidRPr="00F64A6B">
        <w:rPr>
          <w:rFonts w:cstheme="minorHAnsi"/>
          <w:lang w:val="fr-CH"/>
        </w:rPr>
        <w:t>4</w:t>
      </w:r>
      <w:r w:rsidR="00BB6EA8" w:rsidRPr="00F64A6B">
        <w:rPr>
          <w:rFonts w:cstheme="minorHAnsi"/>
          <w:lang w:val="fr-CH"/>
        </w:rPr>
        <w:t>9</w:t>
      </w:r>
      <w:r w:rsidR="00D822C8" w:rsidRPr="00F64A6B">
        <w:rPr>
          <w:rFonts w:cstheme="minorHAnsi"/>
          <w:lang w:val="fr-CH"/>
        </w:rPr>
        <w:t>.</w:t>
      </w:r>
      <w:r w:rsidR="00D822C8" w:rsidRPr="00F64A6B">
        <w:rPr>
          <w:rFonts w:cstheme="minorHAnsi"/>
          <w:lang w:val="fr-CH"/>
        </w:rPr>
        <w:tab/>
      </w:r>
      <w:r w:rsidR="00BB2B3F">
        <w:rPr>
          <w:rFonts w:cstheme="minorHAnsi"/>
          <w:lang w:val="fr-CH"/>
        </w:rPr>
        <w:t xml:space="preserve">Un cours d’introduction sur la Convention a été mis au point et un lien est disponible sur le site </w:t>
      </w:r>
      <w:r w:rsidR="004C36AE">
        <w:rPr>
          <w:rFonts w:cstheme="minorHAnsi"/>
          <w:lang w:val="fr-CH"/>
        </w:rPr>
        <w:t>W</w:t>
      </w:r>
      <w:r w:rsidR="00BB2B3F">
        <w:rPr>
          <w:rFonts w:cstheme="minorHAnsi"/>
          <w:lang w:val="fr-CH"/>
        </w:rPr>
        <w:t>eb de la Convention. Le cours est hébergé sur la plateforme d’apprentissage et de connaissances d’</w:t>
      </w:r>
      <w:r w:rsidR="00222353" w:rsidRPr="00F64A6B">
        <w:rPr>
          <w:rFonts w:cstheme="minorHAnsi"/>
          <w:lang w:val="fr-CH"/>
        </w:rPr>
        <w:t>InforMEA</w:t>
      </w:r>
      <w:r w:rsidR="004C36AE">
        <w:rPr>
          <w:rFonts w:cstheme="minorHAnsi"/>
          <w:lang w:val="fr-CH"/>
        </w:rPr>
        <w:t>,</w:t>
      </w:r>
      <w:r w:rsidR="00222353" w:rsidRPr="00F64A6B">
        <w:rPr>
          <w:rFonts w:cstheme="minorHAnsi"/>
          <w:lang w:val="fr-CH"/>
        </w:rPr>
        <w:t xml:space="preserve"> </w:t>
      </w:r>
      <w:r w:rsidR="00BB2B3F">
        <w:rPr>
          <w:rFonts w:cstheme="minorHAnsi"/>
          <w:lang w:val="fr-CH"/>
        </w:rPr>
        <w:t>dans les trois langues de la Convention.</w:t>
      </w:r>
    </w:p>
    <w:p w14:paraId="57F6E9DA" w14:textId="77777777" w:rsidR="00EB5D3E" w:rsidRPr="00F64A6B" w:rsidRDefault="00EB5D3E" w:rsidP="002E77BF">
      <w:pPr>
        <w:spacing w:after="0" w:line="240" w:lineRule="auto"/>
        <w:ind w:left="425" w:hanging="425"/>
        <w:rPr>
          <w:rFonts w:cstheme="minorHAnsi"/>
          <w:lang w:val="fr-CH"/>
        </w:rPr>
      </w:pPr>
    </w:p>
    <w:p w14:paraId="30EC7D59" w14:textId="366115FB" w:rsidR="0051310D" w:rsidRPr="00F64A6B" w:rsidRDefault="00BB6EA8" w:rsidP="00A31E10">
      <w:pPr>
        <w:suppressAutoHyphens/>
        <w:spacing w:after="0" w:line="240" w:lineRule="auto"/>
        <w:ind w:left="425" w:hanging="425"/>
        <w:rPr>
          <w:highlight w:val="yellow"/>
          <w:lang w:val="fr-CH"/>
        </w:rPr>
      </w:pPr>
      <w:r w:rsidRPr="00F64A6B">
        <w:rPr>
          <w:rFonts w:eastAsia="Times New Roman"/>
          <w:color w:val="000000" w:themeColor="text1"/>
          <w:lang w:val="fr-CH" w:eastAsia="en-GB"/>
        </w:rPr>
        <w:t>50</w:t>
      </w:r>
      <w:r w:rsidR="2A049287" w:rsidRPr="00F64A6B">
        <w:rPr>
          <w:rFonts w:eastAsia="Times New Roman"/>
          <w:color w:val="000000" w:themeColor="text1"/>
          <w:lang w:val="fr-CH" w:eastAsia="en-GB"/>
        </w:rPr>
        <w:t>.</w:t>
      </w:r>
      <w:r w:rsidR="00655BD4" w:rsidRPr="00F64A6B">
        <w:rPr>
          <w:lang w:val="fr-CH"/>
        </w:rPr>
        <w:tab/>
      </w:r>
      <w:r w:rsidR="00A15951">
        <w:rPr>
          <w:lang w:val="fr-CH"/>
        </w:rPr>
        <w:t xml:space="preserve">En tant que </w:t>
      </w:r>
      <w:r w:rsidR="00100337">
        <w:rPr>
          <w:lang w:val="fr-CH"/>
        </w:rPr>
        <w:t>p</w:t>
      </w:r>
      <w:r w:rsidR="00A15951">
        <w:rPr>
          <w:lang w:val="fr-CH"/>
        </w:rPr>
        <w:t xml:space="preserve">artenaire mondial de la Décennie des Nations Unies </w:t>
      </w:r>
      <w:r w:rsidR="00B63325">
        <w:rPr>
          <w:lang w:val="fr-CH"/>
        </w:rPr>
        <w:t>po</w:t>
      </w:r>
      <w:r w:rsidR="00A15951">
        <w:rPr>
          <w:lang w:val="fr-CH"/>
        </w:rPr>
        <w:t>ur la restauration des écosystèmes, le Secrétariat participe activement à ce programme et à l’équipe spéciale sur le suivi des écosystèmes aquatiques et de transition. Ces engagements sont à la base de l’examen de l’</w:t>
      </w:r>
      <w:r w:rsidR="00E70EAF">
        <w:rPr>
          <w:lang w:val="fr-CH"/>
        </w:rPr>
        <w:t>i</w:t>
      </w:r>
      <w:r w:rsidR="00A15951">
        <w:rPr>
          <w:lang w:val="fr-CH"/>
        </w:rPr>
        <w:t>ndicateur 6.6.1 de l’ODD 6 pour lequel la Convention est coresponsable. Le Secrétariat a participé à une réunion du Groupe de travail sur l’Objectif 2 du Cadre mondial de la biodiversité, dans le cadre de l’</w:t>
      </w:r>
      <w:r w:rsidR="00E70EAF">
        <w:rPr>
          <w:lang w:val="fr-CH"/>
        </w:rPr>
        <w:t>é</w:t>
      </w:r>
      <w:r w:rsidR="00A15951">
        <w:rPr>
          <w:lang w:val="fr-CH"/>
        </w:rPr>
        <w:t xml:space="preserve">quipe spéciale sur le suivi, qui a eu lieu de manière virtuelle en février 2023. Le Plan d’action de la Décennie des Nations Unies </w:t>
      </w:r>
      <w:r w:rsidR="00B63325">
        <w:rPr>
          <w:lang w:val="fr-CH"/>
        </w:rPr>
        <w:t>po</w:t>
      </w:r>
      <w:r w:rsidR="00A15951">
        <w:rPr>
          <w:lang w:val="fr-CH"/>
        </w:rPr>
        <w:t xml:space="preserve">ur la restauration des écosystèmes, </w:t>
      </w:r>
      <w:r w:rsidR="213F10C0" w:rsidRPr="00F64A6B">
        <w:rPr>
          <w:lang w:val="fr-CH"/>
        </w:rPr>
        <w:t xml:space="preserve">2021-2030, </w:t>
      </w:r>
      <w:r w:rsidR="00A15951">
        <w:rPr>
          <w:lang w:val="fr-CH"/>
        </w:rPr>
        <w:t>mentionne la Convention sur les zones humides comme coresponsable pour les défis de restauration des « Villes nommées comme porte</w:t>
      </w:r>
      <w:r w:rsidR="00A15951">
        <w:rPr>
          <w:lang w:val="fr-CH"/>
        </w:rPr>
        <w:noBreakHyphen/>
        <w:t xml:space="preserve">drapeaux de la restauration au plan mondial et championnes de la restauration urbaine » et pour « Le milieu marin et d’eau douce ». </w:t>
      </w:r>
    </w:p>
    <w:p w14:paraId="44582747" w14:textId="14B8BE2E" w:rsidR="00E75006" w:rsidRPr="00F64A6B" w:rsidRDefault="00E75006" w:rsidP="00A31E10">
      <w:pPr>
        <w:suppressAutoHyphens/>
        <w:spacing w:after="0" w:line="240" w:lineRule="auto"/>
        <w:ind w:left="425" w:hanging="425"/>
        <w:rPr>
          <w:rFonts w:eastAsia="Times New Roman"/>
          <w:color w:val="000000"/>
          <w:lang w:val="fr-CH" w:eastAsia="en-GB"/>
        </w:rPr>
      </w:pPr>
    </w:p>
    <w:p w14:paraId="1ACFC759" w14:textId="23985F73" w:rsidR="005B7F98" w:rsidRPr="00F64A6B" w:rsidRDefault="009E5708" w:rsidP="002E77BF">
      <w:pPr>
        <w:spacing w:after="0" w:line="240" w:lineRule="auto"/>
        <w:ind w:left="425" w:hanging="425"/>
        <w:rPr>
          <w:rFonts w:cstheme="minorHAnsi"/>
          <w:lang w:val="fr-CH"/>
        </w:rPr>
      </w:pPr>
      <w:r w:rsidRPr="00F64A6B">
        <w:rPr>
          <w:rFonts w:cstheme="minorHAnsi"/>
          <w:lang w:val="fr-CH"/>
        </w:rPr>
        <w:t>51</w:t>
      </w:r>
      <w:r w:rsidR="00F3006D" w:rsidRPr="00F64A6B">
        <w:rPr>
          <w:rFonts w:cstheme="minorHAnsi"/>
          <w:lang w:val="fr-CH"/>
        </w:rPr>
        <w:t>.</w:t>
      </w:r>
      <w:r w:rsidR="00F60271" w:rsidRPr="00F64A6B">
        <w:rPr>
          <w:rFonts w:cstheme="minorHAnsi"/>
          <w:lang w:val="fr-CH"/>
        </w:rPr>
        <w:tab/>
      </w:r>
      <w:r w:rsidR="00A15951">
        <w:rPr>
          <w:rFonts w:cstheme="minorHAnsi"/>
          <w:lang w:val="fr-CH"/>
        </w:rPr>
        <w:t xml:space="preserve">Le Secrétariat, avec le PNUE et la FAO, a </w:t>
      </w:r>
      <w:r w:rsidR="007946B1">
        <w:rPr>
          <w:rFonts w:cstheme="minorHAnsi"/>
          <w:lang w:val="fr-CH"/>
        </w:rPr>
        <w:t>intégré</w:t>
      </w:r>
      <w:r w:rsidR="00A15951">
        <w:rPr>
          <w:rFonts w:cstheme="minorHAnsi"/>
          <w:lang w:val="fr-CH"/>
        </w:rPr>
        <w:t xml:space="preserve"> l’équipe de développement de l’Évaluation mondiale des tourbières (EMT), une activité de l’Initiative mondiale pour les tourbières coordonnée par le Centre mondial de surveillance continue de la conservation de la nature (WCMC) du PNUE. Le Secrétariat a cherché à obtenir </w:t>
      </w:r>
      <w:r w:rsidR="003747C3">
        <w:rPr>
          <w:rFonts w:cstheme="minorHAnsi"/>
          <w:lang w:val="fr-CH"/>
        </w:rPr>
        <w:t xml:space="preserve">des contributions des Parties contractantes, en juillet et août 2022, concernant l’EMT, y compris des informations sur les politiques nationales, des études de cas et des offres d’examen du projet d’EMT. Le personnel du Secrétariat a révisé </w:t>
      </w:r>
      <w:r w:rsidR="007946B1">
        <w:rPr>
          <w:rFonts w:cstheme="minorHAnsi"/>
          <w:lang w:val="fr-CH"/>
        </w:rPr>
        <w:t>certaines</w:t>
      </w:r>
      <w:r w:rsidR="003747C3">
        <w:rPr>
          <w:rFonts w:cstheme="minorHAnsi"/>
          <w:lang w:val="fr-CH"/>
        </w:rPr>
        <w:t xml:space="preserve"> parties de l’EMT, y compris </w:t>
      </w:r>
      <w:r w:rsidR="007946B1">
        <w:rPr>
          <w:rFonts w:cstheme="minorHAnsi"/>
          <w:lang w:val="fr-CH"/>
        </w:rPr>
        <w:t>relatives au</w:t>
      </w:r>
      <w:r w:rsidR="003747C3">
        <w:rPr>
          <w:rFonts w:cstheme="minorHAnsi"/>
          <w:lang w:val="fr-CH"/>
        </w:rPr>
        <w:t xml:space="preserve"> cadre politique international. L’EMT a été lancée lors d’une activité parallèle de la COP27 de la CCNUCC.  </w:t>
      </w:r>
    </w:p>
    <w:p w14:paraId="6876876B" w14:textId="50F59377" w:rsidR="2704313D" w:rsidRPr="00F64A6B" w:rsidRDefault="2704313D" w:rsidP="002E77BF">
      <w:pPr>
        <w:tabs>
          <w:tab w:val="left" w:pos="284"/>
        </w:tabs>
        <w:spacing w:after="0" w:line="240" w:lineRule="auto"/>
        <w:ind w:left="425" w:hanging="425"/>
        <w:rPr>
          <w:lang w:val="fr-CH"/>
        </w:rPr>
      </w:pPr>
    </w:p>
    <w:p w14:paraId="2EF336E6" w14:textId="44F119D3" w:rsidR="4854480C" w:rsidRPr="00F64A6B" w:rsidRDefault="009E5708" w:rsidP="002E77BF">
      <w:pPr>
        <w:spacing w:after="0" w:line="240" w:lineRule="auto"/>
        <w:ind w:left="425" w:hanging="425"/>
        <w:rPr>
          <w:lang w:val="fr-CH"/>
        </w:rPr>
      </w:pPr>
      <w:r w:rsidRPr="00F64A6B">
        <w:rPr>
          <w:lang w:val="fr-CH"/>
        </w:rPr>
        <w:lastRenderedPageBreak/>
        <w:t>52</w:t>
      </w:r>
      <w:r w:rsidR="17B2A2EC" w:rsidRPr="00F64A6B">
        <w:rPr>
          <w:lang w:val="fr-CH"/>
        </w:rPr>
        <w:t>.</w:t>
      </w:r>
      <w:r w:rsidR="00A56F0D" w:rsidRPr="00F64A6B">
        <w:rPr>
          <w:lang w:val="fr-CH"/>
        </w:rPr>
        <w:tab/>
      </w:r>
      <w:r w:rsidR="00387226">
        <w:rPr>
          <w:lang w:val="fr-CH"/>
        </w:rPr>
        <w:t xml:space="preserve">Le Secrétariat, avec le Centre régional Ramsar – Asie de l’Est </w:t>
      </w:r>
      <w:r w:rsidR="00AF23F5" w:rsidRPr="00F64A6B">
        <w:rPr>
          <w:lang w:val="fr-CH"/>
        </w:rPr>
        <w:t>(</w:t>
      </w:r>
      <w:r w:rsidR="17B2A2EC" w:rsidRPr="00F64A6B">
        <w:rPr>
          <w:lang w:val="fr-CH"/>
        </w:rPr>
        <w:t>RRC-EA</w:t>
      </w:r>
      <w:r w:rsidR="00AF23F5" w:rsidRPr="00F64A6B">
        <w:rPr>
          <w:lang w:val="fr-CH"/>
        </w:rPr>
        <w:t>)</w:t>
      </w:r>
      <w:r w:rsidR="17B2A2EC" w:rsidRPr="00F64A6B">
        <w:rPr>
          <w:lang w:val="fr-CH"/>
        </w:rPr>
        <w:t xml:space="preserve"> </w:t>
      </w:r>
      <w:r w:rsidR="00387226">
        <w:rPr>
          <w:lang w:val="fr-CH"/>
        </w:rPr>
        <w:t>et</w:t>
      </w:r>
      <w:r w:rsidR="17B2A2EC" w:rsidRPr="00F64A6B">
        <w:rPr>
          <w:lang w:val="fr-CH"/>
        </w:rPr>
        <w:t xml:space="preserve"> Wetland</w:t>
      </w:r>
      <w:r w:rsidR="58D8237E" w:rsidRPr="00F64A6B">
        <w:rPr>
          <w:lang w:val="fr-CH"/>
        </w:rPr>
        <w:t>s</w:t>
      </w:r>
      <w:r w:rsidR="17B2A2EC" w:rsidRPr="00F64A6B">
        <w:rPr>
          <w:lang w:val="fr-CH"/>
        </w:rPr>
        <w:t xml:space="preserve"> International</w:t>
      </w:r>
      <w:r w:rsidR="16C0DD9C" w:rsidRPr="00F64A6B">
        <w:rPr>
          <w:lang w:val="fr-CH"/>
        </w:rPr>
        <w:t>,</w:t>
      </w:r>
      <w:r w:rsidR="17B2A2EC" w:rsidRPr="00F64A6B">
        <w:rPr>
          <w:lang w:val="fr-CH"/>
        </w:rPr>
        <w:t xml:space="preserve"> </w:t>
      </w:r>
      <w:r w:rsidR="00387226">
        <w:rPr>
          <w:lang w:val="fr-CH"/>
        </w:rPr>
        <w:t>a collaboré avec le Partenariat pour l’environnement et la réduction des risques de catastrophe (PE</w:t>
      </w:r>
      <w:r w:rsidR="00D167DD">
        <w:rPr>
          <w:lang w:val="fr-CH"/>
        </w:rPr>
        <w:t>RRC</w:t>
      </w:r>
      <w:r w:rsidR="00387226">
        <w:rPr>
          <w:lang w:val="fr-CH"/>
        </w:rPr>
        <w:t xml:space="preserve">) du PNUE afin de fournir un appui aux administrateurs des zones humides et les aider à </w:t>
      </w:r>
      <w:r w:rsidR="00D167DD">
        <w:rPr>
          <w:lang w:val="fr-CH"/>
        </w:rPr>
        <w:t>inscrire</w:t>
      </w:r>
      <w:r w:rsidR="00387226">
        <w:rPr>
          <w:lang w:val="fr-CH"/>
        </w:rPr>
        <w:t xml:space="preserve"> les politiques de réduction des risques de catastrophe dans la gestion des zones humides. Un atelier régional pour les administrateurs des zones humides d’Asie a eu lieu en juin 2022. Sur la base de leurs commentaires, « </w:t>
      </w:r>
      <w:r w:rsidR="20CFDF2E" w:rsidRPr="00F64A6B">
        <w:rPr>
          <w:lang w:val="fr-CH"/>
        </w:rPr>
        <w:t xml:space="preserve">Wetlands and DRR: A Guide </w:t>
      </w:r>
      <w:r w:rsidR="00AF23F5" w:rsidRPr="00F64A6B">
        <w:rPr>
          <w:lang w:val="fr-CH"/>
        </w:rPr>
        <w:t xml:space="preserve">for </w:t>
      </w:r>
      <w:r w:rsidR="20CFDF2E" w:rsidRPr="00F64A6B">
        <w:rPr>
          <w:lang w:val="fr-CH"/>
        </w:rPr>
        <w:t>Wetland Managers</w:t>
      </w:r>
      <w:r w:rsidR="00387226">
        <w:rPr>
          <w:lang w:val="fr-CH"/>
        </w:rPr>
        <w:t> »</w:t>
      </w:r>
      <w:r w:rsidR="20CFDF2E" w:rsidRPr="00F64A6B">
        <w:rPr>
          <w:lang w:val="fr-CH"/>
        </w:rPr>
        <w:t xml:space="preserve"> </w:t>
      </w:r>
      <w:r w:rsidR="00387226">
        <w:rPr>
          <w:lang w:val="fr-CH"/>
        </w:rPr>
        <w:t>a été publié en décembre 2022 avec un webinaire mondial visant à promouvoir la publication.</w:t>
      </w:r>
    </w:p>
    <w:p w14:paraId="5132DF05" w14:textId="414C94E2" w:rsidR="2704313D" w:rsidRPr="00F64A6B" w:rsidRDefault="2704313D" w:rsidP="000A264B">
      <w:pPr>
        <w:tabs>
          <w:tab w:val="left" w:pos="284"/>
          <w:tab w:val="left" w:pos="426"/>
        </w:tabs>
        <w:spacing w:after="0" w:line="240" w:lineRule="auto"/>
        <w:ind w:left="426" w:hanging="426"/>
        <w:rPr>
          <w:lang w:val="fr-CH"/>
        </w:rPr>
      </w:pPr>
    </w:p>
    <w:p w14:paraId="6ACFD4F3" w14:textId="036C6184" w:rsidR="00842B23" w:rsidRPr="00F64A6B" w:rsidRDefault="00387226" w:rsidP="000A264B">
      <w:pPr>
        <w:keepNext/>
        <w:tabs>
          <w:tab w:val="left" w:pos="0"/>
        </w:tabs>
        <w:autoSpaceDE w:val="0"/>
        <w:autoSpaceDN w:val="0"/>
        <w:adjustRightInd w:val="0"/>
        <w:spacing w:after="0" w:line="240" w:lineRule="auto"/>
        <w:rPr>
          <w:rFonts w:cstheme="minorHAnsi"/>
          <w:i/>
          <w:lang w:val="fr-CH" w:eastAsia="en-GB"/>
        </w:rPr>
      </w:pPr>
      <w:r>
        <w:rPr>
          <w:rFonts w:cstheme="minorHAnsi"/>
          <w:i/>
          <w:lang w:val="fr-CH" w:eastAsia="en-GB"/>
        </w:rPr>
        <w:t>La c</w:t>
      </w:r>
      <w:r w:rsidR="00842B23" w:rsidRPr="00F64A6B">
        <w:rPr>
          <w:rFonts w:cstheme="minorHAnsi"/>
          <w:i/>
          <w:lang w:val="fr-CH" w:eastAsia="en-GB"/>
        </w:rPr>
        <w:t xml:space="preserve">ollaboration </w:t>
      </w:r>
      <w:r>
        <w:rPr>
          <w:rFonts w:cstheme="minorHAnsi"/>
          <w:i/>
          <w:lang w:val="fr-CH" w:eastAsia="en-GB"/>
        </w:rPr>
        <w:t xml:space="preserve">avec la </w:t>
      </w:r>
      <w:r w:rsidR="00842B23" w:rsidRPr="00F64A6B">
        <w:rPr>
          <w:rFonts w:cstheme="minorHAnsi"/>
          <w:i/>
          <w:lang w:val="fr-CH" w:eastAsia="en-GB"/>
        </w:rPr>
        <w:t>FAO</w:t>
      </w:r>
    </w:p>
    <w:p w14:paraId="47417BE1" w14:textId="1FA665BA" w:rsidR="00842B23" w:rsidRPr="00F64A6B" w:rsidRDefault="00842B23" w:rsidP="000A264B">
      <w:pPr>
        <w:keepNext/>
        <w:tabs>
          <w:tab w:val="left" w:pos="0"/>
        </w:tabs>
        <w:autoSpaceDE w:val="0"/>
        <w:autoSpaceDN w:val="0"/>
        <w:adjustRightInd w:val="0"/>
        <w:spacing w:after="0" w:line="240" w:lineRule="auto"/>
        <w:rPr>
          <w:lang w:val="fr-CH"/>
        </w:rPr>
      </w:pPr>
    </w:p>
    <w:p w14:paraId="63261A7C" w14:textId="1961F7E5" w:rsidR="00067A04" w:rsidRPr="00F64A6B" w:rsidRDefault="009E5708" w:rsidP="002E77BF">
      <w:pPr>
        <w:autoSpaceDE w:val="0"/>
        <w:autoSpaceDN w:val="0"/>
        <w:adjustRightInd w:val="0"/>
        <w:spacing w:after="0" w:line="240" w:lineRule="auto"/>
        <w:ind w:left="426" w:hanging="426"/>
        <w:rPr>
          <w:rFonts w:ascii="Calibri" w:hAnsi="Calibri" w:cs="Calibri"/>
          <w:color w:val="000000"/>
          <w:lang w:val="fr-CH"/>
        </w:rPr>
      </w:pPr>
      <w:r w:rsidRPr="00F64A6B">
        <w:rPr>
          <w:rFonts w:ascii="Calibri" w:hAnsi="Calibri" w:cs="Calibri"/>
          <w:color w:val="000000"/>
          <w:lang w:val="fr-CH"/>
        </w:rPr>
        <w:t>53</w:t>
      </w:r>
      <w:r w:rsidR="00227DAA" w:rsidRPr="00F64A6B">
        <w:rPr>
          <w:rFonts w:ascii="Calibri" w:hAnsi="Calibri" w:cs="Calibri"/>
          <w:color w:val="000000"/>
          <w:lang w:val="fr-CH"/>
        </w:rPr>
        <w:t>.</w:t>
      </w:r>
      <w:r w:rsidR="00A56F0D" w:rsidRPr="00F64A6B">
        <w:rPr>
          <w:rFonts w:ascii="Calibri" w:hAnsi="Calibri" w:cs="Calibri"/>
          <w:color w:val="000000"/>
          <w:lang w:val="fr-CH"/>
        </w:rPr>
        <w:tab/>
      </w:r>
      <w:r w:rsidR="0019590A">
        <w:rPr>
          <w:rFonts w:ascii="Calibri" w:hAnsi="Calibri" w:cs="Calibri"/>
          <w:color w:val="000000"/>
          <w:lang w:val="fr-CH"/>
        </w:rPr>
        <w:t xml:space="preserve">Le Secrétariat a contribué à </w:t>
      </w:r>
      <w:r w:rsidR="00D167DD">
        <w:rPr>
          <w:rFonts w:ascii="Calibri" w:hAnsi="Calibri" w:cs="Calibri"/>
          <w:color w:val="000000"/>
          <w:lang w:val="fr-CH"/>
        </w:rPr>
        <w:t>un b</w:t>
      </w:r>
      <w:r w:rsidR="00D167DD" w:rsidRPr="00D167DD">
        <w:rPr>
          <w:rFonts w:ascii="Calibri" w:hAnsi="Calibri" w:cs="Calibri"/>
          <w:color w:val="000000"/>
          <w:lang w:val="fr-CH"/>
        </w:rPr>
        <w:t xml:space="preserve">riefing technique de la FAO sur </w:t>
      </w:r>
      <w:r w:rsidR="00D167DD">
        <w:rPr>
          <w:rFonts w:ascii="Calibri" w:hAnsi="Calibri" w:cs="Calibri"/>
          <w:color w:val="000000"/>
          <w:lang w:val="fr-CH"/>
        </w:rPr>
        <w:t>« </w:t>
      </w:r>
      <w:r w:rsidR="00D167DD" w:rsidRPr="00D167DD">
        <w:rPr>
          <w:rFonts w:ascii="Calibri" w:hAnsi="Calibri" w:cs="Calibri"/>
          <w:color w:val="000000"/>
          <w:lang w:val="fr-CH"/>
        </w:rPr>
        <w:t>La gestion intégrée des ressources en eau pour la sécurité alimentaire et la résilience climatique</w:t>
      </w:r>
      <w:r w:rsidR="00D167DD">
        <w:rPr>
          <w:rFonts w:ascii="Calibri" w:hAnsi="Calibri" w:cs="Calibri"/>
          <w:color w:val="000000"/>
          <w:lang w:val="fr-CH"/>
        </w:rPr>
        <w:t> »</w:t>
      </w:r>
      <w:r w:rsidR="00D167DD" w:rsidRPr="00D167DD">
        <w:rPr>
          <w:rFonts w:ascii="Calibri" w:hAnsi="Calibri" w:cs="Calibri"/>
          <w:color w:val="000000"/>
          <w:lang w:val="fr-CH"/>
        </w:rPr>
        <w:t xml:space="preserve"> </w:t>
      </w:r>
      <w:r w:rsidR="0019590A">
        <w:rPr>
          <w:rFonts w:ascii="Calibri" w:hAnsi="Calibri" w:cs="Calibri"/>
          <w:color w:val="000000"/>
          <w:lang w:val="fr-CH"/>
        </w:rPr>
        <w:t xml:space="preserve">qui a eu lieu sous forme hybride en octobre 2022. Le Secrétariat a participé en tant qu’orateur et expert à une Séance technique sur l’eau pour l’environnement et la biodiversité. </w:t>
      </w:r>
    </w:p>
    <w:p w14:paraId="476FC4A9" w14:textId="77777777" w:rsidR="00067A04" w:rsidRPr="00F64A6B" w:rsidRDefault="00067A04" w:rsidP="002E77BF">
      <w:pPr>
        <w:tabs>
          <w:tab w:val="left" w:pos="0"/>
        </w:tabs>
        <w:autoSpaceDE w:val="0"/>
        <w:autoSpaceDN w:val="0"/>
        <w:adjustRightInd w:val="0"/>
        <w:spacing w:after="0" w:line="240" w:lineRule="auto"/>
        <w:ind w:left="426" w:hanging="426"/>
        <w:rPr>
          <w:lang w:val="fr-CH"/>
        </w:rPr>
      </w:pPr>
    </w:p>
    <w:p w14:paraId="7AD1A585" w14:textId="69B5BFB5" w:rsidR="00857CD2" w:rsidRPr="00F64A6B" w:rsidRDefault="009E5708" w:rsidP="002E77BF">
      <w:pPr>
        <w:autoSpaceDE w:val="0"/>
        <w:autoSpaceDN w:val="0"/>
        <w:adjustRightInd w:val="0"/>
        <w:spacing w:after="0" w:line="240" w:lineRule="auto"/>
        <w:ind w:left="426" w:hanging="426"/>
        <w:rPr>
          <w:rFonts w:cstheme="minorHAnsi"/>
          <w:lang w:val="fr-CH" w:eastAsia="en-GB"/>
        </w:rPr>
      </w:pPr>
      <w:r w:rsidRPr="00F64A6B">
        <w:rPr>
          <w:rFonts w:cstheme="minorHAnsi"/>
          <w:lang w:val="fr-CH" w:eastAsia="en-GB"/>
        </w:rPr>
        <w:t>54</w:t>
      </w:r>
      <w:r w:rsidR="00227DAA" w:rsidRPr="00F64A6B">
        <w:rPr>
          <w:rFonts w:cstheme="minorHAnsi"/>
          <w:lang w:val="fr-CH" w:eastAsia="en-GB"/>
        </w:rPr>
        <w:t>.</w:t>
      </w:r>
      <w:r w:rsidR="00A56F0D" w:rsidRPr="00F64A6B">
        <w:rPr>
          <w:rFonts w:cstheme="minorHAnsi"/>
          <w:lang w:val="fr-CH" w:eastAsia="en-GB"/>
        </w:rPr>
        <w:tab/>
      </w:r>
      <w:r w:rsidR="00956E05">
        <w:rPr>
          <w:rFonts w:cstheme="minorHAnsi"/>
          <w:lang w:val="fr-CH" w:eastAsia="en-GB"/>
        </w:rPr>
        <w:t>Le Secrétariat a apporté des contributions techniques aux publications de la FAO sur les tourbières et les engagements pour le climat, y compris le rapport « </w:t>
      </w:r>
      <w:r w:rsidR="00857CD2" w:rsidRPr="00F64A6B">
        <w:rPr>
          <w:lang w:val="fr-CH"/>
        </w:rPr>
        <w:t>Peatlands and climate planning</w:t>
      </w:r>
      <w:r w:rsidR="00512F0E">
        <w:rPr>
          <w:lang w:val="fr-CH"/>
        </w:rPr>
        <w:t> », ainsi que « </w:t>
      </w:r>
      <w:r w:rsidR="00857CD2" w:rsidRPr="00F64A6B">
        <w:rPr>
          <w:rFonts w:cstheme="minorHAnsi"/>
          <w:lang w:val="fr-CH" w:eastAsia="en-GB"/>
        </w:rPr>
        <w:t>Wetlands in climate commitments: Preliminary results</w:t>
      </w:r>
      <w:r w:rsidR="00512F0E">
        <w:rPr>
          <w:rFonts w:cstheme="minorHAnsi"/>
          <w:lang w:val="fr-CH" w:eastAsia="en-GB"/>
        </w:rPr>
        <w:t> »</w:t>
      </w:r>
      <w:r w:rsidR="00103E6F" w:rsidRPr="00F64A6B">
        <w:rPr>
          <w:rFonts w:cstheme="minorHAnsi"/>
          <w:lang w:val="fr-CH" w:eastAsia="en-GB"/>
        </w:rPr>
        <w:t xml:space="preserve">, </w:t>
      </w:r>
      <w:r w:rsidR="00512F0E">
        <w:rPr>
          <w:lang w:val="fr-CH"/>
        </w:rPr>
        <w:t>qui analyse la mesure dans laquelle les actions en faveur des zones humides figurent dans les C</w:t>
      </w:r>
      <w:r w:rsidR="00D167DD">
        <w:rPr>
          <w:lang w:val="fr-CH"/>
        </w:rPr>
        <w:t>DN et</w:t>
      </w:r>
      <w:r w:rsidR="00512F0E">
        <w:rPr>
          <w:lang w:val="fr-CH"/>
        </w:rPr>
        <w:t xml:space="preserve"> qui a été publié lors d’une activité parallèle de la COP14.  </w:t>
      </w:r>
    </w:p>
    <w:p w14:paraId="1244249C" w14:textId="77777777" w:rsidR="00103E6F" w:rsidRPr="00F64A6B" w:rsidRDefault="00103E6F" w:rsidP="002E77BF">
      <w:pPr>
        <w:tabs>
          <w:tab w:val="left" w:pos="0"/>
        </w:tabs>
        <w:autoSpaceDE w:val="0"/>
        <w:autoSpaceDN w:val="0"/>
        <w:adjustRightInd w:val="0"/>
        <w:spacing w:after="0" w:line="240" w:lineRule="auto"/>
        <w:ind w:left="426" w:hanging="426"/>
        <w:rPr>
          <w:rFonts w:cstheme="minorHAnsi"/>
          <w:lang w:val="fr-CH" w:eastAsia="en-GB"/>
        </w:rPr>
      </w:pPr>
    </w:p>
    <w:p w14:paraId="123FC40D" w14:textId="5A735359" w:rsidR="00635BB6" w:rsidRPr="00F64A6B" w:rsidRDefault="009E5708" w:rsidP="002E77BF">
      <w:pPr>
        <w:tabs>
          <w:tab w:val="left" w:pos="426"/>
        </w:tabs>
        <w:autoSpaceDE w:val="0"/>
        <w:autoSpaceDN w:val="0"/>
        <w:adjustRightInd w:val="0"/>
        <w:spacing w:after="0" w:line="240" w:lineRule="auto"/>
        <w:ind w:left="426" w:hanging="426"/>
        <w:rPr>
          <w:rFonts w:cstheme="minorHAnsi"/>
          <w:lang w:val="fr-CH" w:eastAsia="en-GB"/>
        </w:rPr>
      </w:pPr>
      <w:r w:rsidRPr="00F64A6B">
        <w:rPr>
          <w:rFonts w:cstheme="minorHAnsi"/>
          <w:lang w:val="fr-CH" w:eastAsia="en-GB"/>
        </w:rPr>
        <w:t>55</w:t>
      </w:r>
      <w:r w:rsidR="00227DAA" w:rsidRPr="00F64A6B">
        <w:rPr>
          <w:rFonts w:cstheme="minorHAnsi"/>
          <w:lang w:val="fr-CH" w:eastAsia="en-GB"/>
        </w:rPr>
        <w:t>.</w:t>
      </w:r>
      <w:r w:rsidR="00A56F0D" w:rsidRPr="00F64A6B">
        <w:rPr>
          <w:rFonts w:cstheme="minorHAnsi"/>
          <w:lang w:val="fr-CH" w:eastAsia="en-GB"/>
        </w:rPr>
        <w:tab/>
      </w:r>
      <w:r w:rsidR="00095F8C">
        <w:rPr>
          <w:rFonts w:cstheme="minorHAnsi"/>
          <w:lang w:val="fr-CH" w:eastAsia="en-GB"/>
        </w:rPr>
        <w:t xml:space="preserve">Avec la FAO et </w:t>
      </w:r>
      <w:r w:rsidR="00103E6F" w:rsidRPr="00F64A6B">
        <w:rPr>
          <w:rFonts w:cstheme="minorHAnsi"/>
          <w:lang w:val="fr-CH" w:eastAsia="en-GB"/>
        </w:rPr>
        <w:t xml:space="preserve">Wetlands International, </w:t>
      </w:r>
      <w:r w:rsidR="00095F8C">
        <w:rPr>
          <w:rFonts w:cstheme="minorHAnsi"/>
          <w:lang w:val="fr-CH" w:eastAsia="en-GB"/>
        </w:rPr>
        <w:t>le Secrétariat a organisé une série d’activités de formation et de consultations virtuelles sur les tourbières et les engagements pour le climat, y compris deux séances qui étaient consacrées aux processus de planification pour les changements climatiques, axées sur les C</w:t>
      </w:r>
      <w:r w:rsidR="00D167DD">
        <w:rPr>
          <w:rFonts w:cstheme="minorHAnsi"/>
          <w:lang w:val="fr-CH" w:eastAsia="en-GB"/>
        </w:rPr>
        <w:t>DN</w:t>
      </w:r>
      <w:r w:rsidR="00095F8C">
        <w:rPr>
          <w:rFonts w:cstheme="minorHAnsi"/>
          <w:lang w:val="fr-CH" w:eastAsia="en-GB"/>
        </w:rPr>
        <w:t xml:space="preserve"> et les stratégies à long terme dans le cadre du processus de la CCNUCC (en juin 2022), une séance axée sur la mise en œuvre de l’action pour le climat dans le cadre des tourbières</w:t>
      </w:r>
      <w:r w:rsidR="00D167DD">
        <w:rPr>
          <w:rFonts w:cstheme="minorHAnsi"/>
          <w:lang w:val="fr-CH" w:eastAsia="en-GB"/>
        </w:rPr>
        <w:t>,</w:t>
      </w:r>
      <w:r w:rsidR="00095F8C">
        <w:rPr>
          <w:rFonts w:cstheme="minorHAnsi"/>
          <w:lang w:val="fr-CH" w:eastAsia="en-GB"/>
        </w:rPr>
        <w:t xml:space="preserve"> en décembre 2022, et des activités parallèles organisées sous forme hybride à la COP14</w:t>
      </w:r>
      <w:r w:rsidR="00D167DD">
        <w:rPr>
          <w:rFonts w:cstheme="minorHAnsi"/>
          <w:lang w:val="fr-CH" w:eastAsia="en-GB"/>
        </w:rPr>
        <w:t xml:space="preserve"> de la Convention</w:t>
      </w:r>
      <w:r w:rsidR="00095F8C">
        <w:rPr>
          <w:rFonts w:cstheme="minorHAnsi"/>
          <w:lang w:val="fr-CH" w:eastAsia="en-GB"/>
        </w:rPr>
        <w:t xml:space="preserve"> et à la COP27 de la CCNUCC. </w:t>
      </w:r>
    </w:p>
    <w:p w14:paraId="40750D27" w14:textId="4E6E7839" w:rsidR="00635BB6" w:rsidRPr="00F64A6B" w:rsidRDefault="00635BB6" w:rsidP="002E77BF">
      <w:pPr>
        <w:tabs>
          <w:tab w:val="left" w:pos="0"/>
        </w:tabs>
        <w:autoSpaceDE w:val="0"/>
        <w:autoSpaceDN w:val="0"/>
        <w:adjustRightInd w:val="0"/>
        <w:spacing w:after="0" w:line="240" w:lineRule="auto"/>
        <w:ind w:left="426" w:hanging="426"/>
        <w:rPr>
          <w:lang w:val="fr-CH"/>
        </w:rPr>
      </w:pPr>
    </w:p>
    <w:p w14:paraId="7F070D07" w14:textId="51E46623" w:rsidR="00067A04" w:rsidRPr="00F64A6B" w:rsidRDefault="009E5708" w:rsidP="002E77BF">
      <w:pPr>
        <w:tabs>
          <w:tab w:val="left" w:pos="142"/>
        </w:tabs>
        <w:autoSpaceDE w:val="0"/>
        <w:autoSpaceDN w:val="0"/>
        <w:adjustRightInd w:val="0"/>
        <w:spacing w:after="0" w:line="240" w:lineRule="auto"/>
        <w:ind w:left="426" w:hanging="426"/>
        <w:rPr>
          <w:lang w:val="fr-CH" w:eastAsia="en-GB"/>
        </w:rPr>
      </w:pPr>
      <w:r w:rsidRPr="00F64A6B">
        <w:rPr>
          <w:lang w:val="fr-CH" w:eastAsia="en-GB"/>
        </w:rPr>
        <w:t>56</w:t>
      </w:r>
      <w:r w:rsidR="34ECDBB5" w:rsidRPr="00F64A6B">
        <w:rPr>
          <w:lang w:val="fr-CH" w:eastAsia="en-GB"/>
        </w:rPr>
        <w:t>.</w:t>
      </w:r>
      <w:r w:rsidR="00A56F0D" w:rsidRPr="00F64A6B">
        <w:rPr>
          <w:lang w:val="fr-CH" w:eastAsia="en-GB"/>
        </w:rPr>
        <w:tab/>
      </w:r>
      <w:r w:rsidR="00095F8C">
        <w:rPr>
          <w:lang w:val="fr-CH" w:eastAsia="en-GB"/>
        </w:rPr>
        <w:t xml:space="preserve">La </w:t>
      </w:r>
      <w:r w:rsidR="07F653A8" w:rsidRPr="00F64A6B">
        <w:rPr>
          <w:lang w:val="fr-CH" w:eastAsia="en-GB"/>
        </w:rPr>
        <w:t xml:space="preserve">FAO </w:t>
      </w:r>
      <w:r w:rsidR="00095F8C">
        <w:rPr>
          <w:lang w:val="fr-CH" w:eastAsia="en-GB"/>
        </w:rPr>
        <w:t xml:space="preserve">a contribué à un séminaire organisé par le Secrétariat en vue de lancer un nouveau produit du GEST intitulé « Les zones humides et l’agriculture : </w:t>
      </w:r>
      <w:r w:rsidR="00D167DD">
        <w:rPr>
          <w:lang w:val="fr-CH" w:eastAsia="en-GB"/>
        </w:rPr>
        <w:t>a</w:t>
      </w:r>
      <w:r w:rsidR="00095F8C">
        <w:rPr>
          <w:lang w:val="fr-CH" w:eastAsia="en-GB"/>
        </w:rPr>
        <w:t>ctions transformat</w:t>
      </w:r>
      <w:r w:rsidR="00D167DD">
        <w:rPr>
          <w:lang w:val="fr-CH" w:eastAsia="en-GB"/>
        </w:rPr>
        <w:t>rices</w:t>
      </w:r>
      <w:r w:rsidR="00095F8C">
        <w:rPr>
          <w:lang w:val="fr-CH" w:eastAsia="en-GB"/>
        </w:rPr>
        <w:t xml:space="preserve"> pour des pratiques </w:t>
      </w:r>
      <w:r w:rsidR="00D167DD">
        <w:rPr>
          <w:lang w:val="fr-CH" w:eastAsia="en-GB"/>
        </w:rPr>
        <w:t>agricoles</w:t>
      </w:r>
      <w:r w:rsidR="00095F8C">
        <w:rPr>
          <w:lang w:val="fr-CH" w:eastAsia="en-GB"/>
        </w:rPr>
        <w:t xml:space="preserve"> durables et </w:t>
      </w:r>
      <w:r w:rsidR="00D167DD">
        <w:rPr>
          <w:lang w:val="fr-CH" w:eastAsia="en-GB"/>
        </w:rPr>
        <w:t xml:space="preserve">une </w:t>
      </w:r>
      <w:r w:rsidR="00095F8C">
        <w:rPr>
          <w:lang w:val="fr-CH" w:eastAsia="en-GB"/>
        </w:rPr>
        <w:t xml:space="preserve">utilisation rationnelle des zones humides », qui a eu lieu de manière virtuelle en juillet 2022. Le Secrétariat maintient des liens actifs avec la FAO, par exemple, en ce qui concerne la Décennie des Nations Unies </w:t>
      </w:r>
      <w:r w:rsidR="00100337">
        <w:rPr>
          <w:lang w:val="fr-CH" w:eastAsia="en-GB"/>
        </w:rPr>
        <w:t>po</w:t>
      </w:r>
      <w:r w:rsidR="00095F8C">
        <w:rPr>
          <w:lang w:val="fr-CH" w:eastAsia="en-GB"/>
        </w:rPr>
        <w:t>ur la restauration des écosystèmes et la Journée mondiale des zones humides.</w:t>
      </w:r>
    </w:p>
    <w:p w14:paraId="5ABF9E69" w14:textId="641F160B" w:rsidR="00103E6F" w:rsidRPr="00F64A6B" w:rsidRDefault="00103E6F" w:rsidP="002E77BF">
      <w:pPr>
        <w:tabs>
          <w:tab w:val="left" w:pos="0"/>
        </w:tabs>
        <w:autoSpaceDE w:val="0"/>
        <w:autoSpaceDN w:val="0"/>
        <w:adjustRightInd w:val="0"/>
        <w:spacing w:after="0" w:line="240" w:lineRule="auto"/>
        <w:ind w:left="426" w:hanging="426"/>
        <w:rPr>
          <w:lang w:val="fr-CH"/>
        </w:rPr>
      </w:pPr>
    </w:p>
    <w:p w14:paraId="5108AAEB" w14:textId="094C188A" w:rsidR="009C2848" w:rsidRPr="00095F8C" w:rsidRDefault="00095F8C" w:rsidP="000A264B">
      <w:pPr>
        <w:keepNext/>
        <w:tabs>
          <w:tab w:val="left" w:pos="0"/>
        </w:tabs>
        <w:autoSpaceDE w:val="0"/>
        <w:autoSpaceDN w:val="0"/>
        <w:adjustRightInd w:val="0"/>
        <w:spacing w:after="0" w:line="240" w:lineRule="auto"/>
        <w:rPr>
          <w:rFonts w:cstheme="minorHAnsi"/>
          <w:i/>
          <w:lang w:val="fr-CH" w:eastAsia="en-GB"/>
        </w:rPr>
      </w:pPr>
      <w:r>
        <w:rPr>
          <w:rFonts w:cstheme="minorHAnsi"/>
          <w:i/>
          <w:lang w:val="fr-CH" w:eastAsia="en-GB"/>
        </w:rPr>
        <w:t>La c</w:t>
      </w:r>
      <w:r w:rsidR="009C2848" w:rsidRPr="00095F8C">
        <w:rPr>
          <w:rFonts w:cstheme="minorHAnsi"/>
          <w:i/>
          <w:lang w:val="fr-CH" w:eastAsia="en-GB"/>
        </w:rPr>
        <w:t xml:space="preserve">ollaboration </w:t>
      </w:r>
      <w:r>
        <w:rPr>
          <w:rFonts w:cstheme="minorHAnsi"/>
          <w:i/>
          <w:lang w:val="fr-CH" w:eastAsia="en-GB"/>
        </w:rPr>
        <w:t>avec les Organisations internationales partenaires</w:t>
      </w:r>
      <w:r w:rsidR="009C2848" w:rsidRPr="00095F8C">
        <w:rPr>
          <w:rFonts w:cstheme="minorHAnsi"/>
          <w:i/>
          <w:lang w:val="fr-CH" w:eastAsia="en-GB"/>
        </w:rPr>
        <w:t xml:space="preserve"> </w:t>
      </w:r>
    </w:p>
    <w:p w14:paraId="5491EBA3" w14:textId="77777777" w:rsidR="009C2848" w:rsidRPr="00095F8C" w:rsidRDefault="009C2848" w:rsidP="000A264B">
      <w:pPr>
        <w:keepNext/>
        <w:autoSpaceDE w:val="0"/>
        <w:autoSpaceDN w:val="0"/>
        <w:adjustRightInd w:val="0"/>
        <w:spacing w:after="0" w:line="240" w:lineRule="auto"/>
        <w:ind w:left="357" w:hanging="357"/>
        <w:rPr>
          <w:rFonts w:cstheme="minorHAnsi"/>
          <w:lang w:val="fr-CH" w:eastAsia="en-GB"/>
        </w:rPr>
      </w:pPr>
    </w:p>
    <w:p w14:paraId="7D09A620" w14:textId="7E78EDEC" w:rsidR="00F24BA2" w:rsidRPr="00095F8C" w:rsidRDefault="009E5708" w:rsidP="000A264B">
      <w:pPr>
        <w:suppressAutoHyphens/>
        <w:spacing w:after="0" w:line="240" w:lineRule="auto"/>
        <w:ind w:left="425" w:hanging="425"/>
        <w:rPr>
          <w:rFonts w:eastAsia="Times New Roman" w:cstheme="minorHAnsi"/>
          <w:lang w:val="fr-CH" w:eastAsia="en-GB"/>
        </w:rPr>
      </w:pPr>
      <w:r w:rsidRPr="00095F8C">
        <w:rPr>
          <w:rFonts w:eastAsia="Times New Roman" w:cstheme="minorHAnsi"/>
          <w:color w:val="000000"/>
          <w:lang w:val="fr-CH" w:eastAsia="en-GB"/>
        </w:rPr>
        <w:t>57</w:t>
      </w:r>
      <w:r w:rsidR="009C2848" w:rsidRPr="00095F8C">
        <w:rPr>
          <w:rFonts w:eastAsia="Times New Roman" w:cstheme="minorHAnsi"/>
          <w:color w:val="000000"/>
          <w:lang w:val="fr-CH" w:eastAsia="en-GB"/>
        </w:rPr>
        <w:t>.</w:t>
      </w:r>
      <w:r w:rsidR="009C2848" w:rsidRPr="00095F8C">
        <w:rPr>
          <w:rFonts w:eastAsia="Times New Roman" w:cstheme="minorHAnsi"/>
          <w:color w:val="000000"/>
          <w:lang w:val="fr-CH" w:eastAsia="en-GB"/>
        </w:rPr>
        <w:tab/>
      </w:r>
      <w:r w:rsidR="00095F8C">
        <w:rPr>
          <w:rFonts w:eastAsia="Times New Roman" w:cstheme="minorHAnsi"/>
          <w:color w:val="000000"/>
          <w:lang w:val="fr-CH" w:eastAsia="en-GB"/>
        </w:rPr>
        <w:t xml:space="preserve">Le Secrétariat poursuit le renforcement de sa collaboration avec les Organisations internationales partenaires (OIP) de la Convention. Des téléconférences régulières ont lieu </w:t>
      </w:r>
      <w:r w:rsidR="00C321A6">
        <w:rPr>
          <w:rFonts w:eastAsia="Times New Roman" w:cstheme="minorHAnsi"/>
          <w:color w:val="000000"/>
          <w:lang w:val="fr-CH" w:eastAsia="en-GB"/>
        </w:rPr>
        <w:t>avec les OIP pour discuter d’activités conjointes dans le contexte du mémorandum de coopération.</w:t>
      </w:r>
    </w:p>
    <w:p w14:paraId="47521470" w14:textId="147A267C" w:rsidR="006B31D7" w:rsidRPr="00095F8C" w:rsidRDefault="006B31D7" w:rsidP="000A264B">
      <w:pPr>
        <w:suppressAutoHyphens/>
        <w:spacing w:after="0" w:line="240" w:lineRule="auto"/>
        <w:ind w:left="425" w:hanging="425"/>
        <w:rPr>
          <w:rFonts w:eastAsia="Times New Roman" w:cstheme="minorHAnsi"/>
          <w:highlight w:val="yellow"/>
          <w:lang w:val="fr-CH" w:eastAsia="en-GB"/>
        </w:rPr>
      </w:pPr>
    </w:p>
    <w:p w14:paraId="1CBCA8A0" w14:textId="6A4F2C5A" w:rsidR="00E61332" w:rsidRPr="00095F8C" w:rsidRDefault="00676929" w:rsidP="000A264B">
      <w:pPr>
        <w:suppressAutoHyphens/>
        <w:spacing w:after="0" w:line="240" w:lineRule="auto"/>
        <w:ind w:left="425" w:hanging="425"/>
        <w:rPr>
          <w:lang w:val="fr-CH"/>
        </w:rPr>
      </w:pPr>
      <w:r w:rsidRPr="00095F8C">
        <w:rPr>
          <w:rFonts w:eastAsia="Times New Roman" w:cstheme="minorHAnsi"/>
          <w:lang w:val="fr-CH" w:eastAsia="en-GB"/>
        </w:rPr>
        <w:t>5</w:t>
      </w:r>
      <w:r w:rsidR="009E5708" w:rsidRPr="00095F8C">
        <w:rPr>
          <w:rFonts w:eastAsia="Times New Roman" w:cstheme="minorHAnsi"/>
          <w:lang w:val="fr-CH" w:eastAsia="en-GB"/>
        </w:rPr>
        <w:t>8</w:t>
      </w:r>
      <w:r w:rsidRPr="00095F8C">
        <w:rPr>
          <w:rFonts w:eastAsia="Times New Roman" w:cstheme="minorHAnsi"/>
          <w:lang w:val="fr-CH" w:eastAsia="en-GB"/>
        </w:rPr>
        <w:t>.</w:t>
      </w:r>
      <w:r w:rsidR="00A56F0D" w:rsidRPr="00095F8C">
        <w:rPr>
          <w:rFonts w:eastAsia="Times New Roman" w:cstheme="minorHAnsi"/>
          <w:lang w:val="fr-CH" w:eastAsia="en-GB"/>
        </w:rPr>
        <w:tab/>
      </w:r>
      <w:r w:rsidR="00C321A6">
        <w:rPr>
          <w:rFonts w:eastAsia="Times New Roman" w:cstheme="minorHAnsi"/>
          <w:lang w:val="fr-CH" w:eastAsia="en-GB"/>
        </w:rPr>
        <w:t xml:space="preserve">La Secrétaire générale a rencontré des cadres des OIP lors d’une réunion virtuelle, en mars 2023, pour leur faire part de sa vision sur les orientations de la collaboration entre la Convention et les OIP et discuter des priorités </w:t>
      </w:r>
      <w:r w:rsidR="006067B8">
        <w:rPr>
          <w:rFonts w:eastAsia="Times New Roman" w:cstheme="minorHAnsi"/>
          <w:lang w:val="fr-CH" w:eastAsia="en-GB"/>
        </w:rPr>
        <w:t>de</w:t>
      </w:r>
      <w:r w:rsidR="00C321A6">
        <w:rPr>
          <w:rFonts w:eastAsia="Times New Roman" w:cstheme="minorHAnsi"/>
          <w:lang w:val="fr-CH" w:eastAsia="en-GB"/>
        </w:rPr>
        <w:t xml:space="preserve"> collaboration avec les OIP, </w:t>
      </w:r>
      <w:r w:rsidR="006067B8">
        <w:rPr>
          <w:rFonts w:eastAsia="Times New Roman" w:cstheme="minorHAnsi"/>
          <w:lang w:val="fr-CH" w:eastAsia="en-GB"/>
        </w:rPr>
        <w:t>notamment</w:t>
      </w:r>
      <w:r w:rsidR="00C321A6">
        <w:rPr>
          <w:rFonts w:eastAsia="Times New Roman" w:cstheme="minorHAnsi"/>
          <w:lang w:val="fr-CH" w:eastAsia="en-GB"/>
        </w:rPr>
        <w:t xml:space="preserve"> </w:t>
      </w:r>
      <w:r w:rsidR="006067B8">
        <w:rPr>
          <w:rFonts w:eastAsia="Times New Roman" w:cstheme="minorHAnsi"/>
          <w:lang w:val="fr-CH" w:eastAsia="en-GB"/>
        </w:rPr>
        <w:t>du point de vue du</w:t>
      </w:r>
      <w:r w:rsidR="00C321A6">
        <w:rPr>
          <w:rFonts w:eastAsia="Times New Roman" w:cstheme="minorHAnsi"/>
          <w:lang w:val="fr-CH" w:eastAsia="en-GB"/>
        </w:rPr>
        <w:t xml:space="preserve"> soutien à la mise en œuvre et </w:t>
      </w:r>
      <w:r w:rsidR="006067B8">
        <w:rPr>
          <w:rFonts w:eastAsia="Times New Roman" w:cstheme="minorHAnsi"/>
          <w:lang w:val="fr-CH" w:eastAsia="en-GB"/>
        </w:rPr>
        <w:t>de</w:t>
      </w:r>
      <w:r w:rsidR="00C321A6">
        <w:rPr>
          <w:rFonts w:eastAsia="Times New Roman" w:cstheme="minorHAnsi"/>
          <w:lang w:val="fr-CH" w:eastAsia="en-GB"/>
        </w:rPr>
        <w:t xml:space="preserve"> la mobilisation des ressources ainsi que </w:t>
      </w:r>
      <w:r w:rsidR="006067B8">
        <w:rPr>
          <w:rFonts w:eastAsia="Times New Roman" w:cstheme="minorHAnsi"/>
          <w:lang w:val="fr-CH" w:eastAsia="en-GB"/>
        </w:rPr>
        <w:t>des</w:t>
      </w:r>
      <w:r w:rsidR="00C321A6">
        <w:rPr>
          <w:rFonts w:eastAsia="Times New Roman" w:cstheme="minorHAnsi"/>
          <w:lang w:val="fr-CH" w:eastAsia="en-GB"/>
        </w:rPr>
        <w:t xml:space="preserve"> préparatifs de la Conférence des Nations Unies sur l’eau en 2023.</w:t>
      </w:r>
    </w:p>
    <w:p w14:paraId="4CA97752" w14:textId="77777777" w:rsidR="00E61332" w:rsidRPr="00095F8C" w:rsidRDefault="00E61332" w:rsidP="000A264B">
      <w:pPr>
        <w:suppressAutoHyphens/>
        <w:spacing w:after="0" w:line="240" w:lineRule="auto"/>
        <w:ind w:left="425" w:hanging="425"/>
        <w:rPr>
          <w:rFonts w:eastAsia="Times New Roman" w:cstheme="minorHAnsi"/>
          <w:highlight w:val="yellow"/>
          <w:lang w:val="fr-CH" w:eastAsia="en-GB"/>
        </w:rPr>
      </w:pPr>
    </w:p>
    <w:p w14:paraId="48741A34" w14:textId="7404AB41" w:rsidR="00E61332" w:rsidRPr="00095F8C" w:rsidRDefault="00676929" w:rsidP="000A264B">
      <w:pPr>
        <w:suppressAutoHyphens/>
        <w:spacing w:after="0" w:line="240" w:lineRule="auto"/>
        <w:ind w:left="425" w:hanging="425"/>
        <w:rPr>
          <w:rFonts w:eastAsia="Times New Roman" w:cstheme="minorHAnsi"/>
          <w:lang w:val="fr-CH" w:eastAsia="en-GB"/>
        </w:rPr>
      </w:pPr>
      <w:r w:rsidRPr="00095F8C">
        <w:rPr>
          <w:rFonts w:eastAsia="Times New Roman" w:cstheme="minorHAnsi"/>
          <w:lang w:val="fr-CH" w:eastAsia="en-GB"/>
        </w:rPr>
        <w:t>5</w:t>
      </w:r>
      <w:r w:rsidR="009E5708" w:rsidRPr="00095F8C">
        <w:rPr>
          <w:rFonts w:eastAsia="Times New Roman" w:cstheme="minorHAnsi"/>
          <w:lang w:val="fr-CH" w:eastAsia="en-GB"/>
        </w:rPr>
        <w:t>9</w:t>
      </w:r>
      <w:r w:rsidRPr="00095F8C">
        <w:rPr>
          <w:rFonts w:eastAsia="Times New Roman" w:cstheme="minorHAnsi"/>
          <w:lang w:val="fr-CH" w:eastAsia="en-GB"/>
        </w:rPr>
        <w:t>.</w:t>
      </w:r>
      <w:r w:rsidR="00A56F0D" w:rsidRPr="00095F8C">
        <w:rPr>
          <w:rFonts w:eastAsia="Times New Roman" w:cstheme="minorHAnsi"/>
          <w:lang w:val="fr-CH" w:eastAsia="en-GB"/>
        </w:rPr>
        <w:tab/>
      </w:r>
      <w:r w:rsidR="00C321A6">
        <w:rPr>
          <w:rFonts w:eastAsia="Times New Roman" w:cstheme="minorHAnsi"/>
          <w:lang w:val="fr-CH" w:eastAsia="en-GB"/>
        </w:rPr>
        <w:t xml:space="preserve">Le Secrétariat a travaillé en collaboration étroite avec les OIP, notamment pour les activités parallèles de la COP14, de la COP27 de la CCNUCC et de la Conférence des Nations Unies sur </w:t>
      </w:r>
      <w:r w:rsidR="00C321A6">
        <w:rPr>
          <w:rFonts w:eastAsia="Times New Roman" w:cstheme="minorHAnsi"/>
          <w:lang w:val="fr-CH" w:eastAsia="en-GB"/>
        </w:rPr>
        <w:lastRenderedPageBreak/>
        <w:t>l’eau de 2023, notamment sur le Défi de l’eau douce lancé durant une activité parallèle de la Conférence des Nations Unies sur l’eau de 2023.</w:t>
      </w:r>
    </w:p>
    <w:p w14:paraId="0329CC4C" w14:textId="7D7CF510" w:rsidR="00E61332" w:rsidRPr="00095F8C" w:rsidRDefault="00E61332" w:rsidP="000A264B">
      <w:pPr>
        <w:suppressAutoHyphens/>
        <w:spacing w:after="0" w:line="240" w:lineRule="auto"/>
        <w:ind w:left="425" w:hanging="425"/>
        <w:rPr>
          <w:rFonts w:eastAsia="Times New Roman" w:cstheme="minorHAnsi"/>
          <w:highlight w:val="yellow"/>
          <w:lang w:val="fr-CH" w:eastAsia="en-GB"/>
        </w:rPr>
      </w:pPr>
    </w:p>
    <w:p w14:paraId="3DD253FC" w14:textId="3990682F" w:rsidR="00E61332" w:rsidRPr="00095F8C" w:rsidRDefault="009E5708" w:rsidP="000A264B">
      <w:pPr>
        <w:suppressAutoHyphens/>
        <w:spacing w:after="0" w:line="240" w:lineRule="auto"/>
        <w:ind w:left="425" w:hanging="425"/>
        <w:rPr>
          <w:rFonts w:eastAsia="Times New Roman"/>
          <w:highlight w:val="yellow"/>
          <w:lang w:val="fr-CH" w:eastAsia="en-GB"/>
        </w:rPr>
      </w:pPr>
      <w:r w:rsidRPr="00095F8C">
        <w:rPr>
          <w:rFonts w:eastAsia="Times New Roman"/>
          <w:lang w:val="fr-CH" w:eastAsia="en-GB"/>
        </w:rPr>
        <w:t>60</w:t>
      </w:r>
      <w:r w:rsidR="4C7D9D1B" w:rsidRPr="00095F8C">
        <w:rPr>
          <w:rFonts w:eastAsia="Times New Roman"/>
          <w:lang w:val="fr-CH" w:eastAsia="en-GB"/>
        </w:rPr>
        <w:t>.</w:t>
      </w:r>
      <w:r w:rsidR="00A56F0D" w:rsidRPr="00095F8C">
        <w:rPr>
          <w:rFonts w:eastAsia="Times New Roman"/>
          <w:lang w:val="fr-CH" w:eastAsia="en-GB"/>
        </w:rPr>
        <w:tab/>
      </w:r>
      <w:r w:rsidR="008B173C">
        <w:rPr>
          <w:rFonts w:eastAsia="Times New Roman"/>
          <w:lang w:val="fr-CH" w:eastAsia="en-GB"/>
        </w:rPr>
        <w:t xml:space="preserve">Les OIP ont participé à la Journée mondiale des zones humides 2023, notamment en </w:t>
      </w:r>
      <w:r w:rsidR="006067B8">
        <w:rPr>
          <w:rFonts w:eastAsia="Times New Roman"/>
          <w:lang w:val="fr-CH" w:eastAsia="en-GB"/>
        </w:rPr>
        <w:t>définissant</w:t>
      </w:r>
      <w:r w:rsidR="008B173C">
        <w:rPr>
          <w:rFonts w:eastAsia="Times New Roman"/>
          <w:lang w:val="fr-CH" w:eastAsia="en-GB"/>
        </w:rPr>
        <w:t xml:space="preserve"> sept actions prioritaires pour accélérer et renforcer la restauration des zones humides, qui ont été présentées lors d’une activité en ligne le 1</w:t>
      </w:r>
      <w:r w:rsidR="008B173C" w:rsidRPr="008B173C">
        <w:rPr>
          <w:rFonts w:eastAsia="Times New Roman"/>
          <w:vertAlign w:val="superscript"/>
          <w:lang w:val="fr-CH" w:eastAsia="en-GB"/>
        </w:rPr>
        <w:t>er</w:t>
      </w:r>
      <w:r w:rsidR="008B173C">
        <w:rPr>
          <w:rFonts w:eastAsia="Times New Roman"/>
          <w:lang w:val="fr-CH" w:eastAsia="en-GB"/>
        </w:rPr>
        <w:t> février 2023.</w:t>
      </w:r>
    </w:p>
    <w:p w14:paraId="10FDE631" w14:textId="29B16D28" w:rsidR="00F601DD" w:rsidRPr="00095F8C" w:rsidRDefault="00F601DD" w:rsidP="000A264B">
      <w:pPr>
        <w:tabs>
          <w:tab w:val="left" w:pos="426"/>
        </w:tabs>
        <w:spacing w:after="0" w:line="240" w:lineRule="auto"/>
        <w:ind w:left="426" w:hanging="426"/>
        <w:rPr>
          <w:rFonts w:cstheme="minorHAnsi"/>
          <w:lang w:val="fr-CH"/>
        </w:rPr>
      </w:pPr>
    </w:p>
    <w:p w14:paraId="750FE5C0" w14:textId="4EB350D5" w:rsidR="006C4DEE" w:rsidRPr="00095F8C" w:rsidRDefault="008B173C" w:rsidP="000A264B">
      <w:pPr>
        <w:keepNext/>
        <w:spacing w:after="0" w:line="240" w:lineRule="auto"/>
        <w:ind w:left="357" w:hanging="357"/>
        <w:rPr>
          <w:rFonts w:eastAsia="Times New Roman"/>
          <w:i/>
          <w:iCs/>
          <w:lang w:val="fr-CH" w:eastAsia="en-GB"/>
        </w:rPr>
      </w:pPr>
      <w:r>
        <w:rPr>
          <w:rFonts w:eastAsia="Times New Roman"/>
          <w:i/>
          <w:iCs/>
          <w:lang w:val="fr-CH" w:eastAsia="en-GB"/>
        </w:rPr>
        <w:t>La c</w:t>
      </w:r>
      <w:r w:rsidR="7B069A0F" w:rsidRPr="00095F8C">
        <w:rPr>
          <w:rFonts w:eastAsia="Times New Roman"/>
          <w:i/>
          <w:iCs/>
          <w:lang w:val="fr-CH" w:eastAsia="en-GB"/>
        </w:rPr>
        <w:t xml:space="preserve">ollaboration </w:t>
      </w:r>
      <w:r>
        <w:rPr>
          <w:rFonts w:eastAsia="Times New Roman"/>
          <w:i/>
          <w:iCs/>
          <w:lang w:val="fr-CH" w:eastAsia="en-GB"/>
        </w:rPr>
        <w:t xml:space="preserve">avec le Partenariat international pour le carbone bleu </w:t>
      </w:r>
    </w:p>
    <w:p w14:paraId="7DEDEC16" w14:textId="77777777" w:rsidR="006C4DEE" w:rsidRPr="00095F8C" w:rsidRDefault="006C4DEE" w:rsidP="000A264B">
      <w:pPr>
        <w:keepNext/>
        <w:spacing w:after="0" w:line="240" w:lineRule="auto"/>
        <w:ind w:left="357" w:hanging="357"/>
        <w:rPr>
          <w:rFonts w:eastAsia="Times New Roman" w:cstheme="minorHAnsi"/>
          <w:color w:val="000000"/>
          <w:lang w:val="fr-CH" w:eastAsia="en-GB"/>
        </w:rPr>
      </w:pPr>
    </w:p>
    <w:p w14:paraId="4DEC7C19" w14:textId="783EB99C" w:rsidR="26C9055A" w:rsidRPr="00095F8C" w:rsidRDefault="009E5708" w:rsidP="00BF6A8B">
      <w:pPr>
        <w:spacing w:after="0" w:line="240" w:lineRule="auto"/>
        <w:ind w:left="426" w:hanging="426"/>
        <w:rPr>
          <w:rFonts w:ascii="Calibri" w:hAnsi="Calibri"/>
          <w:lang w:val="fr-CH"/>
        </w:rPr>
      </w:pPr>
      <w:r w:rsidRPr="00095F8C">
        <w:rPr>
          <w:lang w:val="fr-CH"/>
        </w:rPr>
        <w:t>61</w:t>
      </w:r>
      <w:r w:rsidR="38BB17FB" w:rsidRPr="00095F8C">
        <w:rPr>
          <w:lang w:val="fr-CH"/>
        </w:rPr>
        <w:t>.</w:t>
      </w:r>
      <w:r w:rsidR="00A56F0D" w:rsidRPr="00095F8C">
        <w:rPr>
          <w:lang w:val="fr-CH"/>
        </w:rPr>
        <w:tab/>
      </w:r>
      <w:r w:rsidR="002615BD">
        <w:rPr>
          <w:lang w:val="fr-CH"/>
        </w:rPr>
        <w:t xml:space="preserve">Le Secrétariat continue de s’impliquer dans le Partenariat international pour le carbone bleu (PICB). Il a participé au troisième dialogue du Partenariat et a contribué à l’examen de son plan d’activités pour 2023, conformément à la </w:t>
      </w:r>
      <w:r w:rsidR="60875BCE" w:rsidRPr="006067B8">
        <w:rPr>
          <w:rFonts w:ascii="Calibri" w:eastAsia="Calibri" w:hAnsi="Calibri" w:cs="Calibri"/>
          <w:lang w:val="fr-CH"/>
        </w:rPr>
        <w:t>R</w:t>
      </w:r>
      <w:r w:rsidR="00BF6A8B" w:rsidRPr="006067B8">
        <w:rPr>
          <w:rFonts w:ascii="Calibri" w:eastAsia="Calibri" w:hAnsi="Calibri" w:cs="Calibri"/>
          <w:lang w:val="fr-CH"/>
        </w:rPr>
        <w:t>é</w:t>
      </w:r>
      <w:r w:rsidR="60875BCE" w:rsidRPr="006067B8">
        <w:rPr>
          <w:rFonts w:ascii="Calibri" w:eastAsia="Calibri" w:hAnsi="Calibri" w:cs="Calibri"/>
          <w:lang w:val="fr-CH"/>
        </w:rPr>
        <w:t>solution XIII.14</w:t>
      </w:r>
      <w:r w:rsidR="00BF6A8B" w:rsidRPr="006067B8">
        <w:rPr>
          <w:rFonts w:ascii="Calibri" w:eastAsia="Calibri" w:hAnsi="Calibri" w:cs="Calibri"/>
          <w:lang w:val="fr-CH"/>
        </w:rPr>
        <w:t>,</w:t>
      </w:r>
      <w:r w:rsidR="00687DE2" w:rsidRPr="006067B8">
        <w:rPr>
          <w:rFonts w:ascii="Calibri" w:eastAsia="Calibri" w:hAnsi="Calibri" w:cs="Calibri"/>
          <w:lang w:val="fr-CH"/>
        </w:rPr>
        <w:t xml:space="preserve"> </w:t>
      </w:r>
      <w:r w:rsidR="00BF6A8B" w:rsidRPr="006067B8">
        <w:rPr>
          <w:rFonts w:ascii="Calibri" w:hAnsi="Calibri"/>
          <w:i/>
          <w:lang w:val="fr-CH"/>
        </w:rPr>
        <w:t>Promouvoir la conservation, la restauration et la gestion durable des écosystèmes côtiers de carbone bleu</w:t>
      </w:r>
      <w:r w:rsidR="00BF6A8B" w:rsidRPr="006067B8">
        <w:rPr>
          <w:rFonts w:ascii="Calibri" w:hAnsi="Calibri"/>
          <w:lang w:val="fr-CH"/>
        </w:rPr>
        <w:t xml:space="preserve"> et</w:t>
      </w:r>
      <w:r w:rsidR="00593443" w:rsidRPr="006067B8">
        <w:rPr>
          <w:rFonts w:ascii="Calibri" w:eastAsia="Calibri" w:hAnsi="Calibri" w:cs="Calibri"/>
          <w:lang w:val="fr-CH"/>
        </w:rPr>
        <w:t xml:space="preserve"> </w:t>
      </w:r>
      <w:r w:rsidR="006067B8">
        <w:rPr>
          <w:rFonts w:ascii="Calibri" w:eastAsia="Calibri" w:hAnsi="Calibri" w:cs="Calibri"/>
          <w:lang w:val="fr-CH"/>
        </w:rPr>
        <w:t xml:space="preserve">à </w:t>
      </w:r>
      <w:r w:rsidR="00BF6A8B" w:rsidRPr="006067B8">
        <w:rPr>
          <w:rFonts w:ascii="Calibri" w:eastAsia="Calibri" w:hAnsi="Calibri" w:cs="Calibri"/>
          <w:lang w:val="fr-CH"/>
        </w:rPr>
        <w:t xml:space="preserve">la Résolution </w:t>
      </w:r>
      <w:r w:rsidR="60875BCE" w:rsidRPr="006067B8">
        <w:rPr>
          <w:rFonts w:ascii="Calibri" w:eastAsia="Calibri" w:hAnsi="Calibri" w:cs="Calibri"/>
          <w:lang w:val="fr-CH"/>
        </w:rPr>
        <w:t>XIV.17</w:t>
      </w:r>
      <w:r w:rsidR="00BF6A8B" w:rsidRPr="006067B8">
        <w:rPr>
          <w:rFonts w:ascii="Calibri" w:eastAsia="Calibri" w:hAnsi="Calibri" w:cs="Calibri"/>
          <w:lang w:val="fr-CH"/>
        </w:rPr>
        <w:t>,</w:t>
      </w:r>
      <w:r w:rsidR="60875BCE" w:rsidRPr="006067B8">
        <w:rPr>
          <w:rFonts w:ascii="Calibri" w:eastAsia="Calibri" w:hAnsi="Calibri" w:cs="Calibri"/>
          <w:lang w:val="fr-CH"/>
        </w:rPr>
        <w:t xml:space="preserve"> </w:t>
      </w:r>
      <w:r w:rsidR="00BF6A8B" w:rsidRPr="006067B8">
        <w:rPr>
          <w:rFonts w:ascii="Calibri" w:hAnsi="Calibri"/>
          <w:i/>
          <w:lang w:val="fr-CH"/>
        </w:rPr>
        <w:t>La protection, la conservation, la restauration, l’utilisation durable et la gestion des zones humides au service de la lutte contre les changements climatiques</w:t>
      </w:r>
      <w:r w:rsidR="00587B2F" w:rsidRPr="00095F8C">
        <w:rPr>
          <w:rFonts w:ascii="Calibri" w:hAnsi="Calibri"/>
          <w:lang w:val="fr-CH"/>
        </w:rPr>
        <w:t>,</w:t>
      </w:r>
      <w:r w:rsidR="60875BCE" w:rsidRPr="00095F8C">
        <w:rPr>
          <w:rFonts w:ascii="Calibri" w:eastAsia="Calibri" w:hAnsi="Calibri" w:cs="Calibri"/>
          <w:lang w:val="fr-CH"/>
        </w:rPr>
        <w:t xml:space="preserve"> </w:t>
      </w:r>
      <w:r w:rsidR="006067B8">
        <w:rPr>
          <w:rFonts w:ascii="Calibri" w:eastAsia="Calibri" w:hAnsi="Calibri" w:cs="Calibri"/>
          <w:lang w:val="fr-CH"/>
        </w:rPr>
        <w:t>ainsi qu’aux</w:t>
      </w:r>
      <w:r w:rsidR="002615BD">
        <w:rPr>
          <w:rFonts w:ascii="Calibri" w:eastAsia="Calibri" w:hAnsi="Calibri" w:cs="Calibri"/>
          <w:lang w:val="fr-CH"/>
        </w:rPr>
        <w:t xml:space="preserve"> tâches</w:t>
      </w:r>
      <w:r w:rsidR="60875BCE" w:rsidRPr="00095F8C">
        <w:rPr>
          <w:rFonts w:ascii="Calibri" w:eastAsia="Calibri" w:hAnsi="Calibri" w:cs="Calibri"/>
          <w:lang w:val="fr-CH"/>
        </w:rPr>
        <w:t xml:space="preserve"> 1,</w:t>
      </w:r>
      <w:r w:rsidR="002615BD">
        <w:rPr>
          <w:rFonts w:ascii="Calibri" w:eastAsia="Calibri" w:hAnsi="Calibri" w:cs="Calibri"/>
          <w:lang w:val="fr-CH"/>
        </w:rPr>
        <w:t xml:space="preserve"> </w:t>
      </w:r>
      <w:r w:rsidR="60875BCE" w:rsidRPr="00095F8C">
        <w:rPr>
          <w:rFonts w:ascii="Calibri" w:eastAsia="Calibri" w:hAnsi="Calibri" w:cs="Calibri"/>
          <w:lang w:val="fr-CH"/>
        </w:rPr>
        <w:t xml:space="preserve">2 </w:t>
      </w:r>
      <w:r w:rsidR="002615BD">
        <w:rPr>
          <w:rFonts w:ascii="Calibri" w:eastAsia="Calibri" w:hAnsi="Calibri" w:cs="Calibri"/>
          <w:lang w:val="fr-CH"/>
        </w:rPr>
        <w:t>et </w:t>
      </w:r>
      <w:r w:rsidR="60875BCE" w:rsidRPr="00095F8C">
        <w:rPr>
          <w:rFonts w:ascii="Calibri" w:eastAsia="Calibri" w:hAnsi="Calibri" w:cs="Calibri"/>
          <w:lang w:val="fr-CH"/>
        </w:rPr>
        <w:t xml:space="preserve">3 </w:t>
      </w:r>
      <w:r w:rsidR="002615BD">
        <w:rPr>
          <w:rFonts w:ascii="Calibri" w:eastAsia="Calibri" w:hAnsi="Calibri" w:cs="Calibri"/>
          <w:lang w:val="fr-CH"/>
        </w:rPr>
        <w:t>du GEST sur le carbone bleu.</w:t>
      </w:r>
    </w:p>
    <w:p w14:paraId="457B7156" w14:textId="77777777" w:rsidR="00A56F0D" w:rsidRPr="00095F8C" w:rsidRDefault="00A56F0D" w:rsidP="000A264B">
      <w:pPr>
        <w:spacing w:after="0" w:line="240" w:lineRule="auto"/>
        <w:ind w:left="426" w:hanging="426"/>
        <w:rPr>
          <w:rFonts w:ascii="Calibri" w:eastAsia="Calibri" w:hAnsi="Calibri" w:cs="Calibri"/>
          <w:lang w:val="fr-CH"/>
        </w:rPr>
      </w:pPr>
    </w:p>
    <w:p w14:paraId="5D887AB9" w14:textId="3C6A8B22" w:rsidR="51A09E50" w:rsidRPr="00095F8C" w:rsidRDefault="002615BD" w:rsidP="000A264B">
      <w:pPr>
        <w:keepNext/>
        <w:spacing w:after="0" w:line="240" w:lineRule="auto"/>
        <w:ind w:left="357" w:hanging="357"/>
        <w:rPr>
          <w:rFonts w:eastAsia="Times New Roman"/>
          <w:i/>
          <w:iCs/>
          <w:lang w:val="fr-CH" w:eastAsia="en-GB"/>
        </w:rPr>
      </w:pPr>
      <w:r>
        <w:rPr>
          <w:rFonts w:eastAsia="Times New Roman"/>
          <w:i/>
          <w:iCs/>
          <w:lang w:val="fr-CH" w:eastAsia="en-GB"/>
        </w:rPr>
        <w:t>La c</w:t>
      </w:r>
      <w:r w:rsidR="51A09E50" w:rsidRPr="00095F8C">
        <w:rPr>
          <w:rFonts w:eastAsia="Times New Roman"/>
          <w:i/>
          <w:iCs/>
          <w:lang w:val="fr-CH" w:eastAsia="en-GB"/>
        </w:rPr>
        <w:t xml:space="preserve">ollaboration </w:t>
      </w:r>
      <w:r>
        <w:rPr>
          <w:rFonts w:eastAsia="Times New Roman"/>
          <w:i/>
          <w:iCs/>
          <w:lang w:val="fr-CH" w:eastAsia="en-GB"/>
        </w:rPr>
        <w:t>avec l’Union internationale pour la conservation de la nature</w:t>
      </w:r>
    </w:p>
    <w:p w14:paraId="2CA0F318" w14:textId="77777777" w:rsidR="26C9055A" w:rsidRPr="00095F8C" w:rsidRDefault="26C9055A" w:rsidP="000A264B">
      <w:pPr>
        <w:keepNext/>
        <w:spacing w:after="0" w:line="240" w:lineRule="auto"/>
        <w:ind w:left="357" w:hanging="357"/>
        <w:rPr>
          <w:rFonts w:eastAsia="Times New Roman"/>
          <w:u w:val="single"/>
          <w:lang w:val="fr-CH" w:eastAsia="en-GB"/>
        </w:rPr>
      </w:pPr>
    </w:p>
    <w:p w14:paraId="0A60AEA2" w14:textId="35B01C46" w:rsidR="26C9055A" w:rsidRPr="00095F8C" w:rsidRDefault="00854A7F" w:rsidP="002E77BF">
      <w:pPr>
        <w:spacing w:after="0" w:line="240" w:lineRule="auto"/>
        <w:ind w:left="425" w:hanging="425"/>
        <w:rPr>
          <w:color w:val="000000" w:themeColor="text1"/>
          <w:lang w:val="fr-CH"/>
        </w:rPr>
      </w:pPr>
      <w:r w:rsidRPr="00095F8C">
        <w:rPr>
          <w:rFonts w:eastAsia="Times New Roman"/>
          <w:color w:val="000000" w:themeColor="text1"/>
          <w:lang w:val="fr-CH" w:eastAsia="en-GB"/>
        </w:rPr>
        <w:t>62</w:t>
      </w:r>
      <w:r w:rsidR="51A09E50" w:rsidRPr="00095F8C">
        <w:rPr>
          <w:rFonts w:eastAsia="Times New Roman"/>
          <w:color w:val="000000" w:themeColor="text1"/>
          <w:lang w:val="fr-CH" w:eastAsia="en-GB"/>
        </w:rPr>
        <w:t>.</w:t>
      </w:r>
      <w:r w:rsidR="4C7D9D1B" w:rsidRPr="00095F8C">
        <w:rPr>
          <w:lang w:val="fr-CH"/>
        </w:rPr>
        <w:tab/>
      </w:r>
      <w:r w:rsidR="002615BD">
        <w:rPr>
          <w:lang w:val="fr-CH"/>
        </w:rPr>
        <w:t xml:space="preserve">Le Secrétariat poursuit sa collaboration étroite avec l’UICN pour soutenir le fonctionnement du Secrétariat dans le cadre de l’accord de services entre la Convention et l’UICN. Des réunions régulières </w:t>
      </w:r>
      <w:r w:rsidR="00E4334F">
        <w:rPr>
          <w:lang w:val="fr-CH"/>
        </w:rPr>
        <w:t>et l’harmonisation des processus et politiques se poursuivent dans les différents domaines de l’accord de services tels que le</w:t>
      </w:r>
      <w:r w:rsidR="00100337">
        <w:rPr>
          <w:lang w:val="fr-CH"/>
        </w:rPr>
        <w:t>s</w:t>
      </w:r>
      <w:r w:rsidR="00E4334F">
        <w:rPr>
          <w:lang w:val="fr-CH"/>
        </w:rPr>
        <w:t xml:space="preserve"> finance</w:t>
      </w:r>
      <w:r w:rsidR="00100337">
        <w:rPr>
          <w:lang w:val="fr-CH"/>
        </w:rPr>
        <w:t>s</w:t>
      </w:r>
      <w:r w:rsidR="00E4334F">
        <w:rPr>
          <w:lang w:val="fr-CH"/>
        </w:rPr>
        <w:t xml:space="preserve"> et la comptabilité, la technologie de l’information, la gestion de l’équipement et les ressources humaines.</w:t>
      </w:r>
    </w:p>
    <w:sectPr w:rsidR="26C9055A" w:rsidRPr="00095F8C" w:rsidSect="002F62DC">
      <w:footerReference w:type="default" r:id="rId11"/>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4FE1" w14:textId="77777777" w:rsidR="007727C9" w:rsidRDefault="007727C9" w:rsidP="009C2848">
      <w:pPr>
        <w:spacing w:after="0" w:line="240" w:lineRule="auto"/>
      </w:pPr>
      <w:r>
        <w:separator/>
      </w:r>
    </w:p>
  </w:endnote>
  <w:endnote w:type="continuationSeparator" w:id="0">
    <w:p w14:paraId="2A0E479D" w14:textId="77777777" w:rsidR="007727C9" w:rsidRDefault="007727C9" w:rsidP="009C2848">
      <w:pPr>
        <w:spacing w:after="0" w:line="240" w:lineRule="auto"/>
      </w:pPr>
      <w:r>
        <w:continuationSeparator/>
      </w:r>
    </w:p>
  </w:endnote>
  <w:endnote w:type="continuationNotice" w:id="1">
    <w:p w14:paraId="64D052DB" w14:textId="77777777" w:rsidR="007727C9" w:rsidRDefault="00772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21C374D4" w:rsidR="00000B89" w:rsidRPr="00ED605C" w:rsidRDefault="00000B89">
    <w:pPr>
      <w:pStyle w:val="Footer"/>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62</w:t>
    </w:r>
    <w:r w:rsidRPr="00ED605C">
      <w:rPr>
        <w:rFonts w:asciiTheme="minorHAnsi" w:hAnsiTheme="minorHAnsi" w:cstheme="minorHAnsi"/>
        <w:sz w:val="20"/>
        <w:szCs w:val="20"/>
      </w:rPr>
      <w:t xml:space="preserve"> Doc.1</w:t>
    </w:r>
    <w:r>
      <w:rPr>
        <w:rFonts w:asciiTheme="minorHAnsi" w:hAnsiTheme="minorHAnsi" w:cstheme="minorHAnsi"/>
        <w:sz w:val="20"/>
        <w:szCs w:val="20"/>
      </w:rPr>
      <w:t>4</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color w:val="2B579A"/>
        <w:sz w:val="20"/>
        <w:szCs w:val="20"/>
        <w:shd w:val="clear" w:color="auto" w:fill="E6E6E6"/>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color w:val="2B579A"/>
        <w:sz w:val="20"/>
        <w:szCs w:val="20"/>
        <w:shd w:val="clear" w:color="auto" w:fill="E6E6E6"/>
      </w:rPr>
      <w:fldChar w:fldCharType="separate"/>
    </w:r>
    <w:r w:rsidR="00055594">
      <w:rPr>
        <w:rFonts w:asciiTheme="minorHAnsi" w:hAnsiTheme="minorHAnsi" w:cstheme="minorHAnsi"/>
        <w:noProof/>
        <w:sz w:val="20"/>
        <w:szCs w:val="20"/>
      </w:rPr>
      <w:t>11</w:t>
    </w:r>
    <w:r w:rsidRPr="00ED605C">
      <w:rPr>
        <w:rFonts w:asciiTheme="minorHAnsi" w:hAnsiTheme="minorHAnsi" w:cstheme="minorHAnsi"/>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C68E" w14:textId="77777777" w:rsidR="007727C9" w:rsidRDefault="007727C9" w:rsidP="009C2848">
      <w:pPr>
        <w:spacing w:after="0" w:line="240" w:lineRule="auto"/>
      </w:pPr>
      <w:r>
        <w:separator/>
      </w:r>
    </w:p>
  </w:footnote>
  <w:footnote w:type="continuationSeparator" w:id="0">
    <w:p w14:paraId="1E9E77E8" w14:textId="77777777" w:rsidR="007727C9" w:rsidRDefault="007727C9" w:rsidP="009C2848">
      <w:pPr>
        <w:spacing w:after="0" w:line="240" w:lineRule="auto"/>
      </w:pPr>
      <w:r>
        <w:continuationSeparator/>
      </w:r>
    </w:p>
  </w:footnote>
  <w:footnote w:type="continuationNotice" w:id="1">
    <w:p w14:paraId="58B48A02" w14:textId="77777777" w:rsidR="007727C9" w:rsidRDefault="007727C9">
      <w:pPr>
        <w:spacing w:after="0" w:line="240" w:lineRule="auto"/>
      </w:pPr>
    </w:p>
  </w:footnote>
  <w:footnote w:id="2">
    <w:p w14:paraId="07B3091A" w14:textId="5DC5ED6F" w:rsidR="00000B89" w:rsidRPr="007521EC" w:rsidRDefault="00000B89" w:rsidP="001851B6">
      <w:pPr>
        <w:pStyle w:val="FootnoteText"/>
        <w:ind w:left="0" w:firstLine="0"/>
        <w:jc w:val="left"/>
        <w:rPr>
          <w:rFonts w:asciiTheme="minorHAnsi" w:hAnsiTheme="minorHAnsi" w:cstheme="minorHAnsi"/>
        </w:rPr>
      </w:pPr>
      <w:r w:rsidRPr="007521EC">
        <w:rPr>
          <w:rStyle w:val="FootnoteReference"/>
          <w:rFonts w:asciiTheme="minorHAnsi" w:hAnsiTheme="minorHAnsi" w:cstheme="minorHAnsi"/>
        </w:rPr>
        <w:footnoteRef/>
      </w:r>
      <w:r>
        <w:rPr>
          <w:rFonts w:asciiTheme="minorHAnsi" w:hAnsiTheme="minorHAnsi" w:cstheme="minorHAnsi"/>
        </w:rPr>
        <w:t xml:space="preserve"> </w:t>
      </w:r>
      <w:hyperlink r:id="rId1" w:history="1">
        <w:r w:rsidRPr="00F130C9">
          <w:rPr>
            <w:rStyle w:val="Hyperlink"/>
            <w:rFonts w:asciiTheme="minorHAnsi" w:hAnsiTheme="minorHAnsi" w:cstheme="minorHAnsi"/>
          </w:rPr>
          <w:t>https://www.ramsar.org/document/sc59-doc161-review-of-the-fifth-joint-work-plan-between-the-convention-on-biological</w:t>
        </w:r>
      </w:hyperlink>
      <w:r w:rsidR="0009737E">
        <w:rPr>
          <w:rFonts w:asciiTheme="minorHAnsi" w:hAnsiTheme="minorHAnsi" w:cstheme="minorHAnsi"/>
        </w:rPr>
        <w:t>.</w:t>
      </w:r>
    </w:p>
  </w:footnote>
  <w:footnote w:id="3">
    <w:p w14:paraId="69F509FD" w14:textId="7F3DFBEF" w:rsidR="0072272A" w:rsidRPr="007513A8" w:rsidRDefault="0072272A" w:rsidP="0072272A">
      <w:pPr>
        <w:pStyle w:val="FootnoteText"/>
        <w:rPr>
          <w:rFonts w:asciiTheme="minorHAnsi" w:hAnsiTheme="minorHAnsi" w:cstheme="minorHAnsi"/>
          <w:lang w:val="fr-FR"/>
        </w:rPr>
      </w:pPr>
      <w:r w:rsidRPr="006C431C">
        <w:rPr>
          <w:rStyle w:val="FootnoteReference"/>
          <w:rFonts w:asciiTheme="minorHAnsi" w:hAnsiTheme="minorHAnsi" w:cstheme="minorHAnsi"/>
        </w:rPr>
        <w:footnoteRef/>
      </w:r>
      <w:r w:rsidRPr="007513A8">
        <w:rPr>
          <w:rFonts w:asciiTheme="minorHAnsi" w:hAnsiTheme="minorHAnsi" w:cstheme="minorHAnsi"/>
          <w:lang w:val="fr-FR"/>
        </w:rPr>
        <w:t xml:space="preserve"> </w:t>
      </w:r>
      <w:r w:rsidR="001F1B2C" w:rsidRPr="00717CC2">
        <w:rPr>
          <w:rFonts w:asciiTheme="minorHAnsi" w:hAnsiTheme="minorHAnsi" w:cstheme="minorHAnsi"/>
          <w:lang w:val="fr-CH"/>
        </w:rPr>
        <w:t>Voir</w:t>
      </w:r>
      <w:r w:rsidRPr="007513A8">
        <w:rPr>
          <w:rFonts w:asciiTheme="minorHAnsi" w:hAnsiTheme="minorHAnsi" w:cstheme="minorHAnsi"/>
          <w:lang w:val="fr-FR"/>
        </w:rPr>
        <w:t xml:space="preserve"> </w:t>
      </w:r>
      <w:hyperlink r:id="rId2" w:history="1">
        <w:r w:rsidRPr="007513A8">
          <w:rPr>
            <w:rStyle w:val="Hyperlink"/>
            <w:rFonts w:asciiTheme="minorHAnsi" w:hAnsiTheme="minorHAnsi" w:cstheme="minorHAnsi"/>
            <w:lang w:val="fr-FR"/>
          </w:rPr>
          <w:t>https://www.unccd.int/our-work/flagship-initiatives/G20-Initiative</w:t>
        </w:r>
      </w:hyperlink>
      <w:r w:rsidRPr="007513A8">
        <w:rPr>
          <w:rFonts w:asciiTheme="minorHAnsi" w:hAnsiTheme="minorHAnsi" w:cstheme="minorHAnsi"/>
          <w:lang w:val="fr-FR"/>
        </w:rPr>
        <w:t>.</w:t>
      </w:r>
    </w:p>
  </w:footnote>
  <w:footnote w:id="4">
    <w:p w14:paraId="4105EA6A" w14:textId="65992129" w:rsidR="000E4AA0" w:rsidRPr="00596F56" w:rsidRDefault="000E4AA0" w:rsidP="000E4AA0">
      <w:pPr>
        <w:pStyle w:val="FootnoteText"/>
        <w:ind w:left="0" w:firstLine="0"/>
        <w:jc w:val="left"/>
        <w:rPr>
          <w:rFonts w:asciiTheme="minorHAnsi" w:hAnsiTheme="minorHAnsi" w:cstheme="minorHAnsi"/>
          <w:lang w:val="fr-FR"/>
        </w:rPr>
      </w:pPr>
      <w:r w:rsidRPr="00596F56">
        <w:rPr>
          <w:rStyle w:val="FootnoteReference"/>
          <w:rFonts w:asciiTheme="minorHAnsi" w:hAnsiTheme="minorHAnsi" w:cstheme="minorHAnsi"/>
        </w:rPr>
        <w:footnoteRef/>
      </w:r>
      <w:r w:rsidRPr="00596F56">
        <w:rPr>
          <w:rFonts w:asciiTheme="minorHAnsi" w:hAnsiTheme="minorHAnsi" w:cstheme="minorHAnsi"/>
          <w:lang w:val="fr-FR"/>
        </w:rPr>
        <w:t xml:space="preserve"> </w:t>
      </w:r>
      <w:r w:rsidRPr="00596F56">
        <w:rPr>
          <w:rFonts w:asciiTheme="minorHAnsi" w:hAnsiTheme="minorHAnsi" w:cstheme="minorHAnsi"/>
          <w:lang w:val="fr-CH"/>
        </w:rPr>
        <w:t>Voir</w:t>
      </w:r>
      <w:r w:rsidRPr="00596F56">
        <w:rPr>
          <w:rFonts w:asciiTheme="minorHAnsi" w:hAnsiTheme="minorHAnsi" w:cstheme="minorHAnsi"/>
          <w:lang w:val="fr-FR"/>
        </w:rPr>
        <w:t xml:space="preserve"> </w:t>
      </w:r>
      <w:hyperlink r:id="rId3" w:history="1">
        <w:r w:rsidR="00596F56" w:rsidRPr="00596F56">
          <w:rPr>
            <w:rStyle w:val="Hyperlink"/>
            <w:rFonts w:asciiTheme="minorHAnsi" w:hAnsiTheme="minorHAnsi" w:cstheme="minorHAnsi"/>
            <w:lang w:val="fr-FR"/>
          </w:rPr>
          <w:t>https://www.ramsar.org/fr/news/la-conference-des-nations-unies-sur-leau-une-occasion-de-changement-mme-musonda-mumba</w:t>
        </w:r>
      </w:hyperlink>
      <w:r w:rsidRPr="00596F56">
        <w:rPr>
          <w:rStyle w:val="normaltextrun"/>
          <w:rFonts w:asciiTheme="minorHAnsi" w:hAnsiTheme="minorHAnsi" w:cstheme="minorHAnsi"/>
          <w:color w:val="000000"/>
          <w:shd w:val="clear" w:color="auto" w:fill="FFFFFF"/>
          <w:lang w:val="fr-FR"/>
        </w:rPr>
        <w:t xml:space="preserve">. </w:t>
      </w:r>
    </w:p>
  </w:footnote>
  <w:footnote w:id="5">
    <w:p w14:paraId="1C470FD4" w14:textId="5CFE4321" w:rsidR="00000B89" w:rsidRPr="00596F56" w:rsidRDefault="00000B89" w:rsidP="00AB27CF">
      <w:pPr>
        <w:pStyle w:val="FootnoteText"/>
        <w:ind w:left="0" w:firstLine="0"/>
        <w:jc w:val="left"/>
        <w:rPr>
          <w:rFonts w:asciiTheme="minorHAnsi" w:hAnsiTheme="minorHAnsi" w:cstheme="minorHAnsi"/>
          <w:lang w:val="fr-FR"/>
        </w:rPr>
      </w:pPr>
      <w:r w:rsidRPr="00596F56">
        <w:rPr>
          <w:rStyle w:val="FootnoteReference"/>
          <w:rFonts w:asciiTheme="minorHAnsi" w:hAnsiTheme="minorHAnsi" w:cstheme="minorHAnsi"/>
        </w:rPr>
        <w:footnoteRef/>
      </w:r>
      <w:r w:rsidRPr="00596F56">
        <w:rPr>
          <w:rFonts w:asciiTheme="minorHAnsi" w:hAnsiTheme="minorHAnsi" w:cstheme="minorHAnsi"/>
          <w:lang w:val="fr-FR"/>
        </w:rPr>
        <w:t xml:space="preserve"> </w:t>
      </w:r>
      <w:r w:rsidR="008366B3" w:rsidRPr="00596F56">
        <w:rPr>
          <w:rFonts w:asciiTheme="minorHAnsi" w:hAnsiTheme="minorHAnsi" w:cstheme="minorHAnsi"/>
          <w:lang w:val="fr-CH"/>
        </w:rPr>
        <w:t>Voir</w:t>
      </w:r>
      <w:r w:rsidRPr="00596F56">
        <w:rPr>
          <w:rFonts w:asciiTheme="minorHAnsi" w:hAnsiTheme="minorHAnsi" w:cstheme="minorHAnsi"/>
          <w:lang w:val="fr-FR"/>
        </w:rPr>
        <w:t xml:space="preserve"> </w:t>
      </w:r>
      <w:hyperlink r:id="rId4" w:history="1">
        <w:r w:rsidR="00596F56" w:rsidRPr="00596F56">
          <w:rPr>
            <w:rStyle w:val="Hyperlink"/>
            <w:rFonts w:asciiTheme="minorHAnsi" w:hAnsiTheme="minorHAnsi" w:cstheme="minorHAnsi"/>
            <w:lang w:val="fr-FR"/>
          </w:rPr>
          <w:t>https://www.ramsar.org/fr/conference-sur-leau-2023-des-nations-unies-declaration-de-mme-musonda-mumba-au-dialogue-3-leau-pour</w:t>
        </w:r>
      </w:hyperlink>
      <w:r w:rsidRPr="00596F56">
        <w:rPr>
          <w:rFonts w:asciiTheme="minorHAnsi" w:hAnsiTheme="minorHAnsi" w:cstheme="minorHAnsi"/>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69B"/>
    <w:multiLevelType w:val="hybridMultilevel"/>
    <w:tmpl w:val="09D214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9"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3" w15:restartNumberingAfterBreak="0">
    <w:nsid w:val="70FF24B4"/>
    <w:multiLevelType w:val="hybridMultilevel"/>
    <w:tmpl w:val="9C2818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3"/>
  </w:num>
  <w:num w:numId="5">
    <w:abstractNumId w:val="15"/>
  </w:num>
  <w:num w:numId="6">
    <w:abstractNumId w:val="4"/>
  </w:num>
  <w:num w:numId="7">
    <w:abstractNumId w:val="11"/>
  </w:num>
  <w:num w:numId="8">
    <w:abstractNumId w:val="0"/>
  </w:num>
  <w:num w:numId="9">
    <w:abstractNumId w:val="25"/>
  </w:num>
  <w:num w:numId="10">
    <w:abstractNumId w:val="16"/>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14"/>
  </w:num>
  <w:num w:numId="16">
    <w:abstractNumId w:val="24"/>
  </w:num>
  <w:num w:numId="17">
    <w:abstractNumId w:val="20"/>
  </w:num>
  <w:num w:numId="18">
    <w:abstractNumId w:val="19"/>
  </w:num>
  <w:num w:numId="19">
    <w:abstractNumId w:val="7"/>
  </w:num>
  <w:num w:numId="20">
    <w:abstractNumId w:val="12"/>
  </w:num>
  <w:num w:numId="21">
    <w:abstractNumId w:val="1"/>
  </w:num>
  <w:num w:numId="22">
    <w:abstractNumId w:val="2"/>
  </w:num>
  <w:num w:numId="23">
    <w:abstractNumId w:val="2"/>
  </w:num>
  <w:num w:numId="24">
    <w:abstractNumId w:val="22"/>
  </w:num>
  <w:num w:numId="25">
    <w:abstractNumId w:val="3"/>
  </w:num>
  <w:num w:numId="26">
    <w:abstractNumId w:val="8"/>
  </w:num>
  <w:num w:numId="27">
    <w:abstractNumId w:val="26"/>
  </w:num>
  <w:num w:numId="28">
    <w:abstractNumId w:val="23"/>
  </w:num>
  <w:num w:numId="2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00B89"/>
    <w:rsid w:val="00002159"/>
    <w:rsid w:val="000023EE"/>
    <w:rsid w:val="00003D8B"/>
    <w:rsid w:val="00013383"/>
    <w:rsid w:val="000134E5"/>
    <w:rsid w:val="00014101"/>
    <w:rsid w:val="00017673"/>
    <w:rsid w:val="00017D02"/>
    <w:rsid w:val="00020B3A"/>
    <w:rsid w:val="000214A3"/>
    <w:rsid w:val="00022C28"/>
    <w:rsid w:val="000235CF"/>
    <w:rsid w:val="000244D6"/>
    <w:rsid w:val="000246E1"/>
    <w:rsid w:val="00025999"/>
    <w:rsid w:val="0003002C"/>
    <w:rsid w:val="00031E45"/>
    <w:rsid w:val="00031FEA"/>
    <w:rsid w:val="00033ED6"/>
    <w:rsid w:val="000370C7"/>
    <w:rsid w:val="0004232E"/>
    <w:rsid w:val="00042A06"/>
    <w:rsid w:val="00044317"/>
    <w:rsid w:val="0004432B"/>
    <w:rsid w:val="0004433B"/>
    <w:rsid w:val="000459FB"/>
    <w:rsid w:val="00047482"/>
    <w:rsid w:val="000476BF"/>
    <w:rsid w:val="00047C49"/>
    <w:rsid w:val="00051DCE"/>
    <w:rsid w:val="00053AAC"/>
    <w:rsid w:val="00055340"/>
    <w:rsid w:val="00055594"/>
    <w:rsid w:val="00056467"/>
    <w:rsid w:val="00060299"/>
    <w:rsid w:val="000603B0"/>
    <w:rsid w:val="0006113B"/>
    <w:rsid w:val="00062063"/>
    <w:rsid w:val="000626FC"/>
    <w:rsid w:val="00065BAF"/>
    <w:rsid w:val="0006611C"/>
    <w:rsid w:val="000671A8"/>
    <w:rsid w:val="0006775D"/>
    <w:rsid w:val="00067A04"/>
    <w:rsid w:val="0007087A"/>
    <w:rsid w:val="0007139F"/>
    <w:rsid w:val="00072FD9"/>
    <w:rsid w:val="00073466"/>
    <w:rsid w:val="00076F67"/>
    <w:rsid w:val="000771CC"/>
    <w:rsid w:val="000776B8"/>
    <w:rsid w:val="00077ABC"/>
    <w:rsid w:val="0008227B"/>
    <w:rsid w:val="0008228E"/>
    <w:rsid w:val="00084161"/>
    <w:rsid w:val="00084256"/>
    <w:rsid w:val="00084B13"/>
    <w:rsid w:val="00085324"/>
    <w:rsid w:val="00085B25"/>
    <w:rsid w:val="00085DA3"/>
    <w:rsid w:val="000864A8"/>
    <w:rsid w:val="00087CEE"/>
    <w:rsid w:val="0009108D"/>
    <w:rsid w:val="00092A0B"/>
    <w:rsid w:val="000951BA"/>
    <w:rsid w:val="000954B9"/>
    <w:rsid w:val="00095D18"/>
    <w:rsid w:val="00095F8C"/>
    <w:rsid w:val="00096CB5"/>
    <w:rsid w:val="0009737E"/>
    <w:rsid w:val="00097608"/>
    <w:rsid w:val="000A2113"/>
    <w:rsid w:val="000A264B"/>
    <w:rsid w:val="000A2989"/>
    <w:rsid w:val="000A56D9"/>
    <w:rsid w:val="000A6C6C"/>
    <w:rsid w:val="000A6E89"/>
    <w:rsid w:val="000A78F5"/>
    <w:rsid w:val="000A7CD1"/>
    <w:rsid w:val="000B0585"/>
    <w:rsid w:val="000B1774"/>
    <w:rsid w:val="000B29EF"/>
    <w:rsid w:val="000B3FAB"/>
    <w:rsid w:val="000B439C"/>
    <w:rsid w:val="000B610A"/>
    <w:rsid w:val="000B6488"/>
    <w:rsid w:val="000C4327"/>
    <w:rsid w:val="000C6B8E"/>
    <w:rsid w:val="000D229D"/>
    <w:rsid w:val="000D361F"/>
    <w:rsid w:val="000E2BEC"/>
    <w:rsid w:val="000E38CE"/>
    <w:rsid w:val="000E3B57"/>
    <w:rsid w:val="000E4548"/>
    <w:rsid w:val="000E4A5A"/>
    <w:rsid w:val="000E4AA0"/>
    <w:rsid w:val="000F12AE"/>
    <w:rsid w:val="000F187D"/>
    <w:rsid w:val="000F2021"/>
    <w:rsid w:val="000F45CE"/>
    <w:rsid w:val="000F5AEF"/>
    <w:rsid w:val="000F7CD2"/>
    <w:rsid w:val="00100337"/>
    <w:rsid w:val="00101F40"/>
    <w:rsid w:val="00103E6F"/>
    <w:rsid w:val="001052EE"/>
    <w:rsid w:val="00106C2E"/>
    <w:rsid w:val="00111670"/>
    <w:rsid w:val="001120D8"/>
    <w:rsid w:val="00112D5A"/>
    <w:rsid w:val="00113FC0"/>
    <w:rsid w:val="00114BED"/>
    <w:rsid w:val="00115471"/>
    <w:rsid w:val="001178BF"/>
    <w:rsid w:val="00125BC7"/>
    <w:rsid w:val="0012660F"/>
    <w:rsid w:val="00127675"/>
    <w:rsid w:val="0013058F"/>
    <w:rsid w:val="00136F79"/>
    <w:rsid w:val="00140078"/>
    <w:rsid w:val="00142378"/>
    <w:rsid w:val="0014272D"/>
    <w:rsid w:val="00145B09"/>
    <w:rsid w:val="001474E3"/>
    <w:rsid w:val="00151B4D"/>
    <w:rsid w:val="00161148"/>
    <w:rsid w:val="001636A6"/>
    <w:rsid w:val="00164A4A"/>
    <w:rsid w:val="0016519E"/>
    <w:rsid w:val="00167752"/>
    <w:rsid w:val="00167785"/>
    <w:rsid w:val="00170EC8"/>
    <w:rsid w:val="001711E4"/>
    <w:rsid w:val="00177668"/>
    <w:rsid w:val="0018006A"/>
    <w:rsid w:val="00180147"/>
    <w:rsid w:val="00182205"/>
    <w:rsid w:val="001851B6"/>
    <w:rsid w:val="00185F7B"/>
    <w:rsid w:val="001862BA"/>
    <w:rsid w:val="001879A3"/>
    <w:rsid w:val="001914FF"/>
    <w:rsid w:val="00192513"/>
    <w:rsid w:val="00192D1F"/>
    <w:rsid w:val="00194C2F"/>
    <w:rsid w:val="0019590A"/>
    <w:rsid w:val="00195B2F"/>
    <w:rsid w:val="001971F5"/>
    <w:rsid w:val="001A01BD"/>
    <w:rsid w:val="001A02AE"/>
    <w:rsid w:val="001A0DB6"/>
    <w:rsid w:val="001A1380"/>
    <w:rsid w:val="001A34C8"/>
    <w:rsid w:val="001A410D"/>
    <w:rsid w:val="001A4350"/>
    <w:rsid w:val="001A4446"/>
    <w:rsid w:val="001A4919"/>
    <w:rsid w:val="001A6EFF"/>
    <w:rsid w:val="001B1344"/>
    <w:rsid w:val="001B15E6"/>
    <w:rsid w:val="001B5C11"/>
    <w:rsid w:val="001B5D30"/>
    <w:rsid w:val="001B6126"/>
    <w:rsid w:val="001B655C"/>
    <w:rsid w:val="001C4A8C"/>
    <w:rsid w:val="001C5FEF"/>
    <w:rsid w:val="001D0E71"/>
    <w:rsid w:val="001D1A71"/>
    <w:rsid w:val="001D5297"/>
    <w:rsid w:val="001D55EC"/>
    <w:rsid w:val="001E050F"/>
    <w:rsid w:val="001E0C6E"/>
    <w:rsid w:val="001E3AE0"/>
    <w:rsid w:val="001E4784"/>
    <w:rsid w:val="001E52F6"/>
    <w:rsid w:val="001E680E"/>
    <w:rsid w:val="001F03C7"/>
    <w:rsid w:val="001F1B15"/>
    <w:rsid w:val="001F1B2C"/>
    <w:rsid w:val="001F2B93"/>
    <w:rsid w:val="001F2D94"/>
    <w:rsid w:val="001F3A19"/>
    <w:rsid w:val="001F4EC3"/>
    <w:rsid w:val="001F4FA6"/>
    <w:rsid w:val="00200A20"/>
    <w:rsid w:val="002014B8"/>
    <w:rsid w:val="002026A0"/>
    <w:rsid w:val="00202D73"/>
    <w:rsid w:val="00206DD7"/>
    <w:rsid w:val="00210CE4"/>
    <w:rsid w:val="00211F58"/>
    <w:rsid w:val="00214444"/>
    <w:rsid w:val="00215027"/>
    <w:rsid w:val="002150A2"/>
    <w:rsid w:val="00216C1E"/>
    <w:rsid w:val="002174AF"/>
    <w:rsid w:val="002204B4"/>
    <w:rsid w:val="00221769"/>
    <w:rsid w:val="00222353"/>
    <w:rsid w:val="00222FC6"/>
    <w:rsid w:val="00224E12"/>
    <w:rsid w:val="0022537F"/>
    <w:rsid w:val="00226D5A"/>
    <w:rsid w:val="00227DAA"/>
    <w:rsid w:val="002305F0"/>
    <w:rsid w:val="002313E3"/>
    <w:rsid w:val="00233C6C"/>
    <w:rsid w:val="00236475"/>
    <w:rsid w:val="0023697F"/>
    <w:rsid w:val="00236CDF"/>
    <w:rsid w:val="00237973"/>
    <w:rsid w:val="00240F2F"/>
    <w:rsid w:val="00241417"/>
    <w:rsid w:val="0024180A"/>
    <w:rsid w:val="00242616"/>
    <w:rsid w:val="00242DF8"/>
    <w:rsid w:val="00243D40"/>
    <w:rsid w:val="00244A45"/>
    <w:rsid w:val="002525BE"/>
    <w:rsid w:val="00255655"/>
    <w:rsid w:val="00256493"/>
    <w:rsid w:val="002566F8"/>
    <w:rsid w:val="002608C8"/>
    <w:rsid w:val="002615BD"/>
    <w:rsid w:val="002629F0"/>
    <w:rsid w:val="002633ED"/>
    <w:rsid w:val="00263A83"/>
    <w:rsid w:val="00263E4A"/>
    <w:rsid w:val="00264802"/>
    <w:rsid w:val="00265E97"/>
    <w:rsid w:val="00266014"/>
    <w:rsid w:val="00267CE7"/>
    <w:rsid w:val="00272D6C"/>
    <w:rsid w:val="00272DA9"/>
    <w:rsid w:val="00274776"/>
    <w:rsid w:val="00274A19"/>
    <w:rsid w:val="002759E9"/>
    <w:rsid w:val="00277ADF"/>
    <w:rsid w:val="00282600"/>
    <w:rsid w:val="002828B0"/>
    <w:rsid w:val="00282CD4"/>
    <w:rsid w:val="00285B9A"/>
    <w:rsid w:val="00287325"/>
    <w:rsid w:val="00290422"/>
    <w:rsid w:val="002928D0"/>
    <w:rsid w:val="0029382F"/>
    <w:rsid w:val="002A04AD"/>
    <w:rsid w:val="002A08CF"/>
    <w:rsid w:val="002A1BDF"/>
    <w:rsid w:val="002A3B2B"/>
    <w:rsid w:val="002A4D8F"/>
    <w:rsid w:val="002A6B2A"/>
    <w:rsid w:val="002A7D94"/>
    <w:rsid w:val="002B09F3"/>
    <w:rsid w:val="002B2C1A"/>
    <w:rsid w:val="002B6D64"/>
    <w:rsid w:val="002C0F2A"/>
    <w:rsid w:val="002C1085"/>
    <w:rsid w:val="002C2416"/>
    <w:rsid w:val="002C49AA"/>
    <w:rsid w:val="002C4C5C"/>
    <w:rsid w:val="002C7A46"/>
    <w:rsid w:val="002D0F0F"/>
    <w:rsid w:val="002D1BE4"/>
    <w:rsid w:val="002D3B3E"/>
    <w:rsid w:val="002D49CE"/>
    <w:rsid w:val="002D4B84"/>
    <w:rsid w:val="002D4E5D"/>
    <w:rsid w:val="002D69D7"/>
    <w:rsid w:val="002E1B93"/>
    <w:rsid w:val="002E2341"/>
    <w:rsid w:val="002E2FD5"/>
    <w:rsid w:val="002E389B"/>
    <w:rsid w:val="002E46DB"/>
    <w:rsid w:val="002E5A62"/>
    <w:rsid w:val="002E5FB7"/>
    <w:rsid w:val="002E6A26"/>
    <w:rsid w:val="002E7678"/>
    <w:rsid w:val="002E77BF"/>
    <w:rsid w:val="002F38A4"/>
    <w:rsid w:val="002F38CB"/>
    <w:rsid w:val="002F4867"/>
    <w:rsid w:val="002F62DC"/>
    <w:rsid w:val="002F648C"/>
    <w:rsid w:val="0030031A"/>
    <w:rsid w:val="003025A7"/>
    <w:rsid w:val="003050D6"/>
    <w:rsid w:val="00307B7E"/>
    <w:rsid w:val="003109A0"/>
    <w:rsid w:val="00311A77"/>
    <w:rsid w:val="0031456B"/>
    <w:rsid w:val="003147A7"/>
    <w:rsid w:val="00315362"/>
    <w:rsid w:val="0032010F"/>
    <w:rsid w:val="00322C9E"/>
    <w:rsid w:val="00322F1E"/>
    <w:rsid w:val="00323916"/>
    <w:rsid w:val="00323C28"/>
    <w:rsid w:val="00323F9F"/>
    <w:rsid w:val="0032581A"/>
    <w:rsid w:val="00335C9F"/>
    <w:rsid w:val="00335FAD"/>
    <w:rsid w:val="00336E65"/>
    <w:rsid w:val="0034205D"/>
    <w:rsid w:val="003423E4"/>
    <w:rsid w:val="00343BC3"/>
    <w:rsid w:val="0034405A"/>
    <w:rsid w:val="00344BCB"/>
    <w:rsid w:val="0035108A"/>
    <w:rsid w:val="0035110B"/>
    <w:rsid w:val="0035343D"/>
    <w:rsid w:val="003567DB"/>
    <w:rsid w:val="00357E87"/>
    <w:rsid w:val="00364C5F"/>
    <w:rsid w:val="003666F1"/>
    <w:rsid w:val="003673A1"/>
    <w:rsid w:val="00371D76"/>
    <w:rsid w:val="0037254D"/>
    <w:rsid w:val="00373E33"/>
    <w:rsid w:val="003747C3"/>
    <w:rsid w:val="00375DD3"/>
    <w:rsid w:val="00376618"/>
    <w:rsid w:val="00376808"/>
    <w:rsid w:val="0037742A"/>
    <w:rsid w:val="00377A4A"/>
    <w:rsid w:val="00380626"/>
    <w:rsid w:val="00381820"/>
    <w:rsid w:val="0038308C"/>
    <w:rsid w:val="00387226"/>
    <w:rsid w:val="00387711"/>
    <w:rsid w:val="00387CC8"/>
    <w:rsid w:val="0039044E"/>
    <w:rsid w:val="003910E6"/>
    <w:rsid w:val="0039225B"/>
    <w:rsid w:val="00392C20"/>
    <w:rsid w:val="00393A96"/>
    <w:rsid w:val="00395BAD"/>
    <w:rsid w:val="003960C4"/>
    <w:rsid w:val="003A094F"/>
    <w:rsid w:val="003A30CD"/>
    <w:rsid w:val="003A5A3F"/>
    <w:rsid w:val="003B0105"/>
    <w:rsid w:val="003B1722"/>
    <w:rsid w:val="003B2120"/>
    <w:rsid w:val="003B2EB6"/>
    <w:rsid w:val="003B6A72"/>
    <w:rsid w:val="003C1185"/>
    <w:rsid w:val="003C2230"/>
    <w:rsid w:val="003C3DF5"/>
    <w:rsid w:val="003C52C5"/>
    <w:rsid w:val="003C7FD2"/>
    <w:rsid w:val="003D0EA3"/>
    <w:rsid w:val="003D15C5"/>
    <w:rsid w:val="003D4D5F"/>
    <w:rsid w:val="003D4D92"/>
    <w:rsid w:val="003D79F6"/>
    <w:rsid w:val="003E1023"/>
    <w:rsid w:val="003E13F3"/>
    <w:rsid w:val="003E1E7D"/>
    <w:rsid w:val="003E2136"/>
    <w:rsid w:val="003E2487"/>
    <w:rsid w:val="003E3316"/>
    <w:rsid w:val="003E3C18"/>
    <w:rsid w:val="003E48CC"/>
    <w:rsid w:val="003E4A19"/>
    <w:rsid w:val="003E4A48"/>
    <w:rsid w:val="003E76A2"/>
    <w:rsid w:val="003F44C3"/>
    <w:rsid w:val="003F4E91"/>
    <w:rsid w:val="0040060A"/>
    <w:rsid w:val="004009A7"/>
    <w:rsid w:val="004009E6"/>
    <w:rsid w:val="0040386B"/>
    <w:rsid w:val="00403AEE"/>
    <w:rsid w:val="00403F41"/>
    <w:rsid w:val="0040411C"/>
    <w:rsid w:val="00404DA0"/>
    <w:rsid w:val="0040670A"/>
    <w:rsid w:val="00407097"/>
    <w:rsid w:val="00410378"/>
    <w:rsid w:val="00410388"/>
    <w:rsid w:val="004116CD"/>
    <w:rsid w:val="00412836"/>
    <w:rsid w:val="004157DF"/>
    <w:rsid w:val="004163D6"/>
    <w:rsid w:val="0041657F"/>
    <w:rsid w:val="004210D2"/>
    <w:rsid w:val="00424032"/>
    <w:rsid w:val="00424682"/>
    <w:rsid w:val="00425C78"/>
    <w:rsid w:val="004341C0"/>
    <w:rsid w:val="00436582"/>
    <w:rsid w:val="00441C3A"/>
    <w:rsid w:val="00441FDD"/>
    <w:rsid w:val="004466AB"/>
    <w:rsid w:val="00451F5F"/>
    <w:rsid w:val="004524F8"/>
    <w:rsid w:val="00453B5A"/>
    <w:rsid w:val="00455E7C"/>
    <w:rsid w:val="00456700"/>
    <w:rsid w:val="004578C3"/>
    <w:rsid w:val="00457D19"/>
    <w:rsid w:val="00457F38"/>
    <w:rsid w:val="00460D63"/>
    <w:rsid w:val="00461992"/>
    <w:rsid w:val="00461E02"/>
    <w:rsid w:val="0046275D"/>
    <w:rsid w:val="00462A24"/>
    <w:rsid w:val="0046306A"/>
    <w:rsid w:val="0046361A"/>
    <w:rsid w:val="004666A4"/>
    <w:rsid w:val="00466C31"/>
    <w:rsid w:val="00467638"/>
    <w:rsid w:val="0046F67E"/>
    <w:rsid w:val="00481CDF"/>
    <w:rsid w:val="0048245D"/>
    <w:rsid w:val="004825A5"/>
    <w:rsid w:val="004874B5"/>
    <w:rsid w:val="00490B0C"/>
    <w:rsid w:val="00491543"/>
    <w:rsid w:val="00491E66"/>
    <w:rsid w:val="00497AF8"/>
    <w:rsid w:val="004A150F"/>
    <w:rsid w:val="004A4010"/>
    <w:rsid w:val="004B0254"/>
    <w:rsid w:val="004B06B2"/>
    <w:rsid w:val="004B1134"/>
    <w:rsid w:val="004B1D3D"/>
    <w:rsid w:val="004B2B5C"/>
    <w:rsid w:val="004B3CB7"/>
    <w:rsid w:val="004B3FC0"/>
    <w:rsid w:val="004B4177"/>
    <w:rsid w:val="004B47AB"/>
    <w:rsid w:val="004B7904"/>
    <w:rsid w:val="004C1044"/>
    <w:rsid w:val="004C36AE"/>
    <w:rsid w:val="004C490B"/>
    <w:rsid w:val="004C4A1F"/>
    <w:rsid w:val="004C4B44"/>
    <w:rsid w:val="004C56B5"/>
    <w:rsid w:val="004C5B98"/>
    <w:rsid w:val="004C6421"/>
    <w:rsid w:val="004C6CBE"/>
    <w:rsid w:val="004D006A"/>
    <w:rsid w:val="004D1AF1"/>
    <w:rsid w:val="004E007C"/>
    <w:rsid w:val="004E1D32"/>
    <w:rsid w:val="004E3040"/>
    <w:rsid w:val="004E3F7D"/>
    <w:rsid w:val="004E4059"/>
    <w:rsid w:val="004E76F8"/>
    <w:rsid w:val="004E7B33"/>
    <w:rsid w:val="004F10F0"/>
    <w:rsid w:val="004F42E2"/>
    <w:rsid w:val="004F4A76"/>
    <w:rsid w:val="005026F2"/>
    <w:rsid w:val="00504ACA"/>
    <w:rsid w:val="005051C4"/>
    <w:rsid w:val="005055A0"/>
    <w:rsid w:val="005063C0"/>
    <w:rsid w:val="005107A6"/>
    <w:rsid w:val="0051121A"/>
    <w:rsid w:val="005113FB"/>
    <w:rsid w:val="00512F0E"/>
    <w:rsid w:val="0051310D"/>
    <w:rsid w:val="005137F1"/>
    <w:rsid w:val="00514597"/>
    <w:rsid w:val="00516066"/>
    <w:rsid w:val="00516EC1"/>
    <w:rsid w:val="005177C1"/>
    <w:rsid w:val="00520A78"/>
    <w:rsid w:val="00521575"/>
    <w:rsid w:val="005218BF"/>
    <w:rsid w:val="00521CAE"/>
    <w:rsid w:val="00521EAD"/>
    <w:rsid w:val="005227EF"/>
    <w:rsid w:val="00523301"/>
    <w:rsid w:val="0052478C"/>
    <w:rsid w:val="00525604"/>
    <w:rsid w:val="0052733A"/>
    <w:rsid w:val="0053031C"/>
    <w:rsid w:val="00530A79"/>
    <w:rsid w:val="00531421"/>
    <w:rsid w:val="00531B74"/>
    <w:rsid w:val="00531D2A"/>
    <w:rsid w:val="00531DD3"/>
    <w:rsid w:val="005349AE"/>
    <w:rsid w:val="00535C6F"/>
    <w:rsid w:val="00544BF2"/>
    <w:rsid w:val="00547AA7"/>
    <w:rsid w:val="00550448"/>
    <w:rsid w:val="00550AA7"/>
    <w:rsid w:val="005526E4"/>
    <w:rsid w:val="00552B55"/>
    <w:rsid w:val="00553181"/>
    <w:rsid w:val="00553ECB"/>
    <w:rsid w:val="00557967"/>
    <w:rsid w:val="0056447C"/>
    <w:rsid w:val="0056779E"/>
    <w:rsid w:val="005677A0"/>
    <w:rsid w:val="005714DE"/>
    <w:rsid w:val="0057152C"/>
    <w:rsid w:val="00573D94"/>
    <w:rsid w:val="005740DB"/>
    <w:rsid w:val="005748AD"/>
    <w:rsid w:val="00575913"/>
    <w:rsid w:val="00576884"/>
    <w:rsid w:val="005775E2"/>
    <w:rsid w:val="00581B51"/>
    <w:rsid w:val="00582134"/>
    <w:rsid w:val="00582F9F"/>
    <w:rsid w:val="005839CB"/>
    <w:rsid w:val="005841A4"/>
    <w:rsid w:val="00584887"/>
    <w:rsid w:val="00585F0F"/>
    <w:rsid w:val="00587B2F"/>
    <w:rsid w:val="00590992"/>
    <w:rsid w:val="00590CC1"/>
    <w:rsid w:val="00591554"/>
    <w:rsid w:val="00593443"/>
    <w:rsid w:val="005938A6"/>
    <w:rsid w:val="00593DE7"/>
    <w:rsid w:val="0059464E"/>
    <w:rsid w:val="005968ED"/>
    <w:rsid w:val="00596F56"/>
    <w:rsid w:val="005A09A3"/>
    <w:rsid w:val="005A182F"/>
    <w:rsid w:val="005A1E5C"/>
    <w:rsid w:val="005A507F"/>
    <w:rsid w:val="005B0FB5"/>
    <w:rsid w:val="005B3AAB"/>
    <w:rsid w:val="005B69AE"/>
    <w:rsid w:val="005B76FB"/>
    <w:rsid w:val="005B7F98"/>
    <w:rsid w:val="005C01FD"/>
    <w:rsid w:val="005C5AF6"/>
    <w:rsid w:val="005C6730"/>
    <w:rsid w:val="005D2AF7"/>
    <w:rsid w:val="005D39DC"/>
    <w:rsid w:val="005D5C09"/>
    <w:rsid w:val="005E4DEB"/>
    <w:rsid w:val="005E5F83"/>
    <w:rsid w:val="005E6F7A"/>
    <w:rsid w:val="005E7CE6"/>
    <w:rsid w:val="005F033B"/>
    <w:rsid w:val="005F28BA"/>
    <w:rsid w:val="005F2AC6"/>
    <w:rsid w:val="005F2F70"/>
    <w:rsid w:val="005F3347"/>
    <w:rsid w:val="005F401F"/>
    <w:rsid w:val="005F74F8"/>
    <w:rsid w:val="005F7E5A"/>
    <w:rsid w:val="00600B87"/>
    <w:rsid w:val="00601311"/>
    <w:rsid w:val="00601403"/>
    <w:rsid w:val="006018D3"/>
    <w:rsid w:val="00603642"/>
    <w:rsid w:val="00604A5B"/>
    <w:rsid w:val="00604B64"/>
    <w:rsid w:val="00604BEA"/>
    <w:rsid w:val="00605783"/>
    <w:rsid w:val="00605CF9"/>
    <w:rsid w:val="006067B8"/>
    <w:rsid w:val="00606C61"/>
    <w:rsid w:val="0061011E"/>
    <w:rsid w:val="00610565"/>
    <w:rsid w:val="00610C79"/>
    <w:rsid w:val="00617103"/>
    <w:rsid w:val="00617D3E"/>
    <w:rsid w:val="0062127B"/>
    <w:rsid w:val="00622979"/>
    <w:rsid w:val="00622A9E"/>
    <w:rsid w:val="00622BFB"/>
    <w:rsid w:val="0062472B"/>
    <w:rsid w:val="0062622F"/>
    <w:rsid w:val="006269FC"/>
    <w:rsid w:val="00630166"/>
    <w:rsid w:val="00630C3D"/>
    <w:rsid w:val="006339E6"/>
    <w:rsid w:val="00635BB6"/>
    <w:rsid w:val="00637204"/>
    <w:rsid w:val="00640130"/>
    <w:rsid w:val="00642475"/>
    <w:rsid w:val="006428B1"/>
    <w:rsid w:val="0064372C"/>
    <w:rsid w:val="00647171"/>
    <w:rsid w:val="00650451"/>
    <w:rsid w:val="00650A77"/>
    <w:rsid w:val="006528D1"/>
    <w:rsid w:val="006538B8"/>
    <w:rsid w:val="006540BD"/>
    <w:rsid w:val="0065474B"/>
    <w:rsid w:val="00655BD4"/>
    <w:rsid w:val="006576E5"/>
    <w:rsid w:val="00657CE9"/>
    <w:rsid w:val="00663A5C"/>
    <w:rsid w:val="006647DE"/>
    <w:rsid w:val="00665AC9"/>
    <w:rsid w:val="00667F93"/>
    <w:rsid w:val="00670593"/>
    <w:rsid w:val="006716C0"/>
    <w:rsid w:val="00674CBE"/>
    <w:rsid w:val="00676929"/>
    <w:rsid w:val="00676B89"/>
    <w:rsid w:val="006775F0"/>
    <w:rsid w:val="0068263E"/>
    <w:rsid w:val="00682CA8"/>
    <w:rsid w:val="0068470B"/>
    <w:rsid w:val="00684E45"/>
    <w:rsid w:val="00684F5B"/>
    <w:rsid w:val="00687DE2"/>
    <w:rsid w:val="0069194E"/>
    <w:rsid w:val="00691BD9"/>
    <w:rsid w:val="00692166"/>
    <w:rsid w:val="006939F7"/>
    <w:rsid w:val="00696938"/>
    <w:rsid w:val="006978CC"/>
    <w:rsid w:val="006979A6"/>
    <w:rsid w:val="006A1927"/>
    <w:rsid w:val="006A28A0"/>
    <w:rsid w:val="006A337F"/>
    <w:rsid w:val="006A3B98"/>
    <w:rsid w:val="006A3C75"/>
    <w:rsid w:val="006A7C19"/>
    <w:rsid w:val="006B00A3"/>
    <w:rsid w:val="006B13AF"/>
    <w:rsid w:val="006B31D7"/>
    <w:rsid w:val="006B3408"/>
    <w:rsid w:val="006B613F"/>
    <w:rsid w:val="006C18AF"/>
    <w:rsid w:val="006C2C65"/>
    <w:rsid w:val="006C3CA6"/>
    <w:rsid w:val="006C431C"/>
    <w:rsid w:val="006C4DEE"/>
    <w:rsid w:val="006D0E5D"/>
    <w:rsid w:val="006D1481"/>
    <w:rsid w:val="006D3A53"/>
    <w:rsid w:val="006D44F6"/>
    <w:rsid w:val="006D6A6C"/>
    <w:rsid w:val="006D70E5"/>
    <w:rsid w:val="006D7358"/>
    <w:rsid w:val="006D7748"/>
    <w:rsid w:val="006E0E9A"/>
    <w:rsid w:val="006E3940"/>
    <w:rsid w:val="006E7C8E"/>
    <w:rsid w:val="006F0841"/>
    <w:rsid w:val="006F4FB7"/>
    <w:rsid w:val="006F65E3"/>
    <w:rsid w:val="006F7ADD"/>
    <w:rsid w:val="006F7CA5"/>
    <w:rsid w:val="00700845"/>
    <w:rsid w:val="0070110D"/>
    <w:rsid w:val="00701468"/>
    <w:rsid w:val="00703D08"/>
    <w:rsid w:val="0070419F"/>
    <w:rsid w:val="0070459C"/>
    <w:rsid w:val="007047A6"/>
    <w:rsid w:val="00710105"/>
    <w:rsid w:val="00713575"/>
    <w:rsid w:val="00717CC2"/>
    <w:rsid w:val="0072272A"/>
    <w:rsid w:val="007231EA"/>
    <w:rsid w:val="0072338A"/>
    <w:rsid w:val="00725DEB"/>
    <w:rsid w:val="0072768A"/>
    <w:rsid w:val="0073476F"/>
    <w:rsid w:val="00735DD9"/>
    <w:rsid w:val="00740067"/>
    <w:rsid w:val="007406F1"/>
    <w:rsid w:val="007421AD"/>
    <w:rsid w:val="00743AF9"/>
    <w:rsid w:val="00746CBF"/>
    <w:rsid w:val="0075040D"/>
    <w:rsid w:val="007510EC"/>
    <w:rsid w:val="007513A8"/>
    <w:rsid w:val="007515A0"/>
    <w:rsid w:val="007521CA"/>
    <w:rsid w:val="007521EC"/>
    <w:rsid w:val="007564ED"/>
    <w:rsid w:val="00757DED"/>
    <w:rsid w:val="00760384"/>
    <w:rsid w:val="0076054E"/>
    <w:rsid w:val="007617AB"/>
    <w:rsid w:val="00762464"/>
    <w:rsid w:val="00762923"/>
    <w:rsid w:val="00765378"/>
    <w:rsid w:val="00765608"/>
    <w:rsid w:val="00766946"/>
    <w:rsid w:val="00766A68"/>
    <w:rsid w:val="00767728"/>
    <w:rsid w:val="007678F1"/>
    <w:rsid w:val="00772504"/>
    <w:rsid w:val="007727C9"/>
    <w:rsid w:val="00773239"/>
    <w:rsid w:val="00774C54"/>
    <w:rsid w:val="00781635"/>
    <w:rsid w:val="00781884"/>
    <w:rsid w:val="0078396B"/>
    <w:rsid w:val="00784B7E"/>
    <w:rsid w:val="00784E88"/>
    <w:rsid w:val="00787794"/>
    <w:rsid w:val="007909C3"/>
    <w:rsid w:val="00790C96"/>
    <w:rsid w:val="0079257F"/>
    <w:rsid w:val="007946B1"/>
    <w:rsid w:val="00795560"/>
    <w:rsid w:val="00795EA3"/>
    <w:rsid w:val="00795F16"/>
    <w:rsid w:val="00796ED8"/>
    <w:rsid w:val="00797995"/>
    <w:rsid w:val="007A120E"/>
    <w:rsid w:val="007A16CD"/>
    <w:rsid w:val="007A2035"/>
    <w:rsid w:val="007A30EE"/>
    <w:rsid w:val="007A509F"/>
    <w:rsid w:val="007A7689"/>
    <w:rsid w:val="007A7BEC"/>
    <w:rsid w:val="007B0336"/>
    <w:rsid w:val="007B0337"/>
    <w:rsid w:val="007B19B2"/>
    <w:rsid w:val="007B1EFD"/>
    <w:rsid w:val="007B5B61"/>
    <w:rsid w:val="007B6620"/>
    <w:rsid w:val="007B7237"/>
    <w:rsid w:val="007B73E8"/>
    <w:rsid w:val="007C0432"/>
    <w:rsid w:val="007C2392"/>
    <w:rsid w:val="007C5D21"/>
    <w:rsid w:val="007C709B"/>
    <w:rsid w:val="007D0013"/>
    <w:rsid w:val="007D164E"/>
    <w:rsid w:val="007D1E8C"/>
    <w:rsid w:val="007D37D5"/>
    <w:rsid w:val="007D4A5F"/>
    <w:rsid w:val="007E01C4"/>
    <w:rsid w:val="007E11D2"/>
    <w:rsid w:val="007E1F19"/>
    <w:rsid w:val="007E2451"/>
    <w:rsid w:val="007E2E51"/>
    <w:rsid w:val="007E3349"/>
    <w:rsid w:val="007E3357"/>
    <w:rsid w:val="007E4195"/>
    <w:rsid w:val="007E5527"/>
    <w:rsid w:val="007E57F8"/>
    <w:rsid w:val="007E6618"/>
    <w:rsid w:val="007E7B9F"/>
    <w:rsid w:val="007F001F"/>
    <w:rsid w:val="007F09F7"/>
    <w:rsid w:val="007F28B8"/>
    <w:rsid w:val="007F3DE2"/>
    <w:rsid w:val="007F58BC"/>
    <w:rsid w:val="007F618D"/>
    <w:rsid w:val="007F752F"/>
    <w:rsid w:val="008056BC"/>
    <w:rsid w:val="0080625E"/>
    <w:rsid w:val="00806DF4"/>
    <w:rsid w:val="00807194"/>
    <w:rsid w:val="00810D9C"/>
    <w:rsid w:val="00811B5A"/>
    <w:rsid w:val="00813EBF"/>
    <w:rsid w:val="00817C10"/>
    <w:rsid w:val="0082028C"/>
    <w:rsid w:val="00820712"/>
    <w:rsid w:val="0082214A"/>
    <w:rsid w:val="00823772"/>
    <w:rsid w:val="008275D1"/>
    <w:rsid w:val="00833690"/>
    <w:rsid w:val="00833694"/>
    <w:rsid w:val="00833F97"/>
    <w:rsid w:val="00834034"/>
    <w:rsid w:val="008340DB"/>
    <w:rsid w:val="008366B3"/>
    <w:rsid w:val="00836810"/>
    <w:rsid w:val="00836F1F"/>
    <w:rsid w:val="00837619"/>
    <w:rsid w:val="0084064B"/>
    <w:rsid w:val="00842B23"/>
    <w:rsid w:val="00843D81"/>
    <w:rsid w:val="00844542"/>
    <w:rsid w:val="008453AA"/>
    <w:rsid w:val="00845AA8"/>
    <w:rsid w:val="00847BA8"/>
    <w:rsid w:val="00852C38"/>
    <w:rsid w:val="00852E65"/>
    <w:rsid w:val="00854A7F"/>
    <w:rsid w:val="008551E1"/>
    <w:rsid w:val="008563A4"/>
    <w:rsid w:val="00857B48"/>
    <w:rsid w:val="00857CD2"/>
    <w:rsid w:val="008609E6"/>
    <w:rsid w:val="008611B0"/>
    <w:rsid w:val="00861D10"/>
    <w:rsid w:val="00861EFD"/>
    <w:rsid w:val="0087137A"/>
    <w:rsid w:val="00871B42"/>
    <w:rsid w:val="00871FF0"/>
    <w:rsid w:val="00872DED"/>
    <w:rsid w:val="00873015"/>
    <w:rsid w:val="008731E3"/>
    <w:rsid w:val="0087396E"/>
    <w:rsid w:val="0087472D"/>
    <w:rsid w:val="00876BBA"/>
    <w:rsid w:val="00877D5C"/>
    <w:rsid w:val="008815A6"/>
    <w:rsid w:val="0088329E"/>
    <w:rsid w:val="008838A9"/>
    <w:rsid w:val="00883D8B"/>
    <w:rsid w:val="008855FA"/>
    <w:rsid w:val="00891070"/>
    <w:rsid w:val="0089337A"/>
    <w:rsid w:val="00893CAF"/>
    <w:rsid w:val="00894426"/>
    <w:rsid w:val="00895A1F"/>
    <w:rsid w:val="0089701C"/>
    <w:rsid w:val="008A117F"/>
    <w:rsid w:val="008A4BBC"/>
    <w:rsid w:val="008A57E9"/>
    <w:rsid w:val="008A6822"/>
    <w:rsid w:val="008A7942"/>
    <w:rsid w:val="008A79C1"/>
    <w:rsid w:val="008B173C"/>
    <w:rsid w:val="008B1C11"/>
    <w:rsid w:val="008B38FF"/>
    <w:rsid w:val="008B4C15"/>
    <w:rsid w:val="008C0EF2"/>
    <w:rsid w:val="008C1F1F"/>
    <w:rsid w:val="008C56D9"/>
    <w:rsid w:val="008C6C76"/>
    <w:rsid w:val="008C70F6"/>
    <w:rsid w:val="008D7119"/>
    <w:rsid w:val="008D7E45"/>
    <w:rsid w:val="008E0BD6"/>
    <w:rsid w:val="008E1F36"/>
    <w:rsid w:val="008E23D2"/>
    <w:rsid w:val="008E24F6"/>
    <w:rsid w:val="008E36F9"/>
    <w:rsid w:val="008E4482"/>
    <w:rsid w:val="008E4A05"/>
    <w:rsid w:val="008E4A4B"/>
    <w:rsid w:val="008E77B8"/>
    <w:rsid w:val="008F0C97"/>
    <w:rsid w:val="008F21C0"/>
    <w:rsid w:val="008F4335"/>
    <w:rsid w:val="008F5FED"/>
    <w:rsid w:val="008F6825"/>
    <w:rsid w:val="008F6F02"/>
    <w:rsid w:val="008F6F80"/>
    <w:rsid w:val="008F7F43"/>
    <w:rsid w:val="00903BAE"/>
    <w:rsid w:val="009051CB"/>
    <w:rsid w:val="00906328"/>
    <w:rsid w:val="0090642C"/>
    <w:rsid w:val="00907658"/>
    <w:rsid w:val="0091260C"/>
    <w:rsid w:val="009154D4"/>
    <w:rsid w:val="009178A1"/>
    <w:rsid w:val="00921135"/>
    <w:rsid w:val="00922BB0"/>
    <w:rsid w:val="00925850"/>
    <w:rsid w:val="00925DD9"/>
    <w:rsid w:val="00930398"/>
    <w:rsid w:val="0093126F"/>
    <w:rsid w:val="00932794"/>
    <w:rsid w:val="00932870"/>
    <w:rsid w:val="0093360E"/>
    <w:rsid w:val="00934499"/>
    <w:rsid w:val="009355EE"/>
    <w:rsid w:val="00935D19"/>
    <w:rsid w:val="00935F5E"/>
    <w:rsid w:val="00935F79"/>
    <w:rsid w:val="00937D39"/>
    <w:rsid w:val="00943B75"/>
    <w:rsid w:val="009446DA"/>
    <w:rsid w:val="0094492C"/>
    <w:rsid w:val="00947D80"/>
    <w:rsid w:val="009507AC"/>
    <w:rsid w:val="00950AEC"/>
    <w:rsid w:val="009510FB"/>
    <w:rsid w:val="009528EA"/>
    <w:rsid w:val="00953656"/>
    <w:rsid w:val="00955049"/>
    <w:rsid w:val="00956E05"/>
    <w:rsid w:val="0095721C"/>
    <w:rsid w:val="0096144E"/>
    <w:rsid w:val="009629A6"/>
    <w:rsid w:val="00963832"/>
    <w:rsid w:val="00967F4E"/>
    <w:rsid w:val="00971297"/>
    <w:rsid w:val="009754C3"/>
    <w:rsid w:val="0097556E"/>
    <w:rsid w:val="00975A85"/>
    <w:rsid w:val="00975DF2"/>
    <w:rsid w:val="00980F95"/>
    <w:rsid w:val="00981447"/>
    <w:rsid w:val="00981D9A"/>
    <w:rsid w:val="0098275E"/>
    <w:rsid w:val="00982CA9"/>
    <w:rsid w:val="00985AE4"/>
    <w:rsid w:val="00995D02"/>
    <w:rsid w:val="009A028E"/>
    <w:rsid w:val="009A337F"/>
    <w:rsid w:val="009A407B"/>
    <w:rsid w:val="009A62A4"/>
    <w:rsid w:val="009A6948"/>
    <w:rsid w:val="009A725F"/>
    <w:rsid w:val="009B05BF"/>
    <w:rsid w:val="009B2E3C"/>
    <w:rsid w:val="009B4A2D"/>
    <w:rsid w:val="009B5EE7"/>
    <w:rsid w:val="009B7C87"/>
    <w:rsid w:val="009C11F2"/>
    <w:rsid w:val="009C2848"/>
    <w:rsid w:val="009C51BA"/>
    <w:rsid w:val="009C7718"/>
    <w:rsid w:val="009D0450"/>
    <w:rsid w:val="009D1178"/>
    <w:rsid w:val="009D2419"/>
    <w:rsid w:val="009D3F6F"/>
    <w:rsid w:val="009D4AEE"/>
    <w:rsid w:val="009D764D"/>
    <w:rsid w:val="009D7F3C"/>
    <w:rsid w:val="009E1364"/>
    <w:rsid w:val="009E4DF3"/>
    <w:rsid w:val="009E5708"/>
    <w:rsid w:val="009E7536"/>
    <w:rsid w:val="009F1FDC"/>
    <w:rsid w:val="009F3987"/>
    <w:rsid w:val="009F5E4F"/>
    <w:rsid w:val="009F5F73"/>
    <w:rsid w:val="009F6F44"/>
    <w:rsid w:val="009F7ED7"/>
    <w:rsid w:val="00A0056E"/>
    <w:rsid w:val="00A02E8A"/>
    <w:rsid w:val="00A0308B"/>
    <w:rsid w:val="00A03C4B"/>
    <w:rsid w:val="00A044A0"/>
    <w:rsid w:val="00A054B0"/>
    <w:rsid w:val="00A05F1F"/>
    <w:rsid w:val="00A06231"/>
    <w:rsid w:val="00A15951"/>
    <w:rsid w:val="00A172A0"/>
    <w:rsid w:val="00A176BF"/>
    <w:rsid w:val="00A24277"/>
    <w:rsid w:val="00A24287"/>
    <w:rsid w:val="00A24B4F"/>
    <w:rsid w:val="00A253F5"/>
    <w:rsid w:val="00A2611F"/>
    <w:rsid w:val="00A30A10"/>
    <w:rsid w:val="00A31E10"/>
    <w:rsid w:val="00A31F5E"/>
    <w:rsid w:val="00A35C33"/>
    <w:rsid w:val="00A36B54"/>
    <w:rsid w:val="00A36CC0"/>
    <w:rsid w:val="00A40BF1"/>
    <w:rsid w:val="00A41214"/>
    <w:rsid w:val="00A41676"/>
    <w:rsid w:val="00A41A67"/>
    <w:rsid w:val="00A41ED7"/>
    <w:rsid w:val="00A430D1"/>
    <w:rsid w:val="00A44ED6"/>
    <w:rsid w:val="00A46574"/>
    <w:rsid w:val="00A47938"/>
    <w:rsid w:val="00A51538"/>
    <w:rsid w:val="00A547DF"/>
    <w:rsid w:val="00A558CD"/>
    <w:rsid w:val="00A55B9E"/>
    <w:rsid w:val="00A56F0D"/>
    <w:rsid w:val="00A61EBE"/>
    <w:rsid w:val="00A62644"/>
    <w:rsid w:val="00A62BD1"/>
    <w:rsid w:val="00A63AEA"/>
    <w:rsid w:val="00A64A7B"/>
    <w:rsid w:val="00A65D5A"/>
    <w:rsid w:val="00A65EBD"/>
    <w:rsid w:val="00A67596"/>
    <w:rsid w:val="00A71649"/>
    <w:rsid w:val="00A72CBB"/>
    <w:rsid w:val="00A80650"/>
    <w:rsid w:val="00A80A93"/>
    <w:rsid w:val="00A82144"/>
    <w:rsid w:val="00A82867"/>
    <w:rsid w:val="00A83742"/>
    <w:rsid w:val="00A86D46"/>
    <w:rsid w:val="00A878EF"/>
    <w:rsid w:val="00A879B5"/>
    <w:rsid w:val="00A9079C"/>
    <w:rsid w:val="00A907F7"/>
    <w:rsid w:val="00A94B38"/>
    <w:rsid w:val="00AA062C"/>
    <w:rsid w:val="00AA092C"/>
    <w:rsid w:val="00AA1115"/>
    <w:rsid w:val="00AA2256"/>
    <w:rsid w:val="00AA4F75"/>
    <w:rsid w:val="00AA5503"/>
    <w:rsid w:val="00AA5855"/>
    <w:rsid w:val="00AB21E8"/>
    <w:rsid w:val="00AB27CF"/>
    <w:rsid w:val="00AB6BC1"/>
    <w:rsid w:val="00AB6E0D"/>
    <w:rsid w:val="00AB76B0"/>
    <w:rsid w:val="00AB76F9"/>
    <w:rsid w:val="00AC02AC"/>
    <w:rsid w:val="00AC0464"/>
    <w:rsid w:val="00AC19F6"/>
    <w:rsid w:val="00AC3C00"/>
    <w:rsid w:val="00AC42E1"/>
    <w:rsid w:val="00AC4B93"/>
    <w:rsid w:val="00AC743E"/>
    <w:rsid w:val="00AD0457"/>
    <w:rsid w:val="00AD06D6"/>
    <w:rsid w:val="00AD083A"/>
    <w:rsid w:val="00AD1875"/>
    <w:rsid w:val="00AD6305"/>
    <w:rsid w:val="00AE770A"/>
    <w:rsid w:val="00AF1068"/>
    <w:rsid w:val="00AF23F5"/>
    <w:rsid w:val="00AF4510"/>
    <w:rsid w:val="00B00716"/>
    <w:rsid w:val="00B01A80"/>
    <w:rsid w:val="00B01AE7"/>
    <w:rsid w:val="00B03409"/>
    <w:rsid w:val="00B04BF0"/>
    <w:rsid w:val="00B05B72"/>
    <w:rsid w:val="00B06A43"/>
    <w:rsid w:val="00B11D57"/>
    <w:rsid w:val="00B12FDF"/>
    <w:rsid w:val="00B1447D"/>
    <w:rsid w:val="00B14E60"/>
    <w:rsid w:val="00B163DA"/>
    <w:rsid w:val="00B201A5"/>
    <w:rsid w:val="00B23AED"/>
    <w:rsid w:val="00B24422"/>
    <w:rsid w:val="00B26D12"/>
    <w:rsid w:val="00B27255"/>
    <w:rsid w:val="00B30AE1"/>
    <w:rsid w:val="00B31F33"/>
    <w:rsid w:val="00B33DE9"/>
    <w:rsid w:val="00B355FE"/>
    <w:rsid w:val="00B3736D"/>
    <w:rsid w:val="00B37B81"/>
    <w:rsid w:val="00B417C3"/>
    <w:rsid w:val="00B4567C"/>
    <w:rsid w:val="00B4578B"/>
    <w:rsid w:val="00B4720A"/>
    <w:rsid w:val="00B47F70"/>
    <w:rsid w:val="00B50680"/>
    <w:rsid w:val="00B51B7D"/>
    <w:rsid w:val="00B55CD2"/>
    <w:rsid w:val="00B62EC0"/>
    <w:rsid w:val="00B63325"/>
    <w:rsid w:val="00B64235"/>
    <w:rsid w:val="00B66706"/>
    <w:rsid w:val="00B668D2"/>
    <w:rsid w:val="00B66A41"/>
    <w:rsid w:val="00B677F9"/>
    <w:rsid w:val="00B7091A"/>
    <w:rsid w:val="00B7362D"/>
    <w:rsid w:val="00B74A30"/>
    <w:rsid w:val="00B755FC"/>
    <w:rsid w:val="00B76B91"/>
    <w:rsid w:val="00B7760D"/>
    <w:rsid w:val="00B77947"/>
    <w:rsid w:val="00B835DC"/>
    <w:rsid w:val="00B8463E"/>
    <w:rsid w:val="00B86A6A"/>
    <w:rsid w:val="00B90850"/>
    <w:rsid w:val="00B90919"/>
    <w:rsid w:val="00B923A7"/>
    <w:rsid w:val="00B939AD"/>
    <w:rsid w:val="00B93D93"/>
    <w:rsid w:val="00B95EA9"/>
    <w:rsid w:val="00B96F1C"/>
    <w:rsid w:val="00BA0FA7"/>
    <w:rsid w:val="00BA19D3"/>
    <w:rsid w:val="00BA25CF"/>
    <w:rsid w:val="00BA3138"/>
    <w:rsid w:val="00BA4014"/>
    <w:rsid w:val="00BA4D4B"/>
    <w:rsid w:val="00BA5AA6"/>
    <w:rsid w:val="00BA5E9B"/>
    <w:rsid w:val="00BA7768"/>
    <w:rsid w:val="00BB25F6"/>
    <w:rsid w:val="00BB2B3F"/>
    <w:rsid w:val="00BB4E1E"/>
    <w:rsid w:val="00BB6EA8"/>
    <w:rsid w:val="00BB7C25"/>
    <w:rsid w:val="00BC1E74"/>
    <w:rsid w:val="00BC3BAB"/>
    <w:rsid w:val="00BC4DAC"/>
    <w:rsid w:val="00BC55A6"/>
    <w:rsid w:val="00BC6AA8"/>
    <w:rsid w:val="00BC703E"/>
    <w:rsid w:val="00BC7092"/>
    <w:rsid w:val="00BC7ED0"/>
    <w:rsid w:val="00BD1C9F"/>
    <w:rsid w:val="00BD2414"/>
    <w:rsid w:val="00BD39DD"/>
    <w:rsid w:val="00BD3B83"/>
    <w:rsid w:val="00BE11D9"/>
    <w:rsid w:val="00BE2D55"/>
    <w:rsid w:val="00BE2F24"/>
    <w:rsid w:val="00BE35BA"/>
    <w:rsid w:val="00BF006A"/>
    <w:rsid w:val="00BF035F"/>
    <w:rsid w:val="00BF0A75"/>
    <w:rsid w:val="00BF118B"/>
    <w:rsid w:val="00BF1ACD"/>
    <w:rsid w:val="00BF272F"/>
    <w:rsid w:val="00BF2827"/>
    <w:rsid w:val="00BF387A"/>
    <w:rsid w:val="00BF3C4B"/>
    <w:rsid w:val="00BF4907"/>
    <w:rsid w:val="00BF6A38"/>
    <w:rsid w:val="00BF6A8B"/>
    <w:rsid w:val="00BF6BED"/>
    <w:rsid w:val="00BF71D8"/>
    <w:rsid w:val="00BF743C"/>
    <w:rsid w:val="00BF7F00"/>
    <w:rsid w:val="00C00740"/>
    <w:rsid w:val="00C01ECD"/>
    <w:rsid w:val="00C047A0"/>
    <w:rsid w:val="00C04EC0"/>
    <w:rsid w:val="00C0560C"/>
    <w:rsid w:val="00C05B90"/>
    <w:rsid w:val="00C11965"/>
    <w:rsid w:val="00C140E5"/>
    <w:rsid w:val="00C149E3"/>
    <w:rsid w:val="00C14FA6"/>
    <w:rsid w:val="00C16B27"/>
    <w:rsid w:val="00C179EA"/>
    <w:rsid w:val="00C21978"/>
    <w:rsid w:val="00C22B38"/>
    <w:rsid w:val="00C23FBF"/>
    <w:rsid w:val="00C26844"/>
    <w:rsid w:val="00C321A6"/>
    <w:rsid w:val="00C34C14"/>
    <w:rsid w:val="00C36437"/>
    <w:rsid w:val="00C41649"/>
    <w:rsid w:val="00C41ACF"/>
    <w:rsid w:val="00C41EBA"/>
    <w:rsid w:val="00C42FEC"/>
    <w:rsid w:val="00C46766"/>
    <w:rsid w:val="00C46FAC"/>
    <w:rsid w:val="00C502AA"/>
    <w:rsid w:val="00C51813"/>
    <w:rsid w:val="00C52AE6"/>
    <w:rsid w:val="00C543FE"/>
    <w:rsid w:val="00C56C69"/>
    <w:rsid w:val="00C56C6C"/>
    <w:rsid w:val="00C611AF"/>
    <w:rsid w:val="00C6160F"/>
    <w:rsid w:val="00C6182C"/>
    <w:rsid w:val="00C6197D"/>
    <w:rsid w:val="00C62325"/>
    <w:rsid w:val="00C65F8C"/>
    <w:rsid w:val="00C666A5"/>
    <w:rsid w:val="00C7090A"/>
    <w:rsid w:val="00C73CEB"/>
    <w:rsid w:val="00C775CE"/>
    <w:rsid w:val="00C77D98"/>
    <w:rsid w:val="00C804FB"/>
    <w:rsid w:val="00C821D6"/>
    <w:rsid w:val="00C82341"/>
    <w:rsid w:val="00C82CA9"/>
    <w:rsid w:val="00C8586B"/>
    <w:rsid w:val="00C8646A"/>
    <w:rsid w:val="00C90D45"/>
    <w:rsid w:val="00C9113E"/>
    <w:rsid w:val="00C91418"/>
    <w:rsid w:val="00C92904"/>
    <w:rsid w:val="00C947F3"/>
    <w:rsid w:val="00C94BA1"/>
    <w:rsid w:val="00C9543A"/>
    <w:rsid w:val="00C95D56"/>
    <w:rsid w:val="00CA0857"/>
    <w:rsid w:val="00CA10E3"/>
    <w:rsid w:val="00CA2D34"/>
    <w:rsid w:val="00CA2FEA"/>
    <w:rsid w:val="00CA3A5E"/>
    <w:rsid w:val="00CA3A76"/>
    <w:rsid w:val="00CA5126"/>
    <w:rsid w:val="00CA60AA"/>
    <w:rsid w:val="00CA6205"/>
    <w:rsid w:val="00CA6A11"/>
    <w:rsid w:val="00CA7AC9"/>
    <w:rsid w:val="00CA7BDD"/>
    <w:rsid w:val="00CB1F87"/>
    <w:rsid w:val="00CB43FC"/>
    <w:rsid w:val="00CB4E86"/>
    <w:rsid w:val="00CB541B"/>
    <w:rsid w:val="00CB5EEF"/>
    <w:rsid w:val="00CC0D1A"/>
    <w:rsid w:val="00CC0F1E"/>
    <w:rsid w:val="00CC133E"/>
    <w:rsid w:val="00CC1A57"/>
    <w:rsid w:val="00CC21DA"/>
    <w:rsid w:val="00CC352B"/>
    <w:rsid w:val="00CC46F7"/>
    <w:rsid w:val="00CC4BCC"/>
    <w:rsid w:val="00CC61EE"/>
    <w:rsid w:val="00CC761C"/>
    <w:rsid w:val="00CC7CF0"/>
    <w:rsid w:val="00CD0D75"/>
    <w:rsid w:val="00CD1F3A"/>
    <w:rsid w:val="00CD356B"/>
    <w:rsid w:val="00CD4BA8"/>
    <w:rsid w:val="00CD4F13"/>
    <w:rsid w:val="00CD5AF1"/>
    <w:rsid w:val="00CD7205"/>
    <w:rsid w:val="00CD72E2"/>
    <w:rsid w:val="00CE0509"/>
    <w:rsid w:val="00CE1E42"/>
    <w:rsid w:val="00CE25E1"/>
    <w:rsid w:val="00CE28B9"/>
    <w:rsid w:val="00CE2B9A"/>
    <w:rsid w:val="00CE42D8"/>
    <w:rsid w:val="00CE5CF6"/>
    <w:rsid w:val="00CE69DD"/>
    <w:rsid w:val="00CE6B7F"/>
    <w:rsid w:val="00CE6BE9"/>
    <w:rsid w:val="00CF47F6"/>
    <w:rsid w:val="00CF4941"/>
    <w:rsid w:val="00CF4E8B"/>
    <w:rsid w:val="00CF5304"/>
    <w:rsid w:val="00CF5544"/>
    <w:rsid w:val="00CF5A91"/>
    <w:rsid w:val="00CF7C1F"/>
    <w:rsid w:val="00D0022A"/>
    <w:rsid w:val="00D002CE"/>
    <w:rsid w:val="00D00CD8"/>
    <w:rsid w:val="00D03458"/>
    <w:rsid w:val="00D05277"/>
    <w:rsid w:val="00D05A19"/>
    <w:rsid w:val="00D06516"/>
    <w:rsid w:val="00D06E11"/>
    <w:rsid w:val="00D07271"/>
    <w:rsid w:val="00D126BD"/>
    <w:rsid w:val="00D12B79"/>
    <w:rsid w:val="00D15117"/>
    <w:rsid w:val="00D15F00"/>
    <w:rsid w:val="00D167DD"/>
    <w:rsid w:val="00D17524"/>
    <w:rsid w:val="00D20322"/>
    <w:rsid w:val="00D22163"/>
    <w:rsid w:val="00D22AC2"/>
    <w:rsid w:val="00D25464"/>
    <w:rsid w:val="00D31600"/>
    <w:rsid w:val="00D31EE9"/>
    <w:rsid w:val="00D32C41"/>
    <w:rsid w:val="00D330D5"/>
    <w:rsid w:val="00D348B1"/>
    <w:rsid w:val="00D36DB4"/>
    <w:rsid w:val="00D370E5"/>
    <w:rsid w:val="00D407FB"/>
    <w:rsid w:val="00D41DE7"/>
    <w:rsid w:val="00D4554E"/>
    <w:rsid w:val="00D50C8A"/>
    <w:rsid w:val="00D50CB8"/>
    <w:rsid w:val="00D574D8"/>
    <w:rsid w:val="00D61CDE"/>
    <w:rsid w:val="00D63472"/>
    <w:rsid w:val="00D656D8"/>
    <w:rsid w:val="00D67210"/>
    <w:rsid w:val="00D71E0D"/>
    <w:rsid w:val="00D720E5"/>
    <w:rsid w:val="00D721A2"/>
    <w:rsid w:val="00D7399F"/>
    <w:rsid w:val="00D756A2"/>
    <w:rsid w:val="00D75BB6"/>
    <w:rsid w:val="00D77A86"/>
    <w:rsid w:val="00D813E6"/>
    <w:rsid w:val="00D81A43"/>
    <w:rsid w:val="00D822C8"/>
    <w:rsid w:val="00D83866"/>
    <w:rsid w:val="00D84A67"/>
    <w:rsid w:val="00D84FF7"/>
    <w:rsid w:val="00D878D1"/>
    <w:rsid w:val="00D91081"/>
    <w:rsid w:val="00D912A7"/>
    <w:rsid w:val="00D93E90"/>
    <w:rsid w:val="00D9461E"/>
    <w:rsid w:val="00D95358"/>
    <w:rsid w:val="00D95C78"/>
    <w:rsid w:val="00DA1471"/>
    <w:rsid w:val="00DA1FA6"/>
    <w:rsid w:val="00DA4960"/>
    <w:rsid w:val="00DA4E4F"/>
    <w:rsid w:val="00DA4F89"/>
    <w:rsid w:val="00DA5E4B"/>
    <w:rsid w:val="00DB29A3"/>
    <w:rsid w:val="00DB68B0"/>
    <w:rsid w:val="00DC189B"/>
    <w:rsid w:val="00DC2D37"/>
    <w:rsid w:val="00DC50A5"/>
    <w:rsid w:val="00DC6782"/>
    <w:rsid w:val="00DD02AA"/>
    <w:rsid w:val="00DD0941"/>
    <w:rsid w:val="00DD15ED"/>
    <w:rsid w:val="00DD23F7"/>
    <w:rsid w:val="00DD2530"/>
    <w:rsid w:val="00DD28CF"/>
    <w:rsid w:val="00DD689F"/>
    <w:rsid w:val="00DE3645"/>
    <w:rsid w:val="00DE3A5B"/>
    <w:rsid w:val="00DE5069"/>
    <w:rsid w:val="00DE7546"/>
    <w:rsid w:val="00DF2F89"/>
    <w:rsid w:val="00DF344A"/>
    <w:rsid w:val="00E052A2"/>
    <w:rsid w:val="00E053DC"/>
    <w:rsid w:val="00E06383"/>
    <w:rsid w:val="00E10B6A"/>
    <w:rsid w:val="00E116C7"/>
    <w:rsid w:val="00E126CE"/>
    <w:rsid w:val="00E13FEC"/>
    <w:rsid w:val="00E20AD2"/>
    <w:rsid w:val="00E22BA7"/>
    <w:rsid w:val="00E24530"/>
    <w:rsid w:val="00E25A43"/>
    <w:rsid w:val="00E26B3B"/>
    <w:rsid w:val="00E31F4A"/>
    <w:rsid w:val="00E32A20"/>
    <w:rsid w:val="00E337C0"/>
    <w:rsid w:val="00E337DF"/>
    <w:rsid w:val="00E33BA8"/>
    <w:rsid w:val="00E347F2"/>
    <w:rsid w:val="00E36846"/>
    <w:rsid w:val="00E37184"/>
    <w:rsid w:val="00E414F9"/>
    <w:rsid w:val="00E4334F"/>
    <w:rsid w:val="00E44AFD"/>
    <w:rsid w:val="00E45516"/>
    <w:rsid w:val="00E46BCB"/>
    <w:rsid w:val="00E46D56"/>
    <w:rsid w:val="00E524B6"/>
    <w:rsid w:val="00E61332"/>
    <w:rsid w:val="00E63408"/>
    <w:rsid w:val="00E643F1"/>
    <w:rsid w:val="00E66B18"/>
    <w:rsid w:val="00E6733C"/>
    <w:rsid w:val="00E70EAF"/>
    <w:rsid w:val="00E75006"/>
    <w:rsid w:val="00E76100"/>
    <w:rsid w:val="00E76959"/>
    <w:rsid w:val="00E8254C"/>
    <w:rsid w:val="00E86C9B"/>
    <w:rsid w:val="00E879D9"/>
    <w:rsid w:val="00E90D33"/>
    <w:rsid w:val="00E91B7A"/>
    <w:rsid w:val="00E91ED1"/>
    <w:rsid w:val="00E93B99"/>
    <w:rsid w:val="00E93BA4"/>
    <w:rsid w:val="00E94CED"/>
    <w:rsid w:val="00E95B77"/>
    <w:rsid w:val="00E97824"/>
    <w:rsid w:val="00EA50F0"/>
    <w:rsid w:val="00EA610C"/>
    <w:rsid w:val="00EA7F4E"/>
    <w:rsid w:val="00EB0114"/>
    <w:rsid w:val="00EB06C9"/>
    <w:rsid w:val="00EB0A35"/>
    <w:rsid w:val="00EB0D05"/>
    <w:rsid w:val="00EB1CF5"/>
    <w:rsid w:val="00EB5015"/>
    <w:rsid w:val="00EB5D3E"/>
    <w:rsid w:val="00EB6035"/>
    <w:rsid w:val="00EB6C48"/>
    <w:rsid w:val="00EB7285"/>
    <w:rsid w:val="00EB7945"/>
    <w:rsid w:val="00EB7BD2"/>
    <w:rsid w:val="00EC0517"/>
    <w:rsid w:val="00EC3EC8"/>
    <w:rsid w:val="00EC4CE0"/>
    <w:rsid w:val="00EC5B37"/>
    <w:rsid w:val="00EC7F24"/>
    <w:rsid w:val="00ED00A5"/>
    <w:rsid w:val="00ED2826"/>
    <w:rsid w:val="00ED61F4"/>
    <w:rsid w:val="00ED64E8"/>
    <w:rsid w:val="00ED6F93"/>
    <w:rsid w:val="00EE03FC"/>
    <w:rsid w:val="00EE04C8"/>
    <w:rsid w:val="00EE3306"/>
    <w:rsid w:val="00EE3447"/>
    <w:rsid w:val="00EE590B"/>
    <w:rsid w:val="00EE7C5E"/>
    <w:rsid w:val="00EF3ABA"/>
    <w:rsid w:val="00EF71CC"/>
    <w:rsid w:val="00EF71D5"/>
    <w:rsid w:val="00EF7C90"/>
    <w:rsid w:val="00F0434D"/>
    <w:rsid w:val="00F04E34"/>
    <w:rsid w:val="00F061BA"/>
    <w:rsid w:val="00F1063E"/>
    <w:rsid w:val="00F12F4F"/>
    <w:rsid w:val="00F14EFA"/>
    <w:rsid w:val="00F20CB7"/>
    <w:rsid w:val="00F2164C"/>
    <w:rsid w:val="00F2376A"/>
    <w:rsid w:val="00F2487B"/>
    <w:rsid w:val="00F2489C"/>
    <w:rsid w:val="00F24BA2"/>
    <w:rsid w:val="00F3006D"/>
    <w:rsid w:val="00F3226E"/>
    <w:rsid w:val="00F32940"/>
    <w:rsid w:val="00F34A86"/>
    <w:rsid w:val="00F359C1"/>
    <w:rsid w:val="00F36300"/>
    <w:rsid w:val="00F36681"/>
    <w:rsid w:val="00F422C2"/>
    <w:rsid w:val="00F43B9C"/>
    <w:rsid w:val="00F45B67"/>
    <w:rsid w:val="00F466EA"/>
    <w:rsid w:val="00F47846"/>
    <w:rsid w:val="00F51F0A"/>
    <w:rsid w:val="00F544F8"/>
    <w:rsid w:val="00F54676"/>
    <w:rsid w:val="00F56F6A"/>
    <w:rsid w:val="00F57B2D"/>
    <w:rsid w:val="00F601DD"/>
    <w:rsid w:val="00F60271"/>
    <w:rsid w:val="00F6136C"/>
    <w:rsid w:val="00F6293F"/>
    <w:rsid w:val="00F63A61"/>
    <w:rsid w:val="00F64A6B"/>
    <w:rsid w:val="00F65492"/>
    <w:rsid w:val="00F677D5"/>
    <w:rsid w:val="00F678E0"/>
    <w:rsid w:val="00F70C6B"/>
    <w:rsid w:val="00F71AC0"/>
    <w:rsid w:val="00F74173"/>
    <w:rsid w:val="00F758CF"/>
    <w:rsid w:val="00F76544"/>
    <w:rsid w:val="00F777C2"/>
    <w:rsid w:val="00F7786D"/>
    <w:rsid w:val="00F81F0F"/>
    <w:rsid w:val="00F83EC6"/>
    <w:rsid w:val="00F8717C"/>
    <w:rsid w:val="00F9170F"/>
    <w:rsid w:val="00F91CD6"/>
    <w:rsid w:val="00F94339"/>
    <w:rsid w:val="00F94CF4"/>
    <w:rsid w:val="00F96562"/>
    <w:rsid w:val="00F9683B"/>
    <w:rsid w:val="00FA0126"/>
    <w:rsid w:val="00FA0E3F"/>
    <w:rsid w:val="00FA101A"/>
    <w:rsid w:val="00FA1B16"/>
    <w:rsid w:val="00FA3408"/>
    <w:rsid w:val="00FA404E"/>
    <w:rsid w:val="00FA5FA3"/>
    <w:rsid w:val="00FA63C8"/>
    <w:rsid w:val="00FA63D7"/>
    <w:rsid w:val="00FA67AD"/>
    <w:rsid w:val="00FA6CF1"/>
    <w:rsid w:val="00FB0BF9"/>
    <w:rsid w:val="00FB0F4E"/>
    <w:rsid w:val="00FB3142"/>
    <w:rsid w:val="00FB47CB"/>
    <w:rsid w:val="00FB5F08"/>
    <w:rsid w:val="00FB683D"/>
    <w:rsid w:val="00FC2ED8"/>
    <w:rsid w:val="00FC42F0"/>
    <w:rsid w:val="00FC467B"/>
    <w:rsid w:val="00FC47D7"/>
    <w:rsid w:val="00FC53C0"/>
    <w:rsid w:val="00FC7043"/>
    <w:rsid w:val="00FD1246"/>
    <w:rsid w:val="00FD2C78"/>
    <w:rsid w:val="00FD2EFA"/>
    <w:rsid w:val="00FD30F6"/>
    <w:rsid w:val="00FD360C"/>
    <w:rsid w:val="00FD7F49"/>
    <w:rsid w:val="00FD7F93"/>
    <w:rsid w:val="00FE0C6D"/>
    <w:rsid w:val="00FE1275"/>
    <w:rsid w:val="00FE4127"/>
    <w:rsid w:val="00FE7A27"/>
    <w:rsid w:val="00FF3481"/>
    <w:rsid w:val="00FF43F4"/>
    <w:rsid w:val="00FF492A"/>
    <w:rsid w:val="00FF5A52"/>
    <w:rsid w:val="00FF693F"/>
    <w:rsid w:val="00FF6D46"/>
    <w:rsid w:val="00FF718D"/>
    <w:rsid w:val="014E265E"/>
    <w:rsid w:val="019A361F"/>
    <w:rsid w:val="01EB1D44"/>
    <w:rsid w:val="020D13AC"/>
    <w:rsid w:val="0276EC8E"/>
    <w:rsid w:val="02C74B1A"/>
    <w:rsid w:val="02DEF864"/>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D3654A"/>
    <w:rsid w:val="06ECA641"/>
    <w:rsid w:val="06ECE39B"/>
    <w:rsid w:val="0721F3AD"/>
    <w:rsid w:val="073CB049"/>
    <w:rsid w:val="07F653A8"/>
    <w:rsid w:val="08038C01"/>
    <w:rsid w:val="0885F8E3"/>
    <w:rsid w:val="08983D8A"/>
    <w:rsid w:val="08B6A326"/>
    <w:rsid w:val="08DA0127"/>
    <w:rsid w:val="0941E548"/>
    <w:rsid w:val="0A12D9A1"/>
    <w:rsid w:val="0A4372AC"/>
    <w:rsid w:val="0A56C10E"/>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609D3C"/>
    <w:rsid w:val="0F75E13B"/>
    <w:rsid w:val="10089FC9"/>
    <w:rsid w:val="1095467A"/>
    <w:rsid w:val="10F6B520"/>
    <w:rsid w:val="115E5BFE"/>
    <w:rsid w:val="11CC3205"/>
    <w:rsid w:val="124EAA14"/>
    <w:rsid w:val="12D08925"/>
    <w:rsid w:val="130567D9"/>
    <w:rsid w:val="1361E69B"/>
    <w:rsid w:val="1408EBAA"/>
    <w:rsid w:val="141F293D"/>
    <w:rsid w:val="14258C8B"/>
    <w:rsid w:val="142EFE99"/>
    <w:rsid w:val="142FC122"/>
    <w:rsid w:val="145ED26F"/>
    <w:rsid w:val="1467CF85"/>
    <w:rsid w:val="14B2BA1E"/>
    <w:rsid w:val="14F27640"/>
    <w:rsid w:val="14F80B35"/>
    <w:rsid w:val="15250DAE"/>
    <w:rsid w:val="154665A5"/>
    <w:rsid w:val="154E5B21"/>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942994"/>
    <w:rsid w:val="1E96BB98"/>
    <w:rsid w:val="1EABEE55"/>
    <w:rsid w:val="1ED67A25"/>
    <w:rsid w:val="1F012AF0"/>
    <w:rsid w:val="2034DA43"/>
    <w:rsid w:val="209011A9"/>
    <w:rsid w:val="20CC9F8A"/>
    <w:rsid w:val="20CFDF2E"/>
    <w:rsid w:val="2126169B"/>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CCA7B6"/>
    <w:rsid w:val="330DE8C0"/>
    <w:rsid w:val="3321E8D4"/>
    <w:rsid w:val="33DC782F"/>
    <w:rsid w:val="33E3330A"/>
    <w:rsid w:val="33E7E62C"/>
    <w:rsid w:val="33EAF271"/>
    <w:rsid w:val="343F68DC"/>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887C264"/>
    <w:rsid w:val="38BB17FB"/>
    <w:rsid w:val="38BE12EE"/>
    <w:rsid w:val="38D9B406"/>
    <w:rsid w:val="38DADF5D"/>
    <w:rsid w:val="394B9BDF"/>
    <w:rsid w:val="396190B6"/>
    <w:rsid w:val="39A74DF6"/>
    <w:rsid w:val="39B7546C"/>
    <w:rsid w:val="39BC5BC1"/>
    <w:rsid w:val="3A0D3B34"/>
    <w:rsid w:val="3A3A6110"/>
    <w:rsid w:val="3A597212"/>
    <w:rsid w:val="3ABE3247"/>
    <w:rsid w:val="3AF8EEE5"/>
    <w:rsid w:val="3AFD7C16"/>
    <w:rsid w:val="3B776A68"/>
    <w:rsid w:val="3BB4FF57"/>
    <w:rsid w:val="3BDB4E96"/>
    <w:rsid w:val="3C18E64B"/>
    <w:rsid w:val="3D0873D0"/>
    <w:rsid w:val="3E3370BE"/>
    <w:rsid w:val="3E624B01"/>
    <w:rsid w:val="3EDCF5DA"/>
    <w:rsid w:val="3EE363E6"/>
    <w:rsid w:val="3EF4E40D"/>
    <w:rsid w:val="3F07A4BF"/>
    <w:rsid w:val="3F7D4EFA"/>
    <w:rsid w:val="3F7E98A2"/>
    <w:rsid w:val="3FAC67DE"/>
    <w:rsid w:val="3FADB113"/>
    <w:rsid w:val="3FB2D07F"/>
    <w:rsid w:val="40022CF5"/>
    <w:rsid w:val="409D2C31"/>
    <w:rsid w:val="41906770"/>
    <w:rsid w:val="41A9539F"/>
    <w:rsid w:val="41CCD0EE"/>
    <w:rsid w:val="427A4DD0"/>
    <w:rsid w:val="42947091"/>
    <w:rsid w:val="42B4EFBC"/>
    <w:rsid w:val="436B42EF"/>
    <w:rsid w:val="43AA7A21"/>
    <w:rsid w:val="43CB8844"/>
    <w:rsid w:val="43EB66C9"/>
    <w:rsid w:val="440EF261"/>
    <w:rsid w:val="445209C5"/>
    <w:rsid w:val="445A6868"/>
    <w:rsid w:val="4490FE83"/>
    <w:rsid w:val="44E5FB0A"/>
    <w:rsid w:val="44FE2913"/>
    <w:rsid w:val="452274D7"/>
    <w:rsid w:val="4525F232"/>
    <w:rsid w:val="452807A4"/>
    <w:rsid w:val="4613FE95"/>
    <w:rsid w:val="46182F21"/>
    <w:rsid w:val="46962082"/>
    <w:rsid w:val="47FB1C43"/>
    <w:rsid w:val="4813ACDB"/>
    <w:rsid w:val="48446BC4"/>
    <w:rsid w:val="4854480C"/>
    <w:rsid w:val="4872727E"/>
    <w:rsid w:val="48EC9B17"/>
    <w:rsid w:val="492C06AD"/>
    <w:rsid w:val="49A8CEA8"/>
    <w:rsid w:val="49D97277"/>
    <w:rsid w:val="49EA26FC"/>
    <w:rsid w:val="49F02B4D"/>
    <w:rsid w:val="49F7DB6A"/>
    <w:rsid w:val="4A7B7DBA"/>
    <w:rsid w:val="4AABC1C0"/>
    <w:rsid w:val="4C1E6C3C"/>
    <w:rsid w:val="4C228C51"/>
    <w:rsid w:val="4C276ADE"/>
    <w:rsid w:val="4C43E32D"/>
    <w:rsid w:val="4C7D9D1B"/>
    <w:rsid w:val="4CDDD216"/>
    <w:rsid w:val="4D0D067E"/>
    <w:rsid w:val="4E3EDD5C"/>
    <w:rsid w:val="4E94ED3C"/>
    <w:rsid w:val="4EB1B89D"/>
    <w:rsid w:val="5013CB5C"/>
    <w:rsid w:val="50286B91"/>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C41BFD"/>
    <w:rsid w:val="58CE08E3"/>
    <w:rsid w:val="58D8237E"/>
    <w:rsid w:val="58F59144"/>
    <w:rsid w:val="59365E19"/>
    <w:rsid w:val="597F9E6B"/>
    <w:rsid w:val="59A7E21E"/>
    <w:rsid w:val="59B12B20"/>
    <w:rsid w:val="59E9904D"/>
    <w:rsid w:val="5A0FB56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858143"/>
    <w:rsid w:val="629C724D"/>
    <w:rsid w:val="62D13601"/>
    <w:rsid w:val="632011B9"/>
    <w:rsid w:val="6320A840"/>
    <w:rsid w:val="636DA74F"/>
    <w:rsid w:val="63762C99"/>
    <w:rsid w:val="637777D3"/>
    <w:rsid w:val="64107688"/>
    <w:rsid w:val="64B70372"/>
    <w:rsid w:val="6535A577"/>
    <w:rsid w:val="65B51444"/>
    <w:rsid w:val="660F72A8"/>
    <w:rsid w:val="666EFDD0"/>
    <w:rsid w:val="66FC9028"/>
    <w:rsid w:val="670FB49E"/>
    <w:rsid w:val="67920FB0"/>
    <w:rsid w:val="67D0CA41"/>
    <w:rsid w:val="68B55F41"/>
    <w:rsid w:val="68DB67CD"/>
    <w:rsid w:val="68F8B673"/>
    <w:rsid w:val="69C29F15"/>
    <w:rsid w:val="69E88A74"/>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F63C5E"/>
    <w:rsid w:val="743DBC2D"/>
    <w:rsid w:val="746A01CF"/>
    <w:rsid w:val="74A0A99E"/>
    <w:rsid w:val="7535124D"/>
    <w:rsid w:val="75546714"/>
    <w:rsid w:val="756A921E"/>
    <w:rsid w:val="75C5E33B"/>
    <w:rsid w:val="75CC10FA"/>
    <w:rsid w:val="75E7465F"/>
    <w:rsid w:val="75FC3621"/>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B069A0F"/>
    <w:rsid w:val="7B2EF5A4"/>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557A9DB5-D179-4816-8365-3AC801C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2E77BF"/>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6004">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3280">
      <w:bodyDiv w:val="1"/>
      <w:marLeft w:val="0"/>
      <w:marRight w:val="0"/>
      <w:marTop w:val="0"/>
      <w:marBottom w:val="0"/>
      <w:divBdr>
        <w:top w:val="none" w:sz="0" w:space="0" w:color="auto"/>
        <w:left w:val="none" w:sz="0" w:space="0" w:color="auto"/>
        <w:bottom w:val="none" w:sz="0" w:space="0" w:color="auto"/>
        <w:right w:val="none" w:sz="0" w:space="0" w:color="auto"/>
      </w:divBdr>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news/la-conference-des-nations-unies-sur-leau-une-occasion-de-changement-mme-musonda-mumba" TargetMode="External"/><Relationship Id="rId2" Type="http://schemas.openxmlformats.org/officeDocument/2006/relationships/hyperlink" Target="https://www.unccd.int/our-work/flagship-initiatives/G20-Initiative" TargetMode="External"/><Relationship Id="rId1" Type="http://schemas.openxmlformats.org/officeDocument/2006/relationships/hyperlink" Target="https://www.ramsar.org/document/sc59-doc161-review-of-the-fifth-joint-work-plan-between-the-convention-on-biological" TargetMode="External"/><Relationship Id="rId4" Type="http://schemas.openxmlformats.org/officeDocument/2006/relationships/hyperlink" Target="https://www.ramsar.org/fr/conference-sur-leau-2023-des-nations-unies-declaration-de-mme-musonda-mumba-au-dialogue-3-leau-p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8269-4D12-4F05-BD36-C096FA6E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97753-8E8B-46BB-B69B-F689303C8624}">
  <ds:schemaRefs>
    <ds:schemaRef ds:uri="http://purl.org/dc/elements/1.1/"/>
    <ds:schemaRef ds:uri="http://purl.org/dc/dcmitype/"/>
    <ds:schemaRef ds:uri="http://schemas.microsoft.com/office/2006/documentManagement/types"/>
    <ds:schemaRef ds:uri="http://purl.org/dc/terms/"/>
    <ds:schemaRef ds:uri="http://www.w3.org/XML/1998/namespace"/>
    <ds:schemaRef ds:uri="8c0b6b05-eb82-4bda-97e8-cd82d0d6b453"/>
    <ds:schemaRef ds:uri="http://schemas.microsoft.com/office/infopath/2007/PartnerControls"/>
    <ds:schemaRef ds:uri="http://schemas.openxmlformats.org/package/2006/metadata/core-properties"/>
    <ds:schemaRef ds:uri="aedd258d-19a7-41ba-8260-b0918f25313d"/>
    <ds:schemaRef ds:uri="http://schemas.microsoft.com/office/2006/metadata/properties"/>
  </ds:schemaRefs>
</ds:datastoreItem>
</file>

<file path=customXml/itemProps3.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4.xml><?xml version="1.0" encoding="utf-8"?>
<ds:datastoreItem xmlns:ds="http://schemas.openxmlformats.org/officeDocument/2006/customXml" ds:itemID="{80B30676-AF95-47DA-9F49-74060C4C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5280</Words>
  <Characters>30099</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3</cp:revision>
  <cp:lastPrinted>2023-06-23T12:22:00Z</cp:lastPrinted>
  <dcterms:created xsi:type="dcterms:W3CDTF">2023-07-07T12:59:00Z</dcterms:created>
  <dcterms:modified xsi:type="dcterms:W3CDTF">2023-07-07T13:10:00Z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