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90442" w14:textId="77777777" w:rsidR="00F70CF2" w:rsidRPr="00717EE0" w:rsidRDefault="00F70CF2" w:rsidP="00F70CF2">
      <w:pPr>
        <w:ind w:right="14"/>
        <w:jc w:val="center"/>
        <w:outlineLvl w:val="0"/>
        <w:rPr>
          <w:rFonts w:cstheme="majorHAnsi"/>
          <w:b/>
          <w:bCs/>
          <w:sz w:val="24"/>
          <w:szCs w:val="24"/>
          <w:lang w:val="fr-FR"/>
        </w:rPr>
      </w:pPr>
      <w:r w:rsidRPr="00717EE0">
        <w:rPr>
          <w:rFonts w:cstheme="majorHAnsi"/>
          <w:b/>
          <w:bCs/>
          <w:noProof/>
          <w:sz w:val="24"/>
          <w:szCs w:val="24"/>
          <w:lang w:eastAsia="en-GB"/>
        </w:rPr>
        <w:drawing>
          <wp:anchor distT="0" distB="0" distL="114300" distR="114300" simplePos="0" relativeHeight="251659264" behindDoc="1" locked="0" layoutInCell="1" allowOverlap="1" wp14:anchorId="0CB31F78" wp14:editId="4ECAEE9F">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sz w:val="24"/>
          <w:szCs w:val="24"/>
          <w:lang w:val="fr-FR"/>
        </w:rPr>
        <w:t>13</w:t>
      </w:r>
      <w:r w:rsidRPr="00717EE0">
        <w:rPr>
          <w:rFonts w:cstheme="majorHAnsi"/>
          <w:b/>
          <w:bCs/>
          <w:sz w:val="24"/>
          <w:szCs w:val="24"/>
          <w:vertAlign w:val="superscript"/>
          <w:lang w:val="fr-FR"/>
        </w:rPr>
        <w:t>e</w:t>
      </w:r>
      <w:r w:rsidRPr="00717EE0">
        <w:rPr>
          <w:rFonts w:cstheme="majorHAnsi"/>
          <w:b/>
          <w:bCs/>
          <w:sz w:val="24"/>
          <w:szCs w:val="24"/>
          <w:lang w:val="fr-FR"/>
        </w:rPr>
        <w:t xml:space="preserve"> Session de la Conférence des Parties contractantes </w:t>
      </w:r>
    </w:p>
    <w:p w14:paraId="51454AFE" w14:textId="77777777" w:rsidR="00F70CF2" w:rsidRPr="00717EE0" w:rsidRDefault="00F70CF2" w:rsidP="00F70CF2">
      <w:pPr>
        <w:ind w:right="14"/>
        <w:jc w:val="center"/>
        <w:outlineLvl w:val="0"/>
        <w:rPr>
          <w:rFonts w:cstheme="majorHAnsi"/>
          <w:b/>
          <w:bCs/>
          <w:sz w:val="24"/>
          <w:szCs w:val="24"/>
          <w:lang w:val="fr-FR"/>
        </w:rPr>
      </w:pPr>
      <w:r w:rsidRPr="00717EE0">
        <w:rPr>
          <w:rFonts w:cstheme="majorHAnsi"/>
          <w:b/>
          <w:bCs/>
          <w:sz w:val="24"/>
          <w:szCs w:val="24"/>
          <w:lang w:val="fr-FR"/>
        </w:rPr>
        <w:t>à la Convention de Ramsar sur les zones humides</w:t>
      </w:r>
    </w:p>
    <w:p w14:paraId="6A5AC524" w14:textId="77777777" w:rsidR="00F70CF2" w:rsidRPr="0016013A" w:rsidRDefault="00F70CF2" w:rsidP="00F70CF2">
      <w:pPr>
        <w:ind w:right="14"/>
        <w:jc w:val="center"/>
        <w:outlineLvl w:val="0"/>
        <w:rPr>
          <w:rFonts w:cstheme="majorHAnsi"/>
          <w:b/>
          <w:bCs/>
          <w:lang w:val="fr-FR"/>
        </w:rPr>
      </w:pPr>
    </w:p>
    <w:p w14:paraId="3749F23C" w14:textId="77777777" w:rsidR="00F70CF2" w:rsidRPr="00717EE0" w:rsidRDefault="00F70CF2" w:rsidP="00F70CF2">
      <w:pPr>
        <w:ind w:right="14"/>
        <w:jc w:val="center"/>
        <w:outlineLvl w:val="0"/>
        <w:rPr>
          <w:rFonts w:cstheme="majorHAnsi"/>
          <w:b/>
          <w:bCs/>
          <w:sz w:val="24"/>
          <w:szCs w:val="24"/>
          <w:lang w:val="fr-FR"/>
        </w:rPr>
      </w:pPr>
      <w:r w:rsidRPr="00717EE0">
        <w:rPr>
          <w:rFonts w:cstheme="majorHAnsi"/>
          <w:b/>
          <w:bCs/>
          <w:sz w:val="24"/>
          <w:szCs w:val="24"/>
          <w:lang w:val="fr-FR"/>
        </w:rPr>
        <w:t>« Les zones humides pour un avenir urbain durable »</w:t>
      </w:r>
    </w:p>
    <w:p w14:paraId="2ADEC0D0" w14:textId="77777777" w:rsidR="00F70CF2" w:rsidRPr="0016013A" w:rsidRDefault="00F70CF2" w:rsidP="00F70CF2">
      <w:pPr>
        <w:ind w:right="14"/>
        <w:jc w:val="center"/>
        <w:outlineLvl w:val="0"/>
        <w:rPr>
          <w:rFonts w:cstheme="majorHAnsi"/>
          <w:b/>
          <w:bCs/>
          <w:lang w:val="fr-FR"/>
        </w:rPr>
      </w:pPr>
      <w:r w:rsidRPr="00717EE0">
        <w:rPr>
          <w:rFonts w:cstheme="majorHAnsi"/>
          <w:b/>
          <w:bCs/>
          <w:sz w:val="24"/>
          <w:szCs w:val="24"/>
          <w:lang w:val="fr-FR"/>
        </w:rPr>
        <w:t>Dubaï, Émirats arabes unis, 21 au 29 octobre 2018</w:t>
      </w:r>
    </w:p>
    <w:p w14:paraId="3E97BD4F" w14:textId="77777777" w:rsidR="00F70CF2" w:rsidRDefault="00F70CF2" w:rsidP="00F70CF2">
      <w:pPr>
        <w:ind w:right="17"/>
        <w:jc w:val="center"/>
        <w:outlineLvl w:val="0"/>
        <w:rPr>
          <w:rFonts w:cstheme="majorHAnsi"/>
          <w:b/>
          <w:bCs/>
          <w:sz w:val="28"/>
          <w:szCs w:val="28"/>
          <w:lang w:val="fr-FR"/>
        </w:rPr>
      </w:pPr>
    </w:p>
    <w:p w14:paraId="5E46600E" w14:textId="77777777" w:rsidR="00F70CF2" w:rsidRDefault="00F70CF2" w:rsidP="00F70CF2">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F70CF2" w:rsidRPr="0016013A" w14:paraId="072E0CF1" w14:textId="77777777" w:rsidTr="0013290B">
        <w:tc>
          <w:tcPr>
            <w:tcW w:w="4708" w:type="dxa"/>
          </w:tcPr>
          <w:p w14:paraId="4CDFE98E" w14:textId="77777777" w:rsidR="00F70CF2" w:rsidRPr="0016013A" w:rsidRDefault="00F70CF2" w:rsidP="0013290B">
            <w:pPr>
              <w:ind w:right="17"/>
              <w:jc w:val="center"/>
              <w:outlineLvl w:val="0"/>
              <w:rPr>
                <w:rFonts w:cstheme="majorHAnsi"/>
                <w:b/>
                <w:bCs/>
                <w:lang w:val="fr-FR"/>
              </w:rPr>
            </w:pPr>
          </w:p>
        </w:tc>
        <w:tc>
          <w:tcPr>
            <w:tcW w:w="4652" w:type="dxa"/>
          </w:tcPr>
          <w:p w14:paraId="450FB8B7" w14:textId="22794BD8" w:rsidR="00F70CF2" w:rsidRPr="00717EE0" w:rsidRDefault="00F70CF2" w:rsidP="00F70CF2">
            <w:pPr>
              <w:ind w:right="67"/>
              <w:jc w:val="right"/>
              <w:outlineLvl w:val="0"/>
              <w:rPr>
                <w:rFonts w:cstheme="majorHAnsi"/>
                <w:b/>
                <w:bCs/>
                <w:sz w:val="24"/>
                <w:szCs w:val="24"/>
                <w:lang w:val="fr-FR"/>
              </w:rPr>
            </w:pPr>
            <w:r w:rsidRPr="00DC6448">
              <w:rPr>
                <w:rFonts w:cstheme="majorHAnsi"/>
                <w:b/>
                <w:bCs/>
                <w:sz w:val="24"/>
                <w:szCs w:val="24"/>
                <w:lang w:val="fr-FR"/>
              </w:rPr>
              <w:t>Ramsar COP13 Doc.1</w:t>
            </w:r>
            <w:r>
              <w:rPr>
                <w:rFonts w:cstheme="majorHAnsi"/>
                <w:b/>
                <w:bCs/>
                <w:sz w:val="24"/>
                <w:szCs w:val="24"/>
                <w:lang w:val="fr-FR"/>
              </w:rPr>
              <w:t>1</w:t>
            </w:r>
            <w:r w:rsidRPr="00DC6448">
              <w:rPr>
                <w:rFonts w:cstheme="majorHAnsi"/>
                <w:b/>
                <w:bCs/>
                <w:sz w:val="24"/>
                <w:szCs w:val="24"/>
                <w:lang w:val="fr-FR"/>
              </w:rPr>
              <w:t>.2</w:t>
            </w:r>
          </w:p>
        </w:tc>
      </w:tr>
    </w:tbl>
    <w:p w14:paraId="745C01E3" w14:textId="77777777" w:rsidR="007E265E" w:rsidRPr="00AE0ED9" w:rsidRDefault="007E265E" w:rsidP="007E265E">
      <w:pPr>
        <w:jc w:val="both"/>
        <w:rPr>
          <w:rFonts w:eastAsia="Times New Roman" w:cstheme="minorHAnsi"/>
          <w:b/>
          <w:lang w:val="fr-FR" w:eastAsia="fr-FR"/>
        </w:rPr>
      </w:pPr>
    </w:p>
    <w:p w14:paraId="7E84A696" w14:textId="77C71DD8" w:rsidR="007E265E" w:rsidRPr="00AE0ED9" w:rsidRDefault="007E265E" w:rsidP="007E265E">
      <w:pPr>
        <w:jc w:val="center"/>
        <w:rPr>
          <w:rFonts w:cstheme="minorHAnsi"/>
          <w:b/>
          <w:sz w:val="28"/>
          <w:szCs w:val="28"/>
          <w:lang w:val="fr-FR"/>
        </w:rPr>
      </w:pPr>
      <w:r w:rsidRPr="00AE0ED9">
        <w:rPr>
          <w:rFonts w:cstheme="minorHAnsi"/>
          <w:b/>
          <w:sz w:val="28"/>
          <w:szCs w:val="28"/>
          <w:lang w:val="fr-FR"/>
        </w:rPr>
        <w:t>R</w:t>
      </w:r>
      <w:r w:rsidR="009E7395" w:rsidRPr="00AE0ED9">
        <w:rPr>
          <w:rFonts w:cstheme="minorHAnsi"/>
          <w:b/>
          <w:sz w:val="28"/>
          <w:szCs w:val="28"/>
          <w:lang w:val="fr-FR"/>
        </w:rPr>
        <w:t xml:space="preserve">apport de la Secrétaire générale sur l’application de la Convention : </w:t>
      </w:r>
      <w:r w:rsidR="005F7A17" w:rsidRPr="00AE0ED9">
        <w:rPr>
          <w:rFonts w:cstheme="minorHAnsi"/>
          <w:b/>
          <w:sz w:val="28"/>
          <w:szCs w:val="28"/>
          <w:lang w:val="fr-FR"/>
        </w:rPr>
        <w:br/>
      </w:r>
      <w:r w:rsidR="00BC41E7">
        <w:rPr>
          <w:rFonts w:cstheme="minorHAnsi"/>
          <w:b/>
          <w:sz w:val="28"/>
          <w:szCs w:val="28"/>
          <w:lang w:val="fr-FR"/>
        </w:rPr>
        <w:t>Les travaux</w:t>
      </w:r>
      <w:r w:rsidR="009E7395" w:rsidRPr="00AE0ED9">
        <w:rPr>
          <w:rFonts w:cstheme="minorHAnsi"/>
          <w:b/>
          <w:sz w:val="28"/>
          <w:szCs w:val="28"/>
          <w:lang w:val="fr-FR"/>
        </w:rPr>
        <w:t xml:space="preserve"> du Secrétariat</w:t>
      </w:r>
    </w:p>
    <w:p w14:paraId="1E902B1B" w14:textId="77777777" w:rsidR="00250611" w:rsidRPr="00AE0ED9" w:rsidRDefault="00250611" w:rsidP="00B1006A">
      <w:pPr>
        <w:rPr>
          <w:rFonts w:cstheme="minorHAnsi"/>
          <w:lang w:val="fr-FR"/>
        </w:rPr>
      </w:pPr>
    </w:p>
    <w:p w14:paraId="429704C3" w14:textId="6F683C61" w:rsidR="009D5F75" w:rsidRPr="00AE0ED9" w:rsidRDefault="009D5F75" w:rsidP="00B1006A">
      <w:pPr>
        <w:ind w:left="0" w:firstLine="0"/>
        <w:rPr>
          <w:rFonts w:cstheme="minorHAnsi"/>
          <w:b/>
          <w:lang w:val="fr-FR"/>
        </w:rPr>
      </w:pPr>
    </w:p>
    <w:p w14:paraId="369E8FD2" w14:textId="20587AAF" w:rsidR="00DC5693" w:rsidRPr="00AE0ED9" w:rsidRDefault="002F0AD3" w:rsidP="00C81B75">
      <w:pPr>
        <w:rPr>
          <w:rFonts w:cstheme="minorHAnsi"/>
          <w:lang w:val="fr-FR"/>
        </w:rPr>
      </w:pPr>
      <w:r w:rsidRPr="00AE0ED9">
        <w:rPr>
          <w:rFonts w:cstheme="minorHAnsi"/>
          <w:lang w:val="fr-FR"/>
        </w:rPr>
        <w:t>1.</w:t>
      </w:r>
      <w:r w:rsidRPr="00AE0ED9">
        <w:rPr>
          <w:rFonts w:cstheme="minorHAnsi"/>
          <w:lang w:val="fr-FR"/>
        </w:rPr>
        <w:tab/>
      </w:r>
      <w:r w:rsidR="008D5867" w:rsidRPr="00AE0ED9">
        <w:rPr>
          <w:rFonts w:cs="Arial"/>
          <w:lang w:val="fr-FR"/>
        </w:rPr>
        <w:t>Le présent rapport couvre les travaux du Secrétariat de la clôture de la 12</w:t>
      </w:r>
      <w:r w:rsidR="008D5867" w:rsidRPr="00AE0ED9">
        <w:rPr>
          <w:rFonts w:cs="Arial"/>
          <w:vertAlign w:val="superscript"/>
          <w:lang w:val="fr-FR"/>
        </w:rPr>
        <w:t>e</w:t>
      </w:r>
      <w:r w:rsidR="008D5867" w:rsidRPr="00AE0ED9">
        <w:rPr>
          <w:rFonts w:cs="Arial"/>
          <w:lang w:val="fr-FR"/>
        </w:rPr>
        <w:t xml:space="preserve"> Session de la </w:t>
      </w:r>
      <w:r w:rsidR="008D5867" w:rsidRPr="00AE0ED9">
        <w:rPr>
          <w:rFonts w:cstheme="minorHAnsi"/>
          <w:lang w:val="fr-FR"/>
        </w:rPr>
        <w:t>Conférence</w:t>
      </w:r>
      <w:r w:rsidR="00DC5693" w:rsidRPr="00AE0ED9">
        <w:rPr>
          <w:rFonts w:cstheme="minorHAnsi"/>
          <w:lang w:val="fr-FR"/>
        </w:rPr>
        <w:t xml:space="preserve"> </w:t>
      </w:r>
      <w:r w:rsidR="008D5867" w:rsidRPr="00AE0ED9">
        <w:rPr>
          <w:rFonts w:cstheme="minorHAnsi"/>
          <w:lang w:val="fr-FR"/>
        </w:rPr>
        <w:t>des</w:t>
      </w:r>
      <w:r w:rsidR="00DC5693" w:rsidRPr="00AE0ED9">
        <w:rPr>
          <w:rFonts w:cstheme="minorHAnsi"/>
          <w:lang w:val="fr-FR"/>
        </w:rPr>
        <w:t xml:space="preserve"> </w:t>
      </w:r>
      <w:r w:rsidR="00042694" w:rsidRPr="00AE0ED9">
        <w:rPr>
          <w:rFonts w:cstheme="minorHAnsi"/>
          <w:lang w:val="fr-FR"/>
        </w:rPr>
        <w:t>Parties</w:t>
      </w:r>
      <w:r w:rsidR="00BB5F70" w:rsidRPr="00AE0ED9">
        <w:rPr>
          <w:rFonts w:cstheme="minorHAnsi"/>
          <w:lang w:val="fr-FR"/>
        </w:rPr>
        <w:t xml:space="preserve"> </w:t>
      </w:r>
      <w:r w:rsidR="008D5867" w:rsidRPr="00AE0ED9">
        <w:rPr>
          <w:rFonts w:cstheme="minorHAnsi"/>
          <w:lang w:val="fr-FR"/>
        </w:rPr>
        <w:t xml:space="preserve">contractantes </w:t>
      </w:r>
      <w:r w:rsidR="00BB5F70" w:rsidRPr="00AE0ED9">
        <w:rPr>
          <w:rFonts w:cstheme="minorHAnsi"/>
          <w:lang w:val="fr-FR"/>
        </w:rPr>
        <w:t>(COP12)</w:t>
      </w:r>
      <w:r w:rsidR="00391A45" w:rsidRPr="00AE0ED9">
        <w:rPr>
          <w:rFonts w:cstheme="minorHAnsi"/>
          <w:lang w:val="fr-FR"/>
        </w:rPr>
        <w:t>,</w:t>
      </w:r>
      <w:r w:rsidR="00042694" w:rsidRPr="00AE0ED9">
        <w:rPr>
          <w:rFonts w:cstheme="minorHAnsi"/>
          <w:lang w:val="fr-FR"/>
        </w:rPr>
        <w:t xml:space="preserve"> </w:t>
      </w:r>
      <w:r w:rsidR="008D5867" w:rsidRPr="00AE0ED9">
        <w:rPr>
          <w:rFonts w:cstheme="minorHAnsi"/>
          <w:lang w:val="fr-FR"/>
        </w:rPr>
        <w:t>le</w:t>
      </w:r>
      <w:r w:rsidR="00042694" w:rsidRPr="00AE0ED9">
        <w:rPr>
          <w:rFonts w:cstheme="minorHAnsi"/>
          <w:lang w:val="fr-FR"/>
        </w:rPr>
        <w:t xml:space="preserve"> 9 </w:t>
      </w:r>
      <w:r w:rsidR="008D5867" w:rsidRPr="00AE0ED9">
        <w:rPr>
          <w:rFonts w:cstheme="minorHAnsi"/>
          <w:lang w:val="fr-FR"/>
        </w:rPr>
        <w:t>juin</w:t>
      </w:r>
      <w:r w:rsidR="00042694" w:rsidRPr="00AE0ED9">
        <w:rPr>
          <w:rFonts w:cstheme="minorHAnsi"/>
          <w:lang w:val="fr-FR"/>
        </w:rPr>
        <w:t xml:space="preserve"> 2015</w:t>
      </w:r>
      <w:r w:rsidR="00DC5693" w:rsidRPr="00AE0ED9">
        <w:rPr>
          <w:rFonts w:cstheme="minorHAnsi"/>
          <w:lang w:val="fr-FR"/>
        </w:rPr>
        <w:t xml:space="preserve">, </w:t>
      </w:r>
      <w:r w:rsidR="008D5867" w:rsidRPr="00AE0ED9">
        <w:rPr>
          <w:rFonts w:cstheme="minorHAnsi"/>
          <w:lang w:val="fr-FR"/>
        </w:rPr>
        <w:t>au</w:t>
      </w:r>
      <w:r w:rsidR="00DC5693" w:rsidRPr="00AE0ED9">
        <w:rPr>
          <w:rFonts w:cstheme="minorHAnsi"/>
          <w:lang w:val="fr-FR"/>
        </w:rPr>
        <w:t xml:space="preserve"> 31 </w:t>
      </w:r>
      <w:r w:rsidR="008D5867" w:rsidRPr="00AE0ED9">
        <w:rPr>
          <w:rFonts w:cstheme="minorHAnsi"/>
          <w:lang w:val="fr-FR"/>
        </w:rPr>
        <w:t>juillet</w:t>
      </w:r>
      <w:r w:rsidR="00DC5693" w:rsidRPr="00AE0ED9">
        <w:rPr>
          <w:rFonts w:cstheme="minorHAnsi"/>
          <w:lang w:val="fr-FR"/>
        </w:rPr>
        <w:t xml:space="preserve"> 2018. </w:t>
      </w:r>
    </w:p>
    <w:p w14:paraId="7C00431A" w14:textId="77777777" w:rsidR="00DC2341" w:rsidRPr="00AE0ED9" w:rsidRDefault="00DC2341" w:rsidP="00C81B75">
      <w:pPr>
        <w:rPr>
          <w:rFonts w:cstheme="minorHAnsi"/>
          <w:lang w:val="fr-FR"/>
        </w:rPr>
      </w:pPr>
    </w:p>
    <w:p w14:paraId="311B3827" w14:textId="040F03E7" w:rsidR="00724804" w:rsidRPr="00AE0ED9" w:rsidRDefault="002F0AD3" w:rsidP="00C81B75">
      <w:pPr>
        <w:rPr>
          <w:rFonts w:cstheme="minorHAnsi"/>
          <w:lang w:val="fr-FR"/>
        </w:rPr>
      </w:pPr>
      <w:r w:rsidRPr="00AE0ED9">
        <w:rPr>
          <w:rFonts w:cstheme="minorHAnsi"/>
          <w:lang w:val="fr-FR"/>
        </w:rPr>
        <w:t>2.</w:t>
      </w:r>
      <w:r w:rsidRPr="00AE0ED9">
        <w:rPr>
          <w:rFonts w:cstheme="minorHAnsi"/>
          <w:lang w:val="fr-FR"/>
        </w:rPr>
        <w:tab/>
      </w:r>
      <w:r w:rsidR="008D5867" w:rsidRPr="00AE0ED9">
        <w:rPr>
          <w:rFonts w:cstheme="minorHAnsi"/>
          <w:lang w:val="fr-FR"/>
        </w:rPr>
        <w:t xml:space="preserve">L’actuelle Secrétaire générale a assumé ses fonctions le </w:t>
      </w:r>
      <w:r w:rsidR="00B443F0" w:rsidRPr="00AE0ED9">
        <w:rPr>
          <w:rFonts w:cstheme="minorHAnsi"/>
          <w:lang w:val="fr-FR"/>
        </w:rPr>
        <w:t>22</w:t>
      </w:r>
      <w:r w:rsidR="00A52454" w:rsidRPr="00AE0ED9">
        <w:rPr>
          <w:rFonts w:cstheme="minorHAnsi"/>
          <w:lang w:val="fr-FR"/>
        </w:rPr>
        <w:t xml:space="preserve"> </w:t>
      </w:r>
      <w:r w:rsidR="00085807" w:rsidRPr="00AE0ED9">
        <w:rPr>
          <w:rFonts w:cstheme="minorHAnsi"/>
          <w:lang w:val="fr-FR"/>
        </w:rPr>
        <w:t>août</w:t>
      </w:r>
      <w:r w:rsidR="00A52454" w:rsidRPr="00AE0ED9">
        <w:rPr>
          <w:rFonts w:cstheme="minorHAnsi"/>
          <w:lang w:val="fr-FR"/>
        </w:rPr>
        <w:t xml:space="preserve"> 2016. </w:t>
      </w:r>
      <w:r w:rsidR="008D5867" w:rsidRPr="00AE0ED9">
        <w:rPr>
          <w:rFonts w:cstheme="minorHAnsi"/>
          <w:lang w:val="fr-FR"/>
        </w:rPr>
        <w:t>La Secrétaire générale n’a pas supervis</w:t>
      </w:r>
      <w:r w:rsidR="00085807" w:rsidRPr="00AE0ED9">
        <w:rPr>
          <w:rFonts w:cstheme="minorHAnsi"/>
          <w:lang w:val="fr-FR"/>
        </w:rPr>
        <w:t>é</w:t>
      </w:r>
      <w:r w:rsidR="008D5867" w:rsidRPr="00AE0ED9">
        <w:rPr>
          <w:rFonts w:cstheme="minorHAnsi"/>
          <w:lang w:val="fr-FR"/>
        </w:rPr>
        <w:t xml:space="preserve"> les travaux du</w:t>
      </w:r>
      <w:r w:rsidR="00724804" w:rsidRPr="00AE0ED9">
        <w:rPr>
          <w:rFonts w:cstheme="minorHAnsi"/>
          <w:lang w:val="fr-FR"/>
        </w:rPr>
        <w:t xml:space="preserve"> </w:t>
      </w:r>
      <w:r w:rsidR="008D5867" w:rsidRPr="00AE0ED9">
        <w:rPr>
          <w:rFonts w:cstheme="minorHAnsi"/>
          <w:lang w:val="fr-FR"/>
        </w:rPr>
        <w:t>Secrétariat</w:t>
      </w:r>
      <w:r w:rsidR="00724804" w:rsidRPr="00AE0ED9">
        <w:rPr>
          <w:rFonts w:cstheme="minorHAnsi"/>
          <w:lang w:val="fr-FR"/>
        </w:rPr>
        <w:t xml:space="preserve"> </w:t>
      </w:r>
      <w:r w:rsidR="008D5867" w:rsidRPr="00AE0ED9">
        <w:rPr>
          <w:rFonts w:cstheme="minorHAnsi"/>
          <w:lang w:val="fr-FR"/>
        </w:rPr>
        <w:t xml:space="preserve">sur </w:t>
      </w:r>
      <w:r w:rsidR="00D34212">
        <w:rPr>
          <w:rFonts w:cstheme="minorHAnsi"/>
          <w:lang w:val="fr-FR"/>
        </w:rPr>
        <w:t>la totalité</w:t>
      </w:r>
      <w:r w:rsidR="008D5867" w:rsidRPr="00AE0ED9">
        <w:rPr>
          <w:rFonts w:cstheme="minorHAnsi"/>
          <w:lang w:val="fr-FR"/>
        </w:rPr>
        <w:t xml:space="preserve"> de la période triennale mais</w:t>
      </w:r>
      <w:r w:rsidR="00724804" w:rsidRPr="00AE0ED9">
        <w:rPr>
          <w:rFonts w:cstheme="minorHAnsi"/>
          <w:lang w:val="fr-FR"/>
        </w:rPr>
        <w:t xml:space="preserve"> </w:t>
      </w:r>
      <w:r w:rsidR="008D5867" w:rsidRPr="00AE0ED9">
        <w:rPr>
          <w:rFonts w:cs="Arial"/>
          <w:lang w:val="fr-FR"/>
        </w:rPr>
        <w:t xml:space="preserve">le présent rapport donne une vue d’ensemble et présente </w:t>
      </w:r>
      <w:r w:rsidR="00D34212">
        <w:rPr>
          <w:rFonts w:cs="Arial"/>
          <w:lang w:val="fr-FR"/>
        </w:rPr>
        <w:t>l</w:t>
      </w:r>
      <w:r w:rsidR="008D5867" w:rsidRPr="00AE0ED9">
        <w:rPr>
          <w:rFonts w:cs="Arial"/>
          <w:lang w:val="fr-FR"/>
        </w:rPr>
        <w:t xml:space="preserve">es </w:t>
      </w:r>
      <w:r w:rsidR="00D34212">
        <w:rPr>
          <w:rFonts w:cs="Arial"/>
          <w:lang w:val="fr-FR"/>
        </w:rPr>
        <w:t>faits</w:t>
      </w:r>
      <w:r w:rsidR="008D5867" w:rsidRPr="00AE0ED9">
        <w:rPr>
          <w:rFonts w:cs="Arial"/>
          <w:lang w:val="fr-FR"/>
        </w:rPr>
        <w:t xml:space="preserve"> marquants </w:t>
      </w:r>
      <w:r w:rsidR="00D34212">
        <w:rPr>
          <w:rFonts w:cs="Arial"/>
          <w:lang w:val="fr-FR"/>
        </w:rPr>
        <w:t>dans les</w:t>
      </w:r>
      <w:r w:rsidR="008D5867" w:rsidRPr="00AE0ED9">
        <w:rPr>
          <w:rFonts w:cs="Arial"/>
          <w:lang w:val="fr-FR"/>
        </w:rPr>
        <w:t xml:space="preserve"> travaux accomplis pendant cette période</w:t>
      </w:r>
      <w:r w:rsidR="00462756" w:rsidRPr="00AE0ED9">
        <w:rPr>
          <w:rFonts w:cstheme="minorHAnsi"/>
          <w:lang w:val="fr-FR"/>
        </w:rPr>
        <w:t xml:space="preserve"> </w:t>
      </w:r>
      <w:r w:rsidR="008D5867" w:rsidRPr="00AE0ED9">
        <w:rPr>
          <w:rFonts w:cstheme="minorHAnsi"/>
          <w:lang w:val="fr-FR"/>
        </w:rPr>
        <w:t>en s’appuyant sur les rap</w:t>
      </w:r>
      <w:r w:rsidR="00462756" w:rsidRPr="00AE0ED9">
        <w:rPr>
          <w:rFonts w:cstheme="minorHAnsi"/>
          <w:lang w:val="fr-FR"/>
        </w:rPr>
        <w:t xml:space="preserve">ports </w:t>
      </w:r>
      <w:r w:rsidR="008D5867" w:rsidRPr="00AE0ED9">
        <w:rPr>
          <w:rFonts w:cstheme="minorHAnsi"/>
          <w:lang w:val="fr-FR"/>
        </w:rPr>
        <w:t>d</w:t>
      </w:r>
      <w:r w:rsidR="00085807" w:rsidRPr="00AE0ED9">
        <w:rPr>
          <w:rFonts w:cstheme="minorHAnsi"/>
          <w:lang w:val="fr-FR"/>
        </w:rPr>
        <w:t>u</w:t>
      </w:r>
      <w:r w:rsidR="008D5867" w:rsidRPr="00AE0ED9">
        <w:rPr>
          <w:rFonts w:cstheme="minorHAnsi"/>
          <w:lang w:val="fr-FR"/>
        </w:rPr>
        <w:t xml:space="preserve"> Secrétaire généra</w:t>
      </w:r>
      <w:r w:rsidR="00085807" w:rsidRPr="00AE0ED9">
        <w:rPr>
          <w:rFonts w:cstheme="minorHAnsi"/>
          <w:lang w:val="fr-FR"/>
        </w:rPr>
        <w:t>l</w:t>
      </w:r>
      <w:r w:rsidR="008D5867" w:rsidRPr="00AE0ED9">
        <w:rPr>
          <w:rFonts w:cstheme="minorHAnsi"/>
          <w:lang w:val="fr-FR"/>
        </w:rPr>
        <w:t xml:space="preserve"> précédent</w:t>
      </w:r>
      <w:r w:rsidR="00085807" w:rsidRPr="00AE0ED9">
        <w:rPr>
          <w:rFonts w:cstheme="minorHAnsi"/>
          <w:lang w:val="fr-FR"/>
        </w:rPr>
        <w:t>,</w:t>
      </w:r>
      <w:r w:rsidR="008D5867" w:rsidRPr="00AE0ED9">
        <w:rPr>
          <w:rFonts w:cstheme="minorHAnsi"/>
          <w:lang w:val="fr-FR"/>
        </w:rPr>
        <w:t xml:space="preserve"> de la Secrétaire générale actuelle et de la Secrétaire générale par intérim aux 52</w:t>
      </w:r>
      <w:r w:rsidR="008D5867" w:rsidRPr="00AE0ED9">
        <w:rPr>
          <w:rFonts w:cstheme="minorHAnsi"/>
          <w:vertAlign w:val="superscript"/>
          <w:lang w:val="fr-FR"/>
        </w:rPr>
        <w:t>e</w:t>
      </w:r>
      <w:r w:rsidR="008D5867" w:rsidRPr="00AE0ED9">
        <w:rPr>
          <w:rFonts w:cstheme="minorHAnsi"/>
          <w:lang w:val="fr-FR"/>
        </w:rPr>
        <w:t>, 53</w:t>
      </w:r>
      <w:r w:rsidR="008D5867" w:rsidRPr="00AE0ED9">
        <w:rPr>
          <w:rFonts w:cstheme="minorHAnsi"/>
          <w:vertAlign w:val="superscript"/>
          <w:lang w:val="fr-FR"/>
        </w:rPr>
        <w:t>e</w:t>
      </w:r>
      <w:r w:rsidR="008D5867" w:rsidRPr="00AE0ED9">
        <w:rPr>
          <w:rFonts w:cstheme="minorHAnsi"/>
          <w:lang w:val="fr-FR"/>
        </w:rPr>
        <w:t xml:space="preserve"> et 54</w:t>
      </w:r>
      <w:r w:rsidR="008D5867" w:rsidRPr="00AE0ED9">
        <w:rPr>
          <w:rFonts w:cstheme="minorHAnsi"/>
          <w:vertAlign w:val="superscript"/>
          <w:lang w:val="fr-FR"/>
        </w:rPr>
        <w:t>e</w:t>
      </w:r>
      <w:r w:rsidR="008D5867" w:rsidRPr="00AE0ED9">
        <w:rPr>
          <w:rFonts w:cstheme="minorHAnsi"/>
          <w:lang w:val="fr-FR"/>
        </w:rPr>
        <w:t xml:space="preserve"> Réunions du Comité permanent</w:t>
      </w:r>
      <w:r w:rsidR="00074DC9" w:rsidRPr="00AE0ED9">
        <w:rPr>
          <w:rFonts w:cstheme="minorHAnsi"/>
          <w:lang w:val="fr-FR"/>
        </w:rPr>
        <w:t xml:space="preserve"> (SC52, SC53 </w:t>
      </w:r>
      <w:r w:rsidR="008D5867" w:rsidRPr="00AE0ED9">
        <w:rPr>
          <w:rFonts w:cstheme="minorHAnsi"/>
          <w:lang w:val="fr-FR"/>
        </w:rPr>
        <w:t>et</w:t>
      </w:r>
      <w:r w:rsidR="00074DC9" w:rsidRPr="00AE0ED9">
        <w:rPr>
          <w:rFonts w:cstheme="minorHAnsi"/>
          <w:lang w:val="fr-FR"/>
        </w:rPr>
        <w:t xml:space="preserve"> SC54)</w:t>
      </w:r>
      <w:r w:rsidR="00786102" w:rsidRPr="00AE0ED9">
        <w:rPr>
          <w:rFonts w:cstheme="minorHAnsi"/>
          <w:vertAlign w:val="superscript"/>
          <w:lang w:val="fr-FR"/>
        </w:rPr>
        <w:footnoteReference w:id="1"/>
      </w:r>
      <w:r w:rsidR="00724804" w:rsidRPr="00AE0ED9">
        <w:rPr>
          <w:rFonts w:cstheme="minorHAnsi"/>
          <w:lang w:val="fr-FR"/>
        </w:rPr>
        <w:t>.</w:t>
      </w:r>
      <w:r w:rsidR="00B443F0" w:rsidRPr="00AE0ED9">
        <w:rPr>
          <w:rFonts w:cstheme="minorHAnsi"/>
          <w:lang w:val="fr-FR"/>
        </w:rPr>
        <w:t xml:space="preserve"> </w:t>
      </w:r>
      <w:r w:rsidR="00085807" w:rsidRPr="00AE0ED9">
        <w:rPr>
          <w:rFonts w:cstheme="minorHAnsi"/>
          <w:lang w:val="fr-FR"/>
        </w:rPr>
        <w:t>Les</w:t>
      </w:r>
      <w:r w:rsidR="00B443F0" w:rsidRPr="00AE0ED9">
        <w:rPr>
          <w:rFonts w:cstheme="minorHAnsi"/>
          <w:lang w:val="fr-FR"/>
        </w:rPr>
        <w:t xml:space="preserve"> </w:t>
      </w:r>
      <w:r w:rsidR="00302130" w:rsidRPr="00AE0ED9">
        <w:rPr>
          <w:rFonts w:cstheme="minorHAnsi"/>
          <w:lang w:val="fr-FR"/>
        </w:rPr>
        <w:t>documents</w:t>
      </w:r>
      <w:r w:rsidR="00B443F0" w:rsidRPr="00AE0ED9">
        <w:rPr>
          <w:rFonts w:cstheme="minorHAnsi"/>
          <w:lang w:val="fr-FR"/>
        </w:rPr>
        <w:t xml:space="preserve"> </w:t>
      </w:r>
      <w:r w:rsidR="00085807" w:rsidRPr="00AE0ED9">
        <w:rPr>
          <w:rFonts w:cstheme="minorHAnsi"/>
          <w:lang w:val="fr-FR"/>
        </w:rPr>
        <w:t>préparés</w:t>
      </w:r>
      <w:r w:rsidR="00B443F0" w:rsidRPr="00AE0ED9">
        <w:rPr>
          <w:rFonts w:cstheme="minorHAnsi"/>
          <w:lang w:val="fr-FR"/>
        </w:rPr>
        <w:t xml:space="preserve"> </w:t>
      </w:r>
      <w:r w:rsidR="00085807" w:rsidRPr="00AE0ED9">
        <w:rPr>
          <w:rFonts w:cstheme="minorHAnsi"/>
          <w:lang w:val="fr-FR"/>
        </w:rPr>
        <w:t>pour la</w:t>
      </w:r>
      <w:r w:rsidR="00B443F0" w:rsidRPr="00AE0ED9">
        <w:rPr>
          <w:rFonts w:cstheme="minorHAnsi"/>
          <w:lang w:val="fr-FR"/>
        </w:rPr>
        <w:t xml:space="preserve"> COP13 </w:t>
      </w:r>
      <w:r w:rsidR="00085807" w:rsidRPr="00AE0ED9">
        <w:rPr>
          <w:rFonts w:cstheme="minorHAnsi"/>
          <w:lang w:val="fr-FR"/>
        </w:rPr>
        <w:t>décrivent plus en détail les différents domaines de travail du</w:t>
      </w:r>
      <w:r w:rsidR="00B443F0" w:rsidRPr="00AE0ED9">
        <w:rPr>
          <w:rFonts w:cstheme="minorHAnsi"/>
          <w:lang w:val="fr-FR"/>
        </w:rPr>
        <w:t xml:space="preserve"> </w:t>
      </w:r>
      <w:r w:rsidR="00085807" w:rsidRPr="00AE0ED9">
        <w:rPr>
          <w:rFonts w:cstheme="minorHAnsi"/>
          <w:lang w:val="fr-FR"/>
        </w:rPr>
        <w:t>Secrétariat</w:t>
      </w:r>
      <w:r w:rsidR="00B443F0" w:rsidRPr="00AE0ED9">
        <w:rPr>
          <w:rFonts w:cstheme="minorHAnsi"/>
          <w:lang w:val="fr-FR"/>
        </w:rPr>
        <w:t>.</w:t>
      </w:r>
    </w:p>
    <w:p w14:paraId="7C4605CF" w14:textId="77777777" w:rsidR="00724804" w:rsidRPr="00AE0ED9" w:rsidRDefault="00724804" w:rsidP="00C81B75">
      <w:pPr>
        <w:rPr>
          <w:rFonts w:cstheme="minorHAnsi"/>
          <w:lang w:val="fr-FR"/>
        </w:rPr>
      </w:pPr>
    </w:p>
    <w:p w14:paraId="2559C7A5" w14:textId="2663DCBF" w:rsidR="003B79F0" w:rsidRPr="00AE0ED9" w:rsidRDefault="002F0AD3" w:rsidP="00C81B75">
      <w:pPr>
        <w:rPr>
          <w:rFonts w:cstheme="minorHAnsi"/>
          <w:lang w:val="fr-FR"/>
        </w:rPr>
      </w:pPr>
      <w:r w:rsidRPr="00AE0ED9">
        <w:rPr>
          <w:rFonts w:cstheme="minorHAnsi"/>
          <w:lang w:val="fr-FR"/>
        </w:rPr>
        <w:t>3.</w:t>
      </w:r>
      <w:r w:rsidRPr="00AE0ED9">
        <w:rPr>
          <w:rFonts w:cstheme="minorHAnsi"/>
          <w:lang w:val="fr-FR"/>
        </w:rPr>
        <w:tab/>
      </w:r>
      <w:r w:rsidR="0018738D" w:rsidRPr="00AE0ED9">
        <w:rPr>
          <w:rFonts w:cstheme="minorHAnsi"/>
          <w:lang w:val="fr-FR"/>
        </w:rPr>
        <w:t xml:space="preserve">En prenant ses fonctions, et avec l’accord du Comité exécutif, la Secrétaire générale a mené de vastes consultations externes et internes avec des représentants des Parties contractantes, notamment des présidents d’organes subsidiaires et de groupes de travail, des chefs de Secrétariats de </w:t>
      </w:r>
      <w:r w:rsidR="00D34212">
        <w:rPr>
          <w:rFonts w:cstheme="minorHAnsi"/>
          <w:lang w:val="fr-FR"/>
        </w:rPr>
        <w:t>c</w:t>
      </w:r>
      <w:r w:rsidR="0018738D" w:rsidRPr="00AE0ED9">
        <w:rPr>
          <w:rFonts w:cstheme="minorHAnsi"/>
          <w:lang w:val="fr-FR"/>
        </w:rPr>
        <w:t>onvention</w:t>
      </w:r>
      <w:r w:rsidR="00D34212">
        <w:rPr>
          <w:rFonts w:cstheme="minorHAnsi"/>
          <w:lang w:val="fr-FR"/>
        </w:rPr>
        <w:t>s</w:t>
      </w:r>
      <w:r w:rsidR="0018738D" w:rsidRPr="00AE0ED9">
        <w:rPr>
          <w:rFonts w:cstheme="minorHAnsi"/>
          <w:lang w:val="fr-FR"/>
        </w:rPr>
        <w:t xml:space="preserve">, des Organisations internationales partenaires (OIP) et autres parties prenantes externes ainsi qu’avec les membres du personnel du Secrétariat. Ces </w:t>
      </w:r>
      <w:r w:rsidR="003B79F0" w:rsidRPr="00AE0ED9">
        <w:rPr>
          <w:rFonts w:cstheme="minorHAnsi"/>
          <w:lang w:val="fr-FR"/>
        </w:rPr>
        <w:t>consultation</w:t>
      </w:r>
      <w:r w:rsidR="00C20EF5" w:rsidRPr="00AE0ED9">
        <w:rPr>
          <w:rFonts w:cstheme="minorHAnsi"/>
          <w:lang w:val="fr-FR"/>
        </w:rPr>
        <w:t>s</w:t>
      </w:r>
      <w:r w:rsidR="003B79F0" w:rsidRPr="00AE0ED9">
        <w:rPr>
          <w:rFonts w:cstheme="minorHAnsi"/>
          <w:lang w:val="fr-FR"/>
        </w:rPr>
        <w:t xml:space="preserve"> </w:t>
      </w:r>
      <w:r w:rsidR="0018738D" w:rsidRPr="00AE0ED9">
        <w:rPr>
          <w:rFonts w:cstheme="minorHAnsi"/>
          <w:lang w:val="fr-FR"/>
        </w:rPr>
        <w:t>ont été axées sur l’identification des forces, des faiblesses et des possibilités, dans l’application de la Convention et les travaux du Secrétariat, y compris les lacunes dans les capacités</w:t>
      </w:r>
      <w:r w:rsidR="003B79F0" w:rsidRPr="00AE0ED9">
        <w:rPr>
          <w:rFonts w:cstheme="minorHAnsi"/>
          <w:lang w:val="fr-FR"/>
        </w:rPr>
        <w:t xml:space="preserve">. </w:t>
      </w:r>
      <w:r w:rsidR="00316DBA" w:rsidRPr="00AE0ED9">
        <w:rPr>
          <w:rFonts w:cstheme="minorHAnsi"/>
          <w:lang w:val="fr-FR"/>
        </w:rPr>
        <w:t>Les e</w:t>
      </w:r>
      <w:r w:rsidR="003B79F0" w:rsidRPr="00AE0ED9">
        <w:rPr>
          <w:rFonts w:cstheme="minorHAnsi"/>
          <w:lang w:val="fr-FR"/>
        </w:rPr>
        <w:t xml:space="preserve">fforts </w:t>
      </w:r>
      <w:r w:rsidR="00316DBA" w:rsidRPr="00AE0ED9">
        <w:rPr>
          <w:rFonts w:cstheme="minorHAnsi"/>
          <w:lang w:val="fr-FR"/>
        </w:rPr>
        <w:t xml:space="preserve">ont </w:t>
      </w:r>
      <w:r w:rsidR="00D34212">
        <w:rPr>
          <w:rFonts w:cstheme="minorHAnsi"/>
          <w:lang w:val="fr-FR"/>
        </w:rPr>
        <w:t>porté</w:t>
      </w:r>
      <w:r w:rsidR="00316DBA" w:rsidRPr="00AE0ED9">
        <w:rPr>
          <w:rFonts w:cstheme="minorHAnsi"/>
          <w:lang w:val="fr-FR"/>
        </w:rPr>
        <w:t xml:space="preserve"> sur le renforcement du fonctionnement du Secrétariat</w:t>
      </w:r>
      <w:r w:rsidR="003B79F0" w:rsidRPr="00AE0ED9">
        <w:rPr>
          <w:rFonts w:cstheme="minorHAnsi"/>
          <w:lang w:val="fr-FR"/>
        </w:rPr>
        <w:t xml:space="preserve"> </w:t>
      </w:r>
      <w:r w:rsidR="00316DBA" w:rsidRPr="00AE0ED9">
        <w:rPr>
          <w:rFonts w:cstheme="minorHAnsi"/>
          <w:lang w:val="fr-FR"/>
        </w:rPr>
        <w:t xml:space="preserve">afin qu’il puisse exécuter efficacement le </w:t>
      </w:r>
      <w:r w:rsidR="00316DBA" w:rsidRPr="00AE0ED9">
        <w:rPr>
          <w:lang w:val="fr-FR"/>
        </w:rPr>
        <w:t>mandat qui lui a é</w:t>
      </w:r>
      <w:r w:rsidR="0018738D" w:rsidRPr="00AE0ED9">
        <w:rPr>
          <w:lang w:val="fr-FR"/>
        </w:rPr>
        <w:t>té confié en vertu de l'Article </w:t>
      </w:r>
      <w:r w:rsidR="00316DBA" w:rsidRPr="00AE0ED9">
        <w:rPr>
          <w:lang w:val="fr-FR"/>
        </w:rPr>
        <w:t xml:space="preserve">8 de la Convention, mettre en œuvre les instructions données par la Conférence des Parties contractantes et le Comité permanent, et aider les Parties à </w:t>
      </w:r>
      <w:r w:rsidR="00D34212">
        <w:rPr>
          <w:lang w:val="fr-FR"/>
        </w:rPr>
        <w:t>appliquer</w:t>
      </w:r>
      <w:r w:rsidR="00316DBA" w:rsidRPr="00AE0ED9">
        <w:rPr>
          <w:lang w:val="fr-FR"/>
        </w:rPr>
        <w:t xml:space="preserve"> le Plan stratégique de la Convention. Les principaux domaines concernés sont mentionnés ci-dessous, avec des indications </w:t>
      </w:r>
      <w:r w:rsidR="00D34212">
        <w:rPr>
          <w:lang w:val="fr-FR"/>
        </w:rPr>
        <w:t>sur les</w:t>
      </w:r>
      <w:r w:rsidR="00316DBA" w:rsidRPr="00AE0ED9">
        <w:rPr>
          <w:lang w:val="fr-FR"/>
        </w:rPr>
        <w:t xml:space="preserve"> mesures prises</w:t>
      </w:r>
      <w:r w:rsidR="003B79F0" w:rsidRPr="00AE0ED9">
        <w:rPr>
          <w:rFonts w:cstheme="minorHAnsi"/>
          <w:lang w:val="fr-FR"/>
        </w:rPr>
        <w:t>.</w:t>
      </w:r>
    </w:p>
    <w:p w14:paraId="004CB8B9" w14:textId="77777777" w:rsidR="00250611" w:rsidRPr="00AE0ED9" w:rsidRDefault="00250611" w:rsidP="00C81B75">
      <w:pPr>
        <w:rPr>
          <w:rFonts w:cstheme="minorHAnsi"/>
          <w:lang w:val="fr-FR"/>
        </w:rPr>
      </w:pPr>
    </w:p>
    <w:p w14:paraId="1A573207" w14:textId="085BCED2" w:rsidR="001D3E01" w:rsidRPr="00AE0ED9" w:rsidRDefault="00EF7749" w:rsidP="00C81B75">
      <w:pPr>
        <w:ind w:left="0" w:firstLine="0"/>
        <w:rPr>
          <w:rFonts w:cstheme="minorHAnsi"/>
          <w:bCs/>
          <w:u w:val="single"/>
          <w:lang w:val="fr-FR"/>
        </w:rPr>
      </w:pPr>
      <w:r w:rsidRPr="00AE0ED9">
        <w:rPr>
          <w:rFonts w:cstheme="minorHAnsi"/>
          <w:bCs/>
          <w:u w:val="single"/>
          <w:lang w:val="fr-FR"/>
        </w:rPr>
        <w:t xml:space="preserve">Renforcement des services </w:t>
      </w:r>
      <w:r w:rsidR="00D34212">
        <w:rPr>
          <w:rFonts w:cstheme="minorHAnsi"/>
          <w:bCs/>
          <w:u w:val="single"/>
          <w:lang w:val="fr-FR"/>
        </w:rPr>
        <w:t>aux</w:t>
      </w:r>
      <w:r w:rsidRPr="00AE0ED9">
        <w:rPr>
          <w:rFonts w:cstheme="minorHAnsi"/>
          <w:bCs/>
          <w:u w:val="single"/>
          <w:lang w:val="fr-FR"/>
        </w:rPr>
        <w:t xml:space="preserve"> </w:t>
      </w:r>
      <w:r w:rsidR="00D34212" w:rsidRPr="00AE0ED9">
        <w:rPr>
          <w:rFonts w:cstheme="minorHAnsi"/>
          <w:bCs/>
          <w:u w:val="single"/>
          <w:lang w:val="fr-FR"/>
        </w:rPr>
        <w:t xml:space="preserve">Parties contractantes </w:t>
      </w:r>
      <w:r w:rsidR="00D34212">
        <w:rPr>
          <w:rFonts w:cstheme="minorHAnsi"/>
          <w:bCs/>
          <w:u w:val="single"/>
          <w:lang w:val="fr-FR"/>
        </w:rPr>
        <w:t xml:space="preserve">en matière de </w:t>
      </w:r>
      <w:r w:rsidRPr="00AE0ED9">
        <w:rPr>
          <w:rFonts w:cstheme="minorHAnsi"/>
          <w:bCs/>
          <w:u w:val="single"/>
          <w:lang w:val="fr-FR"/>
        </w:rPr>
        <w:t xml:space="preserve">prise de décisions et </w:t>
      </w:r>
      <w:r w:rsidR="00D34212">
        <w:rPr>
          <w:rFonts w:cstheme="minorHAnsi"/>
          <w:bCs/>
          <w:u w:val="single"/>
          <w:lang w:val="fr-FR"/>
        </w:rPr>
        <w:t>de</w:t>
      </w:r>
      <w:r w:rsidRPr="00AE0ED9">
        <w:rPr>
          <w:rFonts w:cstheme="minorHAnsi"/>
          <w:bCs/>
          <w:u w:val="single"/>
          <w:lang w:val="fr-FR"/>
        </w:rPr>
        <w:t xml:space="preserve"> responsabilit</w:t>
      </w:r>
      <w:r w:rsidR="0022728A" w:rsidRPr="00AE0ED9">
        <w:rPr>
          <w:rFonts w:cstheme="minorHAnsi"/>
          <w:bCs/>
          <w:u w:val="single"/>
          <w:lang w:val="fr-FR"/>
        </w:rPr>
        <w:t>é</w:t>
      </w:r>
      <w:r w:rsidRPr="00AE0ED9">
        <w:rPr>
          <w:rFonts w:cstheme="minorHAnsi"/>
          <w:bCs/>
          <w:u w:val="single"/>
          <w:lang w:val="fr-FR"/>
        </w:rPr>
        <w:t xml:space="preserve"> </w:t>
      </w:r>
    </w:p>
    <w:p w14:paraId="1E26FF74" w14:textId="77777777" w:rsidR="009D5F75" w:rsidRPr="00AE0ED9" w:rsidRDefault="009D5F75" w:rsidP="00C81B75">
      <w:pPr>
        <w:ind w:left="0" w:firstLine="0"/>
        <w:rPr>
          <w:rFonts w:cstheme="minorHAnsi"/>
          <w:b/>
          <w:lang w:val="fr-FR"/>
        </w:rPr>
      </w:pPr>
    </w:p>
    <w:p w14:paraId="5922BCDE" w14:textId="63211C94" w:rsidR="00E84D11" w:rsidRPr="00AE0ED9" w:rsidRDefault="002F0AD3" w:rsidP="00C81B75">
      <w:pPr>
        <w:rPr>
          <w:rFonts w:cstheme="minorHAnsi"/>
          <w:lang w:val="fr-FR"/>
        </w:rPr>
      </w:pPr>
      <w:r w:rsidRPr="00AE0ED9">
        <w:rPr>
          <w:rFonts w:cstheme="minorHAnsi"/>
          <w:lang w:val="fr-FR"/>
        </w:rPr>
        <w:t>4.</w:t>
      </w:r>
      <w:r w:rsidRPr="00AE0ED9">
        <w:rPr>
          <w:rFonts w:cstheme="minorHAnsi"/>
          <w:lang w:val="fr-FR"/>
        </w:rPr>
        <w:tab/>
      </w:r>
      <w:r w:rsidR="007815DF" w:rsidRPr="00AE0ED9">
        <w:rPr>
          <w:rFonts w:cstheme="minorHAnsi"/>
          <w:lang w:val="fr-FR"/>
        </w:rPr>
        <w:t>Parmi les</w:t>
      </w:r>
      <w:r w:rsidR="00EF7749" w:rsidRPr="00AE0ED9">
        <w:rPr>
          <w:rFonts w:cstheme="minorHAnsi"/>
          <w:lang w:val="fr-FR"/>
        </w:rPr>
        <w:t xml:space="preserve"> principaux domaines</w:t>
      </w:r>
      <w:r w:rsidR="007815DF" w:rsidRPr="00AE0ED9">
        <w:rPr>
          <w:rFonts w:cstheme="minorHAnsi"/>
          <w:lang w:val="fr-FR"/>
        </w:rPr>
        <w:t xml:space="preserve"> à améliorer, la Secrétaire générale a identifié</w:t>
      </w:r>
      <w:r w:rsidR="0035595C" w:rsidRPr="00AE0ED9">
        <w:rPr>
          <w:rFonts w:cstheme="minorHAnsi"/>
          <w:lang w:val="fr-FR"/>
        </w:rPr>
        <w:t xml:space="preserve"> </w:t>
      </w:r>
      <w:r w:rsidR="00D34212">
        <w:rPr>
          <w:rFonts w:cstheme="minorHAnsi"/>
          <w:lang w:val="fr-FR"/>
        </w:rPr>
        <w:t xml:space="preserve">plus particulièrement </w:t>
      </w:r>
      <w:r w:rsidR="007815DF" w:rsidRPr="00AE0ED9">
        <w:rPr>
          <w:rFonts w:cstheme="minorHAnsi"/>
          <w:lang w:val="fr-FR"/>
        </w:rPr>
        <w:t>la façon dont le Secrétariat s'acquitte de son rôle essentiel, à savoir servir les Parties contractantes,</w:t>
      </w:r>
      <w:r w:rsidR="00E84D11" w:rsidRPr="00AE0ED9">
        <w:rPr>
          <w:rFonts w:cstheme="minorHAnsi"/>
          <w:lang w:val="fr-FR"/>
        </w:rPr>
        <w:t xml:space="preserve"> </w:t>
      </w:r>
      <w:r w:rsidR="007815DF" w:rsidRPr="00AE0ED9">
        <w:rPr>
          <w:rFonts w:cs="Arial"/>
          <w:lang w:val="fr-FR"/>
        </w:rPr>
        <w:t xml:space="preserve">notamment </w:t>
      </w:r>
      <w:r w:rsidR="00D34212">
        <w:rPr>
          <w:rFonts w:cs="Arial"/>
          <w:lang w:val="fr-FR"/>
        </w:rPr>
        <w:t>en organisant les</w:t>
      </w:r>
      <w:r w:rsidR="007815DF" w:rsidRPr="00AE0ED9">
        <w:rPr>
          <w:rFonts w:cs="Arial"/>
          <w:lang w:val="fr-FR"/>
        </w:rPr>
        <w:t xml:space="preserve"> réunions des organes </w:t>
      </w:r>
      <w:r w:rsidR="00003B4C" w:rsidRPr="00AE0ED9">
        <w:rPr>
          <w:rFonts w:cs="Arial"/>
          <w:lang w:val="fr-FR"/>
        </w:rPr>
        <w:t>directeurs</w:t>
      </w:r>
      <w:r w:rsidR="007815DF" w:rsidRPr="00AE0ED9">
        <w:rPr>
          <w:rFonts w:cs="Arial"/>
          <w:lang w:val="fr-FR"/>
        </w:rPr>
        <w:t xml:space="preserve"> et subsidiaires</w:t>
      </w:r>
      <w:r w:rsidR="00D34212">
        <w:rPr>
          <w:rFonts w:cs="Arial"/>
          <w:lang w:val="fr-FR"/>
        </w:rPr>
        <w:t xml:space="preserve">, </w:t>
      </w:r>
      <w:r w:rsidR="007815DF" w:rsidRPr="00AE0ED9">
        <w:rPr>
          <w:rFonts w:cs="Arial"/>
          <w:lang w:val="fr-FR"/>
        </w:rPr>
        <w:t>et la responsabilit</w:t>
      </w:r>
      <w:r w:rsidR="0022728A" w:rsidRPr="00AE0ED9">
        <w:rPr>
          <w:rFonts w:cs="Arial"/>
          <w:lang w:val="fr-FR"/>
        </w:rPr>
        <w:t>é</w:t>
      </w:r>
      <w:r w:rsidR="007815DF" w:rsidRPr="00AE0ED9">
        <w:rPr>
          <w:rFonts w:cs="Arial"/>
          <w:lang w:val="fr-FR"/>
        </w:rPr>
        <w:t xml:space="preserve"> dans tous les travaux du Secrétariat accomplis pour appliquer les décisions et requêtes des Parties contractantes</w:t>
      </w:r>
      <w:r w:rsidR="00E84D11" w:rsidRPr="00AE0ED9">
        <w:rPr>
          <w:rFonts w:cstheme="minorHAnsi"/>
          <w:lang w:val="fr-FR"/>
        </w:rPr>
        <w:t>.</w:t>
      </w:r>
      <w:r w:rsidR="009B383A" w:rsidRPr="00AE0ED9">
        <w:rPr>
          <w:rFonts w:cstheme="minorHAnsi"/>
          <w:lang w:val="fr-FR"/>
        </w:rPr>
        <w:t xml:space="preserve"> C’est ce que l’on peut constater dans le recrutement de postes (voir paragraphe </w:t>
      </w:r>
      <w:r w:rsidR="00BC41E7">
        <w:rPr>
          <w:rFonts w:cstheme="minorHAnsi"/>
          <w:lang w:val="fr-FR"/>
        </w:rPr>
        <w:t>38</w:t>
      </w:r>
      <w:r w:rsidR="009B383A" w:rsidRPr="00AE0ED9">
        <w:rPr>
          <w:rFonts w:cstheme="minorHAnsi"/>
          <w:lang w:val="fr-FR"/>
        </w:rPr>
        <w:t xml:space="preserve"> ci</w:t>
      </w:r>
      <w:r w:rsidR="009B383A" w:rsidRPr="00AE0ED9">
        <w:rPr>
          <w:rFonts w:cstheme="minorHAnsi"/>
          <w:lang w:val="fr-FR"/>
        </w:rPr>
        <w:noBreakHyphen/>
        <w:t xml:space="preserve">dessous) et dans la priorisation de ce domaine au </w:t>
      </w:r>
      <w:r w:rsidR="009B383A" w:rsidRPr="00AE0ED9">
        <w:rPr>
          <w:rFonts w:cstheme="minorHAnsi"/>
          <w:lang w:val="fr-FR"/>
        </w:rPr>
        <w:lastRenderedPageBreak/>
        <w:t>sein des travaux de l’ensemble de l’équipe comme le démontrent les Plans de travail annuels intégrés pour </w:t>
      </w:r>
      <w:r w:rsidR="00E84D11" w:rsidRPr="00AE0ED9">
        <w:rPr>
          <w:rFonts w:cstheme="minorHAnsi"/>
          <w:lang w:val="fr-FR"/>
        </w:rPr>
        <w:t xml:space="preserve">2017 </w:t>
      </w:r>
      <w:r w:rsidR="009B383A" w:rsidRPr="00AE0ED9">
        <w:rPr>
          <w:rFonts w:cstheme="minorHAnsi"/>
          <w:lang w:val="fr-FR"/>
        </w:rPr>
        <w:t>et </w:t>
      </w:r>
      <w:r w:rsidR="00E84D11" w:rsidRPr="00AE0ED9">
        <w:rPr>
          <w:rFonts w:cstheme="minorHAnsi"/>
          <w:lang w:val="fr-FR"/>
        </w:rPr>
        <w:t xml:space="preserve">2018 </w:t>
      </w:r>
      <w:r w:rsidR="009B383A" w:rsidRPr="00AE0ED9">
        <w:rPr>
          <w:rFonts w:cstheme="minorHAnsi"/>
          <w:lang w:val="fr-FR"/>
        </w:rPr>
        <w:t xml:space="preserve">et le Plan de travail triennal pour </w:t>
      </w:r>
      <w:r w:rsidR="00E84D11" w:rsidRPr="00AE0ED9">
        <w:rPr>
          <w:rFonts w:cstheme="minorHAnsi"/>
          <w:lang w:val="fr-FR"/>
        </w:rPr>
        <w:t>2016</w:t>
      </w:r>
      <w:r w:rsidR="009B383A" w:rsidRPr="00AE0ED9">
        <w:rPr>
          <w:rFonts w:cstheme="minorHAnsi"/>
          <w:lang w:val="fr-FR"/>
        </w:rPr>
        <w:noBreakHyphen/>
      </w:r>
      <w:r w:rsidR="00E84D11" w:rsidRPr="00AE0ED9">
        <w:rPr>
          <w:rFonts w:cstheme="minorHAnsi"/>
          <w:lang w:val="fr-FR"/>
        </w:rPr>
        <w:t xml:space="preserve">2018 </w:t>
      </w:r>
      <w:r w:rsidR="009B383A" w:rsidRPr="00AE0ED9">
        <w:rPr>
          <w:rFonts w:cstheme="minorHAnsi"/>
          <w:lang w:val="fr-FR"/>
        </w:rPr>
        <w:t>pour le Secrétariat, approuvés par le Comité permanent à s</w:t>
      </w:r>
      <w:r w:rsidR="00475017" w:rsidRPr="00AE0ED9">
        <w:rPr>
          <w:rFonts w:cstheme="minorHAnsi"/>
          <w:lang w:val="fr-FR"/>
        </w:rPr>
        <w:t>es</w:t>
      </w:r>
      <w:r w:rsidR="009B383A" w:rsidRPr="00AE0ED9">
        <w:rPr>
          <w:rFonts w:cstheme="minorHAnsi"/>
          <w:lang w:val="fr-FR"/>
        </w:rPr>
        <w:t xml:space="preserve"> 53</w:t>
      </w:r>
      <w:r w:rsidR="009B383A" w:rsidRPr="00AE0ED9">
        <w:rPr>
          <w:rFonts w:cstheme="minorHAnsi"/>
          <w:vertAlign w:val="superscript"/>
          <w:lang w:val="fr-FR"/>
        </w:rPr>
        <w:t>e</w:t>
      </w:r>
      <w:r w:rsidR="009B383A" w:rsidRPr="00AE0ED9">
        <w:rPr>
          <w:rFonts w:cstheme="minorHAnsi"/>
          <w:lang w:val="fr-FR"/>
        </w:rPr>
        <w:t> </w:t>
      </w:r>
      <w:r w:rsidR="00475017" w:rsidRPr="00AE0ED9">
        <w:rPr>
          <w:rFonts w:cstheme="minorHAnsi"/>
          <w:lang w:val="fr-FR"/>
        </w:rPr>
        <w:t xml:space="preserve">et </w:t>
      </w:r>
      <w:r w:rsidR="009B383A" w:rsidRPr="00AE0ED9">
        <w:rPr>
          <w:rFonts w:cstheme="minorHAnsi"/>
          <w:lang w:val="fr-FR"/>
        </w:rPr>
        <w:t>54</w:t>
      </w:r>
      <w:r w:rsidR="009B383A" w:rsidRPr="00AE0ED9">
        <w:rPr>
          <w:rFonts w:cstheme="minorHAnsi"/>
          <w:vertAlign w:val="superscript"/>
          <w:lang w:val="fr-FR"/>
        </w:rPr>
        <w:t>e</w:t>
      </w:r>
      <w:r w:rsidR="009B383A" w:rsidRPr="00AE0ED9">
        <w:rPr>
          <w:rFonts w:cstheme="minorHAnsi"/>
          <w:lang w:val="fr-FR"/>
        </w:rPr>
        <w:t> Réunion</w:t>
      </w:r>
      <w:r w:rsidR="00475017" w:rsidRPr="00AE0ED9">
        <w:rPr>
          <w:rFonts w:cstheme="minorHAnsi"/>
          <w:lang w:val="fr-FR"/>
        </w:rPr>
        <w:t>s</w:t>
      </w:r>
      <w:r w:rsidR="009B383A" w:rsidRPr="00AE0ED9">
        <w:rPr>
          <w:rFonts w:cstheme="minorHAnsi"/>
          <w:lang w:val="fr-FR"/>
        </w:rPr>
        <w:t>.</w:t>
      </w:r>
    </w:p>
    <w:p w14:paraId="7A8D8E37" w14:textId="791F43D0" w:rsidR="008A384C" w:rsidRPr="00AE0ED9" w:rsidRDefault="008A384C" w:rsidP="00C81B75">
      <w:pPr>
        <w:rPr>
          <w:rFonts w:cstheme="minorHAnsi"/>
          <w:lang w:val="fr-FR"/>
        </w:rPr>
      </w:pPr>
    </w:p>
    <w:p w14:paraId="2E90B2AD" w14:textId="6C5E0DC1" w:rsidR="0031686B" w:rsidRPr="00AE0ED9" w:rsidRDefault="002F0AD3" w:rsidP="00C81B75">
      <w:pPr>
        <w:rPr>
          <w:rFonts w:cstheme="minorHAnsi"/>
          <w:lang w:val="fr-FR"/>
        </w:rPr>
      </w:pPr>
      <w:r w:rsidRPr="00AE0ED9">
        <w:rPr>
          <w:rFonts w:cstheme="minorHAnsi"/>
          <w:lang w:val="fr-FR"/>
        </w:rPr>
        <w:t>5.</w:t>
      </w:r>
      <w:r w:rsidRPr="00AE0ED9">
        <w:rPr>
          <w:rFonts w:cstheme="minorHAnsi"/>
          <w:lang w:val="fr-FR"/>
        </w:rPr>
        <w:tab/>
      </w:r>
      <w:r w:rsidR="009B383A" w:rsidRPr="00AE0ED9">
        <w:rPr>
          <w:rFonts w:cstheme="minorHAnsi"/>
          <w:lang w:val="fr-FR"/>
        </w:rPr>
        <w:t>Une des fonctions d’importance critique du Secrétariat est l’organisation de réunions des organes directeurs et subsidiaires de la Convention, notamment le Comité permanent et le Groupe d’évaluation scientifique et technique (GEST). Au cours de la période triennale, le Secrétariat a pris des dispositions logistiques, préparé des documents pour les réunions et préparé des rapports quotidiens ainsi qu’un rapport final pour l</w:t>
      </w:r>
      <w:r w:rsidR="00923213" w:rsidRPr="00AE0ED9">
        <w:rPr>
          <w:rFonts w:cstheme="minorHAnsi"/>
          <w:lang w:val="fr-FR"/>
        </w:rPr>
        <w:t>es</w:t>
      </w:r>
      <w:r w:rsidR="009B383A" w:rsidRPr="00AE0ED9">
        <w:rPr>
          <w:rFonts w:cstheme="minorHAnsi"/>
          <w:lang w:val="fr-FR"/>
        </w:rPr>
        <w:t xml:space="preserve"> 19</w:t>
      </w:r>
      <w:r w:rsidR="009B383A" w:rsidRPr="00AE0ED9">
        <w:rPr>
          <w:rFonts w:cstheme="minorHAnsi"/>
          <w:vertAlign w:val="superscript"/>
          <w:lang w:val="fr-FR"/>
        </w:rPr>
        <w:t>e</w:t>
      </w:r>
      <w:r w:rsidR="009B383A" w:rsidRPr="00AE0ED9">
        <w:rPr>
          <w:rFonts w:cstheme="minorHAnsi"/>
          <w:lang w:val="fr-FR"/>
        </w:rPr>
        <w:t>, 20</w:t>
      </w:r>
      <w:r w:rsidR="009B383A" w:rsidRPr="00AE0ED9">
        <w:rPr>
          <w:rFonts w:cstheme="minorHAnsi"/>
          <w:vertAlign w:val="superscript"/>
          <w:lang w:val="fr-FR"/>
        </w:rPr>
        <w:t>e</w:t>
      </w:r>
      <w:r w:rsidR="009B383A" w:rsidRPr="00AE0ED9">
        <w:rPr>
          <w:rFonts w:cstheme="minorHAnsi"/>
          <w:lang w:val="fr-FR"/>
        </w:rPr>
        <w:t xml:space="preserve"> et 21</w:t>
      </w:r>
      <w:r w:rsidR="009B383A" w:rsidRPr="00AE0ED9">
        <w:rPr>
          <w:rFonts w:cstheme="minorHAnsi"/>
          <w:vertAlign w:val="superscript"/>
          <w:lang w:val="fr-FR"/>
        </w:rPr>
        <w:t>e</w:t>
      </w:r>
      <w:r w:rsidR="009B383A" w:rsidRPr="00AE0ED9">
        <w:rPr>
          <w:rFonts w:cstheme="minorHAnsi"/>
          <w:lang w:val="fr-FR"/>
        </w:rPr>
        <w:t> </w:t>
      </w:r>
      <w:r w:rsidR="00D058D5" w:rsidRPr="00AE0ED9">
        <w:rPr>
          <w:rFonts w:cstheme="minorHAnsi"/>
          <w:lang w:val="fr-FR"/>
        </w:rPr>
        <w:t>r</w:t>
      </w:r>
      <w:r w:rsidR="009B383A" w:rsidRPr="00AE0ED9">
        <w:rPr>
          <w:rFonts w:cstheme="minorHAnsi"/>
          <w:lang w:val="fr-FR"/>
        </w:rPr>
        <w:t>éunions du GEST et pour l</w:t>
      </w:r>
      <w:r w:rsidR="00923213" w:rsidRPr="00AE0ED9">
        <w:rPr>
          <w:rFonts w:cstheme="minorHAnsi"/>
          <w:lang w:val="fr-FR"/>
        </w:rPr>
        <w:t>es</w:t>
      </w:r>
      <w:r w:rsidR="009B383A" w:rsidRPr="00AE0ED9">
        <w:rPr>
          <w:rFonts w:cstheme="minorHAnsi"/>
          <w:lang w:val="fr-FR"/>
        </w:rPr>
        <w:t xml:space="preserve"> 51</w:t>
      </w:r>
      <w:r w:rsidR="009B383A" w:rsidRPr="00AE0ED9">
        <w:rPr>
          <w:rFonts w:cstheme="minorHAnsi"/>
          <w:vertAlign w:val="superscript"/>
          <w:lang w:val="fr-FR"/>
        </w:rPr>
        <w:t>e</w:t>
      </w:r>
      <w:r w:rsidR="009B383A" w:rsidRPr="00AE0ED9">
        <w:rPr>
          <w:rFonts w:cstheme="minorHAnsi"/>
          <w:lang w:val="fr-FR"/>
        </w:rPr>
        <w:t>, 52</w:t>
      </w:r>
      <w:r w:rsidR="009B383A" w:rsidRPr="00AE0ED9">
        <w:rPr>
          <w:rFonts w:cstheme="minorHAnsi"/>
          <w:vertAlign w:val="superscript"/>
          <w:lang w:val="fr-FR"/>
        </w:rPr>
        <w:t>e</w:t>
      </w:r>
      <w:r w:rsidR="009B383A" w:rsidRPr="00AE0ED9">
        <w:rPr>
          <w:rFonts w:cstheme="minorHAnsi"/>
          <w:lang w:val="fr-FR"/>
        </w:rPr>
        <w:t>, 53</w:t>
      </w:r>
      <w:r w:rsidR="009B383A" w:rsidRPr="00AE0ED9">
        <w:rPr>
          <w:rFonts w:cstheme="minorHAnsi"/>
          <w:vertAlign w:val="superscript"/>
          <w:lang w:val="fr-FR"/>
        </w:rPr>
        <w:t>e</w:t>
      </w:r>
      <w:r w:rsidR="009B383A" w:rsidRPr="00AE0ED9">
        <w:rPr>
          <w:rFonts w:cstheme="minorHAnsi"/>
          <w:lang w:val="fr-FR"/>
        </w:rPr>
        <w:t xml:space="preserve"> et 54</w:t>
      </w:r>
      <w:r w:rsidR="009B383A" w:rsidRPr="00AE0ED9">
        <w:rPr>
          <w:rFonts w:cstheme="minorHAnsi"/>
          <w:vertAlign w:val="superscript"/>
          <w:lang w:val="fr-FR"/>
        </w:rPr>
        <w:t>e</w:t>
      </w:r>
      <w:r w:rsidR="009B383A" w:rsidRPr="00AE0ED9">
        <w:rPr>
          <w:rFonts w:cstheme="minorHAnsi"/>
          <w:lang w:val="fr-FR"/>
        </w:rPr>
        <w:t> Réunions du Comité permanent. Il s’est aussi préparé pour la 13</w:t>
      </w:r>
      <w:r w:rsidR="009B383A" w:rsidRPr="00AE0ED9">
        <w:rPr>
          <w:rFonts w:cstheme="minorHAnsi"/>
          <w:vertAlign w:val="superscript"/>
          <w:lang w:val="fr-FR"/>
        </w:rPr>
        <w:t>e</w:t>
      </w:r>
      <w:r w:rsidR="009B383A" w:rsidRPr="00AE0ED9">
        <w:rPr>
          <w:rFonts w:cstheme="minorHAnsi"/>
          <w:lang w:val="fr-FR"/>
        </w:rPr>
        <w:t xml:space="preserve"> Session de la Conférence des Parties (COP13) </w:t>
      </w:r>
      <w:r w:rsidR="00D34212">
        <w:rPr>
          <w:rFonts w:cstheme="minorHAnsi"/>
          <w:lang w:val="fr-FR"/>
        </w:rPr>
        <w:t>en organisant</w:t>
      </w:r>
      <w:r w:rsidR="009B383A" w:rsidRPr="00AE0ED9">
        <w:rPr>
          <w:rFonts w:cstheme="minorHAnsi"/>
          <w:lang w:val="fr-FR"/>
        </w:rPr>
        <w:t xml:space="preserve"> cinq réunions régionales préparatoires et a </w:t>
      </w:r>
      <w:r w:rsidR="00D34212">
        <w:rPr>
          <w:rFonts w:cstheme="minorHAnsi"/>
          <w:lang w:val="fr-FR"/>
        </w:rPr>
        <w:t>soutenu</w:t>
      </w:r>
      <w:r w:rsidR="009B383A" w:rsidRPr="00AE0ED9">
        <w:rPr>
          <w:rFonts w:cstheme="minorHAnsi"/>
          <w:lang w:val="fr-FR"/>
        </w:rPr>
        <w:t xml:space="preserve"> d’autres groupes </w:t>
      </w:r>
      <w:r w:rsidR="00D34212">
        <w:rPr>
          <w:rFonts w:cstheme="minorHAnsi"/>
          <w:lang w:val="fr-FR"/>
        </w:rPr>
        <w:t>créés</w:t>
      </w:r>
      <w:r w:rsidR="009B383A" w:rsidRPr="00AE0ED9">
        <w:rPr>
          <w:rFonts w:cstheme="minorHAnsi"/>
          <w:lang w:val="fr-FR"/>
        </w:rPr>
        <w:t xml:space="preserve"> par le Comité permanent et la COP. </w:t>
      </w:r>
    </w:p>
    <w:p w14:paraId="00235365" w14:textId="77777777" w:rsidR="0031686B" w:rsidRPr="00AE0ED9" w:rsidRDefault="0031686B" w:rsidP="00C81B75">
      <w:pPr>
        <w:rPr>
          <w:rFonts w:cstheme="minorHAnsi"/>
          <w:lang w:val="fr-FR"/>
        </w:rPr>
      </w:pPr>
    </w:p>
    <w:p w14:paraId="376473F9" w14:textId="0BDEF6F7" w:rsidR="007C79A0" w:rsidRPr="00AE0ED9" w:rsidRDefault="002F0AD3" w:rsidP="00C81B75">
      <w:pPr>
        <w:rPr>
          <w:rFonts w:cstheme="minorHAnsi"/>
          <w:lang w:val="fr-FR"/>
        </w:rPr>
      </w:pPr>
      <w:r w:rsidRPr="00AE0ED9">
        <w:rPr>
          <w:rFonts w:cstheme="minorHAnsi"/>
          <w:lang w:val="fr-FR"/>
        </w:rPr>
        <w:t>6.</w:t>
      </w:r>
      <w:r w:rsidRPr="00AE0ED9">
        <w:rPr>
          <w:rFonts w:cstheme="minorHAnsi"/>
          <w:lang w:val="fr-FR"/>
        </w:rPr>
        <w:tab/>
      </w:r>
      <w:r w:rsidR="009B383A" w:rsidRPr="00AE0ED9">
        <w:rPr>
          <w:rFonts w:cstheme="minorHAnsi"/>
          <w:lang w:val="fr-FR"/>
        </w:rPr>
        <w:t xml:space="preserve">Un </w:t>
      </w:r>
      <w:r w:rsidR="00D34212">
        <w:rPr>
          <w:rFonts w:cstheme="minorHAnsi"/>
          <w:lang w:val="fr-FR"/>
        </w:rPr>
        <w:t xml:space="preserve">des </w:t>
      </w:r>
      <w:r w:rsidR="009B383A" w:rsidRPr="00AE0ED9">
        <w:rPr>
          <w:rFonts w:cstheme="minorHAnsi"/>
          <w:lang w:val="fr-FR"/>
        </w:rPr>
        <w:t>domaine</w:t>
      </w:r>
      <w:r w:rsidR="00D34212">
        <w:rPr>
          <w:rFonts w:cstheme="minorHAnsi"/>
          <w:lang w:val="fr-FR"/>
        </w:rPr>
        <w:t>s</w:t>
      </w:r>
      <w:r w:rsidR="009B383A" w:rsidRPr="00AE0ED9">
        <w:rPr>
          <w:rFonts w:cstheme="minorHAnsi"/>
          <w:lang w:val="fr-FR"/>
        </w:rPr>
        <w:t xml:space="preserve"> de travail important</w:t>
      </w:r>
      <w:r w:rsidR="00D34212">
        <w:rPr>
          <w:rFonts w:cstheme="minorHAnsi"/>
          <w:lang w:val="fr-FR"/>
        </w:rPr>
        <w:t>s</w:t>
      </w:r>
      <w:r w:rsidR="009B383A" w:rsidRPr="00AE0ED9">
        <w:rPr>
          <w:rFonts w:cstheme="minorHAnsi"/>
          <w:lang w:val="fr-FR"/>
        </w:rPr>
        <w:t xml:space="preserve"> du Secrétariat </w:t>
      </w:r>
      <w:r w:rsidR="00D34212">
        <w:rPr>
          <w:rFonts w:cstheme="minorHAnsi"/>
          <w:lang w:val="fr-FR"/>
        </w:rPr>
        <w:t>consiste à soutenir le</w:t>
      </w:r>
      <w:r w:rsidR="009B383A" w:rsidRPr="00AE0ED9">
        <w:rPr>
          <w:rFonts w:cstheme="minorHAnsi"/>
          <w:lang w:val="fr-FR"/>
        </w:rPr>
        <w:t xml:space="preserve"> GEST et l’exécution du plan de travail du GEST pour 2016</w:t>
      </w:r>
      <w:r w:rsidR="009B383A" w:rsidRPr="00AE0ED9">
        <w:rPr>
          <w:rFonts w:cstheme="minorHAnsi"/>
          <w:lang w:val="fr-FR"/>
        </w:rPr>
        <w:noBreakHyphen/>
      </w:r>
      <w:r w:rsidR="00E84D11" w:rsidRPr="00AE0ED9">
        <w:rPr>
          <w:rFonts w:cstheme="minorHAnsi"/>
          <w:lang w:val="fr-FR"/>
        </w:rPr>
        <w:t xml:space="preserve">2018 </w:t>
      </w:r>
      <w:r w:rsidR="009B383A" w:rsidRPr="00AE0ED9">
        <w:rPr>
          <w:rFonts w:cstheme="minorHAnsi"/>
          <w:lang w:val="fr-FR"/>
        </w:rPr>
        <w:t xml:space="preserve">et de ses tâches hautement prioritaires, en collaboration étroite avec le Président. Les résultats </w:t>
      </w:r>
      <w:r w:rsidR="00D34212">
        <w:rPr>
          <w:rFonts w:cstheme="minorHAnsi"/>
          <w:lang w:val="fr-FR"/>
        </w:rPr>
        <w:t>suivants sont à noter</w:t>
      </w:r>
      <w:r w:rsidR="009B383A" w:rsidRPr="00AE0ED9">
        <w:rPr>
          <w:rFonts w:cstheme="minorHAnsi"/>
          <w:lang w:val="fr-FR"/>
        </w:rPr>
        <w:t xml:space="preserve"> : </w:t>
      </w:r>
    </w:p>
    <w:p w14:paraId="7752A066" w14:textId="77777777" w:rsidR="007C79A0" w:rsidRPr="00AE0ED9" w:rsidRDefault="007C79A0" w:rsidP="00C81B75">
      <w:pPr>
        <w:rPr>
          <w:rFonts w:cstheme="minorHAnsi"/>
          <w:lang w:val="fr-FR"/>
        </w:rPr>
      </w:pPr>
    </w:p>
    <w:p w14:paraId="6FFE4003" w14:textId="2ACEE6F9" w:rsidR="007C79A0" w:rsidRPr="00AE0ED9" w:rsidRDefault="00466E94" w:rsidP="00C81B75">
      <w:pPr>
        <w:pStyle w:val="ListParagraph"/>
        <w:numPr>
          <w:ilvl w:val="0"/>
          <w:numId w:val="2"/>
        </w:numPr>
        <w:ind w:left="850" w:hanging="425"/>
        <w:rPr>
          <w:rFonts w:cstheme="minorHAnsi"/>
          <w:lang w:val="fr-FR"/>
        </w:rPr>
      </w:pPr>
      <w:r w:rsidRPr="00AE0ED9">
        <w:rPr>
          <w:rFonts w:cstheme="minorHAnsi"/>
          <w:i/>
          <w:lang w:val="fr-FR"/>
        </w:rPr>
        <w:t>Perspectives mondiales pour les zones humides : État mondial des zones humides et de leurs services à l’humanité </w:t>
      </w:r>
      <w:r w:rsidRPr="00AE0ED9">
        <w:rPr>
          <w:rFonts w:cstheme="minorHAnsi"/>
          <w:lang w:val="fr-FR"/>
        </w:rPr>
        <w:t>:</w:t>
      </w:r>
      <w:r w:rsidRPr="00AE0ED9">
        <w:rPr>
          <w:rFonts w:cstheme="minorHAnsi"/>
          <w:i/>
          <w:lang w:val="fr-FR"/>
        </w:rPr>
        <w:t xml:space="preserve"> </w:t>
      </w:r>
      <w:r w:rsidRPr="00AE0ED9">
        <w:rPr>
          <w:rFonts w:cstheme="minorHAnsi"/>
          <w:lang w:val="fr-FR"/>
        </w:rPr>
        <w:t xml:space="preserve">Ce rapport emblématique devrait être publié le 27 septembre 2018, avant la COP13. Le Secrétariat a activement soutenu les auteurs du rapport, en particulier en organisant des ateliers de rédaction, en engageant un </w:t>
      </w:r>
      <w:r w:rsidR="00E97500">
        <w:rPr>
          <w:rFonts w:cstheme="minorHAnsi"/>
          <w:lang w:val="fr-FR"/>
        </w:rPr>
        <w:t>rédacteur</w:t>
      </w:r>
      <w:r w:rsidRPr="00AE0ED9">
        <w:rPr>
          <w:rFonts w:cstheme="minorHAnsi"/>
          <w:lang w:val="fr-FR"/>
        </w:rPr>
        <w:t xml:space="preserve"> professionnel et en donnant des avis et un appui </w:t>
      </w:r>
      <w:r w:rsidR="00E97500">
        <w:rPr>
          <w:rFonts w:cstheme="minorHAnsi"/>
          <w:lang w:val="fr-FR"/>
        </w:rPr>
        <w:t>à la</w:t>
      </w:r>
      <w:r w:rsidRPr="00AE0ED9">
        <w:rPr>
          <w:rFonts w:cstheme="minorHAnsi"/>
          <w:lang w:val="fr-FR"/>
        </w:rPr>
        <w:t xml:space="preserve"> communication </w:t>
      </w:r>
      <w:r w:rsidR="00E97500">
        <w:rPr>
          <w:rFonts w:cstheme="minorHAnsi"/>
          <w:lang w:val="fr-FR"/>
        </w:rPr>
        <w:t>ainsi que sur</w:t>
      </w:r>
      <w:r w:rsidRPr="00AE0ED9">
        <w:rPr>
          <w:rFonts w:cstheme="minorHAnsi"/>
          <w:lang w:val="fr-FR"/>
        </w:rPr>
        <w:t xml:space="preserve"> la pertinence du rapport du point de vue </w:t>
      </w:r>
      <w:r w:rsidR="00E97500">
        <w:rPr>
          <w:rFonts w:cstheme="minorHAnsi"/>
          <w:lang w:val="fr-FR"/>
        </w:rPr>
        <w:t xml:space="preserve">des </w:t>
      </w:r>
      <w:r w:rsidRPr="00AE0ED9">
        <w:rPr>
          <w:rFonts w:cstheme="minorHAnsi"/>
          <w:lang w:val="fr-FR"/>
        </w:rPr>
        <w:t>politique</w:t>
      </w:r>
      <w:r w:rsidR="00E97500">
        <w:rPr>
          <w:rFonts w:cstheme="minorHAnsi"/>
          <w:lang w:val="fr-FR"/>
        </w:rPr>
        <w:t>s</w:t>
      </w:r>
      <w:r w:rsidRPr="00AE0ED9">
        <w:rPr>
          <w:rFonts w:cstheme="minorHAnsi"/>
          <w:lang w:val="fr-FR"/>
        </w:rPr>
        <w:t xml:space="preserve">. Il a aussi coordonné les aspects </w:t>
      </w:r>
      <w:r w:rsidR="00E97500">
        <w:rPr>
          <w:rFonts w:cstheme="minorHAnsi"/>
          <w:lang w:val="fr-FR"/>
        </w:rPr>
        <w:t>relatifs à la conception</w:t>
      </w:r>
      <w:r w:rsidRPr="00AE0ED9">
        <w:rPr>
          <w:rFonts w:cstheme="minorHAnsi"/>
          <w:lang w:val="fr-FR"/>
        </w:rPr>
        <w:t xml:space="preserve"> et </w:t>
      </w:r>
      <w:r w:rsidR="00E97500">
        <w:rPr>
          <w:rFonts w:cstheme="minorHAnsi"/>
          <w:lang w:val="fr-FR"/>
        </w:rPr>
        <w:t>à la</w:t>
      </w:r>
      <w:r w:rsidRPr="00AE0ED9">
        <w:rPr>
          <w:rFonts w:cstheme="minorHAnsi"/>
          <w:lang w:val="fr-FR"/>
        </w:rPr>
        <w:t xml:space="preserve"> production du rapport ainsi qu’un résumé et une Note d’information pour les décideurs</w:t>
      </w:r>
      <w:r w:rsidR="00E84D11" w:rsidRPr="00AE0ED9">
        <w:rPr>
          <w:rFonts w:cstheme="minorHAnsi"/>
          <w:lang w:val="fr-FR"/>
        </w:rPr>
        <w:t>.</w:t>
      </w:r>
    </w:p>
    <w:p w14:paraId="6C7D89EE" w14:textId="77777777" w:rsidR="0097384C" w:rsidRPr="00AE0ED9" w:rsidRDefault="0097384C" w:rsidP="00C81B75">
      <w:pPr>
        <w:rPr>
          <w:rFonts w:cstheme="minorHAnsi"/>
          <w:lang w:val="fr-FR"/>
        </w:rPr>
      </w:pPr>
    </w:p>
    <w:p w14:paraId="0A58CAD4" w14:textId="10F0374D" w:rsidR="0031686B" w:rsidRPr="00AE0ED9" w:rsidRDefault="00936E97" w:rsidP="00C81B75">
      <w:pPr>
        <w:pStyle w:val="ListParagraph"/>
        <w:numPr>
          <w:ilvl w:val="0"/>
          <w:numId w:val="2"/>
        </w:numPr>
        <w:ind w:left="850" w:hanging="425"/>
        <w:rPr>
          <w:rFonts w:cstheme="minorHAnsi"/>
          <w:lang w:val="fr-FR"/>
        </w:rPr>
      </w:pPr>
      <w:r w:rsidRPr="00AE0ED9">
        <w:rPr>
          <w:rFonts w:cstheme="minorHAnsi"/>
          <w:lang w:val="fr-FR"/>
        </w:rPr>
        <w:t xml:space="preserve">Notes d’orientation </w:t>
      </w:r>
      <w:r w:rsidR="00E84D11" w:rsidRPr="00AE0ED9">
        <w:rPr>
          <w:rFonts w:cstheme="minorHAnsi"/>
          <w:lang w:val="fr-FR"/>
        </w:rPr>
        <w:t>:</w:t>
      </w:r>
      <w:r w:rsidRPr="00AE0ED9">
        <w:rPr>
          <w:rFonts w:cs="Arial"/>
          <w:lang w:val="fr-FR"/>
        </w:rPr>
        <w:t xml:space="preserve"> le Secrétariat a préparé le mandat</w:t>
      </w:r>
      <w:r w:rsidR="00E84D11" w:rsidRPr="00AE0ED9">
        <w:rPr>
          <w:rFonts w:cstheme="minorHAnsi"/>
          <w:lang w:val="fr-FR"/>
        </w:rPr>
        <w:t>, facilit</w:t>
      </w:r>
      <w:r w:rsidR="001172C2" w:rsidRPr="00AE0ED9">
        <w:rPr>
          <w:rFonts w:cstheme="minorHAnsi"/>
          <w:lang w:val="fr-FR"/>
        </w:rPr>
        <w:t>é la rédaction, identifié et contacté des partenaires et a supervisé la production, la rédaction, la traduction et la diffusion des Notes d’orientation suivantes :</w:t>
      </w:r>
    </w:p>
    <w:p w14:paraId="57CC1E5F" w14:textId="3B553E25" w:rsidR="0031686B" w:rsidRPr="00AE0ED9" w:rsidRDefault="001172C2" w:rsidP="00A34358">
      <w:pPr>
        <w:pStyle w:val="ListParagraph"/>
        <w:numPr>
          <w:ilvl w:val="1"/>
          <w:numId w:val="3"/>
        </w:numPr>
        <w:ind w:left="1276" w:hanging="425"/>
        <w:rPr>
          <w:rFonts w:cstheme="minorHAnsi"/>
          <w:lang w:val="fr-FR"/>
        </w:rPr>
      </w:pPr>
      <w:r w:rsidRPr="00AE0ED9">
        <w:rPr>
          <w:rFonts w:cstheme="minorHAnsi"/>
          <w:lang w:val="fr-FR"/>
        </w:rPr>
        <w:t>Note d’orientation </w:t>
      </w:r>
      <w:r w:rsidR="00E84D11" w:rsidRPr="00AE0ED9">
        <w:rPr>
          <w:rFonts w:cstheme="minorHAnsi"/>
          <w:lang w:val="fr-FR"/>
        </w:rPr>
        <w:t>1</w:t>
      </w:r>
      <w:r w:rsidRPr="00AE0ED9">
        <w:rPr>
          <w:rFonts w:cstheme="minorHAnsi"/>
          <w:lang w:val="fr-FR"/>
        </w:rPr>
        <w:t> </w:t>
      </w:r>
      <w:r w:rsidR="00E84D11" w:rsidRPr="00AE0ED9">
        <w:rPr>
          <w:rFonts w:cstheme="minorHAnsi"/>
          <w:lang w:val="fr-FR"/>
        </w:rPr>
        <w:t xml:space="preserve">: </w:t>
      </w:r>
      <w:r w:rsidR="00936E97" w:rsidRPr="00AE0ED9">
        <w:rPr>
          <w:rFonts w:cs="Arial"/>
          <w:i/>
          <w:lang w:val="fr-FR"/>
        </w:rPr>
        <w:t xml:space="preserve">Les zones humides pour la </w:t>
      </w:r>
      <w:r w:rsidRPr="00AE0ED9">
        <w:rPr>
          <w:rFonts w:cs="Arial"/>
          <w:i/>
          <w:lang w:val="fr-FR"/>
        </w:rPr>
        <w:t>prévention</w:t>
      </w:r>
      <w:r w:rsidR="00936E97" w:rsidRPr="00AE0ED9">
        <w:rPr>
          <w:rFonts w:cs="Arial"/>
          <w:i/>
          <w:lang w:val="fr-FR"/>
        </w:rPr>
        <w:t xml:space="preserve"> des risques de catastrophe – Choix judicieux pour des </w:t>
      </w:r>
      <w:r w:rsidRPr="00AE0ED9">
        <w:rPr>
          <w:rFonts w:cs="Arial"/>
          <w:i/>
          <w:lang w:val="fr-FR"/>
        </w:rPr>
        <w:t>communautés</w:t>
      </w:r>
      <w:r w:rsidR="00936E97" w:rsidRPr="00AE0ED9">
        <w:rPr>
          <w:rFonts w:cs="Arial"/>
          <w:i/>
          <w:lang w:val="fr-FR"/>
        </w:rPr>
        <w:t xml:space="preserve"> </w:t>
      </w:r>
      <w:r w:rsidRPr="00AE0ED9">
        <w:rPr>
          <w:rFonts w:cs="Arial"/>
          <w:i/>
          <w:lang w:val="fr-FR"/>
        </w:rPr>
        <w:t>résilientes</w:t>
      </w:r>
      <w:r w:rsidR="00E84D11" w:rsidRPr="00AE0ED9">
        <w:rPr>
          <w:rFonts w:cstheme="minorHAnsi"/>
          <w:lang w:val="fr-FR"/>
        </w:rPr>
        <w:t xml:space="preserve"> (2017)</w:t>
      </w:r>
      <w:r w:rsidR="00302130" w:rsidRPr="00AE0ED9">
        <w:rPr>
          <w:rFonts w:cstheme="minorHAnsi"/>
          <w:lang w:val="fr-FR"/>
        </w:rPr>
        <w:t xml:space="preserve"> </w:t>
      </w:r>
      <w:r w:rsidRPr="00AE0ED9">
        <w:rPr>
          <w:rFonts w:cstheme="minorHAnsi"/>
          <w:lang w:val="fr-FR"/>
        </w:rPr>
        <w:t xml:space="preserve">avec </w:t>
      </w:r>
      <w:r w:rsidR="00E84D11" w:rsidRPr="00AE0ED9">
        <w:rPr>
          <w:rFonts w:cstheme="minorHAnsi"/>
          <w:lang w:val="fr-FR"/>
        </w:rPr>
        <w:t xml:space="preserve">Wetlands International, </w:t>
      </w:r>
      <w:r w:rsidRPr="00AE0ED9">
        <w:rPr>
          <w:rFonts w:cstheme="minorHAnsi"/>
          <w:lang w:val="fr-FR"/>
        </w:rPr>
        <w:t>le</w:t>
      </w:r>
      <w:r w:rsidR="00E84D11" w:rsidRPr="00AE0ED9">
        <w:rPr>
          <w:rFonts w:cstheme="minorHAnsi"/>
          <w:lang w:val="fr-FR"/>
        </w:rPr>
        <w:t xml:space="preserve"> Part</w:t>
      </w:r>
      <w:r w:rsidRPr="00AE0ED9">
        <w:rPr>
          <w:rFonts w:cstheme="minorHAnsi"/>
          <w:lang w:val="fr-FR"/>
        </w:rPr>
        <w:t xml:space="preserve">enariat pour l’environnement et la réduction des risques de catastrophe </w:t>
      </w:r>
      <w:r w:rsidR="00E84D11" w:rsidRPr="00AE0ED9">
        <w:rPr>
          <w:rFonts w:cstheme="minorHAnsi"/>
          <w:lang w:val="fr-FR"/>
        </w:rPr>
        <w:t xml:space="preserve">(PEDRR) </w:t>
      </w:r>
      <w:r w:rsidRPr="00AE0ED9">
        <w:rPr>
          <w:rFonts w:cstheme="minorHAnsi"/>
          <w:lang w:val="fr-FR"/>
        </w:rPr>
        <w:t xml:space="preserve">et le Bureau des Nations Unies pour la </w:t>
      </w:r>
      <w:r w:rsidR="008228B2">
        <w:rPr>
          <w:rFonts w:cstheme="minorHAnsi"/>
          <w:lang w:val="fr-FR"/>
        </w:rPr>
        <w:t>prévention des</w:t>
      </w:r>
      <w:r w:rsidRPr="00AE0ED9">
        <w:rPr>
          <w:rFonts w:cstheme="minorHAnsi"/>
          <w:lang w:val="fr-FR"/>
        </w:rPr>
        <w:t xml:space="preserve"> catastrophes </w:t>
      </w:r>
      <w:r w:rsidR="00E84D11" w:rsidRPr="00AE0ED9">
        <w:rPr>
          <w:rFonts w:cstheme="minorHAnsi"/>
          <w:lang w:val="fr-FR"/>
        </w:rPr>
        <w:t>(UNISDR)</w:t>
      </w:r>
      <w:r w:rsidR="00302130" w:rsidRPr="00AE0ED9">
        <w:rPr>
          <w:rFonts w:cstheme="minorHAnsi"/>
          <w:lang w:val="fr-FR"/>
        </w:rPr>
        <w:t>;</w:t>
      </w:r>
    </w:p>
    <w:p w14:paraId="791A6FAA" w14:textId="46F8F314" w:rsidR="0031686B" w:rsidRPr="00AE0ED9" w:rsidRDefault="001172C2" w:rsidP="00A34358">
      <w:pPr>
        <w:pStyle w:val="ListParagraph"/>
        <w:numPr>
          <w:ilvl w:val="1"/>
          <w:numId w:val="3"/>
        </w:numPr>
        <w:ind w:left="1276" w:hanging="425"/>
        <w:rPr>
          <w:rFonts w:cstheme="minorHAnsi"/>
          <w:lang w:val="fr-FR"/>
        </w:rPr>
      </w:pPr>
      <w:r w:rsidRPr="00AE0ED9">
        <w:rPr>
          <w:rFonts w:cstheme="minorHAnsi"/>
          <w:lang w:val="fr-FR"/>
        </w:rPr>
        <w:t>Note d’orientation</w:t>
      </w:r>
      <w:r w:rsidR="00E84D11" w:rsidRPr="00AE0ED9">
        <w:rPr>
          <w:rFonts w:cstheme="minorHAnsi"/>
          <w:lang w:val="fr-FR"/>
        </w:rPr>
        <w:t xml:space="preserve"> 2</w:t>
      </w:r>
      <w:r w:rsidRPr="00AE0ED9">
        <w:rPr>
          <w:rFonts w:cstheme="minorHAnsi"/>
          <w:lang w:val="fr-FR"/>
        </w:rPr>
        <w:t> </w:t>
      </w:r>
      <w:r w:rsidR="00E84D11" w:rsidRPr="00AE0ED9">
        <w:rPr>
          <w:rFonts w:cstheme="minorHAnsi"/>
          <w:lang w:val="fr-FR"/>
        </w:rPr>
        <w:t xml:space="preserve">: </w:t>
      </w:r>
      <w:r w:rsidRPr="00AE0ED9">
        <w:rPr>
          <w:rFonts w:cs="Arial"/>
          <w:i/>
          <w:lang w:val="fr-FR"/>
        </w:rPr>
        <w:t>Intégrer</w:t>
      </w:r>
      <w:r w:rsidR="00936E97" w:rsidRPr="00AE0ED9">
        <w:rPr>
          <w:rFonts w:cs="Arial"/>
          <w:i/>
          <w:lang w:val="fr-FR"/>
        </w:rPr>
        <w:t xml:space="preserve"> les valeurs multiples des zones humides dans la prise de </w:t>
      </w:r>
      <w:r w:rsidRPr="00AE0ED9">
        <w:rPr>
          <w:rFonts w:cs="Arial"/>
          <w:i/>
          <w:lang w:val="fr-FR"/>
        </w:rPr>
        <w:t>décisions</w:t>
      </w:r>
      <w:r w:rsidR="00936E97" w:rsidRPr="00AE0ED9">
        <w:rPr>
          <w:rFonts w:cstheme="minorHAnsi"/>
          <w:lang w:val="fr-FR"/>
        </w:rPr>
        <w:t xml:space="preserve"> </w:t>
      </w:r>
      <w:r w:rsidR="00E84D11" w:rsidRPr="00AE0ED9">
        <w:rPr>
          <w:rFonts w:cstheme="minorHAnsi"/>
          <w:lang w:val="fr-FR"/>
        </w:rPr>
        <w:t xml:space="preserve">(2017) </w:t>
      </w:r>
      <w:r w:rsidRPr="00AE0ED9">
        <w:rPr>
          <w:rFonts w:cstheme="minorHAnsi"/>
          <w:lang w:val="fr-FR"/>
        </w:rPr>
        <w:t xml:space="preserve">avec la Plateforme intergouvernementale, scientifique et politique, pour la biodiversité et les services écosystémiques </w:t>
      </w:r>
      <w:r w:rsidR="00E84D11" w:rsidRPr="00AE0ED9">
        <w:rPr>
          <w:rFonts w:cstheme="minorHAnsi"/>
          <w:lang w:val="fr-FR"/>
        </w:rPr>
        <w:t>(IPBES)</w:t>
      </w:r>
      <w:r w:rsidR="00302130" w:rsidRPr="00AE0ED9">
        <w:rPr>
          <w:rFonts w:cstheme="minorHAnsi"/>
          <w:lang w:val="fr-FR"/>
        </w:rPr>
        <w:t>;</w:t>
      </w:r>
      <w:r w:rsidR="00E84D11" w:rsidRPr="00AE0ED9">
        <w:rPr>
          <w:rFonts w:cstheme="minorHAnsi"/>
          <w:lang w:val="fr-FR"/>
        </w:rPr>
        <w:t xml:space="preserve"> </w:t>
      </w:r>
    </w:p>
    <w:p w14:paraId="13D67768" w14:textId="038D0594" w:rsidR="0031686B" w:rsidRPr="00AE0ED9" w:rsidRDefault="001172C2" w:rsidP="00A34358">
      <w:pPr>
        <w:pStyle w:val="ListParagraph"/>
        <w:numPr>
          <w:ilvl w:val="1"/>
          <w:numId w:val="3"/>
        </w:numPr>
        <w:ind w:left="1276" w:hanging="425"/>
        <w:rPr>
          <w:rFonts w:cstheme="minorHAnsi"/>
          <w:lang w:val="fr-FR"/>
        </w:rPr>
      </w:pPr>
      <w:r w:rsidRPr="00AE0ED9">
        <w:rPr>
          <w:rFonts w:cstheme="minorHAnsi"/>
          <w:lang w:val="fr-FR"/>
        </w:rPr>
        <w:t>Note d’orientation</w:t>
      </w:r>
      <w:r w:rsidR="00E84D11" w:rsidRPr="00AE0ED9">
        <w:rPr>
          <w:rFonts w:cstheme="minorHAnsi"/>
          <w:lang w:val="fr-FR"/>
        </w:rPr>
        <w:t xml:space="preserve"> 3</w:t>
      </w:r>
      <w:r w:rsidRPr="00AE0ED9">
        <w:rPr>
          <w:rFonts w:cstheme="minorHAnsi"/>
          <w:lang w:val="fr-FR"/>
        </w:rPr>
        <w:t> </w:t>
      </w:r>
      <w:r w:rsidR="00E84D11" w:rsidRPr="00AE0ED9">
        <w:rPr>
          <w:rFonts w:cstheme="minorHAnsi"/>
          <w:lang w:val="fr-FR"/>
        </w:rPr>
        <w:t xml:space="preserve">: </w:t>
      </w:r>
      <w:r w:rsidR="00506DF9" w:rsidRPr="00AE0ED9">
        <w:rPr>
          <w:rFonts w:cstheme="minorHAnsi"/>
          <w:i/>
          <w:lang w:val="fr-FR"/>
        </w:rPr>
        <w:t>Missions consultatives Ramsar</w:t>
      </w:r>
      <w:r w:rsidR="009503B2">
        <w:rPr>
          <w:rFonts w:cstheme="minorHAnsi"/>
          <w:i/>
          <w:lang w:val="fr-FR"/>
        </w:rPr>
        <w:t> :</w:t>
      </w:r>
      <w:r w:rsidR="00506DF9" w:rsidRPr="00AE0ED9">
        <w:rPr>
          <w:rFonts w:cstheme="minorHAnsi"/>
          <w:i/>
          <w:lang w:val="fr-FR"/>
        </w:rPr>
        <w:t xml:space="preserve"> </w:t>
      </w:r>
      <w:r w:rsidR="009503B2" w:rsidRPr="00CC0BF6">
        <w:rPr>
          <w:rFonts w:cstheme="minorHAnsi"/>
          <w:i/>
          <w:lang w:val="fr-FR"/>
        </w:rPr>
        <w:t>Un mécanisme permettant de réagir aux changements dans les caractéristiques écologiques des Sites Ramsar</w:t>
      </w:r>
      <w:r w:rsidR="009503B2" w:rsidRPr="00821E48">
        <w:rPr>
          <w:rFonts w:cstheme="minorHAnsi"/>
          <w:lang w:val="fr-FR"/>
        </w:rPr>
        <w:t xml:space="preserve"> </w:t>
      </w:r>
      <w:r w:rsidR="00E84D11" w:rsidRPr="00AE0ED9">
        <w:rPr>
          <w:rFonts w:cstheme="minorHAnsi"/>
          <w:lang w:val="fr-FR"/>
        </w:rPr>
        <w:t>(2018)</w:t>
      </w:r>
      <w:r w:rsidR="00302130" w:rsidRPr="00AE0ED9">
        <w:rPr>
          <w:rFonts w:cstheme="minorHAnsi"/>
          <w:lang w:val="fr-FR"/>
        </w:rPr>
        <w:t xml:space="preserve">; </w:t>
      </w:r>
      <w:r w:rsidR="00506DF9" w:rsidRPr="00AE0ED9">
        <w:rPr>
          <w:rFonts w:cstheme="minorHAnsi"/>
          <w:lang w:val="fr-FR"/>
        </w:rPr>
        <w:t>et</w:t>
      </w:r>
    </w:p>
    <w:p w14:paraId="2EDF321A" w14:textId="764AFF1F" w:rsidR="00E84D11" w:rsidRPr="00F70CF2" w:rsidRDefault="001172C2" w:rsidP="00A34358">
      <w:pPr>
        <w:pStyle w:val="ListParagraph"/>
        <w:numPr>
          <w:ilvl w:val="1"/>
          <w:numId w:val="3"/>
        </w:numPr>
        <w:ind w:left="1276" w:hanging="425"/>
        <w:rPr>
          <w:rFonts w:cstheme="minorHAnsi"/>
        </w:rPr>
      </w:pPr>
      <w:r w:rsidRPr="00F70CF2">
        <w:rPr>
          <w:rFonts w:cstheme="minorHAnsi"/>
        </w:rPr>
        <w:t>Note d’orientation</w:t>
      </w:r>
      <w:r w:rsidR="0035595C" w:rsidRPr="00F70CF2">
        <w:rPr>
          <w:rFonts w:cstheme="minorHAnsi"/>
        </w:rPr>
        <w:t xml:space="preserve"> </w:t>
      </w:r>
      <w:r w:rsidR="00E84D11" w:rsidRPr="00F70CF2">
        <w:rPr>
          <w:rFonts w:cstheme="minorHAnsi"/>
        </w:rPr>
        <w:t>4</w:t>
      </w:r>
      <w:r w:rsidRPr="00F70CF2">
        <w:rPr>
          <w:rFonts w:cstheme="minorHAnsi"/>
        </w:rPr>
        <w:t> </w:t>
      </w:r>
      <w:r w:rsidR="00E84D11" w:rsidRPr="00F70CF2">
        <w:rPr>
          <w:rFonts w:cstheme="minorHAnsi"/>
        </w:rPr>
        <w:t xml:space="preserve">: </w:t>
      </w:r>
      <w:r w:rsidR="009503B2" w:rsidRPr="00F70CF2">
        <w:rPr>
          <w:rFonts w:cstheme="minorHAnsi"/>
          <w:i/>
        </w:rPr>
        <w:t>Implementing environmental flows with benefits for society and different wetland ecosystems in river systems</w:t>
      </w:r>
      <w:r w:rsidR="00506DF9" w:rsidRPr="00F70CF2">
        <w:rPr>
          <w:rFonts w:cstheme="minorHAnsi"/>
          <w:i/>
        </w:rPr>
        <w:t xml:space="preserve"> </w:t>
      </w:r>
      <w:r w:rsidR="00B1621D" w:rsidRPr="00F70CF2">
        <w:rPr>
          <w:rFonts w:cstheme="minorHAnsi"/>
        </w:rPr>
        <w:t>(2018)</w:t>
      </w:r>
      <w:r w:rsidR="00302130" w:rsidRPr="00F70CF2">
        <w:rPr>
          <w:rFonts w:cstheme="minorHAnsi"/>
        </w:rPr>
        <w:t>.</w:t>
      </w:r>
    </w:p>
    <w:p w14:paraId="4391EBAF" w14:textId="77777777" w:rsidR="00E84D11" w:rsidRPr="00F70CF2" w:rsidRDefault="00E84D11" w:rsidP="00C81B75">
      <w:pPr>
        <w:rPr>
          <w:rFonts w:cstheme="minorHAnsi"/>
        </w:rPr>
      </w:pPr>
    </w:p>
    <w:p w14:paraId="516B2826" w14:textId="4F13F065" w:rsidR="0031686B" w:rsidRPr="00AE0ED9" w:rsidRDefault="00506DF9" w:rsidP="00C81B75">
      <w:pPr>
        <w:pStyle w:val="ListParagraph"/>
        <w:numPr>
          <w:ilvl w:val="0"/>
          <w:numId w:val="2"/>
        </w:numPr>
        <w:ind w:left="850" w:hanging="425"/>
        <w:rPr>
          <w:rFonts w:cstheme="minorHAnsi"/>
          <w:lang w:val="fr-FR"/>
        </w:rPr>
      </w:pPr>
      <w:r w:rsidRPr="00AE0ED9">
        <w:rPr>
          <w:rFonts w:cstheme="minorHAnsi"/>
          <w:lang w:val="fr-FR"/>
        </w:rPr>
        <w:t>Notes d’information </w:t>
      </w:r>
      <w:r w:rsidR="008A384C" w:rsidRPr="00AE0ED9">
        <w:rPr>
          <w:rFonts w:cstheme="minorHAnsi"/>
          <w:lang w:val="fr-FR"/>
        </w:rPr>
        <w:t xml:space="preserve">: </w:t>
      </w:r>
      <w:r w:rsidRPr="00AE0ED9">
        <w:rPr>
          <w:rFonts w:cstheme="minorHAnsi"/>
          <w:lang w:val="fr-FR"/>
        </w:rPr>
        <w:t xml:space="preserve">Le Secrétariat </w:t>
      </w:r>
      <w:r w:rsidR="008377C1" w:rsidRPr="00AE0ED9">
        <w:rPr>
          <w:rFonts w:cstheme="minorHAnsi"/>
          <w:lang w:val="fr-FR"/>
        </w:rPr>
        <w:t>a préparé le mandat, facilité la rédaction et supervisé la production, la rédaction, la traduction et la diffusion des Notes d’information et Rapport technique Ramsar</w:t>
      </w:r>
      <w:r w:rsidR="008228B2">
        <w:rPr>
          <w:rFonts w:cstheme="minorHAnsi"/>
          <w:lang w:val="fr-FR"/>
        </w:rPr>
        <w:t xml:space="preserve"> suivants</w:t>
      </w:r>
      <w:r w:rsidR="008377C1" w:rsidRPr="00AE0ED9">
        <w:rPr>
          <w:rFonts w:cstheme="minorHAnsi"/>
          <w:lang w:val="fr-FR"/>
        </w:rPr>
        <w:t> :</w:t>
      </w:r>
    </w:p>
    <w:p w14:paraId="1B58B299" w14:textId="46E0C082" w:rsidR="0031686B" w:rsidRPr="00AE0ED9" w:rsidRDefault="008377C1" w:rsidP="00A34358">
      <w:pPr>
        <w:pStyle w:val="ListParagraph"/>
        <w:numPr>
          <w:ilvl w:val="1"/>
          <w:numId w:val="3"/>
        </w:numPr>
        <w:ind w:left="1276" w:hanging="425"/>
        <w:rPr>
          <w:rFonts w:cstheme="minorHAnsi"/>
          <w:lang w:val="fr-FR"/>
        </w:rPr>
      </w:pPr>
      <w:r w:rsidRPr="00AE0ED9">
        <w:rPr>
          <w:rFonts w:cstheme="minorHAnsi"/>
          <w:lang w:val="fr-FR"/>
        </w:rPr>
        <w:t>Note d’information </w:t>
      </w:r>
      <w:r w:rsidR="00E84D11" w:rsidRPr="00AE0ED9">
        <w:rPr>
          <w:rFonts w:cstheme="minorHAnsi"/>
          <w:lang w:val="fr-FR"/>
        </w:rPr>
        <w:t>8</w:t>
      </w:r>
      <w:r w:rsidRPr="00AE0ED9">
        <w:rPr>
          <w:rFonts w:cstheme="minorHAnsi"/>
          <w:lang w:val="fr-FR"/>
        </w:rPr>
        <w:t> </w:t>
      </w:r>
      <w:r w:rsidR="00E84D11" w:rsidRPr="00AE0ED9">
        <w:rPr>
          <w:rFonts w:cstheme="minorHAnsi"/>
          <w:lang w:val="fr-FR"/>
        </w:rPr>
        <w:t xml:space="preserve">: </w:t>
      </w:r>
      <w:r w:rsidRPr="00AE0ED9">
        <w:rPr>
          <w:rFonts w:cstheme="minorHAnsi"/>
          <w:i/>
          <w:lang w:val="fr-FR"/>
        </w:rPr>
        <w:t>Missions consultatives Ramsar : Avis technique sur les Sites Ramsar</w:t>
      </w:r>
      <w:r w:rsidRPr="00AE0ED9">
        <w:rPr>
          <w:rFonts w:cstheme="minorHAnsi"/>
          <w:lang w:val="fr-FR"/>
        </w:rPr>
        <w:t>;</w:t>
      </w:r>
      <w:r w:rsidR="00E84D11" w:rsidRPr="00AE0ED9">
        <w:rPr>
          <w:rFonts w:cstheme="minorHAnsi"/>
          <w:lang w:val="fr-FR"/>
        </w:rPr>
        <w:t xml:space="preserve"> </w:t>
      </w:r>
    </w:p>
    <w:p w14:paraId="1DC25483" w14:textId="183E81FE" w:rsidR="0031686B" w:rsidRPr="00AE0ED9" w:rsidRDefault="008377C1" w:rsidP="00A34358">
      <w:pPr>
        <w:pStyle w:val="ListParagraph"/>
        <w:numPr>
          <w:ilvl w:val="1"/>
          <w:numId w:val="3"/>
        </w:numPr>
        <w:ind w:left="1276" w:hanging="425"/>
        <w:rPr>
          <w:rFonts w:cstheme="minorHAnsi"/>
          <w:lang w:val="fr-FR"/>
        </w:rPr>
      </w:pPr>
      <w:r w:rsidRPr="00AE0ED9">
        <w:rPr>
          <w:rFonts w:cstheme="minorHAnsi"/>
          <w:lang w:val="fr-FR"/>
        </w:rPr>
        <w:t>Lignes directrices sur la réalisation d’inventaires des tourbières tropicales pour faciliter leur inscription en tant que Sites Ramsar;</w:t>
      </w:r>
    </w:p>
    <w:p w14:paraId="72B03683" w14:textId="4B1FD05A" w:rsidR="0031686B" w:rsidRPr="00AE0ED9" w:rsidRDefault="008377C1" w:rsidP="00A34358">
      <w:pPr>
        <w:pStyle w:val="ListParagraph"/>
        <w:numPr>
          <w:ilvl w:val="1"/>
          <w:numId w:val="3"/>
        </w:numPr>
        <w:ind w:left="1276" w:hanging="425"/>
        <w:rPr>
          <w:rFonts w:cstheme="minorHAnsi"/>
          <w:lang w:val="fr-FR"/>
        </w:rPr>
      </w:pPr>
      <w:r w:rsidRPr="00AE0ED9">
        <w:rPr>
          <w:rFonts w:cstheme="minorHAnsi"/>
          <w:i/>
          <w:lang w:val="fr-FR"/>
        </w:rPr>
        <w:t>Restauration des zones humides pour la résilience aux changements climatiques</w:t>
      </w:r>
      <w:r w:rsidRPr="00AE0ED9">
        <w:rPr>
          <w:rFonts w:cstheme="minorHAnsi"/>
          <w:lang w:val="fr-FR"/>
        </w:rPr>
        <w:t>;</w:t>
      </w:r>
      <w:r w:rsidRPr="00AE0ED9">
        <w:rPr>
          <w:rFonts w:cstheme="minorHAnsi"/>
          <w:i/>
          <w:lang w:val="fr-FR"/>
        </w:rPr>
        <w:t xml:space="preserve"> </w:t>
      </w:r>
      <w:r w:rsidRPr="00AE0ED9">
        <w:rPr>
          <w:rFonts w:cstheme="minorHAnsi"/>
          <w:lang w:val="fr-FR"/>
        </w:rPr>
        <w:t xml:space="preserve">et </w:t>
      </w:r>
    </w:p>
    <w:p w14:paraId="63D2CC57" w14:textId="5EB9A056" w:rsidR="00C81B75" w:rsidRPr="00F70CF2" w:rsidRDefault="008377C1" w:rsidP="00A34358">
      <w:pPr>
        <w:pStyle w:val="ListParagraph"/>
        <w:numPr>
          <w:ilvl w:val="1"/>
          <w:numId w:val="3"/>
        </w:numPr>
        <w:ind w:left="1276" w:hanging="425"/>
        <w:rPr>
          <w:rFonts w:cstheme="minorHAnsi"/>
        </w:rPr>
      </w:pPr>
      <w:r w:rsidRPr="00F70CF2">
        <w:rPr>
          <w:rFonts w:cstheme="minorHAnsi"/>
        </w:rPr>
        <w:lastRenderedPageBreak/>
        <w:t xml:space="preserve">Rapport technique </w:t>
      </w:r>
      <w:r w:rsidR="00E84D11" w:rsidRPr="00F70CF2">
        <w:rPr>
          <w:rFonts w:cstheme="minorHAnsi"/>
        </w:rPr>
        <w:t>Ramsar</w:t>
      </w:r>
      <w:r w:rsidRPr="00F70CF2">
        <w:rPr>
          <w:rFonts w:cstheme="minorHAnsi"/>
        </w:rPr>
        <w:t> </w:t>
      </w:r>
      <w:r w:rsidR="00E84D11" w:rsidRPr="00F70CF2">
        <w:rPr>
          <w:rFonts w:cstheme="minorHAnsi"/>
        </w:rPr>
        <w:t xml:space="preserve">: </w:t>
      </w:r>
      <w:r w:rsidR="009503B2" w:rsidRPr="00F70CF2">
        <w:rPr>
          <w:rFonts w:cstheme="minorHAnsi"/>
          <w:i/>
        </w:rPr>
        <w:t>The Use of Earth Observation for Wetland Inventory, Assessment and Monitoring : An Information Source for the Ramsar Convention on Wetlands</w:t>
      </w:r>
      <w:r w:rsidR="00CB6225" w:rsidRPr="00F70CF2">
        <w:rPr>
          <w:rFonts w:cstheme="minorHAnsi"/>
        </w:rPr>
        <w:t>.</w:t>
      </w:r>
    </w:p>
    <w:p w14:paraId="69C7E677" w14:textId="77777777" w:rsidR="00C81B75" w:rsidRPr="00F70CF2" w:rsidRDefault="00C81B75" w:rsidP="00A34358">
      <w:pPr>
        <w:rPr>
          <w:rFonts w:cstheme="minorHAnsi"/>
        </w:rPr>
      </w:pPr>
    </w:p>
    <w:p w14:paraId="632EA0A5" w14:textId="20859761" w:rsidR="00E84D11" w:rsidRPr="00AE0ED9" w:rsidRDefault="008377C1" w:rsidP="00F70CF2">
      <w:pPr>
        <w:pStyle w:val="ListParagraph"/>
        <w:numPr>
          <w:ilvl w:val="0"/>
          <w:numId w:val="2"/>
        </w:numPr>
        <w:ind w:left="850" w:hanging="425"/>
        <w:rPr>
          <w:rFonts w:cstheme="minorHAnsi"/>
          <w:lang w:val="fr-FR"/>
        </w:rPr>
      </w:pPr>
      <w:r w:rsidRPr="00AE0ED9">
        <w:rPr>
          <w:rFonts w:cstheme="minorHAnsi"/>
          <w:lang w:val="fr-FR"/>
        </w:rPr>
        <w:t xml:space="preserve">Le Secrétariat a publié un Outil de gestion des Sites Ramsar en ligne, </w:t>
      </w:r>
      <w:r w:rsidR="00E11153">
        <w:rPr>
          <w:rFonts w:cstheme="minorHAnsi"/>
          <w:lang w:val="fr-FR"/>
        </w:rPr>
        <w:t>conçu</w:t>
      </w:r>
      <w:r w:rsidRPr="00AE0ED9">
        <w:rPr>
          <w:rFonts w:cstheme="minorHAnsi"/>
          <w:lang w:val="fr-FR"/>
        </w:rPr>
        <w:t xml:space="preserve"> par le GEST </w:t>
      </w:r>
      <w:r w:rsidR="00E84D11" w:rsidRPr="00AE0ED9">
        <w:rPr>
          <w:rFonts w:cstheme="minorHAnsi"/>
          <w:lang w:val="fr-FR"/>
        </w:rPr>
        <w:t>(</w:t>
      </w:r>
      <w:r w:rsidR="00F70CF2" w:rsidRPr="00F70CF2">
        <w:rPr>
          <w:rStyle w:val="Hyperlink"/>
          <w:rFonts w:cstheme="minorHAnsi"/>
          <w:lang w:val="fr-FR"/>
        </w:rPr>
        <w:t>https://www.ramsar.org/fr/ressources/outils-de-gestion-des-sites-ramsar</w:t>
      </w:r>
      <w:r w:rsidR="00E84D11" w:rsidRPr="00AE0ED9">
        <w:rPr>
          <w:rFonts w:cstheme="minorHAnsi"/>
          <w:lang w:val="fr-FR"/>
        </w:rPr>
        <w:t>)</w:t>
      </w:r>
      <w:r w:rsidR="00CB6225" w:rsidRPr="00AE0ED9">
        <w:rPr>
          <w:rFonts w:cstheme="minorHAnsi"/>
          <w:lang w:val="fr-FR"/>
        </w:rPr>
        <w:t>.</w:t>
      </w:r>
      <w:r w:rsidR="00E84D11" w:rsidRPr="00AE0ED9">
        <w:rPr>
          <w:rFonts w:cstheme="minorHAnsi"/>
          <w:lang w:val="fr-FR"/>
        </w:rPr>
        <w:t xml:space="preserve"> </w:t>
      </w:r>
    </w:p>
    <w:p w14:paraId="0ED5C4F1" w14:textId="77777777" w:rsidR="00E84D11" w:rsidRPr="00AE0ED9" w:rsidRDefault="00E84D11" w:rsidP="00A34358">
      <w:pPr>
        <w:pStyle w:val="ListParagraph"/>
        <w:ind w:left="425"/>
        <w:rPr>
          <w:rFonts w:cstheme="minorHAnsi"/>
          <w:lang w:val="fr-FR"/>
        </w:rPr>
      </w:pPr>
    </w:p>
    <w:p w14:paraId="39F113B7" w14:textId="0B852969" w:rsidR="00E84D11" w:rsidRPr="00AE0ED9" w:rsidRDefault="008377C1" w:rsidP="00A34358">
      <w:pPr>
        <w:pStyle w:val="ListParagraph"/>
        <w:numPr>
          <w:ilvl w:val="0"/>
          <w:numId w:val="2"/>
        </w:numPr>
        <w:ind w:left="850" w:hanging="425"/>
        <w:rPr>
          <w:rFonts w:cstheme="minorHAnsi"/>
          <w:lang w:val="fr-FR"/>
        </w:rPr>
      </w:pPr>
      <w:r w:rsidRPr="00AE0ED9">
        <w:rPr>
          <w:rFonts w:cstheme="minorHAnsi"/>
          <w:lang w:val="fr-FR"/>
        </w:rPr>
        <w:t>À la 20</w:t>
      </w:r>
      <w:r w:rsidRPr="00AE0ED9">
        <w:rPr>
          <w:rFonts w:cstheme="minorHAnsi"/>
          <w:vertAlign w:val="superscript"/>
          <w:lang w:val="fr-FR"/>
        </w:rPr>
        <w:t>e</w:t>
      </w:r>
      <w:r w:rsidRPr="00AE0ED9">
        <w:rPr>
          <w:rFonts w:cstheme="minorHAnsi"/>
          <w:lang w:val="fr-FR"/>
        </w:rPr>
        <w:t> </w:t>
      </w:r>
      <w:r w:rsidR="00D058D5" w:rsidRPr="00AE0ED9">
        <w:rPr>
          <w:rFonts w:cstheme="minorHAnsi"/>
          <w:lang w:val="fr-FR"/>
        </w:rPr>
        <w:t>r</w:t>
      </w:r>
      <w:r w:rsidRPr="00AE0ED9">
        <w:rPr>
          <w:rFonts w:cstheme="minorHAnsi"/>
          <w:lang w:val="fr-FR"/>
        </w:rPr>
        <w:t xml:space="preserve">éunion du GEST, les représentants des Secrétariats de la Convention sur la diversité biologique (CDB), de la Convention des Nations Unies sur la lutte contre la désertification </w:t>
      </w:r>
      <w:r w:rsidR="00E84D11" w:rsidRPr="00AE0ED9">
        <w:rPr>
          <w:rFonts w:cstheme="minorHAnsi"/>
          <w:lang w:val="fr-FR"/>
        </w:rPr>
        <w:t>(</w:t>
      </w:r>
      <w:r w:rsidR="008059D8" w:rsidRPr="00AE0ED9">
        <w:rPr>
          <w:rFonts w:cstheme="minorHAnsi"/>
          <w:lang w:val="fr-FR"/>
        </w:rPr>
        <w:t>CNULD</w:t>
      </w:r>
      <w:r w:rsidR="00E84D11" w:rsidRPr="00AE0ED9">
        <w:rPr>
          <w:rFonts w:cstheme="minorHAnsi"/>
          <w:lang w:val="fr-FR"/>
        </w:rPr>
        <w:t xml:space="preserve">) </w:t>
      </w:r>
      <w:r w:rsidR="008059D8" w:rsidRPr="00AE0ED9">
        <w:rPr>
          <w:rFonts w:cstheme="minorHAnsi"/>
          <w:lang w:val="fr-FR"/>
        </w:rPr>
        <w:t>et du Comité technique de l’Accord sur la conservation des oiseaux d’eau migrateurs d’Afrique</w:t>
      </w:r>
      <w:r w:rsidR="008059D8" w:rsidRPr="00AE0ED9">
        <w:rPr>
          <w:rFonts w:cstheme="minorHAnsi"/>
          <w:lang w:val="fr-FR"/>
        </w:rPr>
        <w:noBreakHyphen/>
        <w:t xml:space="preserve">Eurasie (AEWA) se sont exprimés sur les possibilités de collaboration. </w:t>
      </w:r>
    </w:p>
    <w:p w14:paraId="708E15DD" w14:textId="77777777" w:rsidR="00E84D11" w:rsidRPr="00AE0ED9" w:rsidRDefault="00E84D11" w:rsidP="00C81B75">
      <w:pPr>
        <w:rPr>
          <w:rFonts w:cstheme="minorHAnsi"/>
          <w:lang w:val="fr-FR"/>
        </w:rPr>
      </w:pPr>
    </w:p>
    <w:p w14:paraId="46C06ADC" w14:textId="28B64909" w:rsidR="0031686B" w:rsidRPr="00AE0ED9" w:rsidRDefault="00560DBF" w:rsidP="00560DBF">
      <w:pPr>
        <w:pStyle w:val="ListParagraph"/>
        <w:numPr>
          <w:ilvl w:val="0"/>
          <w:numId w:val="2"/>
        </w:numPr>
        <w:ind w:left="900" w:hanging="450"/>
        <w:rPr>
          <w:rFonts w:cstheme="minorHAnsi"/>
          <w:lang w:val="fr-FR"/>
        </w:rPr>
      </w:pPr>
      <w:r w:rsidRPr="00AE0ED9">
        <w:rPr>
          <w:rFonts w:cstheme="minorHAnsi"/>
          <w:lang w:val="fr-FR"/>
        </w:rPr>
        <w:t>La 21</w:t>
      </w:r>
      <w:r w:rsidRPr="00AE0ED9">
        <w:rPr>
          <w:rFonts w:cstheme="minorHAnsi"/>
          <w:vertAlign w:val="superscript"/>
          <w:lang w:val="fr-FR"/>
        </w:rPr>
        <w:t>e</w:t>
      </w:r>
      <w:r w:rsidRPr="00AE0ED9">
        <w:rPr>
          <w:rFonts w:cstheme="minorHAnsi"/>
          <w:lang w:val="fr-FR"/>
        </w:rPr>
        <w:t xml:space="preserve"> réunion du GEST a eu pour résultats essentiels</w:t>
      </w:r>
      <w:r w:rsidR="00E84D11" w:rsidRPr="00AE0ED9">
        <w:rPr>
          <w:rFonts w:cstheme="minorHAnsi"/>
          <w:lang w:val="fr-FR"/>
        </w:rPr>
        <w:t xml:space="preserve"> </w:t>
      </w:r>
      <w:r w:rsidRPr="00AE0ED9">
        <w:rPr>
          <w:lang w:val="fr-FR"/>
        </w:rPr>
        <w:t xml:space="preserve">l'avancement des travaux du GEST, la finalisation des projets de résolutions scientifiques et techniques et </w:t>
      </w:r>
      <w:r w:rsidR="00E11153">
        <w:rPr>
          <w:lang w:val="fr-FR"/>
        </w:rPr>
        <w:t>la priorisation des</w:t>
      </w:r>
      <w:r w:rsidRPr="00AE0ED9">
        <w:rPr>
          <w:lang w:val="fr-FR"/>
        </w:rPr>
        <w:t xml:space="preserve"> aspects scientifiques et techniques de la Convention pour 2019-2021</w:t>
      </w:r>
      <w:r w:rsidR="00E84D11" w:rsidRPr="00AE0ED9">
        <w:rPr>
          <w:rFonts w:cstheme="minorHAnsi"/>
          <w:lang w:val="fr-FR"/>
        </w:rPr>
        <w:t xml:space="preserve">. </w:t>
      </w:r>
      <w:r w:rsidRPr="00AE0ED9">
        <w:rPr>
          <w:rFonts w:cstheme="minorHAnsi"/>
          <w:lang w:val="fr-FR"/>
        </w:rPr>
        <w:t>Le</w:t>
      </w:r>
      <w:r w:rsidR="00E84D11" w:rsidRPr="00AE0ED9">
        <w:rPr>
          <w:rFonts w:cstheme="minorHAnsi"/>
          <w:lang w:val="fr-FR"/>
        </w:rPr>
        <w:t xml:space="preserve"> </w:t>
      </w:r>
      <w:r w:rsidRPr="00AE0ED9">
        <w:rPr>
          <w:rFonts w:cstheme="minorHAnsi"/>
          <w:lang w:val="fr-FR"/>
        </w:rPr>
        <w:t>Secrétariat</w:t>
      </w:r>
      <w:r w:rsidR="00E84D11" w:rsidRPr="00AE0ED9">
        <w:rPr>
          <w:rFonts w:cstheme="minorHAnsi"/>
          <w:lang w:val="fr-FR"/>
        </w:rPr>
        <w:t xml:space="preserve"> </w:t>
      </w:r>
      <w:r w:rsidRPr="00AE0ED9">
        <w:rPr>
          <w:rFonts w:cs="Arial"/>
          <w:lang w:val="fr-FR"/>
        </w:rPr>
        <w:t>a également coordonné les services de consultants et les examens externes pour divers projets relatifs aux tâches hautement prioritaires du GEST, y compris un examen et une analyse indépendants de l'organisation des Missions consultatives Ramsar</w:t>
      </w:r>
      <w:r w:rsidR="00E11153">
        <w:rPr>
          <w:rFonts w:cs="Arial"/>
          <w:lang w:val="fr-FR"/>
        </w:rPr>
        <w:t xml:space="preserve"> et </w:t>
      </w:r>
      <w:r w:rsidRPr="00AE0ED9">
        <w:rPr>
          <w:rFonts w:cs="Arial"/>
          <w:lang w:val="fr-FR"/>
        </w:rPr>
        <w:t>une mise à jour de l'indice des Tendances de l’étendue des zones humides (WET) par le Centre mondial de surveillance continue de la conservation de la nature du Programme des Nations Unies pour l’environnement (PNUE-WCMC)</w:t>
      </w:r>
      <w:r w:rsidR="00E84D11" w:rsidRPr="00AE0ED9">
        <w:rPr>
          <w:rFonts w:cstheme="minorHAnsi"/>
          <w:lang w:val="fr-FR"/>
        </w:rPr>
        <w:t xml:space="preserve">. </w:t>
      </w:r>
    </w:p>
    <w:p w14:paraId="5ED06345" w14:textId="77777777" w:rsidR="0031686B" w:rsidRPr="00AE0ED9" w:rsidRDefault="0031686B" w:rsidP="00C81B75">
      <w:pPr>
        <w:ind w:left="0" w:firstLine="0"/>
        <w:rPr>
          <w:rFonts w:cstheme="minorHAnsi"/>
          <w:lang w:val="fr-FR"/>
        </w:rPr>
      </w:pPr>
    </w:p>
    <w:p w14:paraId="46A6FE9B" w14:textId="07779968" w:rsidR="00E84D11" w:rsidRPr="00AE0ED9" w:rsidRDefault="00D66AB2" w:rsidP="00A34358">
      <w:pPr>
        <w:ind w:firstLine="0"/>
        <w:rPr>
          <w:rFonts w:cstheme="minorHAnsi"/>
          <w:lang w:val="fr-FR"/>
        </w:rPr>
      </w:pPr>
      <w:r w:rsidRPr="00AE0ED9">
        <w:rPr>
          <w:rFonts w:cs="Arial"/>
          <w:lang w:val="fr-FR"/>
        </w:rPr>
        <w:t>Dans l'ensemble, les résultats de ce domaine de travail ont été positifs et le Président du GEST s'est félicité</w:t>
      </w:r>
      <w:r w:rsidR="00E11153">
        <w:rPr>
          <w:rFonts w:cs="Arial"/>
          <w:lang w:val="fr-FR"/>
        </w:rPr>
        <w:t>,</w:t>
      </w:r>
      <w:r w:rsidRPr="00AE0ED9">
        <w:rPr>
          <w:rFonts w:cs="Arial"/>
          <w:lang w:val="fr-FR"/>
        </w:rPr>
        <w:t xml:space="preserve"> à la 21</w:t>
      </w:r>
      <w:r w:rsidRPr="00AE0ED9">
        <w:rPr>
          <w:rFonts w:cs="Arial"/>
          <w:vertAlign w:val="superscript"/>
          <w:lang w:val="fr-FR"/>
        </w:rPr>
        <w:t>e</w:t>
      </w:r>
      <w:r w:rsidRPr="00AE0ED9">
        <w:rPr>
          <w:rFonts w:cs="Arial"/>
          <w:lang w:val="fr-FR"/>
        </w:rPr>
        <w:t xml:space="preserve"> réunion du GEST</w:t>
      </w:r>
      <w:r w:rsidR="00E11153">
        <w:rPr>
          <w:rFonts w:cs="Arial"/>
          <w:lang w:val="fr-FR"/>
        </w:rPr>
        <w:t>,</w:t>
      </w:r>
      <w:r w:rsidRPr="00AE0ED9">
        <w:rPr>
          <w:rFonts w:cs="Arial"/>
          <w:lang w:val="fr-FR"/>
        </w:rPr>
        <w:t xml:space="preserve"> du soutien que le Secrétariat avait apporté à ses travaux, notant que le Groupe avait reçu un soutien vigoureux du Secrétariat pendant toute la période triennale</w:t>
      </w:r>
      <w:r w:rsidR="00E84D11" w:rsidRPr="00AE0ED9">
        <w:rPr>
          <w:rFonts w:cstheme="minorHAnsi"/>
          <w:lang w:val="fr-FR"/>
        </w:rPr>
        <w:t xml:space="preserve">. </w:t>
      </w:r>
    </w:p>
    <w:p w14:paraId="0F82640B" w14:textId="77777777" w:rsidR="00E84D11" w:rsidRPr="00AE0ED9" w:rsidRDefault="00E84D11" w:rsidP="00C81B75">
      <w:pPr>
        <w:ind w:left="0" w:firstLine="0"/>
        <w:rPr>
          <w:rFonts w:cstheme="minorHAnsi"/>
          <w:lang w:val="fr-FR"/>
        </w:rPr>
      </w:pPr>
    </w:p>
    <w:p w14:paraId="1C63FC48" w14:textId="46D2D801" w:rsidR="001258C5" w:rsidRPr="00AE0ED9" w:rsidRDefault="00A34358" w:rsidP="00A34358">
      <w:pPr>
        <w:rPr>
          <w:rFonts w:cstheme="minorHAnsi"/>
          <w:lang w:val="fr-FR"/>
        </w:rPr>
      </w:pPr>
      <w:r w:rsidRPr="00AE0ED9">
        <w:rPr>
          <w:rFonts w:cstheme="minorHAnsi"/>
          <w:lang w:val="fr-FR"/>
        </w:rPr>
        <w:t>7.</w:t>
      </w:r>
      <w:r w:rsidRPr="00AE0ED9">
        <w:rPr>
          <w:rFonts w:cstheme="minorHAnsi"/>
          <w:lang w:val="fr-FR"/>
        </w:rPr>
        <w:tab/>
      </w:r>
      <w:r w:rsidR="00277510" w:rsidRPr="00AE0ED9">
        <w:rPr>
          <w:rFonts w:cstheme="minorHAnsi"/>
          <w:lang w:val="fr-FR"/>
        </w:rPr>
        <w:t xml:space="preserve">Parmi les principaux événements de la période triennale, </w:t>
      </w:r>
      <w:r w:rsidR="00E11153">
        <w:rPr>
          <w:rFonts w:cstheme="minorHAnsi"/>
          <w:lang w:val="fr-FR"/>
        </w:rPr>
        <w:t>on peut citer</w:t>
      </w:r>
      <w:r w:rsidR="00277510" w:rsidRPr="00AE0ED9">
        <w:rPr>
          <w:rFonts w:cstheme="minorHAnsi"/>
          <w:lang w:val="fr-FR"/>
        </w:rPr>
        <w:t xml:space="preserve"> l’organisation des 51</w:t>
      </w:r>
      <w:r w:rsidR="00277510" w:rsidRPr="00AE0ED9">
        <w:rPr>
          <w:rFonts w:cstheme="minorHAnsi"/>
          <w:vertAlign w:val="superscript"/>
          <w:lang w:val="fr-FR"/>
        </w:rPr>
        <w:t>e</w:t>
      </w:r>
      <w:r w:rsidR="00277510" w:rsidRPr="00AE0ED9">
        <w:rPr>
          <w:rFonts w:cstheme="minorHAnsi"/>
          <w:lang w:val="fr-FR"/>
        </w:rPr>
        <w:t>, 52</w:t>
      </w:r>
      <w:r w:rsidR="00277510" w:rsidRPr="00AE0ED9">
        <w:rPr>
          <w:rFonts w:cstheme="minorHAnsi"/>
          <w:vertAlign w:val="superscript"/>
          <w:lang w:val="fr-FR"/>
        </w:rPr>
        <w:t>e</w:t>
      </w:r>
      <w:r w:rsidR="00277510" w:rsidRPr="00AE0ED9">
        <w:rPr>
          <w:rFonts w:cstheme="minorHAnsi"/>
          <w:lang w:val="fr-FR"/>
        </w:rPr>
        <w:t>, 53</w:t>
      </w:r>
      <w:r w:rsidR="00277510" w:rsidRPr="00AE0ED9">
        <w:rPr>
          <w:rFonts w:cstheme="minorHAnsi"/>
          <w:vertAlign w:val="superscript"/>
          <w:lang w:val="fr-FR"/>
        </w:rPr>
        <w:t>e</w:t>
      </w:r>
      <w:r w:rsidR="00277510" w:rsidRPr="00AE0ED9">
        <w:rPr>
          <w:rFonts w:cstheme="minorHAnsi"/>
          <w:lang w:val="fr-FR"/>
        </w:rPr>
        <w:t xml:space="preserve"> et 54</w:t>
      </w:r>
      <w:r w:rsidR="00277510" w:rsidRPr="00AE0ED9">
        <w:rPr>
          <w:rFonts w:cstheme="minorHAnsi"/>
          <w:vertAlign w:val="superscript"/>
          <w:lang w:val="fr-FR"/>
        </w:rPr>
        <w:t>e</w:t>
      </w:r>
      <w:r w:rsidR="00277510" w:rsidRPr="00AE0ED9">
        <w:rPr>
          <w:rFonts w:cstheme="minorHAnsi"/>
          <w:lang w:val="fr-FR"/>
        </w:rPr>
        <w:t> Réunions du Comité permanent. Avant la 53</w:t>
      </w:r>
      <w:r w:rsidR="00277510" w:rsidRPr="00AE0ED9">
        <w:rPr>
          <w:rFonts w:cstheme="minorHAnsi"/>
          <w:vertAlign w:val="superscript"/>
          <w:lang w:val="fr-FR"/>
        </w:rPr>
        <w:t>e</w:t>
      </w:r>
      <w:r w:rsidR="00277510" w:rsidRPr="00AE0ED9">
        <w:rPr>
          <w:rFonts w:cstheme="minorHAnsi"/>
          <w:lang w:val="fr-FR"/>
        </w:rPr>
        <w:t> Réunion du Comité permanent, le Secrétariat a mené une étude complète des décisions et résolutions en vigueur</w:t>
      </w:r>
      <w:r w:rsidR="00A605D5">
        <w:rPr>
          <w:rFonts w:cstheme="minorHAnsi"/>
          <w:lang w:val="fr-FR"/>
        </w:rPr>
        <w:t>,</w:t>
      </w:r>
      <w:r w:rsidR="00277510" w:rsidRPr="00AE0ED9">
        <w:rPr>
          <w:rFonts w:cstheme="minorHAnsi"/>
          <w:lang w:val="fr-FR"/>
        </w:rPr>
        <w:t xml:space="preserve"> </w:t>
      </w:r>
      <w:r w:rsidR="00E11153">
        <w:rPr>
          <w:rFonts w:cstheme="minorHAnsi"/>
          <w:lang w:val="fr-FR"/>
        </w:rPr>
        <w:t>en application de</w:t>
      </w:r>
      <w:r w:rsidR="00277510" w:rsidRPr="00AE0ED9">
        <w:rPr>
          <w:rFonts w:cstheme="minorHAnsi"/>
          <w:lang w:val="fr-FR"/>
        </w:rPr>
        <w:t xml:space="preserve"> la requête des Parties contractantes et les principaux points ont été inscrits </w:t>
      </w:r>
      <w:r w:rsidR="00A605D5">
        <w:rPr>
          <w:rFonts w:cstheme="minorHAnsi"/>
          <w:lang w:val="fr-FR"/>
        </w:rPr>
        <w:t>à l’</w:t>
      </w:r>
      <w:r w:rsidR="00277510" w:rsidRPr="00AE0ED9">
        <w:rPr>
          <w:rFonts w:cstheme="minorHAnsi"/>
          <w:lang w:val="fr-FR"/>
        </w:rPr>
        <w:t xml:space="preserve">ordre du jour de ces réunions. </w:t>
      </w:r>
      <w:r w:rsidR="00E11153">
        <w:rPr>
          <w:rFonts w:cstheme="minorHAnsi"/>
          <w:lang w:val="fr-FR"/>
        </w:rPr>
        <w:t>Par souci de</w:t>
      </w:r>
      <w:r w:rsidR="00277510" w:rsidRPr="00AE0ED9">
        <w:rPr>
          <w:rFonts w:cstheme="minorHAnsi"/>
          <w:lang w:val="fr-FR"/>
        </w:rPr>
        <w:t xml:space="preserve"> cohérence, des orientations ont été élaborées sur la préparation des documents. Le Secrétariat a préparé des documents pour les réunions, organisé la logistique et les procédures pour l’examen, par les Parties contractantes, des projets de résolution</w:t>
      </w:r>
      <w:r w:rsidR="00A605D5">
        <w:rPr>
          <w:rFonts w:cstheme="minorHAnsi"/>
          <w:lang w:val="fr-FR"/>
        </w:rPr>
        <w:t>s</w:t>
      </w:r>
      <w:r w:rsidR="00277510" w:rsidRPr="00AE0ED9">
        <w:rPr>
          <w:rFonts w:cstheme="minorHAnsi"/>
          <w:lang w:val="fr-FR"/>
        </w:rPr>
        <w:t xml:space="preserve"> à la 54</w:t>
      </w:r>
      <w:r w:rsidR="00277510" w:rsidRPr="00AE0ED9">
        <w:rPr>
          <w:rFonts w:cstheme="minorHAnsi"/>
          <w:vertAlign w:val="superscript"/>
          <w:lang w:val="fr-FR"/>
        </w:rPr>
        <w:t>e</w:t>
      </w:r>
      <w:r w:rsidR="00277510" w:rsidRPr="00AE0ED9">
        <w:rPr>
          <w:rFonts w:cstheme="minorHAnsi"/>
          <w:lang w:val="fr-FR"/>
        </w:rPr>
        <w:t> Réunion du Comité permanent et à la COP13, et a préparé les rapports quotidiens et le rapport final des réunions. La 54</w:t>
      </w:r>
      <w:r w:rsidR="00277510" w:rsidRPr="00AE0ED9">
        <w:rPr>
          <w:rFonts w:cstheme="minorHAnsi"/>
          <w:vertAlign w:val="superscript"/>
          <w:lang w:val="fr-FR"/>
        </w:rPr>
        <w:t>e</w:t>
      </w:r>
      <w:r w:rsidR="00277510" w:rsidRPr="00AE0ED9">
        <w:rPr>
          <w:rFonts w:cstheme="minorHAnsi"/>
          <w:lang w:val="fr-FR"/>
        </w:rPr>
        <w:t xml:space="preserve"> Réunion du Comité permanent a </w:t>
      </w:r>
      <w:r w:rsidR="00E11153">
        <w:rPr>
          <w:rFonts w:cstheme="minorHAnsi"/>
          <w:lang w:val="fr-FR"/>
        </w:rPr>
        <w:t xml:space="preserve">été, </w:t>
      </w:r>
      <w:r w:rsidR="00E11153" w:rsidRPr="00AE0ED9">
        <w:rPr>
          <w:rFonts w:cstheme="minorHAnsi"/>
          <w:lang w:val="fr-FR"/>
        </w:rPr>
        <w:t xml:space="preserve">de toute l’histoire de la Convention, </w:t>
      </w:r>
      <w:r w:rsidR="00E11153">
        <w:rPr>
          <w:rFonts w:cstheme="minorHAnsi"/>
          <w:lang w:val="fr-FR"/>
        </w:rPr>
        <w:t>celle qui a accueilli</w:t>
      </w:r>
      <w:r w:rsidR="00277510" w:rsidRPr="00AE0ED9">
        <w:rPr>
          <w:rFonts w:cstheme="minorHAnsi"/>
          <w:lang w:val="fr-FR"/>
        </w:rPr>
        <w:t xml:space="preserve"> le plus grand nombre de participants avec 120 participants et 19 observateurs. Au moment de la rédaction du présent rapport, le Secrétariat prépare la 55</w:t>
      </w:r>
      <w:r w:rsidR="00277510" w:rsidRPr="00AE0ED9">
        <w:rPr>
          <w:rFonts w:cstheme="minorHAnsi"/>
          <w:vertAlign w:val="superscript"/>
          <w:lang w:val="fr-FR"/>
        </w:rPr>
        <w:t>e</w:t>
      </w:r>
      <w:r w:rsidR="00277510" w:rsidRPr="00AE0ED9">
        <w:rPr>
          <w:rFonts w:cstheme="minorHAnsi"/>
          <w:lang w:val="fr-FR"/>
        </w:rPr>
        <w:t> et la 56</w:t>
      </w:r>
      <w:r w:rsidR="00277510" w:rsidRPr="00AE0ED9">
        <w:rPr>
          <w:rFonts w:cstheme="minorHAnsi"/>
          <w:vertAlign w:val="superscript"/>
          <w:lang w:val="fr-FR"/>
        </w:rPr>
        <w:t>e</w:t>
      </w:r>
      <w:r w:rsidR="00277510" w:rsidRPr="00AE0ED9">
        <w:rPr>
          <w:rFonts w:cstheme="minorHAnsi"/>
          <w:lang w:val="fr-FR"/>
        </w:rPr>
        <w:t> Réunion</w:t>
      </w:r>
      <w:r w:rsidR="00E11153">
        <w:rPr>
          <w:rFonts w:cstheme="minorHAnsi"/>
          <w:lang w:val="fr-FR"/>
        </w:rPr>
        <w:t>s</w:t>
      </w:r>
      <w:r w:rsidR="00277510" w:rsidRPr="00AE0ED9">
        <w:rPr>
          <w:rFonts w:cstheme="minorHAnsi"/>
          <w:lang w:val="fr-FR"/>
        </w:rPr>
        <w:t xml:space="preserve"> du Comité permanent qui auront lieu immédiatement avant et immédiatement après la COP13. L’équipe du Secrétariat a travaillé de manière coordonnée en assumant des rôles et des responsabilités clairs pour la bonne marche de toutes ces réunions. Les participants ont exprimé leur satisfaction concernant l’organisation et le déroulement des réunions. </w:t>
      </w:r>
      <w:r w:rsidR="001258C5" w:rsidRPr="00AE0ED9">
        <w:rPr>
          <w:rFonts w:cstheme="minorHAnsi"/>
          <w:lang w:val="fr-FR"/>
        </w:rPr>
        <w:t xml:space="preserve"> </w:t>
      </w:r>
    </w:p>
    <w:p w14:paraId="0EB43E6F" w14:textId="77777777" w:rsidR="001258C5" w:rsidRPr="00AE0ED9" w:rsidRDefault="001258C5" w:rsidP="00A34358">
      <w:pPr>
        <w:rPr>
          <w:rFonts w:cstheme="minorHAnsi"/>
          <w:lang w:val="fr-FR"/>
        </w:rPr>
      </w:pPr>
    </w:p>
    <w:p w14:paraId="33CBD1D6" w14:textId="4FAD53D0" w:rsidR="00277D40" w:rsidRPr="00AE0ED9" w:rsidRDefault="00A34358" w:rsidP="00A34358">
      <w:pPr>
        <w:rPr>
          <w:rFonts w:cstheme="minorHAnsi"/>
          <w:lang w:val="fr-FR"/>
        </w:rPr>
      </w:pPr>
      <w:r w:rsidRPr="00AE0ED9">
        <w:rPr>
          <w:rFonts w:cstheme="minorHAnsi"/>
          <w:lang w:val="fr-FR"/>
        </w:rPr>
        <w:t>8.</w:t>
      </w:r>
      <w:r w:rsidRPr="00AE0ED9">
        <w:rPr>
          <w:rFonts w:cstheme="minorHAnsi"/>
          <w:lang w:val="fr-FR"/>
        </w:rPr>
        <w:tab/>
      </w:r>
      <w:r w:rsidR="00277510" w:rsidRPr="00AE0ED9">
        <w:rPr>
          <w:rFonts w:cstheme="minorHAnsi"/>
          <w:lang w:val="fr-FR"/>
        </w:rPr>
        <w:t>Concernant l’organisation des sessions de la Conférence des Parties, le Secrétariat a réalisé une évaluation de la COP12, qui a eu lieu à Punta del </w:t>
      </w:r>
      <w:r w:rsidR="00CB6225" w:rsidRPr="00AE0ED9">
        <w:rPr>
          <w:rFonts w:cstheme="minorHAnsi"/>
          <w:lang w:val="fr-FR"/>
        </w:rPr>
        <w:t>Este, Uruguay</w:t>
      </w:r>
      <w:r w:rsidR="00277510" w:rsidRPr="00AE0ED9">
        <w:rPr>
          <w:rFonts w:cstheme="minorHAnsi"/>
          <w:lang w:val="fr-FR"/>
        </w:rPr>
        <w:t>, en juin </w:t>
      </w:r>
      <w:r w:rsidR="00CB6225" w:rsidRPr="00AE0ED9">
        <w:rPr>
          <w:rFonts w:cstheme="minorHAnsi"/>
          <w:lang w:val="fr-FR"/>
        </w:rPr>
        <w:t>2015</w:t>
      </w:r>
      <w:r w:rsidR="004B3CB6" w:rsidRPr="00AE0ED9">
        <w:rPr>
          <w:rFonts w:cstheme="minorHAnsi"/>
          <w:lang w:val="fr-FR"/>
        </w:rPr>
        <w:t>,</w:t>
      </w:r>
      <w:r w:rsidR="00277D40" w:rsidRPr="00AE0ED9">
        <w:rPr>
          <w:rFonts w:cstheme="minorHAnsi"/>
          <w:lang w:val="fr-FR"/>
        </w:rPr>
        <w:t xml:space="preserve"> </w:t>
      </w:r>
      <w:r w:rsidR="00277510" w:rsidRPr="00AE0ED9">
        <w:rPr>
          <w:rFonts w:cstheme="minorHAnsi"/>
          <w:lang w:val="fr-FR"/>
        </w:rPr>
        <w:t>et a préparé un manuel, en février 2016, fournissant des orientations sur la planification et la préparation des futures sessions de la COP.</w:t>
      </w:r>
      <w:r w:rsidR="00277D40" w:rsidRPr="00AE0ED9">
        <w:rPr>
          <w:rFonts w:cstheme="minorHAnsi"/>
          <w:lang w:val="fr-FR"/>
        </w:rPr>
        <w:t xml:space="preserve"> </w:t>
      </w:r>
    </w:p>
    <w:p w14:paraId="2D3DCA59" w14:textId="77777777" w:rsidR="00277D40" w:rsidRPr="00AE0ED9" w:rsidRDefault="00277D40" w:rsidP="00A34358">
      <w:pPr>
        <w:rPr>
          <w:rFonts w:cstheme="minorHAnsi"/>
          <w:lang w:val="fr-FR"/>
        </w:rPr>
      </w:pPr>
    </w:p>
    <w:p w14:paraId="36887660" w14:textId="058DF385" w:rsidR="000D7F50" w:rsidRPr="00AE0ED9" w:rsidRDefault="00A34358" w:rsidP="00A34358">
      <w:pPr>
        <w:rPr>
          <w:rFonts w:cstheme="minorHAnsi"/>
          <w:lang w:val="fr-FR"/>
        </w:rPr>
      </w:pPr>
      <w:r w:rsidRPr="00AE0ED9">
        <w:rPr>
          <w:rFonts w:cstheme="minorHAnsi"/>
          <w:lang w:val="fr-FR"/>
        </w:rPr>
        <w:lastRenderedPageBreak/>
        <w:t>9.</w:t>
      </w:r>
      <w:r w:rsidRPr="00AE0ED9">
        <w:rPr>
          <w:rFonts w:cstheme="minorHAnsi"/>
          <w:lang w:val="fr-FR"/>
        </w:rPr>
        <w:tab/>
      </w:r>
      <w:r w:rsidR="00277510" w:rsidRPr="00AE0ED9">
        <w:rPr>
          <w:rFonts w:cstheme="minorHAnsi"/>
          <w:lang w:val="fr-FR"/>
        </w:rPr>
        <w:t xml:space="preserve">En préparation de la </w:t>
      </w:r>
      <w:r w:rsidR="00B3576E" w:rsidRPr="00AE0ED9">
        <w:rPr>
          <w:rFonts w:cstheme="minorHAnsi"/>
          <w:lang w:val="fr-FR"/>
        </w:rPr>
        <w:t xml:space="preserve">COP13, </w:t>
      </w:r>
      <w:r w:rsidR="00277510" w:rsidRPr="00AE0ED9">
        <w:rPr>
          <w:rFonts w:cstheme="minorHAnsi"/>
          <w:lang w:val="fr-FR"/>
        </w:rPr>
        <w:t>le Secrétariat a organisé cinq réunions r</w:t>
      </w:r>
      <w:r w:rsidR="00F70CF2">
        <w:rPr>
          <w:rFonts w:cstheme="minorHAnsi"/>
          <w:lang w:val="fr-FR"/>
        </w:rPr>
        <w:t>égionales pré</w:t>
      </w:r>
      <w:r w:rsidR="00F70CF2">
        <w:rPr>
          <w:rFonts w:cstheme="minorHAnsi"/>
          <w:lang w:val="fr-FR"/>
        </w:rPr>
        <w:noBreakHyphen/>
        <w:t>COP, comme suit :</w:t>
      </w:r>
      <w:bookmarkStart w:id="0" w:name="_GoBack"/>
      <w:bookmarkEnd w:id="0"/>
    </w:p>
    <w:p w14:paraId="61477B75" w14:textId="43AA49E7" w:rsidR="007E4AB2" w:rsidRPr="00F70CF2" w:rsidRDefault="007E4AB2" w:rsidP="00F70CF2">
      <w:pPr>
        <w:pStyle w:val="ListParagraph"/>
        <w:numPr>
          <w:ilvl w:val="0"/>
          <w:numId w:val="2"/>
        </w:numPr>
        <w:ind w:left="850" w:hanging="425"/>
        <w:rPr>
          <w:rFonts w:cstheme="minorHAnsi"/>
          <w:lang w:val="fr-FR"/>
        </w:rPr>
      </w:pPr>
      <w:r w:rsidRPr="00F70CF2">
        <w:rPr>
          <w:rFonts w:cstheme="minorHAnsi"/>
          <w:lang w:val="fr-FR"/>
        </w:rPr>
        <w:t>Région Afrique (26 février – 2 mars) Dakar, Sénégal</w:t>
      </w:r>
    </w:p>
    <w:p w14:paraId="0E581924" w14:textId="637E1E29" w:rsidR="007E4AB2" w:rsidRPr="00F70CF2" w:rsidRDefault="007E4AB2" w:rsidP="00F70CF2">
      <w:pPr>
        <w:pStyle w:val="ListParagraph"/>
        <w:numPr>
          <w:ilvl w:val="0"/>
          <w:numId w:val="2"/>
        </w:numPr>
        <w:ind w:left="850" w:hanging="425"/>
        <w:rPr>
          <w:rFonts w:cstheme="minorHAnsi"/>
          <w:lang w:val="fr-FR"/>
        </w:rPr>
      </w:pPr>
      <w:r w:rsidRPr="00F70CF2">
        <w:rPr>
          <w:rFonts w:cstheme="minorHAnsi"/>
          <w:lang w:val="fr-FR"/>
        </w:rPr>
        <w:t>Région Asie (26 février – 2 mars) Colombo, Sri Lanka</w:t>
      </w:r>
    </w:p>
    <w:p w14:paraId="64C92130" w14:textId="5550B9CD" w:rsidR="007E4AB2" w:rsidRPr="00F70CF2" w:rsidRDefault="007E4AB2" w:rsidP="00F70CF2">
      <w:pPr>
        <w:pStyle w:val="ListParagraph"/>
        <w:numPr>
          <w:ilvl w:val="0"/>
          <w:numId w:val="2"/>
        </w:numPr>
        <w:ind w:left="850" w:hanging="425"/>
        <w:rPr>
          <w:rFonts w:cstheme="minorHAnsi"/>
          <w:lang w:val="fr-FR"/>
        </w:rPr>
      </w:pPr>
      <w:r w:rsidRPr="00F70CF2">
        <w:rPr>
          <w:rFonts w:cstheme="minorHAnsi"/>
          <w:lang w:val="fr-FR"/>
        </w:rPr>
        <w:t>Région Amériques (12 – 16 mars) San José, Costa Rica</w:t>
      </w:r>
    </w:p>
    <w:p w14:paraId="130B279A" w14:textId="6AD7D3A5" w:rsidR="007E4AB2" w:rsidRPr="00F70CF2" w:rsidRDefault="007E4AB2" w:rsidP="00F70CF2">
      <w:pPr>
        <w:pStyle w:val="ListParagraph"/>
        <w:numPr>
          <w:ilvl w:val="0"/>
          <w:numId w:val="2"/>
        </w:numPr>
        <w:ind w:left="850" w:hanging="425"/>
        <w:rPr>
          <w:rFonts w:cstheme="minorHAnsi"/>
          <w:lang w:val="fr-FR"/>
        </w:rPr>
      </w:pPr>
      <w:r w:rsidRPr="00F70CF2">
        <w:rPr>
          <w:rFonts w:cstheme="minorHAnsi"/>
          <w:lang w:val="fr-FR"/>
        </w:rPr>
        <w:t>Région Océanie (12 – 16 mars) Auckland, Nouvelle-Zélande</w:t>
      </w:r>
    </w:p>
    <w:p w14:paraId="17B69551" w14:textId="1233F397" w:rsidR="000D7F50" w:rsidRPr="00AE0ED9" w:rsidRDefault="007E4AB2" w:rsidP="00F70CF2">
      <w:pPr>
        <w:pStyle w:val="ListParagraph"/>
        <w:numPr>
          <w:ilvl w:val="0"/>
          <w:numId w:val="2"/>
        </w:numPr>
        <w:ind w:left="850" w:hanging="425"/>
        <w:rPr>
          <w:rFonts w:cstheme="minorHAnsi"/>
          <w:lang w:val="fr-FR"/>
        </w:rPr>
      </w:pPr>
      <w:r w:rsidRPr="00F70CF2">
        <w:rPr>
          <w:rFonts w:cstheme="minorHAnsi"/>
          <w:lang w:val="fr-FR"/>
        </w:rPr>
        <w:t>Région Europe (19 – 23 mars) Olomouc, République tchèque</w:t>
      </w:r>
    </w:p>
    <w:p w14:paraId="760C92E3" w14:textId="77777777" w:rsidR="00A34358" w:rsidRPr="00AE0ED9" w:rsidRDefault="00A34358" w:rsidP="00A34358">
      <w:pPr>
        <w:rPr>
          <w:rFonts w:cstheme="minorHAnsi"/>
          <w:lang w:val="fr-FR"/>
        </w:rPr>
      </w:pPr>
    </w:p>
    <w:p w14:paraId="3A3534FE" w14:textId="21B56EEA" w:rsidR="000D7F50" w:rsidRPr="00AE0ED9" w:rsidRDefault="006C0A66" w:rsidP="00D714AC">
      <w:pPr>
        <w:ind w:firstLine="0"/>
        <w:rPr>
          <w:rFonts w:cstheme="minorHAnsi"/>
          <w:lang w:val="fr-FR"/>
        </w:rPr>
      </w:pPr>
      <w:r w:rsidRPr="00AE0ED9">
        <w:rPr>
          <w:rFonts w:cstheme="minorHAnsi"/>
          <w:lang w:val="fr-FR"/>
        </w:rPr>
        <w:t>Le</w:t>
      </w:r>
      <w:r w:rsidR="00791678" w:rsidRPr="00AE0ED9">
        <w:rPr>
          <w:rFonts w:cstheme="minorHAnsi"/>
          <w:lang w:val="fr-FR"/>
        </w:rPr>
        <w:t xml:space="preserve"> </w:t>
      </w:r>
      <w:r w:rsidRPr="00AE0ED9">
        <w:rPr>
          <w:rFonts w:cstheme="minorHAnsi"/>
          <w:lang w:val="fr-FR"/>
        </w:rPr>
        <w:t>Secrétariat souhaite exprimer sa</w:t>
      </w:r>
      <w:r w:rsidR="00791678" w:rsidRPr="00AE0ED9">
        <w:rPr>
          <w:rFonts w:cstheme="minorHAnsi"/>
          <w:lang w:val="fr-FR"/>
        </w:rPr>
        <w:t xml:space="preserve"> gratitude </w:t>
      </w:r>
      <w:r w:rsidRPr="00AE0ED9">
        <w:rPr>
          <w:rFonts w:cstheme="minorHAnsi"/>
          <w:lang w:val="fr-FR"/>
        </w:rPr>
        <w:t>aux pays qui ont accueilli ces réunions</w:t>
      </w:r>
      <w:r w:rsidR="00791678" w:rsidRPr="00AE0ED9">
        <w:rPr>
          <w:rFonts w:cstheme="minorHAnsi"/>
          <w:lang w:val="fr-FR"/>
        </w:rPr>
        <w:t>.</w:t>
      </w:r>
      <w:r w:rsidR="00D714AC" w:rsidRPr="00AE0ED9">
        <w:rPr>
          <w:rFonts w:cstheme="minorHAnsi"/>
          <w:lang w:val="fr-FR"/>
        </w:rPr>
        <w:t xml:space="preserve"> </w:t>
      </w:r>
      <w:r w:rsidRPr="00AE0ED9">
        <w:rPr>
          <w:lang w:val="fr-FR"/>
        </w:rPr>
        <w:t xml:space="preserve">Les Parties contractantes </w:t>
      </w:r>
      <w:r w:rsidR="003A58F8">
        <w:rPr>
          <w:lang w:val="fr-FR"/>
        </w:rPr>
        <w:t xml:space="preserve">ont </w:t>
      </w:r>
      <w:r w:rsidRPr="00AE0ED9">
        <w:rPr>
          <w:lang w:val="fr-FR"/>
        </w:rPr>
        <w:t>estim</w:t>
      </w:r>
      <w:r w:rsidR="003A58F8">
        <w:rPr>
          <w:lang w:val="fr-FR"/>
        </w:rPr>
        <w:t>é</w:t>
      </w:r>
      <w:r w:rsidRPr="00AE0ED9">
        <w:rPr>
          <w:lang w:val="fr-FR"/>
        </w:rPr>
        <w:t xml:space="preserve"> que ces réunions sont des forums utiles pour commenter les projets de résolution</w:t>
      </w:r>
      <w:r w:rsidR="00A605D5">
        <w:rPr>
          <w:lang w:val="fr-FR"/>
        </w:rPr>
        <w:t>s</w:t>
      </w:r>
      <w:r w:rsidRPr="00AE0ED9">
        <w:rPr>
          <w:lang w:val="fr-FR"/>
        </w:rPr>
        <w:t xml:space="preserve"> qui ont été examinés lors de la 54</w:t>
      </w:r>
      <w:r w:rsidRPr="00AE0ED9">
        <w:rPr>
          <w:vertAlign w:val="superscript"/>
          <w:lang w:val="fr-FR"/>
        </w:rPr>
        <w:t>e</w:t>
      </w:r>
      <w:r w:rsidRPr="00AE0ED9">
        <w:rPr>
          <w:lang w:val="fr-FR"/>
        </w:rPr>
        <w:t xml:space="preserve"> Réunion du </w:t>
      </w:r>
      <w:r w:rsidR="00277510" w:rsidRPr="00AE0ED9">
        <w:rPr>
          <w:lang w:val="fr-FR"/>
        </w:rPr>
        <w:t>Comit</w:t>
      </w:r>
      <w:r w:rsidR="0022728A" w:rsidRPr="00AE0ED9">
        <w:rPr>
          <w:lang w:val="fr-FR"/>
        </w:rPr>
        <w:t>é</w:t>
      </w:r>
      <w:r w:rsidRPr="00AE0ED9">
        <w:rPr>
          <w:lang w:val="fr-FR"/>
        </w:rPr>
        <w:t xml:space="preserve"> permanent et seront négociés à la COP13</w:t>
      </w:r>
      <w:r w:rsidR="000D7F50" w:rsidRPr="00AE0ED9">
        <w:rPr>
          <w:rFonts w:cstheme="minorHAnsi"/>
          <w:lang w:val="fr-FR"/>
        </w:rPr>
        <w:t xml:space="preserve">. </w:t>
      </w:r>
      <w:r w:rsidRPr="00AE0ED9">
        <w:rPr>
          <w:rFonts w:cstheme="minorHAnsi"/>
          <w:lang w:val="fr-FR"/>
        </w:rPr>
        <w:t>Ces réunions offrent aussi l’occasion</w:t>
      </w:r>
      <w:r w:rsidR="000D7F50" w:rsidRPr="00AE0ED9">
        <w:rPr>
          <w:rFonts w:cstheme="minorHAnsi"/>
          <w:lang w:val="fr-FR"/>
        </w:rPr>
        <w:t xml:space="preserve"> </w:t>
      </w:r>
      <w:r w:rsidRPr="00AE0ED9">
        <w:rPr>
          <w:lang w:val="fr-FR"/>
        </w:rPr>
        <w:t xml:space="preserve">aux Parties de partager leur expérience en matière </w:t>
      </w:r>
      <w:r w:rsidR="003A58F8">
        <w:rPr>
          <w:lang w:val="fr-FR"/>
        </w:rPr>
        <w:t>d’application</w:t>
      </w:r>
      <w:r w:rsidRPr="00AE0ED9">
        <w:rPr>
          <w:lang w:val="fr-FR"/>
        </w:rPr>
        <w:t xml:space="preserve"> de la Convention aux niveaux national et régional, de soulever des questions d'intérêt mutuel et d’avoir des discussions préliminaires sur l'élection de représentants régionaux au Comité permanent</w:t>
      </w:r>
      <w:r w:rsidR="000D7F50" w:rsidRPr="00AE0ED9">
        <w:rPr>
          <w:rFonts w:cstheme="minorHAnsi"/>
          <w:lang w:val="fr-FR"/>
        </w:rPr>
        <w:t>.</w:t>
      </w:r>
    </w:p>
    <w:p w14:paraId="263ECFFD" w14:textId="77777777" w:rsidR="00B02D0F" w:rsidRPr="00AE0ED9" w:rsidRDefault="00B02D0F" w:rsidP="00C81B75">
      <w:pPr>
        <w:ind w:left="0" w:firstLine="0"/>
        <w:rPr>
          <w:rFonts w:cstheme="minorHAnsi"/>
          <w:lang w:val="fr-FR"/>
        </w:rPr>
      </w:pPr>
    </w:p>
    <w:p w14:paraId="52BDDCF9" w14:textId="175A7B75" w:rsidR="00110E53" w:rsidRPr="00AE0ED9" w:rsidRDefault="00A34358" w:rsidP="00A34358">
      <w:pPr>
        <w:rPr>
          <w:rFonts w:cstheme="minorHAnsi"/>
          <w:lang w:val="fr-FR"/>
        </w:rPr>
      </w:pPr>
      <w:r w:rsidRPr="00AE0ED9">
        <w:rPr>
          <w:rFonts w:cstheme="minorHAnsi"/>
          <w:lang w:val="fr-FR"/>
        </w:rPr>
        <w:t>10.</w:t>
      </w:r>
      <w:r w:rsidRPr="00AE0ED9">
        <w:rPr>
          <w:rFonts w:cstheme="minorHAnsi"/>
          <w:lang w:val="fr-FR"/>
        </w:rPr>
        <w:tab/>
      </w:r>
      <w:r w:rsidR="00E607A4" w:rsidRPr="00AE0ED9">
        <w:rPr>
          <w:rFonts w:cstheme="minorHAnsi"/>
          <w:lang w:val="fr-FR"/>
        </w:rPr>
        <w:t xml:space="preserve">Le Secrétariat a été activement en contact avec les Émirats arabes unis qui accueilleront la COP13, à propos de la planification de l’événement, de la logistique et de la communication. Les principales responsabilités comprennent : élaboration d’un mémorandum d’accord comprenant un énoncé des obligations; </w:t>
      </w:r>
      <w:r w:rsidR="003A58F8">
        <w:rPr>
          <w:rFonts w:cstheme="minorHAnsi"/>
          <w:lang w:val="fr-FR"/>
        </w:rPr>
        <w:t>inscription des participants</w:t>
      </w:r>
      <w:r w:rsidR="00E607A4" w:rsidRPr="00AE0ED9">
        <w:rPr>
          <w:rFonts w:cstheme="minorHAnsi"/>
          <w:lang w:val="fr-FR"/>
        </w:rPr>
        <w:t xml:space="preserve">; voyage des délégués parrainés; coordination des activités parallèles; communication et préparation des documents de la session. </w:t>
      </w:r>
    </w:p>
    <w:p w14:paraId="58D321E9" w14:textId="77777777" w:rsidR="00B02D0F" w:rsidRPr="00AE0ED9" w:rsidRDefault="00B02D0F" w:rsidP="00A34358">
      <w:pPr>
        <w:rPr>
          <w:rFonts w:cstheme="minorHAnsi"/>
          <w:lang w:val="fr-FR"/>
        </w:rPr>
      </w:pPr>
    </w:p>
    <w:p w14:paraId="36C8BF3D" w14:textId="0BB88CF4" w:rsidR="009B7A0D" w:rsidRPr="00AE0ED9" w:rsidRDefault="00A34358" w:rsidP="00A34358">
      <w:pPr>
        <w:rPr>
          <w:rFonts w:cstheme="minorHAnsi"/>
          <w:lang w:val="fr-FR"/>
        </w:rPr>
      </w:pPr>
      <w:r w:rsidRPr="00AE0ED9">
        <w:rPr>
          <w:rFonts w:cstheme="minorHAnsi"/>
          <w:lang w:val="fr-FR"/>
        </w:rPr>
        <w:t>11.</w:t>
      </w:r>
      <w:r w:rsidRPr="00AE0ED9">
        <w:rPr>
          <w:rFonts w:cstheme="minorHAnsi"/>
          <w:lang w:val="fr-FR"/>
        </w:rPr>
        <w:tab/>
      </w:r>
      <w:r w:rsidR="00E607A4" w:rsidRPr="00AE0ED9">
        <w:rPr>
          <w:rFonts w:cstheme="minorHAnsi"/>
          <w:lang w:val="fr-FR"/>
        </w:rPr>
        <w:t xml:space="preserve">Le Secrétariat a également </w:t>
      </w:r>
      <w:r w:rsidR="00537548">
        <w:rPr>
          <w:rFonts w:cstheme="minorHAnsi"/>
          <w:lang w:val="fr-FR"/>
        </w:rPr>
        <w:t xml:space="preserve">contribué </w:t>
      </w:r>
      <w:r w:rsidR="00E607A4" w:rsidRPr="00AE0ED9">
        <w:rPr>
          <w:rFonts w:cstheme="minorHAnsi"/>
          <w:lang w:val="fr-FR"/>
        </w:rPr>
        <w:t xml:space="preserve">activement </w:t>
      </w:r>
      <w:r w:rsidR="00537548">
        <w:rPr>
          <w:rFonts w:cstheme="minorHAnsi"/>
          <w:lang w:val="fr-FR"/>
        </w:rPr>
        <w:t xml:space="preserve">à </w:t>
      </w:r>
      <w:r w:rsidR="00E607A4" w:rsidRPr="00AE0ED9">
        <w:rPr>
          <w:rFonts w:cstheme="minorHAnsi"/>
          <w:lang w:val="fr-FR"/>
        </w:rPr>
        <w:t>l’application des décisions prises par la COP12 et par le Comité permanent. Pour cela, il a soutenu plusieurs groupes de travail qui avaient été chargés de l’exécution de tâches spécifiques à la COP12</w:t>
      </w:r>
      <w:r w:rsidR="00537548">
        <w:rPr>
          <w:rFonts w:cstheme="minorHAnsi"/>
          <w:lang w:val="fr-FR"/>
        </w:rPr>
        <w:t xml:space="preserve"> et</w:t>
      </w:r>
      <w:r w:rsidR="00E607A4" w:rsidRPr="00AE0ED9">
        <w:rPr>
          <w:rFonts w:cstheme="minorHAnsi"/>
          <w:lang w:val="fr-FR"/>
        </w:rPr>
        <w:t xml:space="preserve"> </w:t>
      </w:r>
      <w:r w:rsidR="00065D5E" w:rsidRPr="00AE0ED9">
        <w:rPr>
          <w:rFonts w:cstheme="minorHAnsi"/>
          <w:lang w:val="fr-FR"/>
        </w:rPr>
        <w:t>aux</w:t>
      </w:r>
      <w:r w:rsidR="00E607A4" w:rsidRPr="00AE0ED9">
        <w:rPr>
          <w:rFonts w:cstheme="minorHAnsi"/>
          <w:lang w:val="fr-FR"/>
        </w:rPr>
        <w:t xml:space="preserve"> 52</w:t>
      </w:r>
      <w:r w:rsidR="00E607A4" w:rsidRPr="00AE0ED9">
        <w:rPr>
          <w:rFonts w:cstheme="minorHAnsi"/>
          <w:vertAlign w:val="superscript"/>
          <w:lang w:val="fr-FR"/>
        </w:rPr>
        <w:t>e</w:t>
      </w:r>
      <w:r w:rsidR="00E607A4" w:rsidRPr="00AE0ED9">
        <w:rPr>
          <w:rFonts w:cstheme="minorHAnsi"/>
          <w:lang w:val="fr-FR"/>
        </w:rPr>
        <w:t xml:space="preserve"> et 53</w:t>
      </w:r>
      <w:r w:rsidR="00E607A4" w:rsidRPr="00AE0ED9">
        <w:rPr>
          <w:rFonts w:cstheme="minorHAnsi"/>
          <w:vertAlign w:val="superscript"/>
          <w:lang w:val="fr-FR"/>
        </w:rPr>
        <w:t>e</w:t>
      </w:r>
      <w:r w:rsidR="00E607A4" w:rsidRPr="00AE0ED9">
        <w:rPr>
          <w:rFonts w:cstheme="minorHAnsi"/>
          <w:lang w:val="fr-FR"/>
        </w:rPr>
        <w:t xml:space="preserve"> Réunions du Comité permanent. Plus particulièrement, le Secrétariat a apporté une assistance considérable au Groupe de travail sur la facilitation (GTF) dans sa tâche d’examen de l’efficacité de la gouvernance de la Convention. L’appui du Secrétariat a été fourni au Groupe de travail du Comité permanent sur la stratégie pour les langues, dans la préparation d’une proposition pour examen par le Comité. En outre, le Secrétariat a aidé le Comité consultatif indépendant </w:t>
      </w:r>
      <w:r w:rsidR="00537548">
        <w:rPr>
          <w:rFonts w:cstheme="minorHAnsi"/>
          <w:lang w:val="fr-FR"/>
        </w:rPr>
        <w:t>dans</w:t>
      </w:r>
      <w:r w:rsidR="00E607A4" w:rsidRPr="00AE0ED9">
        <w:rPr>
          <w:rFonts w:cstheme="minorHAnsi"/>
          <w:lang w:val="fr-FR"/>
        </w:rPr>
        <w:t xml:space="preserve"> l’examen des propositions </w:t>
      </w:r>
      <w:r w:rsidR="00A605D5">
        <w:rPr>
          <w:rFonts w:cstheme="minorHAnsi"/>
          <w:lang w:val="fr-FR"/>
        </w:rPr>
        <w:t>d’attribution du label V</w:t>
      </w:r>
      <w:r w:rsidR="00E607A4" w:rsidRPr="00AE0ED9">
        <w:rPr>
          <w:rFonts w:cstheme="minorHAnsi"/>
          <w:lang w:val="fr-FR"/>
        </w:rPr>
        <w:t xml:space="preserve">ille des </w:t>
      </w:r>
      <w:r w:rsidR="00A605D5">
        <w:rPr>
          <w:rFonts w:cstheme="minorHAnsi"/>
          <w:lang w:val="fr-FR"/>
        </w:rPr>
        <w:t>Z</w:t>
      </w:r>
      <w:r w:rsidR="00E607A4" w:rsidRPr="00AE0ED9">
        <w:rPr>
          <w:rFonts w:cstheme="minorHAnsi"/>
          <w:lang w:val="fr-FR"/>
        </w:rPr>
        <w:t xml:space="preserve">ones </w:t>
      </w:r>
      <w:r w:rsidR="00A605D5">
        <w:rPr>
          <w:rFonts w:cstheme="minorHAnsi"/>
          <w:lang w:val="fr-FR"/>
        </w:rPr>
        <w:t>H</w:t>
      </w:r>
      <w:r w:rsidR="00E607A4" w:rsidRPr="00AE0ED9">
        <w:rPr>
          <w:rFonts w:cstheme="minorHAnsi"/>
          <w:lang w:val="fr-FR"/>
        </w:rPr>
        <w:t xml:space="preserve">umides et le Groupe de surveillance des activités de CESP et ses travaux pour fournir des recommandations sur la gouvernance de la communication, du renforcement des capacités, de l’éducation, de la sensibilisation et de la participation (CESP). </w:t>
      </w:r>
      <w:r w:rsidR="00597507" w:rsidRPr="00AE0ED9">
        <w:rPr>
          <w:rFonts w:cstheme="minorHAnsi"/>
          <w:lang w:val="fr-FR"/>
        </w:rPr>
        <w:t xml:space="preserve"> </w:t>
      </w:r>
    </w:p>
    <w:p w14:paraId="3D23FDBC" w14:textId="77777777" w:rsidR="00C81B75" w:rsidRPr="00AE0ED9" w:rsidRDefault="00C81B75" w:rsidP="00C81B75">
      <w:pPr>
        <w:ind w:left="360" w:firstLine="0"/>
        <w:rPr>
          <w:rFonts w:cstheme="minorHAnsi"/>
          <w:lang w:val="fr-FR"/>
        </w:rPr>
      </w:pPr>
    </w:p>
    <w:p w14:paraId="6B909A83" w14:textId="28945A1C" w:rsidR="00F72E95" w:rsidRPr="00AE0ED9" w:rsidRDefault="00C46385" w:rsidP="00C46385">
      <w:pPr>
        <w:rPr>
          <w:rFonts w:cstheme="minorHAnsi"/>
          <w:lang w:val="fr-FR"/>
        </w:rPr>
      </w:pPr>
      <w:r w:rsidRPr="00AE0ED9">
        <w:rPr>
          <w:rFonts w:cstheme="minorHAnsi"/>
          <w:lang w:val="fr-FR"/>
        </w:rPr>
        <w:t>12.</w:t>
      </w:r>
      <w:r w:rsidRPr="00AE0ED9">
        <w:rPr>
          <w:rFonts w:cstheme="minorHAnsi"/>
          <w:lang w:val="fr-FR"/>
        </w:rPr>
        <w:tab/>
      </w:r>
      <w:r w:rsidR="00E607A4" w:rsidRPr="00AE0ED9">
        <w:rPr>
          <w:rFonts w:cstheme="minorHAnsi"/>
          <w:lang w:val="fr-FR"/>
        </w:rPr>
        <w:t xml:space="preserve">Le Secrétariat a préparé le modèle de </w:t>
      </w:r>
      <w:r w:rsidR="00F71B10" w:rsidRPr="00AE0ED9">
        <w:rPr>
          <w:rFonts w:cstheme="minorHAnsi"/>
          <w:lang w:val="fr-FR"/>
        </w:rPr>
        <w:t>r</w:t>
      </w:r>
      <w:r w:rsidR="00E607A4" w:rsidRPr="00AE0ED9">
        <w:rPr>
          <w:rFonts w:cstheme="minorHAnsi"/>
          <w:lang w:val="fr-FR"/>
        </w:rPr>
        <w:t xml:space="preserve">apport national pour la COP13 et l’a communiqué à toutes les Parties </w:t>
      </w:r>
      <w:r w:rsidR="00537548">
        <w:rPr>
          <w:rFonts w:cstheme="minorHAnsi"/>
          <w:lang w:val="fr-FR"/>
        </w:rPr>
        <w:t>par</w:t>
      </w:r>
      <w:r w:rsidR="00E607A4" w:rsidRPr="00AE0ED9">
        <w:rPr>
          <w:rFonts w:cstheme="minorHAnsi"/>
          <w:lang w:val="fr-FR"/>
        </w:rPr>
        <w:t xml:space="preserve"> un système en ligne </w:t>
      </w:r>
      <w:r w:rsidR="00537548">
        <w:rPr>
          <w:rFonts w:cstheme="minorHAnsi"/>
          <w:lang w:val="fr-FR"/>
        </w:rPr>
        <w:t>avec</w:t>
      </w:r>
      <w:r w:rsidR="00E607A4" w:rsidRPr="00AE0ED9">
        <w:rPr>
          <w:rFonts w:cstheme="minorHAnsi"/>
          <w:lang w:val="fr-FR"/>
        </w:rPr>
        <w:t xml:space="preserve"> une option hors ligne. Il a également fourni des orientations et une formation aux Parties contractantes et a analysé les </w:t>
      </w:r>
      <w:r w:rsidR="00537548">
        <w:rPr>
          <w:rFonts w:cstheme="minorHAnsi"/>
          <w:lang w:val="fr-FR"/>
        </w:rPr>
        <w:t>rapports pour dégager une</w:t>
      </w:r>
      <w:r w:rsidR="00E607A4" w:rsidRPr="00AE0ED9">
        <w:rPr>
          <w:rFonts w:cstheme="minorHAnsi"/>
          <w:lang w:val="fr-FR"/>
        </w:rPr>
        <w:t xml:space="preserve"> vue d’ensemble de l’application de la Convention qui figure dans le document </w:t>
      </w:r>
      <w:r w:rsidR="001522DA" w:rsidRPr="00AE0ED9">
        <w:rPr>
          <w:rFonts w:cstheme="minorHAnsi"/>
          <w:lang w:val="fr-FR"/>
        </w:rPr>
        <w:t>COP13 Doc.11.1</w:t>
      </w:r>
      <w:r w:rsidR="008A384C" w:rsidRPr="00AE0ED9">
        <w:rPr>
          <w:rFonts w:cstheme="minorHAnsi"/>
          <w:lang w:val="fr-FR"/>
        </w:rPr>
        <w:t>.</w:t>
      </w:r>
    </w:p>
    <w:p w14:paraId="25847CF1" w14:textId="77777777" w:rsidR="005E5AD4" w:rsidRPr="00AE0ED9" w:rsidRDefault="005E5AD4" w:rsidP="00C81B75">
      <w:pPr>
        <w:rPr>
          <w:rFonts w:cstheme="minorHAnsi"/>
          <w:lang w:val="fr-FR"/>
        </w:rPr>
      </w:pPr>
    </w:p>
    <w:p w14:paraId="66B9EC03" w14:textId="4DAF6B26" w:rsidR="008A35E8" w:rsidRPr="00AE0ED9" w:rsidRDefault="00C46385" w:rsidP="00C46385">
      <w:pPr>
        <w:rPr>
          <w:rFonts w:cstheme="minorHAnsi"/>
          <w:lang w:val="fr-FR"/>
        </w:rPr>
      </w:pPr>
      <w:r w:rsidRPr="00AE0ED9">
        <w:rPr>
          <w:rFonts w:cstheme="minorHAnsi"/>
          <w:lang w:val="fr-FR"/>
        </w:rPr>
        <w:t>13.</w:t>
      </w:r>
      <w:r w:rsidRPr="00AE0ED9">
        <w:rPr>
          <w:rFonts w:cstheme="minorHAnsi"/>
          <w:lang w:val="fr-FR"/>
        </w:rPr>
        <w:tab/>
      </w:r>
      <w:r w:rsidR="007E238E" w:rsidRPr="00AE0ED9">
        <w:rPr>
          <w:rFonts w:cstheme="minorHAnsi"/>
          <w:lang w:val="fr-FR"/>
        </w:rPr>
        <w:t xml:space="preserve">Le Secrétariat s’est efforcé d’améliorer ses résultats en renforçant les services offerts aux Parties contractantes en matière de prises de décisions et de </w:t>
      </w:r>
      <w:r w:rsidR="00A605D5">
        <w:rPr>
          <w:rFonts w:cstheme="minorHAnsi"/>
          <w:lang w:val="fr-FR"/>
        </w:rPr>
        <w:t>responsabilité</w:t>
      </w:r>
      <w:r w:rsidR="007E238E" w:rsidRPr="00AE0ED9">
        <w:rPr>
          <w:rFonts w:cstheme="minorHAnsi"/>
          <w:lang w:val="fr-FR"/>
        </w:rPr>
        <w:t>. D’autres capacités et expériences ont été développées et renforcées grâce au recrutement du Secrétaire général adjoint</w:t>
      </w:r>
      <w:r w:rsidR="00A605D5">
        <w:rPr>
          <w:rFonts w:cstheme="minorHAnsi"/>
          <w:lang w:val="fr-FR"/>
        </w:rPr>
        <w:t>,</w:t>
      </w:r>
      <w:r w:rsidR="00F4144F" w:rsidRPr="00AE0ED9">
        <w:rPr>
          <w:rFonts w:cstheme="minorHAnsi"/>
          <w:lang w:val="fr-FR"/>
        </w:rPr>
        <w:t xml:space="preserve"> </w:t>
      </w:r>
      <w:r w:rsidR="007E238E" w:rsidRPr="00AE0ED9">
        <w:rPr>
          <w:rFonts w:cstheme="minorHAnsi"/>
          <w:lang w:val="fr-FR"/>
        </w:rPr>
        <w:t>e</w:t>
      </w:r>
      <w:r w:rsidR="000D594F" w:rsidRPr="00AE0ED9">
        <w:rPr>
          <w:rFonts w:cstheme="minorHAnsi"/>
          <w:lang w:val="fr-FR"/>
        </w:rPr>
        <w:t>n 2017</w:t>
      </w:r>
      <w:r w:rsidR="00A605D5">
        <w:rPr>
          <w:rFonts w:cstheme="minorHAnsi"/>
          <w:lang w:val="fr-FR"/>
        </w:rPr>
        <w:t>,</w:t>
      </w:r>
      <w:r w:rsidR="007E238E" w:rsidRPr="00AE0ED9">
        <w:rPr>
          <w:rFonts w:cstheme="minorHAnsi"/>
          <w:lang w:val="fr-FR"/>
        </w:rPr>
        <w:t xml:space="preserve"> </w:t>
      </w:r>
      <w:r w:rsidR="00A605D5">
        <w:rPr>
          <w:rFonts w:cstheme="minorHAnsi"/>
          <w:lang w:val="fr-FR"/>
        </w:rPr>
        <w:t>pour</w:t>
      </w:r>
      <w:r w:rsidR="007E238E" w:rsidRPr="00AE0ED9">
        <w:rPr>
          <w:rFonts w:cstheme="minorHAnsi"/>
          <w:lang w:val="fr-FR"/>
        </w:rPr>
        <w:t xml:space="preserve"> soutenir les organes directeurs et subsidiaires et superviser l’application, et d’un assistant de conférence</w:t>
      </w:r>
      <w:r w:rsidR="00A605D5">
        <w:rPr>
          <w:rFonts w:cstheme="minorHAnsi"/>
          <w:lang w:val="fr-FR"/>
        </w:rPr>
        <w:t>,</w:t>
      </w:r>
      <w:r w:rsidR="007E238E" w:rsidRPr="00AE0ED9">
        <w:rPr>
          <w:rFonts w:cstheme="minorHAnsi"/>
          <w:lang w:val="fr-FR"/>
        </w:rPr>
        <w:t xml:space="preserve"> en</w:t>
      </w:r>
      <w:r w:rsidR="0082111B" w:rsidRPr="00AE0ED9">
        <w:rPr>
          <w:rFonts w:cstheme="minorHAnsi"/>
          <w:lang w:val="fr-FR"/>
        </w:rPr>
        <w:t xml:space="preserve"> 2018</w:t>
      </w:r>
      <w:r w:rsidR="00F4144F" w:rsidRPr="00AE0ED9">
        <w:rPr>
          <w:rFonts w:cstheme="minorHAnsi"/>
          <w:lang w:val="fr-FR"/>
        </w:rPr>
        <w:t xml:space="preserve">. </w:t>
      </w:r>
      <w:r w:rsidR="007E238E" w:rsidRPr="00AE0ED9">
        <w:rPr>
          <w:rFonts w:cstheme="minorHAnsi"/>
          <w:lang w:val="fr-FR"/>
        </w:rPr>
        <w:t>Le Secrétaire général adjoint a apporté des compétences et des capacités</w:t>
      </w:r>
      <w:r w:rsidR="00176BDF" w:rsidRPr="00AE0ED9">
        <w:rPr>
          <w:rFonts w:cstheme="minorHAnsi"/>
          <w:lang w:val="fr-FR"/>
        </w:rPr>
        <w:t xml:space="preserve"> </w:t>
      </w:r>
      <w:r w:rsidR="007E238E" w:rsidRPr="00AE0ED9">
        <w:rPr>
          <w:rFonts w:cstheme="minorHAnsi"/>
          <w:lang w:val="fr-FR"/>
        </w:rPr>
        <w:t>considérables</w:t>
      </w:r>
      <w:r w:rsidR="00176BDF" w:rsidRPr="00AE0ED9">
        <w:rPr>
          <w:rFonts w:cstheme="minorHAnsi"/>
          <w:lang w:val="fr-FR"/>
        </w:rPr>
        <w:t xml:space="preserve"> </w:t>
      </w:r>
      <w:r w:rsidR="007E238E" w:rsidRPr="00AE0ED9">
        <w:rPr>
          <w:rFonts w:cstheme="minorHAnsi"/>
          <w:lang w:val="fr-FR"/>
        </w:rPr>
        <w:t>en matière de gouvernance de la</w:t>
      </w:r>
      <w:r w:rsidR="00176BDF" w:rsidRPr="00AE0ED9">
        <w:rPr>
          <w:rFonts w:cstheme="minorHAnsi"/>
          <w:lang w:val="fr-FR"/>
        </w:rPr>
        <w:t xml:space="preserve"> Convention.</w:t>
      </w:r>
      <w:r w:rsidR="00BA6D48" w:rsidRPr="00AE0ED9">
        <w:rPr>
          <w:rFonts w:cstheme="minorHAnsi"/>
          <w:lang w:val="fr-FR"/>
        </w:rPr>
        <w:t xml:space="preserve"> </w:t>
      </w:r>
      <w:r w:rsidR="007E238E" w:rsidRPr="00AE0ED9">
        <w:rPr>
          <w:rFonts w:cs="Arial"/>
          <w:lang w:val="fr-FR"/>
        </w:rPr>
        <w:t>Des orientations détaillées ont été fournies au Secrétariat et des séances de planification ont été organisées avec l'ensemble du personnel</w:t>
      </w:r>
      <w:r w:rsidR="00A605D5">
        <w:rPr>
          <w:rFonts w:cs="Arial"/>
          <w:lang w:val="fr-FR"/>
        </w:rPr>
        <w:t>,</w:t>
      </w:r>
      <w:r w:rsidR="007E238E" w:rsidRPr="00AE0ED9">
        <w:rPr>
          <w:rFonts w:cs="Arial"/>
          <w:lang w:val="fr-FR"/>
        </w:rPr>
        <w:t xml:space="preserve"> avant les principales réunions des organes de gouvernance et subsidiaires</w:t>
      </w:r>
      <w:r w:rsidR="00A605D5">
        <w:rPr>
          <w:rFonts w:cs="Arial"/>
          <w:lang w:val="fr-FR"/>
        </w:rPr>
        <w:t>,</w:t>
      </w:r>
      <w:r w:rsidR="007E238E" w:rsidRPr="00AE0ED9">
        <w:rPr>
          <w:rFonts w:cs="Arial"/>
          <w:lang w:val="fr-FR"/>
        </w:rPr>
        <w:t xml:space="preserve"> afin de renforcer les capacités et la coordination. Toutefois, </w:t>
      </w:r>
      <w:r w:rsidR="007E238E" w:rsidRPr="00AE0ED9">
        <w:rPr>
          <w:rFonts w:cs="Arial"/>
          <w:lang w:val="fr-FR"/>
        </w:rPr>
        <w:lastRenderedPageBreak/>
        <w:t xml:space="preserve">l'efficacité de l’exécution de cette fonction essentielle </w:t>
      </w:r>
      <w:r w:rsidR="00537548">
        <w:rPr>
          <w:rFonts w:cs="Arial"/>
          <w:lang w:val="fr-FR"/>
        </w:rPr>
        <w:t>pâtit de</w:t>
      </w:r>
      <w:r w:rsidR="007E238E" w:rsidRPr="00AE0ED9">
        <w:rPr>
          <w:rFonts w:cs="Arial"/>
          <w:lang w:val="fr-FR"/>
        </w:rPr>
        <w:t xml:space="preserve"> divers </w:t>
      </w:r>
      <w:r w:rsidR="00537548">
        <w:rPr>
          <w:rFonts w:cs="Arial"/>
          <w:lang w:val="fr-FR"/>
        </w:rPr>
        <w:t>maux</w:t>
      </w:r>
      <w:r w:rsidR="007E238E" w:rsidRPr="00AE0ED9">
        <w:rPr>
          <w:rFonts w:cs="Arial"/>
          <w:lang w:val="fr-FR"/>
        </w:rPr>
        <w:t xml:space="preserve"> que le Secrétariat a portés à l'attention du</w:t>
      </w:r>
      <w:r w:rsidR="007E238E" w:rsidRPr="00AE0ED9">
        <w:rPr>
          <w:lang w:val="fr-FR"/>
        </w:rPr>
        <w:t xml:space="preserve"> </w:t>
      </w:r>
      <w:r w:rsidR="007E238E" w:rsidRPr="00AE0ED9">
        <w:rPr>
          <w:rFonts w:cs="Arial"/>
          <w:lang w:val="fr-FR"/>
        </w:rPr>
        <w:t>Groupe de travail sur la facilitation</w:t>
      </w:r>
      <w:r w:rsidR="00176BDF" w:rsidRPr="00AE0ED9">
        <w:rPr>
          <w:rFonts w:cstheme="minorHAnsi"/>
          <w:lang w:val="fr-FR"/>
        </w:rPr>
        <w:t xml:space="preserve"> </w:t>
      </w:r>
      <w:r w:rsidR="007E238E" w:rsidRPr="00AE0ED9">
        <w:rPr>
          <w:rFonts w:cstheme="minorHAnsi"/>
          <w:lang w:val="fr-FR"/>
        </w:rPr>
        <w:t>et du Comité permanent</w:t>
      </w:r>
      <w:r w:rsidR="00251660" w:rsidRPr="00AE0ED9">
        <w:rPr>
          <w:rFonts w:cstheme="minorHAnsi"/>
          <w:lang w:val="fr-FR"/>
        </w:rPr>
        <w:t xml:space="preserve"> </w:t>
      </w:r>
      <w:r w:rsidR="008A35E8" w:rsidRPr="00AE0ED9">
        <w:rPr>
          <w:rFonts w:cstheme="minorHAnsi"/>
          <w:lang w:val="fr-FR"/>
        </w:rPr>
        <w:t>:</w:t>
      </w:r>
    </w:p>
    <w:p w14:paraId="05A00D5B" w14:textId="77777777" w:rsidR="000C6AC6" w:rsidRPr="00AE0ED9" w:rsidRDefault="000C6AC6" w:rsidP="00C81B75">
      <w:pPr>
        <w:rPr>
          <w:rFonts w:cstheme="minorHAnsi"/>
          <w:lang w:val="fr-FR"/>
        </w:rPr>
      </w:pPr>
    </w:p>
    <w:p w14:paraId="7C43A06E" w14:textId="07F9212C" w:rsidR="007E238E" w:rsidRPr="00AE0ED9" w:rsidRDefault="007E238E" w:rsidP="008859DC">
      <w:pPr>
        <w:pStyle w:val="ListParagraph"/>
        <w:numPr>
          <w:ilvl w:val="0"/>
          <w:numId w:val="2"/>
        </w:numPr>
        <w:ind w:left="810"/>
        <w:rPr>
          <w:lang w:val="fr-FR"/>
        </w:rPr>
      </w:pPr>
      <w:r w:rsidRPr="00AE0ED9">
        <w:rPr>
          <w:lang w:val="fr-FR"/>
        </w:rPr>
        <w:t>Il y a une incohérence dans les délais de soumission des documents pour les réunions du Comité permanent; en effet</w:t>
      </w:r>
      <w:r w:rsidR="006A7E1E" w:rsidRPr="00AE0ED9">
        <w:rPr>
          <w:lang w:val="fr-FR"/>
        </w:rPr>
        <w:t>,</w:t>
      </w:r>
      <w:r w:rsidRPr="00AE0ED9">
        <w:rPr>
          <w:lang w:val="fr-FR"/>
        </w:rPr>
        <w:t xml:space="preserve"> la date limite </w:t>
      </w:r>
      <w:r w:rsidR="0064716C">
        <w:rPr>
          <w:lang w:val="fr-FR"/>
        </w:rPr>
        <w:t>de</w:t>
      </w:r>
      <w:r w:rsidRPr="00AE0ED9">
        <w:rPr>
          <w:lang w:val="fr-FR"/>
        </w:rPr>
        <w:t xml:space="preserve"> la présentation des projets de résolution</w:t>
      </w:r>
      <w:r w:rsidR="00AB4684">
        <w:rPr>
          <w:lang w:val="fr-FR"/>
        </w:rPr>
        <w:t>s</w:t>
      </w:r>
      <w:r w:rsidRPr="00AE0ED9">
        <w:rPr>
          <w:lang w:val="fr-FR"/>
        </w:rPr>
        <w:t xml:space="preserve"> est</w:t>
      </w:r>
      <w:r w:rsidR="0064716C">
        <w:rPr>
          <w:lang w:val="fr-FR"/>
        </w:rPr>
        <w:t xml:space="preserve"> fixée à</w:t>
      </w:r>
      <w:r w:rsidRPr="00AE0ED9">
        <w:rPr>
          <w:lang w:val="fr-FR"/>
        </w:rPr>
        <w:t xml:space="preserve"> un mois après le délai de publication des documents que le Comité devra examiner.</w:t>
      </w:r>
    </w:p>
    <w:p w14:paraId="20DFAD4B" w14:textId="77777777" w:rsidR="000C6AC6" w:rsidRPr="00AE0ED9" w:rsidRDefault="000C6AC6" w:rsidP="00DE0A31">
      <w:pPr>
        <w:rPr>
          <w:rFonts w:cstheme="minorHAnsi"/>
          <w:lang w:val="fr-FR"/>
        </w:rPr>
      </w:pPr>
    </w:p>
    <w:p w14:paraId="4007D436" w14:textId="790162BC" w:rsidR="00296B78" w:rsidRPr="00AE0ED9" w:rsidRDefault="008859DC" w:rsidP="00DE0A31">
      <w:pPr>
        <w:pStyle w:val="ListParagraph"/>
        <w:numPr>
          <w:ilvl w:val="0"/>
          <w:numId w:val="2"/>
        </w:numPr>
        <w:ind w:left="850" w:hanging="425"/>
        <w:rPr>
          <w:rFonts w:cstheme="minorHAnsi"/>
          <w:lang w:val="fr-FR"/>
        </w:rPr>
      </w:pPr>
      <w:r w:rsidRPr="00AE0ED9">
        <w:rPr>
          <w:lang w:val="fr-FR"/>
        </w:rPr>
        <w:t>Un nombre considérable de réunions ont été prévues pour 2018, à savoir la 21</w:t>
      </w:r>
      <w:r w:rsidRPr="00AE0ED9">
        <w:rPr>
          <w:vertAlign w:val="superscript"/>
          <w:lang w:val="fr-FR"/>
        </w:rPr>
        <w:t>e</w:t>
      </w:r>
      <w:r w:rsidRPr="00AE0ED9">
        <w:rPr>
          <w:lang w:val="fr-FR"/>
        </w:rPr>
        <w:t xml:space="preserve"> réunion du GEST, cinq réunions régionales précédant la COP en février et en mars, la 54</w:t>
      </w:r>
      <w:r w:rsidRPr="00AE0ED9">
        <w:rPr>
          <w:vertAlign w:val="superscript"/>
          <w:lang w:val="fr-FR"/>
        </w:rPr>
        <w:t>e</w:t>
      </w:r>
      <w:r w:rsidRPr="00AE0ED9">
        <w:rPr>
          <w:lang w:val="fr-FR"/>
        </w:rPr>
        <w:t xml:space="preserve"> </w:t>
      </w:r>
      <w:r w:rsidR="00351F00" w:rsidRPr="00AE0ED9">
        <w:rPr>
          <w:lang w:val="fr-FR"/>
        </w:rPr>
        <w:t>Réunion</w:t>
      </w:r>
      <w:r w:rsidRPr="00AE0ED9">
        <w:rPr>
          <w:lang w:val="fr-FR"/>
        </w:rPr>
        <w:t xml:space="preserve"> du </w:t>
      </w:r>
      <w:r w:rsidR="00D83C46" w:rsidRPr="00AE0ED9">
        <w:rPr>
          <w:lang w:val="fr-FR"/>
        </w:rPr>
        <w:t>Comité</w:t>
      </w:r>
      <w:r w:rsidRPr="00AE0ED9">
        <w:rPr>
          <w:lang w:val="fr-FR"/>
        </w:rPr>
        <w:t>́ permanent du 23 au 27 avril, la COP13 du 21 au 29 octobre</w:t>
      </w:r>
      <w:r w:rsidR="00B02D0F" w:rsidRPr="00AE0ED9">
        <w:rPr>
          <w:rFonts w:cstheme="minorHAnsi"/>
          <w:lang w:val="fr-FR"/>
        </w:rPr>
        <w:t xml:space="preserve">, </w:t>
      </w:r>
      <w:r w:rsidRPr="00AE0ED9">
        <w:rPr>
          <w:rFonts w:cstheme="minorHAnsi"/>
          <w:lang w:val="fr-FR"/>
        </w:rPr>
        <w:t>la 55</w:t>
      </w:r>
      <w:r w:rsidRPr="00AE0ED9">
        <w:rPr>
          <w:rFonts w:cstheme="minorHAnsi"/>
          <w:vertAlign w:val="superscript"/>
          <w:lang w:val="fr-FR"/>
        </w:rPr>
        <w:t>e</w:t>
      </w:r>
      <w:r w:rsidRPr="00AE0ED9">
        <w:rPr>
          <w:rFonts w:cstheme="minorHAnsi"/>
          <w:lang w:val="fr-FR"/>
        </w:rPr>
        <w:t xml:space="preserve"> Réunion du Comité permanent le</w:t>
      </w:r>
      <w:r w:rsidR="00E84D11" w:rsidRPr="00AE0ED9">
        <w:rPr>
          <w:rFonts w:cstheme="minorHAnsi"/>
          <w:lang w:val="fr-FR"/>
        </w:rPr>
        <w:t xml:space="preserve"> 21 </w:t>
      </w:r>
      <w:r w:rsidRPr="00AE0ED9">
        <w:rPr>
          <w:rFonts w:cstheme="minorHAnsi"/>
          <w:lang w:val="fr-FR"/>
        </w:rPr>
        <w:t>octobre</w:t>
      </w:r>
      <w:r w:rsidR="00B02D0F" w:rsidRPr="00AE0ED9">
        <w:rPr>
          <w:rFonts w:cstheme="minorHAnsi"/>
          <w:lang w:val="fr-FR"/>
        </w:rPr>
        <w:t xml:space="preserve"> </w:t>
      </w:r>
      <w:r w:rsidRPr="00AE0ED9">
        <w:rPr>
          <w:rFonts w:cstheme="minorHAnsi"/>
          <w:lang w:val="fr-FR"/>
        </w:rPr>
        <w:t>et la 56</w:t>
      </w:r>
      <w:r w:rsidRPr="00AE0ED9">
        <w:rPr>
          <w:rFonts w:cstheme="minorHAnsi"/>
          <w:vertAlign w:val="superscript"/>
          <w:lang w:val="fr-FR"/>
        </w:rPr>
        <w:t>e</w:t>
      </w:r>
      <w:r w:rsidRPr="00AE0ED9">
        <w:rPr>
          <w:rFonts w:cstheme="minorHAnsi"/>
          <w:lang w:val="fr-FR"/>
        </w:rPr>
        <w:t xml:space="preserve"> le</w:t>
      </w:r>
      <w:r w:rsidR="00B02D0F" w:rsidRPr="00AE0ED9">
        <w:rPr>
          <w:rFonts w:cstheme="minorHAnsi"/>
          <w:lang w:val="fr-FR"/>
        </w:rPr>
        <w:t xml:space="preserve"> </w:t>
      </w:r>
      <w:r w:rsidR="00E84D11" w:rsidRPr="00AE0ED9">
        <w:rPr>
          <w:rFonts w:cstheme="minorHAnsi"/>
          <w:lang w:val="fr-FR"/>
        </w:rPr>
        <w:t xml:space="preserve">29 </w:t>
      </w:r>
      <w:r w:rsidRPr="00AE0ED9">
        <w:rPr>
          <w:rFonts w:cstheme="minorHAnsi"/>
          <w:lang w:val="fr-FR"/>
        </w:rPr>
        <w:t>octobre</w:t>
      </w:r>
      <w:r w:rsidR="000D594F" w:rsidRPr="00AE0ED9">
        <w:rPr>
          <w:rFonts w:cstheme="minorHAnsi"/>
          <w:lang w:val="fr-FR"/>
        </w:rPr>
        <w:t>.</w:t>
      </w:r>
      <w:r w:rsidR="00B37D16" w:rsidRPr="00AE0ED9">
        <w:rPr>
          <w:rFonts w:cstheme="minorHAnsi"/>
          <w:lang w:val="fr-FR"/>
        </w:rPr>
        <w:t xml:space="preserve"> </w:t>
      </w:r>
      <w:r w:rsidRPr="00AE0ED9">
        <w:rPr>
          <w:lang w:val="fr-FR"/>
        </w:rPr>
        <w:t xml:space="preserve">C’est la conséquence du calendrier établi avec la date de la COP fixée en octobre et </w:t>
      </w:r>
      <w:r w:rsidR="00D83C46">
        <w:rPr>
          <w:lang w:val="fr-FR"/>
        </w:rPr>
        <w:t>le fait que l’on s’attende à</w:t>
      </w:r>
      <w:r w:rsidRPr="00AE0ED9">
        <w:rPr>
          <w:lang w:val="fr-FR"/>
        </w:rPr>
        <w:t xml:space="preserve"> examiner les projets de résolution</w:t>
      </w:r>
      <w:r w:rsidR="00D83C46">
        <w:rPr>
          <w:lang w:val="fr-FR"/>
        </w:rPr>
        <w:t>s</w:t>
      </w:r>
      <w:r w:rsidRPr="00AE0ED9">
        <w:rPr>
          <w:lang w:val="fr-FR"/>
        </w:rPr>
        <w:t xml:space="preserve"> lors de toutes ces réunions, </w:t>
      </w:r>
      <w:r w:rsidR="00D83C46">
        <w:rPr>
          <w:lang w:val="fr-FR"/>
        </w:rPr>
        <w:t>même si</w:t>
      </w:r>
      <w:r w:rsidRPr="00AE0ED9">
        <w:rPr>
          <w:lang w:val="fr-FR"/>
        </w:rPr>
        <w:t xml:space="preserve"> le Règlement intérieur ne </w:t>
      </w:r>
      <w:r w:rsidR="00D83C46">
        <w:rPr>
          <w:lang w:val="fr-FR"/>
        </w:rPr>
        <w:t xml:space="preserve">prévoit qu’un </w:t>
      </w:r>
      <w:r w:rsidRPr="00AE0ED9">
        <w:rPr>
          <w:lang w:val="fr-FR"/>
        </w:rPr>
        <w:t>examen par le Comité permanent</w:t>
      </w:r>
      <w:r w:rsidR="004E737E" w:rsidRPr="00AE0ED9">
        <w:rPr>
          <w:rFonts w:cstheme="minorHAnsi"/>
          <w:lang w:val="fr-FR"/>
        </w:rPr>
        <w:t>.</w:t>
      </w:r>
      <w:r w:rsidR="00B31A2B" w:rsidRPr="00AE0ED9">
        <w:rPr>
          <w:rFonts w:cstheme="minorHAnsi"/>
          <w:lang w:val="fr-FR"/>
        </w:rPr>
        <w:t xml:space="preserve"> </w:t>
      </w:r>
    </w:p>
    <w:p w14:paraId="0764FDC7" w14:textId="77777777" w:rsidR="000C6AC6" w:rsidRPr="00AE0ED9" w:rsidRDefault="000C6AC6" w:rsidP="00C81B75">
      <w:pPr>
        <w:rPr>
          <w:rFonts w:cstheme="minorHAnsi"/>
          <w:lang w:val="fr-FR"/>
        </w:rPr>
      </w:pPr>
    </w:p>
    <w:p w14:paraId="48686CD2" w14:textId="1093A189" w:rsidR="00B37D16" w:rsidRPr="00AE0ED9" w:rsidRDefault="00DE0A31" w:rsidP="00DE0A31">
      <w:pPr>
        <w:rPr>
          <w:rFonts w:cstheme="minorHAnsi"/>
          <w:lang w:val="fr-FR"/>
        </w:rPr>
      </w:pPr>
      <w:r w:rsidRPr="00AE0ED9">
        <w:rPr>
          <w:rFonts w:cstheme="minorHAnsi"/>
          <w:lang w:val="fr-FR"/>
        </w:rPr>
        <w:t>14.</w:t>
      </w:r>
      <w:r w:rsidRPr="00AE0ED9">
        <w:rPr>
          <w:rFonts w:cstheme="minorHAnsi"/>
          <w:lang w:val="fr-FR"/>
        </w:rPr>
        <w:tab/>
      </w:r>
      <w:r w:rsidR="008859DC" w:rsidRPr="00AE0ED9">
        <w:rPr>
          <w:lang w:val="fr-FR"/>
        </w:rPr>
        <w:t>Ces réunions alourdissent considérablement la charge de travail du Secrétariat en termes de préparation des documents et d'organisation des réunions, mais aussi en termes de recherche de fonds pour cinq réunions régionales pré-COP et pour la COP au cours de la même année</w:t>
      </w:r>
      <w:r w:rsidR="00093104" w:rsidRPr="00AE0ED9">
        <w:rPr>
          <w:rFonts w:cstheme="minorHAnsi"/>
          <w:lang w:val="fr-FR"/>
        </w:rPr>
        <w:t xml:space="preserve">. </w:t>
      </w:r>
      <w:r w:rsidR="008859DC" w:rsidRPr="00AE0ED9">
        <w:rPr>
          <w:lang w:val="fr-FR"/>
        </w:rPr>
        <w:t>Le Secrétariat a soulevé avec le GTF la nécessité d'examiner l'ordre chronologique des réunions et les calendriers de soumission des documen</w:t>
      </w:r>
      <w:r w:rsidR="006A7E1E" w:rsidRPr="00AE0ED9">
        <w:rPr>
          <w:lang w:val="fr-FR"/>
        </w:rPr>
        <w:t>ts et des projets de résolution</w:t>
      </w:r>
      <w:r w:rsidR="00D83C46">
        <w:rPr>
          <w:lang w:val="fr-FR"/>
        </w:rPr>
        <w:t>s</w:t>
      </w:r>
      <w:r w:rsidR="008859DC" w:rsidRPr="00AE0ED9">
        <w:rPr>
          <w:lang w:val="fr-FR"/>
        </w:rPr>
        <w:t xml:space="preserve"> pour permettre au Secrétariat de répondre efficacement aux attentes des Parties. D'autres options ont été proposées, à la demande du Groupe et en se fondant sur le fonctionnement d'autres conventions, à savoir :</w:t>
      </w:r>
      <w:r w:rsidR="00093104" w:rsidRPr="00AE0ED9">
        <w:rPr>
          <w:rFonts w:cstheme="minorHAnsi"/>
          <w:lang w:val="fr-FR"/>
        </w:rPr>
        <w:t xml:space="preserve"> </w:t>
      </w:r>
      <w:r w:rsidR="008859DC" w:rsidRPr="00AE0ED9">
        <w:rPr>
          <w:lang w:val="fr-FR"/>
        </w:rPr>
        <w:t xml:space="preserve">organiser des réunions plénières du Comité permanent uniquement les années où la Conférence des Parties ne se réunit pas; et organiser des réunions régionales immédiatement avant la COP </w:t>
      </w:r>
      <w:r w:rsidR="002061F9" w:rsidRPr="00AE0ED9">
        <w:rPr>
          <w:rFonts w:cstheme="minorHAnsi"/>
          <w:lang w:val="fr-FR"/>
        </w:rPr>
        <w:t>(</w:t>
      </w:r>
      <w:r w:rsidR="008859DC" w:rsidRPr="00AE0ED9">
        <w:rPr>
          <w:rFonts w:cstheme="minorHAnsi"/>
          <w:lang w:val="fr-FR"/>
        </w:rPr>
        <w:t>et sur les mêmes lieux</w:t>
      </w:r>
      <w:r w:rsidR="002061F9" w:rsidRPr="00AE0ED9">
        <w:rPr>
          <w:rFonts w:cstheme="minorHAnsi"/>
          <w:lang w:val="fr-FR"/>
        </w:rPr>
        <w:t>)</w:t>
      </w:r>
      <w:r w:rsidR="00093104" w:rsidRPr="00AE0ED9">
        <w:rPr>
          <w:rFonts w:cstheme="minorHAnsi"/>
          <w:lang w:val="fr-FR"/>
        </w:rPr>
        <w:t xml:space="preserve"> </w:t>
      </w:r>
      <w:r w:rsidR="00DC5578" w:rsidRPr="00AE0ED9">
        <w:rPr>
          <w:lang w:val="fr-FR"/>
        </w:rPr>
        <w:t xml:space="preserve">en laissant la possibilité de tenir d'autres réunions régionales, pour partager des expériences en matière d’application, </w:t>
      </w:r>
      <w:r w:rsidR="00A605D5">
        <w:rPr>
          <w:lang w:val="fr-FR"/>
        </w:rPr>
        <w:t xml:space="preserve">qui seraient </w:t>
      </w:r>
      <w:r w:rsidR="00DC5578" w:rsidRPr="00AE0ED9">
        <w:rPr>
          <w:lang w:val="fr-FR"/>
        </w:rPr>
        <w:t>organisées par des hôtes intéressés, notamment dans le contexte des Initiatives régionales Ramsar</w:t>
      </w:r>
      <w:r w:rsidR="00093104" w:rsidRPr="00AE0ED9">
        <w:rPr>
          <w:rFonts w:cstheme="minorHAnsi"/>
          <w:lang w:val="fr-FR"/>
        </w:rPr>
        <w:t xml:space="preserve">. </w:t>
      </w:r>
      <w:r w:rsidR="00DC5578" w:rsidRPr="00AE0ED9">
        <w:rPr>
          <w:lang w:val="fr-FR"/>
        </w:rPr>
        <w:t>Le Secrétariat se félicite des travaux des Parties contractantes</w:t>
      </w:r>
      <w:r w:rsidR="00A605D5" w:rsidRPr="00A605D5">
        <w:rPr>
          <w:lang w:val="fr-FR"/>
        </w:rPr>
        <w:t xml:space="preserve"> </w:t>
      </w:r>
      <w:r w:rsidR="00A605D5" w:rsidRPr="00AE0ED9">
        <w:rPr>
          <w:lang w:val="fr-FR"/>
        </w:rPr>
        <w:t>à cet égard</w:t>
      </w:r>
      <w:r w:rsidR="00A605D5">
        <w:rPr>
          <w:lang w:val="fr-FR"/>
        </w:rPr>
        <w:t>,</w:t>
      </w:r>
      <w:r w:rsidR="00DC5578" w:rsidRPr="00AE0ED9">
        <w:rPr>
          <w:lang w:val="fr-FR"/>
        </w:rPr>
        <w:t xml:space="preserve"> à la 54</w:t>
      </w:r>
      <w:r w:rsidR="00DC5578" w:rsidRPr="00AE0ED9">
        <w:rPr>
          <w:vertAlign w:val="superscript"/>
          <w:lang w:val="fr-FR"/>
        </w:rPr>
        <w:t>e</w:t>
      </w:r>
      <w:r w:rsidR="00DC5578" w:rsidRPr="00AE0ED9">
        <w:rPr>
          <w:lang w:val="fr-FR"/>
        </w:rPr>
        <w:t xml:space="preserve"> Réunion du Comité permanent et à la COP13</w:t>
      </w:r>
      <w:r w:rsidR="00A605D5">
        <w:rPr>
          <w:lang w:val="fr-FR"/>
        </w:rPr>
        <w:t>,</w:t>
      </w:r>
      <w:r w:rsidR="00DC5578" w:rsidRPr="00AE0ED9">
        <w:rPr>
          <w:lang w:val="fr-FR"/>
        </w:rPr>
        <w:t xml:space="preserve"> et attend avec intérêt leur </w:t>
      </w:r>
      <w:r w:rsidR="00D83C46">
        <w:rPr>
          <w:lang w:val="fr-FR"/>
        </w:rPr>
        <w:t>avis sur l</w:t>
      </w:r>
      <w:r w:rsidR="00DC5578" w:rsidRPr="00AE0ED9">
        <w:rPr>
          <w:lang w:val="fr-FR"/>
        </w:rPr>
        <w:t xml:space="preserve">es moyens de relever ces défis </w:t>
      </w:r>
      <w:r w:rsidR="00D83C46">
        <w:rPr>
          <w:lang w:val="fr-FR"/>
        </w:rPr>
        <w:t>pour</w:t>
      </w:r>
      <w:r w:rsidR="00DC5578" w:rsidRPr="00AE0ED9">
        <w:rPr>
          <w:lang w:val="fr-FR"/>
        </w:rPr>
        <w:t xml:space="preserve"> que la Convention fonctionne plus efficacement et que le Secrétariat puisse assumer cette fonction de manière performante.</w:t>
      </w:r>
    </w:p>
    <w:p w14:paraId="146F3565" w14:textId="77777777" w:rsidR="00F72E95" w:rsidRPr="00AE0ED9" w:rsidRDefault="00F72E95" w:rsidP="00C81B75">
      <w:pPr>
        <w:ind w:left="0" w:firstLine="0"/>
        <w:rPr>
          <w:rFonts w:cstheme="minorHAnsi"/>
          <w:b/>
          <w:bCs/>
          <w:lang w:val="fr-FR"/>
        </w:rPr>
      </w:pPr>
    </w:p>
    <w:p w14:paraId="0960282E" w14:textId="385C0717" w:rsidR="001D3E01" w:rsidRPr="00AE0ED9" w:rsidRDefault="002136FB" w:rsidP="00C81B75">
      <w:pPr>
        <w:ind w:left="0" w:firstLine="0"/>
        <w:rPr>
          <w:rFonts w:cstheme="minorHAnsi"/>
          <w:bCs/>
          <w:u w:val="single"/>
          <w:lang w:val="fr-FR"/>
        </w:rPr>
      </w:pPr>
      <w:r w:rsidRPr="00AE0ED9">
        <w:rPr>
          <w:rFonts w:cstheme="minorHAnsi"/>
          <w:bCs/>
          <w:u w:val="single"/>
          <w:lang w:val="fr-FR"/>
        </w:rPr>
        <w:t>Pertinence croissante des zones humides et de la Convention pour les objectifs de la politique mondiale de développement durable</w:t>
      </w:r>
    </w:p>
    <w:p w14:paraId="48F220F0" w14:textId="77777777" w:rsidR="001D3E01" w:rsidRPr="00AE0ED9" w:rsidRDefault="001D3E01" w:rsidP="00C81B75">
      <w:pPr>
        <w:rPr>
          <w:rFonts w:cstheme="minorHAnsi"/>
          <w:lang w:val="fr-FR"/>
        </w:rPr>
      </w:pPr>
    </w:p>
    <w:p w14:paraId="0BE661D2" w14:textId="068E4E8A" w:rsidR="00626FDB" w:rsidRPr="00AE0ED9" w:rsidRDefault="00DE0A31" w:rsidP="00DE0A31">
      <w:pPr>
        <w:rPr>
          <w:rFonts w:cstheme="minorHAnsi"/>
          <w:lang w:val="fr-FR"/>
        </w:rPr>
      </w:pPr>
      <w:r w:rsidRPr="00AE0ED9">
        <w:rPr>
          <w:rFonts w:cstheme="minorHAnsi"/>
          <w:lang w:val="fr-FR"/>
        </w:rPr>
        <w:t>15.</w:t>
      </w:r>
      <w:r w:rsidRPr="00AE0ED9">
        <w:rPr>
          <w:rFonts w:cstheme="minorHAnsi"/>
          <w:lang w:val="fr-FR"/>
        </w:rPr>
        <w:tab/>
      </w:r>
      <w:r w:rsidR="002136FB" w:rsidRPr="00AE0ED9">
        <w:rPr>
          <w:rFonts w:cstheme="minorHAnsi"/>
          <w:lang w:val="fr-FR"/>
        </w:rPr>
        <w:t>Le</w:t>
      </w:r>
      <w:r w:rsidR="0035595C" w:rsidRPr="00AE0ED9">
        <w:rPr>
          <w:rFonts w:cstheme="minorHAnsi"/>
          <w:lang w:val="fr-FR"/>
        </w:rPr>
        <w:t xml:space="preserve"> </w:t>
      </w:r>
      <w:r w:rsidR="00AF1376" w:rsidRPr="00AE0ED9">
        <w:rPr>
          <w:rFonts w:cstheme="minorHAnsi"/>
          <w:lang w:val="fr-FR"/>
        </w:rPr>
        <w:t>Secr</w:t>
      </w:r>
      <w:r w:rsidR="002136FB" w:rsidRPr="00AE0ED9">
        <w:rPr>
          <w:rFonts w:cstheme="minorHAnsi"/>
          <w:lang w:val="fr-FR"/>
        </w:rPr>
        <w:t>é</w:t>
      </w:r>
      <w:r w:rsidR="00AF1376" w:rsidRPr="00AE0ED9">
        <w:rPr>
          <w:rFonts w:cstheme="minorHAnsi"/>
          <w:lang w:val="fr-FR"/>
        </w:rPr>
        <w:t>tariat</w:t>
      </w:r>
      <w:r w:rsidR="00F72E95" w:rsidRPr="00AE0ED9">
        <w:rPr>
          <w:rFonts w:cstheme="minorHAnsi"/>
          <w:lang w:val="fr-FR"/>
        </w:rPr>
        <w:t xml:space="preserve"> </w:t>
      </w:r>
      <w:r w:rsidR="002136FB" w:rsidRPr="00AE0ED9">
        <w:rPr>
          <w:rFonts w:cstheme="minorHAnsi"/>
          <w:lang w:val="fr-FR"/>
        </w:rPr>
        <w:t xml:space="preserve">a </w:t>
      </w:r>
      <w:r w:rsidR="00D83C46">
        <w:rPr>
          <w:rFonts w:cstheme="minorHAnsi"/>
          <w:lang w:val="fr-FR"/>
        </w:rPr>
        <w:t>mis l’accent sur</w:t>
      </w:r>
      <w:r w:rsidR="002136FB" w:rsidRPr="00AE0ED9">
        <w:rPr>
          <w:rFonts w:cstheme="minorHAnsi"/>
          <w:lang w:val="fr-FR"/>
        </w:rPr>
        <w:t xml:space="preserve"> ses travaux</w:t>
      </w:r>
      <w:r w:rsidR="005011F1" w:rsidRPr="00AE0ED9">
        <w:rPr>
          <w:rFonts w:cstheme="minorHAnsi"/>
          <w:lang w:val="fr-FR"/>
        </w:rPr>
        <w:t xml:space="preserve"> </w:t>
      </w:r>
      <w:r w:rsidR="002136FB" w:rsidRPr="00AE0ED9">
        <w:rPr>
          <w:lang w:val="fr-FR"/>
        </w:rPr>
        <w:t>en appui à la coopération internationale et pour consolider la place des zones humides et de la Convention dans le programme politique mondial</w:t>
      </w:r>
      <w:r w:rsidR="005011F1" w:rsidRPr="00AE0ED9">
        <w:rPr>
          <w:rFonts w:cstheme="minorHAnsi"/>
          <w:lang w:val="fr-FR"/>
        </w:rPr>
        <w:t xml:space="preserve">. </w:t>
      </w:r>
      <w:r w:rsidR="002136FB" w:rsidRPr="00AE0ED9">
        <w:rPr>
          <w:lang w:val="fr-FR"/>
        </w:rPr>
        <w:t>Les capacités ont été renforcées avec le recrutement d’un Chef, Science</w:t>
      </w:r>
      <w:r w:rsidR="00D83C46">
        <w:rPr>
          <w:lang w:val="fr-FR"/>
        </w:rPr>
        <w:t>s</w:t>
      </w:r>
      <w:r w:rsidR="002136FB" w:rsidRPr="00AE0ED9">
        <w:rPr>
          <w:lang w:val="fr-FR"/>
        </w:rPr>
        <w:t xml:space="preserve"> et politique</w:t>
      </w:r>
      <w:r w:rsidR="003301FB">
        <w:rPr>
          <w:lang w:val="fr-FR"/>
        </w:rPr>
        <w:t>s</w:t>
      </w:r>
      <w:r w:rsidR="002136FB" w:rsidRPr="00AE0ED9">
        <w:rPr>
          <w:rFonts w:cstheme="minorHAnsi"/>
          <w:lang w:val="fr-FR"/>
        </w:rPr>
        <w:t xml:space="preserve"> </w:t>
      </w:r>
      <w:r w:rsidR="0082111B" w:rsidRPr="00AE0ED9">
        <w:rPr>
          <w:rFonts w:cstheme="minorHAnsi"/>
          <w:lang w:val="fr-FR"/>
        </w:rPr>
        <w:t>(</w:t>
      </w:r>
      <w:r w:rsidR="002136FB" w:rsidRPr="00AE0ED9">
        <w:rPr>
          <w:rFonts w:cstheme="minorHAnsi"/>
          <w:lang w:val="fr-FR"/>
        </w:rPr>
        <w:t>voir ci-dessous p</w:t>
      </w:r>
      <w:r w:rsidR="0082111B" w:rsidRPr="00AE0ED9">
        <w:rPr>
          <w:rFonts w:cstheme="minorHAnsi"/>
          <w:lang w:val="fr-FR"/>
        </w:rPr>
        <w:t>aragraph</w:t>
      </w:r>
      <w:r w:rsidR="002136FB" w:rsidRPr="00AE0ED9">
        <w:rPr>
          <w:rFonts w:cstheme="minorHAnsi"/>
          <w:lang w:val="fr-FR"/>
        </w:rPr>
        <w:t>e</w:t>
      </w:r>
      <w:r w:rsidR="0082111B" w:rsidRPr="00AE0ED9">
        <w:rPr>
          <w:rFonts w:cstheme="minorHAnsi"/>
          <w:lang w:val="fr-FR"/>
        </w:rPr>
        <w:t xml:space="preserve"> </w:t>
      </w:r>
      <w:r w:rsidR="00BC41E7">
        <w:rPr>
          <w:rFonts w:cstheme="minorHAnsi"/>
          <w:lang w:val="fr-FR"/>
        </w:rPr>
        <w:t>38</w:t>
      </w:r>
      <w:r w:rsidR="0082111B" w:rsidRPr="00AE0ED9">
        <w:rPr>
          <w:rFonts w:cstheme="minorHAnsi"/>
          <w:lang w:val="fr-FR"/>
        </w:rPr>
        <w:t>)</w:t>
      </w:r>
      <w:r w:rsidR="009B6670" w:rsidRPr="00AE0ED9">
        <w:rPr>
          <w:rFonts w:cstheme="minorHAnsi"/>
          <w:lang w:val="fr-FR"/>
        </w:rPr>
        <w:t xml:space="preserve"> </w:t>
      </w:r>
      <w:r w:rsidR="00BB124A" w:rsidRPr="00AE0ED9">
        <w:rPr>
          <w:rFonts w:cstheme="minorHAnsi"/>
          <w:lang w:val="fr-FR"/>
        </w:rPr>
        <w:t>et avec l’engagement des cadres du</w:t>
      </w:r>
      <w:r w:rsidR="0078142B" w:rsidRPr="00AE0ED9">
        <w:rPr>
          <w:rFonts w:cstheme="minorHAnsi"/>
          <w:lang w:val="fr-FR"/>
        </w:rPr>
        <w:t xml:space="preserve"> </w:t>
      </w:r>
      <w:r w:rsidR="00BB124A" w:rsidRPr="00AE0ED9">
        <w:rPr>
          <w:rFonts w:cstheme="minorHAnsi"/>
          <w:lang w:val="fr-FR"/>
        </w:rPr>
        <w:t>Secrétariat a</w:t>
      </w:r>
      <w:r w:rsidR="00A605D5">
        <w:rPr>
          <w:rFonts w:cstheme="minorHAnsi"/>
          <w:lang w:val="fr-FR"/>
        </w:rPr>
        <w:t>u</w:t>
      </w:r>
      <w:r w:rsidR="00BB124A" w:rsidRPr="00AE0ED9">
        <w:rPr>
          <w:rFonts w:cstheme="minorHAnsi"/>
          <w:lang w:val="fr-FR"/>
        </w:rPr>
        <w:t>près de processus politiques pertinents</w:t>
      </w:r>
      <w:r w:rsidR="009B6670" w:rsidRPr="00AE0ED9">
        <w:rPr>
          <w:rFonts w:cstheme="minorHAnsi"/>
          <w:lang w:val="fr-FR"/>
        </w:rPr>
        <w:t>.</w:t>
      </w:r>
      <w:r w:rsidR="0082111B" w:rsidRPr="00AE0ED9">
        <w:rPr>
          <w:rFonts w:cstheme="minorHAnsi"/>
          <w:lang w:val="fr-FR"/>
        </w:rPr>
        <w:t xml:space="preserve"> </w:t>
      </w:r>
      <w:r w:rsidR="00BB124A" w:rsidRPr="00AE0ED9">
        <w:rPr>
          <w:lang w:val="fr-FR"/>
        </w:rPr>
        <w:t>Le Programme pour le dév</w:t>
      </w:r>
      <w:r w:rsidR="00546F01" w:rsidRPr="00AE0ED9">
        <w:rPr>
          <w:lang w:val="fr-FR"/>
        </w:rPr>
        <w:t>eloppement durable à l’horizon </w:t>
      </w:r>
      <w:r w:rsidR="00BB124A" w:rsidRPr="00AE0ED9">
        <w:rPr>
          <w:lang w:val="fr-FR"/>
        </w:rPr>
        <w:t xml:space="preserve">2030 et l’Accord de Paris sur les changements climatiques inspirant les efforts de planification et de financement aux plans national et international, une attention particulière a été accordée à la contribution </w:t>
      </w:r>
      <w:r w:rsidR="002E46A0" w:rsidRPr="00AE0ED9">
        <w:rPr>
          <w:lang w:val="fr-FR"/>
        </w:rPr>
        <w:t xml:space="preserve">à ces cadres politiques </w:t>
      </w:r>
      <w:r w:rsidR="00BB124A" w:rsidRPr="00AE0ED9">
        <w:rPr>
          <w:lang w:val="fr-FR"/>
        </w:rPr>
        <w:t>des zones humides et des travaux des Parties contractantes dans le contexte de la Convention</w:t>
      </w:r>
      <w:r w:rsidR="004C1037" w:rsidRPr="00AE0ED9">
        <w:rPr>
          <w:rFonts w:cstheme="minorHAnsi"/>
          <w:lang w:val="fr-FR"/>
        </w:rPr>
        <w:t>.</w:t>
      </w:r>
      <w:r w:rsidR="005C682A" w:rsidRPr="00AE0ED9">
        <w:rPr>
          <w:rFonts w:cstheme="minorHAnsi"/>
          <w:lang w:val="fr-FR"/>
        </w:rPr>
        <w:t xml:space="preserve"> </w:t>
      </w:r>
      <w:r w:rsidR="00BB124A" w:rsidRPr="00AE0ED9">
        <w:rPr>
          <w:lang w:val="fr-FR"/>
        </w:rPr>
        <w:t xml:space="preserve">Le </w:t>
      </w:r>
      <w:r w:rsidR="00D4552B" w:rsidRPr="00AE0ED9">
        <w:rPr>
          <w:lang w:val="fr-FR"/>
        </w:rPr>
        <w:t>Secrétariat</w:t>
      </w:r>
      <w:r w:rsidR="00BB124A" w:rsidRPr="00AE0ED9">
        <w:rPr>
          <w:lang w:val="fr-FR"/>
        </w:rPr>
        <w:t xml:space="preserve"> a activement participé</w:t>
      </w:r>
      <w:r w:rsidR="00D4552B" w:rsidRPr="00AE0ED9">
        <w:rPr>
          <w:lang w:val="fr-FR"/>
        </w:rPr>
        <w:t xml:space="preserve"> aux débats sur la</w:t>
      </w:r>
      <w:r w:rsidR="00BB124A" w:rsidRPr="00AE0ED9">
        <w:rPr>
          <w:lang w:val="fr-FR"/>
        </w:rPr>
        <w:t xml:space="preserve"> réalisation des Objectifs de </w:t>
      </w:r>
      <w:r w:rsidR="00D4552B" w:rsidRPr="00AE0ED9">
        <w:rPr>
          <w:lang w:val="fr-FR"/>
        </w:rPr>
        <w:t>développement</w:t>
      </w:r>
      <w:r w:rsidR="00BB124A" w:rsidRPr="00AE0ED9">
        <w:rPr>
          <w:lang w:val="fr-FR"/>
        </w:rPr>
        <w:t xml:space="preserve"> durable (ODD), notamment l’indicateur 6.6.1, (relatif à </w:t>
      </w:r>
      <w:r w:rsidR="00831A5A">
        <w:rPr>
          <w:lang w:val="fr-FR"/>
        </w:rPr>
        <w:t>la v</w:t>
      </w:r>
      <w:r w:rsidR="00831A5A" w:rsidRPr="00831A5A">
        <w:rPr>
          <w:lang w:val="fr-FR"/>
        </w:rPr>
        <w:t>ariation de l’étendue des écosystèmes liés à l’eau dans le temps</w:t>
      </w:r>
      <w:r w:rsidR="00BB124A" w:rsidRPr="00AE0ED9">
        <w:rPr>
          <w:lang w:val="fr-FR"/>
        </w:rPr>
        <w:t xml:space="preserve">), comme demandé dans la Décision SC53-17. Il a participé </w:t>
      </w:r>
      <w:r w:rsidR="00D4552B" w:rsidRPr="00AE0ED9">
        <w:rPr>
          <w:lang w:val="fr-FR"/>
        </w:rPr>
        <w:t>aux</w:t>
      </w:r>
      <w:r w:rsidR="0035595C" w:rsidRPr="00AE0ED9">
        <w:rPr>
          <w:lang w:val="fr-FR"/>
        </w:rPr>
        <w:t xml:space="preserve"> </w:t>
      </w:r>
      <w:r w:rsidR="00BB124A" w:rsidRPr="00AE0ED9">
        <w:rPr>
          <w:lang w:val="fr-FR"/>
        </w:rPr>
        <w:t>6</w:t>
      </w:r>
      <w:r w:rsidR="00BB124A" w:rsidRPr="00AE0ED9">
        <w:rPr>
          <w:vertAlign w:val="superscript"/>
          <w:lang w:val="fr-FR"/>
        </w:rPr>
        <w:t>e</w:t>
      </w:r>
      <w:r w:rsidR="00BB124A" w:rsidRPr="00AE0ED9">
        <w:rPr>
          <w:lang w:val="fr-FR"/>
        </w:rPr>
        <w:t xml:space="preserve"> </w:t>
      </w:r>
      <w:r w:rsidR="00D4552B" w:rsidRPr="00AE0ED9">
        <w:rPr>
          <w:lang w:val="fr-FR"/>
        </w:rPr>
        <w:t>et 7</w:t>
      </w:r>
      <w:r w:rsidR="00D4552B" w:rsidRPr="00AE0ED9">
        <w:rPr>
          <w:vertAlign w:val="superscript"/>
          <w:lang w:val="fr-FR"/>
        </w:rPr>
        <w:t>e</w:t>
      </w:r>
      <w:r w:rsidR="00D4552B" w:rsidRPr="00AE0ED9">
        <w:rPr>
          <w:lang w:val="fr-FR"/>
        </w:rPr>
        <w:t xml:space="preserve"> </w:t>
      </w:r>
      <w:r w:rsidR="00BB124A" w:rsidRPr="00AE0ED9">
        <w:rPr>
          <w:lang w:val="fr-FR"/>
        </w:rPr>
        <w:t>réunion</w:t>
      </w:r>
      <w:r w:rsidR="00D4552B" w:rsidRPr="00AE0ED9">
        <w:rPr>
          <w:lang w:val="fr-FR"/>
        </w:rPr>
        <w:t>s</w:t>
      </w:r>
      <w:r w:rsidR="00BB124A" w:rsidRPr="00AE0ED9">
        <w:rPr>
          <w:lang w:val="fr-FR"/>
        </w:rPr>
        <w:t xml:space="preserve"> du Groupe </w:t>
      </w:r>
      <w:r w:rsidR="00D83C46">
        <w:rPr>
          <w:lang w:val="fr-FR"/>
        </w:rPr>
        <w:t>interinstitution</w:t>
      </w:r>
      <w:r w:rsidR="00831A5A">
        <w:rPr>
          <w:lang w:val="fr-FR"/>
        </w:rPr>
        <w:t>s</w:t>
      </w:r>
      <w:r w:rsidR="00BB124A" w:rsidRPr="00AE0ED9">
        <w:rPr>
          <w:lang w:val="fr-FR"/>
        </w:rPr>
        <w:t xml:space="preserve"> </w:t>
      </w:r>
      <w:r w:rsidR="00D4552B" w:rsidRPr="00AE0ED9">
        <w:rPr>
          <w:lang w:val="fr-FR"/>
        </w:rPr>
        <w:t xml:space="preserve">et d’experts </w:t>
      </w:r>
      <w:r w:rsidR="00BB124A" w:rsidRPr="00AE0ED9">
        <w:rPr>
          <w:lang w:val="fr-FR"/>
        </w:rPr>
        <w:t xml:space="preserve">sur les indicateurs </w:t>
      </w:r>
      <w:r w:rsidR="00D83C46">
        <w:rPr>
          <w:lang w:val="fr-FR"/>
        </w:rPr>
        <w:t>relatifs aux</w:t>
      </w:r>
      <w:r w:rsidR="00BB124A" w:rsidRPr="00AE0ED9">
        <w:rPr>
          <w:lang w:val="fr-FR"/>
        </w:rPr>
        <w:t xml:space="preserve"> Objectifs de </w:t>
      </w:r>
      <w:r w:rsidR="00D4552B" w:rsidRPr="00AE0ED9">
        <w:rPr>
          <w:lang w:val="fr-FR"/>
        </w:rPr>
        <w:t>développement</w:t>
      </w:r>
      <w:r w:rsidR="00BB124A" w:rsidRPr="00AE0ED9">
        <w:rPr>
          <w:lang w:val="fr-FR"/>
        </w:rPr>
        <w:t xml:space="preserve"> durable (IAE</w:t>
      </w:r>
      <w:r w:rsidR="002567BE" w:rsidRPr="00AE0ED9">
        <w:rPr>
          <w:lang w:val="fr-FR"/>
        </w:rPr>
        <w:t>G-ODD) à Manama, Bahreïn (11</w:t>
      </w:r>
      <w:r w:rsidR="002567BE" w:rsidRPr="00AE0ED9">
        <w:rPr>
          <w:lang w:val="fr-FR"/>
        </w:rPr>
        <w:noBreakHyphen/>
        <w:t>14 </w:t>
      </w:r>
      <w:r w:rsidR="00BB124A" w:rsidRPr="00AE0ED9">
        <w:rPr>
          <w:lang w:val="fr-FR"/>
        </w:rPr>
        <w:t>novembre 2017)</w:t>
      </w:r>
      <w:r w:rsidR="00D4552B" w:rsidRPr="00AE0ED9">
        <w:rPr>
          <w:lang w:val="fr-FR"/>
        </w:rPr>
        <w:t xml:space="preserve"> et à Vienne, Autriche (9-12 avril 2018)</w:t>
      </w:r>
      <w:r w:rsidR="00BB124A" w:rsidRPr="00AE0ED9">
        <w:rPr>
          <w:lang w:val="fr-FR"/>
        </w:rPr>
        <w:t xml:space="preserve"> et a maintenu son engagement dans les travaux de l'équipe </w:t>
      </w:r>
      <w:r w:rsidR="00831A5A">
        <w:rPr>
          <w:lang w:val="fr-FR"/>
        </w:rPr>
        <w:t>chargée de</w:t>
      </w:r>
      <w:r w:rsidR="00BB124A" w:rsidRPr="00AE0ED9">
        <w:rPr>
          <w:lang w:val="fr-FR"/>
        </w:rPr>
        <w:t xml:space="preserve"> l'indicateur 6.6.1, dirigée par </w:t>
      </w:r>
      <w:r w:rsidR="00D4552B" w:rsidRPr="00AE0ED9">
        <w:rPr>
          <w:lang w:val="fr-FR"/>
        </w:rPr>
        <w:t>le Programme des Nations</w:t>
      </w:r>
      <w:r w:rsidR="002567BE" w:rsidRPr="00AE0ED9">
        <w:rPr>
          <w:lang w:val="fr-FR"/>
        </w:rPr>
        <w:t> </w:t>
      </w:r>
      <w:r w:rsidR="00D4552B" w:rsidRPr="00AE0ED9">
        <w:rPr>
          <w:lang w:val="fr-FR"/>
        </w:rPr>
        <w:t>Unies pour l’e</w:t>
      </w:r>
      <w:r w:rsidR="00BB124A" w:rsidRPr="00AE0ED9">
        <w:rPr>
          <w:lang w:val="fr-FR"/>
        </w:rPr>
        <w:t>nvironnement</w:t>
      </w:r>
      <w:r w:rsidR="002567BE" w:rsidRPr="00AE0ED9">
        <w:rPr>
          <w:lang w:val="fr-FR"/>
        </w:rPr>
        <w:t xml:space="preserve"> </w:t>
      </w:r>
      <w:r w:rsidR="00D4552B" w:rsidRPr="00AE0ED9">
        <w:rPr>
          <w:lang w:val="fr-FR"/>
        </w:rPr>
        <w:t>(PNUE)</w:t>
      </w:r>
      <w:r w:rsidR="00BB124A" w:rsidRPr="00AE0ED9">
        <w:rPr>
          <w:lang w:val="fr-FR"/>
        </w:rPr>
        <w:t xml:space="preserve">. Le Secrétariat a également </w:t>
      </w:r>
      <w:r w:rsidR="00BB124A" w:rsidRPr="00AE0ED9">
        <w:rPr>
          <w:lang w:val="fr-FR"/>
        </w:rPr>
        <w:lastRenderedPageBreak/>
        <w:t>participé à l'atelier mondial pour le suivi intégré de l’ODD 6 sur l'eau et l'assainissement, organisé par le Comité consultatif technique</w:t>
      </w:r>
      <w:r w:rsidR="00831A5A">
        <w:rPr>
          <w:lang w:val="fr-FR"/>
        </w:rPr>
        <w:t xml:space="preserve"> de l’</w:t>
      </w:r>
      <w:r w:rsidR="00BB124A" w:rsidRPr="00AE0ED9">
        <w:rPr>
          <w:lang w:val="fr-FR"/>
        </w:rPr>
        <w:t>ONU-Eau et huit organismes des Nations Unies à La Haye (P</w:t>
      </w:r>
      <w:r w:rsidR="008F5246" w:rsidRPr="00AE0ED9">
        <w:rPr>
          <w:lang w:val="fr-FR"/>
        </w:rPr>
        <w:t>ays</w:t>
      </w:r>
      <w:r w:rsidR="008F5246" w:rsidRPr="00AE0ED9">
        <w:rPr>
          <w:lang w:val="fr-FR"/>
        </w:rPr>
        <w:noBreakHyphen/>
      </w:r>
      <w:r w:rsidR="00BB124A" w:rsidRPr="00AE0ED9">
        <w:rPr>
          <w:lang w:val="fr-FR"/>
        </w:rPr>
        <w:t>Bas) (21</w:t>
      </w:r>
      <w:r w:rsidR="008F5246" w:rsidRPr="00AE0ED9">
        <w:rPr>
          <w:lang w:val="fr-FR"/>
        </w:rPr>
        <w:noBreakHyphen/>
      </w:r>
      <w:r w:rsidR="00BB124A" w:rsidRPr="00AE0ED9">
        <w:rPr>
          <w:lang w:val="fr-FR"/>
        </w:rPr>
        <w:t>23 novembre 2017)</w:t>
      </w:r>
      <w:r w:rsidR="00831A5A">
        <w:rPr>
          <w:lang w:val="fr-FR"/>
        </w:rPr>
        <w:t xml:space="preserve"> pour</w:t>
      </w:r>
      <w:r w:rsidR="00BB124A" w:rsidRPr="00AE0ED9">
        <w:rPr>
          <w:lang w:val="fr-FR"/>
        </w:rPr>
        <w:t xml:space="preserve"> veiller à ce que le processus de suivi de la réalisation des ODD, en particulier en ce qui concerne les écosystèmes liés à l'eau, tienne compte de l'engagement des Parties contractantes de faire rapport sur l'étendue des zones humides. Il convient de noter que, </w:t>
      </w:r>
      <w:r w:rsidR="00831A5A">
        <w:rPr>
          <w:lang w:val="fr-FR"/>
        </w:rPr>
        <w:t>grâce à ces efforts</w:t>
      </w:r>
      <w:r w:rsidR="00BB124A" w:rsidRPr="00AE0ED9">
        <w:rPr>
          <w:lang w:val="fr-FR"/>
        </w:rPr>
        <w:t xml:space="preserve">, l'IAEG-ODD a décidé, </w:t>
      </w:r>
      <w:r w:rsidR="00D4552B" w:rsidRPr="00AE0ED9">
        <w:rPr>
          <w:lang w:val="fr-FR"/>
        </w:rPr>
        <w:t>en</w:t>
      </w:r>
      <w:r w:rsidR="00BB124A" w:rsidRPr="00AE0ED9">
        <w:rPr>
          <w:lang w:val="fr-FR"/>
        </w:rPr>
        <w:t xml:space="preserve"> novembre 2017, </w:t>
      </w:r>
      <w:r w:rsidR="00831A5A">
        <w:rPr>
          <w:lang w:val="fr-FR"/>
        </w:rPr>
        <w:t>de faire de</w:t>
      </w:r>
      <w:r w:rsidR="00BB124A" w:rsidRPr="00AE0ED9">
        <w:rPr>
          <w:lang w:val="fr-FR"/>
        </w:rPr>
        <w:t xml:space="preserve"> la Convention de Ramsar un coresponsable pour cet indicateur</w:t>
      </w:r>
      <w:r w:rsidR="007C2446" w:rsidRPr="00AE0ED9">
        <w:rPr>
          <w:rFonts w:cstheme="minorHAnsi"/>
          <w:lang w:val="fr-FR"/>
        </w:rPr>
        <w:t xml:space="preserve">, </w:t>
      </w:r>
      <w:r w:rsidR="00D4552B" w:rsidRPr="00AE0ED9">
        <w:rPr>
          <w:rFonts w:cstheme="minorHAnsi"/>
          <w:lang w:val="fr-FR"/>
        </w:rPr>
        <w:t>avec le PNUE</w:t>
      </w:r>
      <w:r w:rsidR="00496CF9" w:rsidRPr="00AE0ED9">
        <w:rPr>
          <w:rFonts w:cstheme="minorHAnsi"/>
          <w:lang w:val="fr-FR"/>
        </w:rPr>
        <w:t>.</w:t>
      </w:r>
      <w:r w:rsidR="00F4144F" w:rsidRPr="00AE0ED9">
        <w:rPr>
          <w:rFonts w:cstheme="minorHAnsi"/>
          <w:lang w:val="fr-FR"/>
        </w:rPr>
        <w:t xml:space="preserve"> </w:t>
      </w:r>
      <w:r w:rsidR="002E46A0">
        <w:rPr>
          <w:lang w:val="fr-FR"/>
        </w:rPr>
        <w:t>L</w:t>
      </w:r>
      <w:r w:rsidR="002E46A0" w:rsidRPr="00AE0ED9">
        <w:rPr>
          <w:lang w:val="fr-FR"/>
        </w:rPr>
        <w:t>'IAEG-ODD</w:t>
      </w:r>
      <w:r w:rsidR="008F5246" w:rsidRPr="00AE0ED9">
        <w:rPr>
          <w:rFonts w:cstheme="minorHAnsi"/>
          <w:lang w:val="fr-FR"/>
        </w:rPr>
        <w:t xml:space="preserve"> a en outre décidé d’approuver </w:t>
      </w:r>
      <w:r w:rsidR="00710DBB" w:rsidRPr="00AE0ED9">
        <w:rPr>
          <w:rFonts w:cstheme="minorHAnsi"/>
          <w:lang w:val="fr-FR"/>
        </w:rPr>
        <w:t xml:space="preserve">deux </w:t>
      </w:r>
      <w:r w:rsidR="00831A5A">
        <w:rPr>
          <w:rFonts w:cstheme="minorHAnsi"/>
          <w:lang w:val="fr-FR"/>
        </w:rPr>
        <w:t>rattachements hiérarchiques</w:t>
      </w:r>
      <w:r w:rsidR="00FA3A51" w:rsidRPr="00AE0ED9">
        <w:rPr>
          <w:rFonts w:cstheme="minorHAnsi"/>
          <w:lang w:val="fr-FR"/>
        </w:rPr>
        <w:t xml:space="preserve"> à la B</w:t>
      </w:r>
      <w:r w:rsidR="00710DBB" w:rsidRPr="00AE0ED9">
        <w:rPr>
          <w:rFonts w:cstheme="minorHAnsi"/>
          <w:lang w:val="fr-FR"/>
        </w:rPr>
        <w:t>ase de données mondiale des ODD tenue par la Division de la statistique de l’ONU. La Convention de Ramsar sur les zones humides ap</w:t>
      </w:r>
      <w:r w:rsidR="00AC42A8" w:rsidRPr="00AE0ED9">
        <w:rPr>
          <w:rFonts w:cstheme="minorHAnsi"/>
          <w:lang w:val="fr-FR"/>
        </w:rPr>
        <w:t>portera des données issues des r</w:t>
      </w:r>
      <w:r w:rsidR="00710DBB" w:rsidRPr="00AE0ED9">
        <w:rPr>
          <w:rFonts w:cstheme="minorHAnsi"/>
          <w:lang w:val="fr-FR"/>
        </w:rPr>
        <w:t>apports nationaux, fondées sur les définitions et les besoins de Ramsar; le PNUE sera responsable de la méthodologie comparable au plan international avec les données nationales, les agrégations régionales et mondiales pour l’indicateur 6.6.1.</w:t>
      </w:r>
      <w:r w:rsidR="0035595C" w:rsidRPr="00AE0ED9">
        <w:rPr>
          <w:rFonts w:cstheme="minorHAnsi"/>
          <w:lang w:val="fr-FR"/>
        </w:rPr>
        <w:t xml:space="preserve"> </w:t>
      </w:r>
      <w:r w:rsidR="00710DBB" w:rsidRPr="00AE0ED9">
        <w:rPr>
          <w:rFonts w:cstheme="minorHAnsi"/>
          <w:lang w:val="fr-FR"/>
        </w:rPr>
        <w:t>En juillet </w:t>
      </w:r>
      <w:r w:rsidR="00C01089" w:rsidRPr="00AE0ED9">
        <w:rPr>
          <w:rFonts w:cstheme="minorHAnsi"/>
          <w:lang w:val="fr-FR"/>
        </w:rPr>
        <w:t xml:space="preserve">2018, </w:t>
      </w:r>
      <w:r w:rsidR="00710DBB" w:rsidRPr="00AE0ED9">
        <w:rPr>
          <w:rFonts w:cstheme="minorHAnsi"/>
          <w:lang w:val="fr-FR"/>
        </w:rPr>
        <w:t>le Secrétariat a participé</w:t>
      </w:r>
      <w:r w:rsidR="00C671C1" w:rsidRPr="00AE0ED9">
        <w:rPr>
          <w:rFonts w:cstheme="minorHAnsi"/>
          <w:lang w:val="fr-FR"/>
        </w:rPr>
        <w:t>, à New York,</w:t>
      </w:r>
      <w:r w:rsidR="00C671C1">
        <w:rPr>
          <w:rFonts w:cstheme="minorHAnsi"/>
          <w:lang w:val="fr-FR"/>
        </w:rPr>
        <w:t xml:space="preserve"> </w:t>
      </w:r>
      <w:r w:rsidR="00710DBB" w:rsidRPr="00AE0ED9">
        <w:rPr>
          <w:rFonts w:cstheme="minorHAnsi"/>
          <w:lang w:val="fr-FR"/>
        </w:rPr>
        <w:t>au Forum politique de haut</w:t>
      </w:r>
      <w:r w:rsidR="0035595C" w:rsidRPr="00AE0ED9">
        <w:rPr>
          <w:rFonts w:cstheme="minorHAnsi"/>
          <w:lang w:val="fr-FR"/>
        </w:rPr>
        <w:t xml:space="preserve"> </w:t>
      </w:r>
      <w:r w:rsidR="00710DBB" w:rsidRPr="00AE0ED9">
        <w:rPr>
          <w:rFonts w:cstheme="minorHAnsi"/>
          <w:lang w:val="fr-FR"/>
        </w:rPr>
        <w:t xml:space="preserve">niveau qui a examiné l’application de l’ODD 6 et de l’ODD 15. </w:t>
      </w:r>
    </w:p>
    <w:p w14:paraId="734A5541" w14:textId="0FF54C05" w:rsidR="008A384C" w:rsidRPr="00AE0ED9" w:rsidRDefault="008A384C" w:rsidP="00C81B75">
      <w:pPr>
        <w:rPr>
          <w:rFonts w:cstheme="minorHAnsi"/>
          <w:lang w:val="fr-FR"/>
        </w:rPr>
      </w:pPr>
    </w:p>
    <w:p w14:paraId="54987E90" w14:textId="1DEA7C24" w:rsidR="001D3733" w:rsidRPr="00AE0ED9" w:rsidRDefault="00DE0A31" w:rsidP="00DE0A31">
      <w:pPr>
        <w:rPr>
          <w:rFonts w:cstheme="minorHAnsi"/>
          <w:lang w:val="fr-FR"/>
        </w:rPr>
      </w:pPr>
      <w:r w:rsidRPr="00AE0ED9">
        <w:rPr>
          <w:rFonts w:cstheme="minorHAnsi"/>
          <w:lang w:val="fr-FR"/>
        </w:rPr>
        <w:t>16.</w:t>
      </w:r>
      <w:r w:rsidRPr="00AE0ED9">
        <w:rPr>
          <w:rFonts w:cstheme="minorHAnsi"/>
          <w:lang w:val="fr-FR"/>
        </w:rPr>
        <w:tab/>
      </w:r>
      <w:r w:rsidR="00055982" w:rsidRPr="00AE0ED9">
        <w:rPr>
          <w:rFonts w:cstheme="minorHAnsi"/>
          <w:lang w:val="fr-FR"/>
        </w:rPr>
        <w:t xml:space="preserve">Le Secrétariat s'est également employé activement à soutenir la réalisation de l'ODD 14 (« Conserver et exploiter de manière durable les océans, les mers et les ressources marines aux fins du développement durable »). Le Secrétariat a participé à la première </w:t>
      </w:r>
      <w:r w:rsidR="0007564A" w:rsidRPr="00AE0ED9">
        <w:rPr>
          <w:rFonts w:cstheme="minorHAnsi"/>
          <w:lang w:val="fr-FR"/>
        </w:rPr>
        <w:t>Conférence des Nations </w:t>
      </w:r>
      <w:r w:rsidR="00055982" w:rsidRPr="00AE0ED9">
        <w:rPr>
          <w:rFonts w:cstheme="minorHAnsi"/>
          <w:lang w:val="fr-FR"/>
        </w:rPr>
        <w:t xml:space="preserve">Unies sur l'océan (New York, 5-9 juin 2017), au cours de laquelle la Secrétaire générale a </w:t>
      </w:r>
      <w:r w:rsidR="00C671C1">
        <w:rPr>
          <w:rFonts w:cstheme="minorHAnsi"/>
          <w:lang w:val="fr-FR"/>
        </w:rPr>
        <w:t>animé</w:t>
      </w:r>
      <w:r w:rsidR="00055982" w:rsidRPr="00AE0ED9">
        <w:rPr>
          <w:rFonts w:cstheme="minorHAnsi"/>
          <w:lang w:val="fr-FR"/>
        </w:rPr>
        <w:t xml:space="preserve"> le Dialogue de partenariat sur les écosystèmes côtiers et marins, a participé à deux événements parallèles</w:t>
      </w:r>
      <w:r w:rsidR="002E46A0">
        <w:rPr>
          <w:rFonts w:cstheme="minorHAnsi"/>
          <w:lang w:val="fr-FR"/>
        </w:rPr>
        <w:t xml:space="preserve"> et </w:t>
      </w:r>
      <w:r w:rsidR="00055982" w:rsidRPr="00AE0ED9">
        <w:rPr>
          <w:rFonts w:cstheme="minorHAnsi"/>
          <w:lang w:val="fr-FR"/>
        </w:rPr>
        <w:t xml:space="preserve">à une conférence de presse sur le Dialogue de partenariat, et a fait une déclaration à la plénière de la Conférence sur l'océan dans la salle de l'Assemblée générale des Nations Unies, soulignant le rôle important de la Convention dans la réalisation </w:t>
      </w:r>
      <w:r w:rsidR="00C671C1">
        <w:rPr>
          <w:rFonts w:cstheme="minorHAnsi"/>
          <w:lang w:val="fr-FR"/>
        </w:rPr>
        <w:t>de l’ODD</w:t>
      </w:r>
      <w:r w:rsidR="00055982" w:rsidRPr="00AE0ED9">
        <w:rPr>
          <w:rFonts w:cstheme="minorHAnsi"/>
          <w:lang w:val="fr-FR"/>
        </w:rPr>
        <w:t xml:space="preserve"> 14. En guise de suivi, la Secrétaire générale a été invitée à</w:t>
      </w:r>
      <w:r w:rsidR="00D944C6" w:rsidRPr="00AE0ED9">
        <w:rPr>
          <w:rFonts w:cstheme="minorHAnsi"/>
          <w:lang w:val="fr-FR"/>
        </w:rPr>
        <w:t xml:space="preserve"> être l’un des deux</w:t>
      </w:r>
      <w:r w:rsidR="00055982" w:rsidRPr="00AE0ED9">
        <w:rPr>
          <w:rFonts w:cstheme="minorHAnsi"/>
          <w:lang w:val="fr-FR"/>
        </w:rPr>
        <w:t xml:space="preserve"> point</w:t>
      </w:r>
      <w:r w:rsidR="00D944C6" w:rsidRPr="00AE0ED9">
        <w:rPr>
          <w:rFonts w:cstheme="minorHAnsi"/>
          <w:lang w:val="fr-FR"/>
        </w:rPr>
        <w:t>s</w:t>
      </w:r>
      <w:r w:rsidR="00055982" w:rsidRPr="00AE0ED9">
        <w:rPr>
          <w:rFonts w:cstheme="minorHAnsi"/>
          <w:lang w:val="fr-FR"/>
        </w:rPr>
        <w:t xml:space="preserve"> foca</w:t>
      </w:r>
      <w:r w:rsidR="00D944C6" w:rsidRPr="00AE0ED9">
        <w:rPr>
          <w:rFonts w:cstheme="minorHAnsi"/>
          <w:lang w:val="fr-FR"/>
        </w:rPr>
        <w:t>ux</w:t>
      </w:r>
      <w:r w:rsidR="00055982" w:rsidRPr="00AE0ED9">
        <w:rPr>
          <w:rFonts w:cstheme="minorHAnsi"/>
          <w:lang w:val="fr-FR"/>
        </w:rPr>
        <w:t xml:space="preserve"> pour la « Communauté d'action océanique sur les mangroves », qui est l'une des neuf communautés établies par l'Envoyé spécial du Secrétaire gén</w:t>
      </w:r>
      <w:r w:rsidR="0007564A" w:rsidRPr="00AE0ED9">
        <w:rPr>
          <w:rFonts w:cstheme="minorHAnsi"/>
          <w:lang w:val="fr-FR"/>
        </w:rPr>
        <w:t>éral des Nations </w:t>
      </w:r>
      <w:r w:rsidR="00055982" w:rsidRPr="00AE0ED9">
        <w:rPr>
          <w:rFonts w:cstheme="minorHAnsi"/>
          <w:lang w:val="fr-FR"/>
        </w:rPr>
        <w:t xml:space="preserve">Unies pour les océans, l'Ambassadeur </w:t>
      </w:r>
      <w:r w:rsidR="00D944C6" w:rsidRPr="00AE0ED9">
        <w:rPr>
          <w:rFonts w:cstheme="minorHAnsi"/>
          <w:lang w:val="fr-FR"/>
        </w:rPr>
        <w:t xml:space="preserve">Peter </w:t>
      </w:r>
      <w:r w:rsidR="00055982" w:rsidRPr="00AE0ED9">
        <w:rPr>
          <w:rFonts w:cstheme="minorHAnsi"/>
          <w:lang w:val="fr-FR"/>
        </w:rPr>
        <w:t xml:space="preserve">Thomson. La Communauté </w:t>
      </w:r>
      <w:r w:rsidR="00C671C1">
        <w:rPr>
          <w:rFonts w:cstheme="minorHAnsi"/>
          <w:lang w:val="fr-FR"/>
        </w:rPr>
        <w:t>rappellera</w:t>
      </w:r>
      <w:r w:rsidR="00055982" w:rsidRPr="00AE0ED9">
        <w:rPr>
          <w:rFonts w:cstheme="minorHAnsi"/>
          <w:lang w:val="fr-FR"/>
        </w:rPr>
        <w:t xml:space="preserve"> et </w:t>
      </w:r>
      <w:r w:rsidR="00C671C1">
        <w:rPr>
          <w:rFonts w:cstheme="minorHAnsi"/>
          <w:lang w:val="fr-FR"/>
        </w:rPr>
        <w:t xml:space="preserve">élargira </w:t>
      </w:r>
      <w:r w:rsidR="0013179F" w:rsidRPr="00AE0ED9">
        <w:rPr>
          <w:rFonts w:cstheme="minorHAnsi"/>
          <w:lang w:val="fr-FR"/>
        </w:rPr>
        <w:t>la mise en œuvre de plus de 1</w:t>
      </w:r>
      <w:r w:rsidR="00055982" w:rsidRPr="00AE0ED9">
        <w:rPr>
          <w:rFonts w:cstheme="minorHAnsi"/>
          <w:lang w:val="fr-FR"/>
        </w:rPr>
        <w:t>300 engagements pris à la Conférence sur les océans, notamment dans le cadre de la Convention de Ramsar sur les zones humides</w:t>
      </w:r>
      <w:r w:rsidR="207F27EF" w:rsidRPr="00AE0ED9">
        <w:rPr>
          <w:rFonts w:cstheme="minorHAnsi"/>
          <w:lang w:val="fr-FR"/>
        </w:rPr>
        <w:t>.</w:t>
      </w:r>
    </w:p>
    <w:p w14:paraId="793C4F92" w14:textId="77777777" w:rsidR="001D3733" w:rsidRPr="00AE0ED9" w:rsidRDefault="001D3733" w:rsidP="00C81B75">
      <w:pPr>
        <w:rPr>
          <w:rFonts w:cstheme="minorHAnsi"/>
          <w:lang w:val="fr-FR"/>
        </w:rPr>
      </w:pPr>
    </w:p>
    <w:p w14:paraId="19C59E82" w14:textId="7E0B0E75" w:rsidR="00E4717E" w:rsidRPr="00AE0ED9" w:rsidRDefault="00E25439" w:rsidP="00E25439">
      <w:pPr>
        <w:rPr>
          <w:rFonts w:cstheme="minorHAnsi"/>
          <w:lang w:val="fr-FR"/>
        </w:rPr>
      </w:pPr>
      <w:r w:rsidRPr="00AE0ED9">
        <w:rPr>
          <w:rFonts w:cstheme="minorHAnsi"/>
          <w:lang w:val="fr-FR"/>
        </w:rPr>
        <w:t>17.</w:t>
      </w:r>
      <w:r w:rsidRPr="00AE0ED9">
        <w:rPr>
          <w:rFonts w:cstheme="minorHAnsi"/>
          <w:lang w:val="fr-FR"/>
        </w:rPr>
        <w:tab/>
      </w:r>
      <w:r w:rsidR="00D944C6" w:rsidRPr="00AE0ED9">
        <w:rPr>
          <w:rFonts w:cs="Arial"/>
          <w:lang w:val="fr-FR"/>
        </w:rPr>
        <w:t>Le Secrétariat a également soutenu activement l'ODD 15 (</w:t>
      </w:r>
      <w:r w:rsidR="00F9514E">
        <w:rPr>
          <w:rFonts w:cs="Arial"/>
          <w:lang w:val="fr-FR"/>
        </w:rPr>
        <w:t>« </w:t>
      </w:r>
      <w:r w:rsidR="004B56EB" w:rsidRPr="004B56EB">
        <w:rPr>
          <w:rFonts w:cs="Arial"/>
          <w:lang w:val="fr-FR"/>
        </w:rPr>
        <w:t>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r w:rsidR="00F9514E">
        <w:rPr>
          <w:rFonts w:cs="Arial"/>
          <w:lang w:val="fr-FR"/>
        </w:rPr>
        <w:t> »</w:t>
      </w:r>
      <w:r w:rsidR="00D944C6" w:rsidRPr="00AE0ED9">
        <w:rPr>
          <w:rFonts w:cs="Arial"/>
          <w:lang w:val="fr-FR"/>
        </w:rPr>
        <w:t>) et le programme pour la biodiversité</w:t>
      </w:r>
      <w:r w:rsidR="0013179F" w:rsidRPr="00AE0ED9">
        <w:rPr>
          <w:rFonts w:cstheme="minorHAnsi"/>
          <w:lang w:val="fr-FR"/>
        </w:rPr>
        <w:t xml:space="preserve">. Le Secrétariat a considérablement renforcé son engagement auprès de la CDB. En 2016, le Secrétariat a participé et collaboré avec les Parties contractantes à un atelier sur la coopération entre les </w:t>
      </w:r>
      <w:r w:rsidR="004B56EB">
        <w:rPr>
          <w:rFonts w:cstheme="minorHAnsi"/>
          <w:lang w:val="fr-FR"/>
        </w:rPr>
        <w:t>C</w:t>
      </w:r>
      <w:r w:rsidR="0013179F" w:rsidRPr="00AE0ED9">
        <w:rPr>
          <w:rFonts w:cstheme="minorHAnsi"/>
          <w:lang w:val="fr-FR"/>
        </w:rPr>
        <w:t>onventions</w:t>
      </w:r>
      <w:r w:rsidR="004B56EB">
        <w:rPr>
          <w:rFonts w:cstheme="minorHAnsi"/>
          <w:lang w:val="fr-FR"/>
        </w:rPr>
        <w:t>,</w:t>
      </w:r>
      <w:r w:rsidR="0013179F" w:rsidRPr="00AE0ED9">
        <w:rPr>
          <w:rFonts w:cstheme="minorHAnsi"/>
          <w:lang w:val="fr-FR"/>
        </w:rPr>
        <w:t xml:space="preserve"> dirigé par la CDB. </w:t>
      </w:r>
      <w:r w:rsidR="00D944C6" w:rsidRPr="00AE0ED9">
        <w:rPr>
          <w:rFonts w:cstheme="minorHAnsi"/>
          <w:lang w:val="fr-FR"/>
        </w:rPr>
        <w:t>Le</w:t>
      </w:r>
      <w:r w:rsidR="00A47DFB" w:rsidRPr="00AE0ED9">
        <w:rPr>
          <w:rFonts w:cstheme="minorHAnsi"/>
          <w:lang w:val="fr-FR"/>
        </w:rPr>
        <w:t xml:space="preserve"> </w:t>
      </w:r>
      <w:r w:rsidR="0013179F" w:rsidRPr="00AE0ED9">
        <w:rPr>
          <w:rFonts w:cstheme="minorHAnsi"/>
          <w:lang w:val="fr-FR"/>
        </w:rPr>
        <w:t>Secrétariat</w:t>
      </w:r>
      <w:r w:rsidR="00A47DFB" w:rsidRPr="00AE0ED9">
        <w:rPr>
          <w:rFonts w:cstheme="minorHAnsi"/>
          <w:lang w:val="fr-FR"/>
        </w:rPr>
        <w:t xml:space="preserve"> </w:t>
      </w:r>
      <w:r w:rsidR="00D944C6" w:rsidRPr="00AE0ED9">
        <w:rPr>
          <w:rFonts w:cstheme="minorHAnsi"/>
          <w:lang w:val="fr-FR"/>
        </w:rPr>
        <w:t>Ramsar a défini</w:t>
      </w:r>
      <w:r w:rsidR="207F27EF" w:rsidRPr="00AE0ED9">
        <w:rPr>
          <w:rFonts w:cstheme="minorHAnsi"/>
          <w:lang w:val="fr-FR"/>
        </w:rPr>
        <w:t xml:space="preserve"> </w:t>
      </w:r>
      <w:r w:rsidR="00D944C6" w:rsidRPr="00AE0ED9">
        <w:rPr>
          <w:rFonts w:cs="Arial"/>
          <w:lang w:val="fr-FR"/>
        </w:rPr>
        <w:t>des domaines stratégiques de travail conjoint et apporté des contributions à différents processus, tels que le suivi du Plan stratégique pour la diversité biologique 2011-2020.</w:t>
      </w:r>
      <w:r w:rsidR="00077D72" w:rsidRPr="00AE0ED9">
        <w:rPr>
          <w:rFonts w:cstheme="minorHAnsi"/>
          <w:lang w:val="fr-FR"/>
        </w:rPr>
        <w:t xml:space="preserve"> </w:t>
      </w:r>
      <w:r w:rsidR="0013179F" w:rsidRPr="00AE0ED9">
        <w:rPr>
          <w:rFonts w:cstheme="minorHAnsi"/>
          <w:lang w:val="fr-FR"/>
        </w:rPr>
        <w:t xml:space="preserve">Le Secrétariat a participé activement à la COP13 de la CDB à Cancún </w:t>
      </w:r>
      <w:r w:rsidR="00C0307B" w:rsidRPr="00AE0ED9">
        <w:rPr>
          <w:rFonts w:cstheme="minorHAnsi"/>
          <w:lang w:val="fr-FR"/>
        </w:rPr>
        <w:t>(4</w:t>
      </w:r>
      <w:r w:rsidR="0013179F" w:rsidRPr="00AE0ED9">
        <w:rPr>
          <w:rFonts w:cstheme="minorHAnsi"/>
          <w:lang w:val="fr-FR"/>
        </w:rPr>
        <w:noBreakHyphen/>
      </w:r>
      <w:r w:rsidR="00C0307B" w:rsidRPr="00AE0ED9">
        <w:rPr>
          <w:rFonts w:cstheme="minorHAnsi"/>
          <w:lang w:val="fr-FR"/>
        </w:rPr>
        <w:t>17</w:t>
      </w:r>
      <w:r w:rsidR="0013179F" w:rsidRPr="00AE0ED9">
        <w:rPr>
          <w:rFonts w:cstheme="minorHAnsi"/>
          <w:lang w:val="fr-FR"/>
        </w:rPr>
        <w:t> décembre </w:t>
      </w:r>
      <w:r w:rsidR="00C0307B" w:rsidRPr="00AE0ED9">
        <w:rPr>
          <w:rFonts w:cstheme="minorHAnsi"/>
          <w:lang w:val="fr-FR"/>
        </w:rPr>
        <w:t xml:space="preserve">2016) </w:t>
      </w:r>
      <w:r w:rsidR="0013179F" w:rsidRPr="00AE0ED9">
        <w:rPr>
          <w:rFonts w:cstheme="minorHAnsi"/>
          <w:lang w:val="fr-FR"/>
        </w:rPr>
        <w:t xml:space="preserve">pour améliorer la visibilité de la Convention de Ramsar auprès du Segment de haut niveau, </w:t>
      </w:r>
      <w:r w:rsidR="002E46A0">
        <w:rPr>
          <w:rFonts w:cstheme="minorHAnsi"/>
          <w:lang w:val="fr-FR"/>
        </w:rPr>
        <w:t xml:space="preserve">à </w:t>
      </w:r>
      <w:r w:rsidR="0013179F" w:rsidRPr="00AE0ED9">
        <w:rPr>
          <w:rFonts w:cstheme="minorHAnsi"/>
          <w:lang w:val="fr-FR"/>
        </w:rPr>
        <w:t>des tables rondes sur l’agriculture et l</w:t>
      </w:r>
      <w:r w:rsidR="004B56EB">
        <w:rPr>
          <w:rFonts w:cstheme="minorHAnsi"/>
          <w:lang w:val="fr-FR"/>
        </w:rPr>
        <w:t>a</w:t>
      </w:r>
      <w:r w:rsidR="0013179F" w:rsidRPr="00AE0ED9">
        <w:rPr>
          <w:rFonts w:cstheme="minorHAnsi"/>
          <w:lang w:val="fr-FR"/>
        </w:rPr>
        <w:t xml:space="preserve"> pêche et à deux activités parallèles qu’il a </w:t>
      </w:r>
      <w:r w:rsidR="002E46A0">
        <w:rPr>
          <w:rFonts w:cstheme="minorHAnsi"/>
          <w:lang w:val="fr-FR"/>
        </w:rPr>
        <w:t xml:space="preserve">lui-même </w:t>
      </w:r>
      <w:r w:rsidR="0013179F" w:rsidRPr="00AE0ED9">
        <w:rPr>
          <w:rFonts w:cstheme="minorHAnsi"/>
          <w:lang w:val="fr-FR"/>
        </w:rPr>
        <w:t>organisées. Il a aussi participé à différentes réunions des organes subsidiaires de la CDB et à des initiatives pour renforcer le profil des zones humides dans le programme pour la biodiversité et contribuer au cadre post</w:t>
      </w:r>
      <w:r w:rsidR="0013179F" w:rsidRPr="00AE0ED9">
        <w:rPr>
          <w:rFonts w:cstheme="minorHAnsi"/>
          <w:lang w:val="fr-FR"/>
        </w:rPr>
        <w:noBreakHyphen/>
        <w:t xml:space="preserve">2010 pour la biodiversité. </w:t>
      </w:r>
      <w:r w:rsidR="00D944C6" w:rsidRPr="00AE0ED9">
        <w:rPr>
          <w:rFonts w:cs="Arial"/>
          <w:lang w:val="fr-FR"/>
        </w:rPr>
        <w:t>Le Secrétariat collabore également avec le PNUE-WCMC pour s'assurer que les Sites Ramsar sont inclus dans la Base de données mondiale des aires protégées, qui fournit les informations pour l'indicateur 15.1.2 de l’ODD 15</w:t>
      </w:r>
      <w:r w:rsidR="009D32B0" w:rsidRPr="00AE0ED9">
        <w:rPr>
          <w:rFonts w:cstheme="minorHAnsi"/>
          <w:lang w:val="fr-FR"/>
        </w:rPr>
        <w:t>.</w:t>
      </w:r>
      <w:r w:rsidR="00D31EAD" w:rsidRPr="00AE0ED9">
        <w:rPr>
          <w:rFonts w:cstheme="minorHAnsi"/>
          <w:lang w:val="fr-FR"/>
        </w:rPr>
        <w:t xml:space="preserve"> </w:t>
      </w:r>
      <w:r w:rsidR="0013179F" w:rsidRPr="00AE0ED9">
        <w:rPr>
          <w:rFonts w:cstheme="minorHAnsi"/>
          <w:lang w:val="fr-FR"/>
        </w:rPr>
        <w:t>La Secrétaire générale a participé au groupe plénier sur cette question à l’occasion de l’examen</w:t>
      </w:r>
      <w:r w:rsidR="004B56EB">
        <w:rPr>
          <w:rFonts w:cstheme="minorHAnsi"/>
          <w:lang w:val="fr-FR"/>
        </w:rPr>
        <w:t>,</w:t>
      </w:r>
      <w:r w:rsidR="0013179F" w:rsidRPr="00AE0ED9">
        <w:rPr>
          <w:rFonts w:cstheme="minorHAnsi"/>
          <w:lang w:val="fr-FR"/>
        </w:rPr>
        <w:t xml:space="preserve"> par le Forum politique de haut niveau</w:t>
      </w:r>
      <w:r w:rsidR="004B56EB">
        <w:rPr>
          <w:rFonts w:cstheme="minorHAnsi"/>
          <w:lang w:val="fr-FR"/>
        </w:rPr>
        <w:t>,</w:t>
      </w:r>
      <w:r w:rsidR="0013179F" w:rsidRPr="00AE0ED9">
        <w:rPr>
          <w:rFonts w:cstheme="minorHAnsi"/>
          <w:lang w:val="fr-FR"/>
        </w:rPr>
        <w:t xml:space="preserve"> de l’application de l’ODD 15 (13 juillet 2018). </w:t>
      </w:r>
    </w:p>
    <w:p w14:paraId="4D5EAE7A" w14:textId="77777777" w:rsidR="00E4717E" w:rsidRPr="00AE0ED9" w:rsidRDefault="00E4717E" w:rsidP="00C81B75">
      <w:pPr>
        <w:rPr>
          <w:rFonts w:cstheme="minorHAnsi"/>
          <w:lang w:val="fr-FR"/>
        </w:rPr>
      </w:pPr>
    </w:p>
    <w:p w14:paraId="3359B22B" w14:textId="6CFBA543" w:rsidR="009B0849" w:rsidRPr="00AE0ED9" w:rsidRDefault="007F61F4" w:rsidP="007F61F4">
      <w:pPr>
        <w:rPr>
          <w:rFonts w:cstheme="minorHAnsi"/>
          <w:lang w:val="fr-FR"/>
        </w:rPr>
      </w:pPr>
      <w:r w:rsidRPr="00AE0ED9">
        <w:rPr>
          <w:rFonts w:cstheme="minorHAnsi"/>
          <w:lang w:val="fr-FR"/>
        </w:rPr>
        <w:lastRenderedPageBreak/>
        <w:t>1</w:t>
      </w:r>
      <w:r w:rsidR="00E25439" w:rsidRPr="00AE0ED9">
        <w:rPr>
          <w:rFonts w:cstheme="minorHAnsi"/>
          <w:lang w:val="fr-FR"/>
        </w:rPr>
        <w:t>8</w:t>
      </w:r>
      <w:r w:rsidRPr="00AE0ED9">
        <w:rPr>
          <w:rFonts w:cstheme="minorHAnsi"/>
          <w:lang w:val="fr-FR"/>
        </w:rPr>
        <w:t>.</w:t>
      </w:r>
      <w:r w:rsidRPr="00AE0ED9">
        <w:rPr>
          <w:rFonts w:cstheme="minorHAnsi"/>
          <w:lang w:val="fr-FR"/>
        </w:rPr>
        <w:tab/>
      </w:r>
      <w:r w:rsidR="00D944C6" w:rsidRPr="00AE0ED9">
        <w:rPr>
          <w:rFonts w:cs="Arial"/>
          <w:lang w:val="fr-FR"/>
        </w:rPr>
        <w:t xml:space="preserve">Le Secrétariat a continué à participer activement aux travaux du Groupe de liaison sur la biodiversité (GLB), en particulier grâce à la participation de </w:t>
      </w:r>
      <w:r w:rsidR="0041604C" w:rsidRPr="00AE0ED9">
        <w:rPr>
          <w:rFonts w:cs="Arial"/>
          <w:lang w:val="fr-FR"/>
        </w:rPr>
        <w:t>la Secrétaire générale à la 12</w:t>
      </w:r>
      <w:r w:rsidR="0041604C" w:rsidRPr="00AE0ED9">
        <w:rPr>
          <w:rFonts w:cs="Arial"/>
          <w:vertAlign w:val="superscript"/>
          <w:lang w:val="fr-FR"/>
        </w:rPr>
        <w:t>e</w:t>
      </w:r>
      <w:r w:rsidR="0041604C" w:rsidRPr="00AE0ED9">
        <w:rPr>
          <w:rFonts w:cs="Arial"/>
          <w:lang w:val="fr-FR"/>
        </w:rPr>
        <w:t> </w:t>
      </w:r>
      <w:r w:rsidR="00D944C6" w:rsidRPr="00AE0ED9">
        <w:rPr>
          <w:rFonts w:cs="Arial"/>
          <w:lang w:val="fr-FR"/>
        </w:rPr>
        <w:t>réunion ordinaire du GLB (28 septembre 2017), au cours de laquelle l'accent a été mis sur les moyens d'accroître la visibilité et la pertinence de la biodiversité</w:t>
      </w:r>
      <w:r w:rsidR="00960836" w:rsidRPr="00AE0ED9">
        <w:rPr>
          <w:rFonts w:cstheme="minorHAnsi"/>
          <w:lang w:val="fr-FR"/>
        </w:rPr>
        <w:t xml:space="preserve">. </w:t>
      </w:r>
      <w:r w:rsidR="0041604C" w:rsidRPr="00AE0ED9">
        <w:rPr>
          <w:rFonts w:cstheme="minorHAnsi"/>
          <w:lang w:val="fr-FR"/>
        </w:rPr>
        <w:t>Le Secrétariat a également co</w:t>
      </w:r>
      <w:r w:rsidR="0041604C" w:rsidRPr="00AE0ED9">
        <w:rPr>
          <w:rFonts w:cstheme="minorHAnsi"/>
          <w:lang w:val="fr-FR"/>
        </w:rPr>
        <w:noBreakHyphen/>
        <w:t xml:space="preserve">organisé une activité avec d’autres Conventions relatives à la biodiversité à l’occasion du Forum politique de haut niveau à New York, le 10 juillet 2018. </w:t>
      </w:r>
    </w:p>
    <w:p w14:paraId="39358700" w14:textId="77777777" w:rsidR="008A384C" w:rsidRPr="00AE0ED9" w:rsidRDefault="008A384C" w:rsidP="007F61F4">
      <w:pPr>
        <w:rPr>
          <w:rFonts w:cstheme="minorHAnsi"/>
          <w:lang w:val="fr-FR"/>
        </w:rPr>
      </w:pPr>
    </w:p>
    <w:p w14:paraId="2661D5F2" w14:textId="1D0A81CB" w:rsidR="008A384C" w:rsidRPr="00AE0ED9" w:rsidRDefault="00E25439" w:rsidP="007F61F4">
      <w:pPr>
        <w:rPr>
          <w:rFonts w:cstheme="minorHAnsi"/>
          <w:lang w:val="fr-FR"/>
        </w:rPr>
      </w:pPr>
      <w:r w:rsidRPr="00AE0ED9">
        <w:rPr>
          <w:rFonts w:cstheme="minorHAnsi"/>
          <w:lang w:val="fr-FR"/>
        </w:rPr>
        <w:t>19</w:t>
      </w:r>
      <w:r w:rsidR="007F61F4" w:rsidRPr="00AE0ED9">
        <w:rPr>
          <w:rFonts w:cstheme="minorHAnsi"/>
          <w:lang w:val="fr-FR"/>
        </w:rPr>
        <w:t>.</w:t>
      </w:r>
      <w:r w:rsidR="007F61F4" w:rsidRPr="00AE0ED9">
        <w:rPr>
          <w:rFonts w:cstheme="minorHAnsi"/>
          <w:lang w:val="fr-FR"/>
        </w:rPr>
        <w:tab/>
      </w:r>
      <w:r w:rsidR="004C01AA" w:rsidRPr="00AE0ED9">
        <w:rPr>
          <w:rFonts w:cstheme="minorHAnsi"/>
          <w:lang w:val="fr-FR"/>
        </w:rPr>
        <w:t>Le Secrétariat a signé un Mémorandum de coopération important avec le Secrétariat de l’IPBES et a participé à la cinquième session plénière de la Plateforme à Bonn (IPBES</w:t>
      </w:r>
      <w:r w:rsidR="004C01AA" w:rsidRPr="00AE0ED9">
        <w:rPr>
          <w:rFonts w:cstheme="minorHAnsi"/>
          <w:lang w:val="fr-FR"/>
        </w:rPr>
        <w:noBreakHyphen/>
      </w:r>
      <w:r w:rsidR="006E66CA" w:rsidRPr="00AE0ED9">
        <w:rPr>
          <w:rFonts w:cstheme="minorHAnsi"/>
          <w:lang w:val="fr-FR"/>
        </w:rPr>
        <w:t>5</w:t>
      </w:r>
      <w:r w:rsidR="002C3699" w:rsidRPr="00AE0ED9">
        <w:rPr>
          <w:rFonts w:cstheme="minorHAnsi"/>
          <w:lang w:val="fr-FR"/>
        </w:rPr>
        <w:t>, 7</w:t>
      </w:r>
      <w:r w:rsidR="004C01AA" w:rsidRPr="00AE0ED9">
        <w:rPr>
          <w:rFonts w:cstheme="minorHAnsi"/>
          <w:lang w:val="fr-FR"/>
        </w:rPr>
        <w:noBreakHyphen/>
      </w:r>
      <w:r w:rsidR="006E66CA" w:rsidRPr="00AE0ED9">
        <w:rPr>
          <w:rFonts w:cstheme="minorHAnsi"/>
          <w:lang w:val="fr-FR"/>
        </w:rPr>
        <w:t>10</w:t>
      </w:r>
      <w:r w:rsidR="004C01AA" w:rsidRPr="00AE0ED9">
        <w:rPr>
          <w:rFonts w:cstheme="minorHAnsi"/>
          <w:lang w:val="fr-FR"/>
        </w:rPr>
        <w:t> mars 2017</w:t>
      </w:r>
      <w:r w:rsidR="002C3699" w:rsidRPr="00AE0ED9">
        <w:rPr>
          <w:rFonts w:cstheme="minorHAnsi"/>
          <w:lang w:val="fr-FR"/>
        </w:rPr>
        <w:t>)</w:t>
      </w:r>
      <w:r w:rsidR="006E66CA" w:rsidRPr="00AE0ED9">
        <w:rPr>
          <w:rFonts w:cstheme="minorHAnsi"/>
          <w:lang w:val="fr-FR"/>
        </w:rPr>
        <w:t xml:space="preserve">. </w:t>
      </w:r>
      <w:r w:rsidR="004C01AA" w:rsidRPr="00AE0ED9">
        <w:rPr>
          <w:rFonts w:cstheme="minorHAnsi"/>
          <w:lang w:val="fr-FR"/>
        </w:rPr>
        <w:t xml:space="preserve">Il a aussi coordonné la contribution aux Évaluations régionales et </w:t>
      </w:r>
      <w:r w:rsidR="002E46A0">
        <w:rPr>
          <w:rFonts w:cstheme="minorHAnsi"/>
          <w:lang w:val="fr-FR"/>
        </w:rPr>
        <w:t>de</w:t>
      </w:r>
      <w:r w:rsidR="004C01AA" w:rsidRPr="00AE0ED9">
        <w:rPr>
          <w:rFonts w:cstheme="minorHAnsi"/>
          <w:lang w:val="fr-FR"/>
        </w:rPr>
        <w:t xml:space="preserve"> la biodiversité mondiale</w:t>
      </w:r>
      <w:r w:rsidR="005D738D" w:rsidRPr="005D738D">
        <w:rPr>
          <w:rFonts w:cstheme="minorHAnsi"/>
          <w:lang w:val="fr-FR"/>
        </w:rPr>
        <w:t xml:space="preserve"> </w:t>
      </w:r>
      <w:r w:rsidR="005D738D" w:rsidRPr="00AE0ED9">
        <w:rPr>
          <w:rFonts w:cstheme="minorHAnsi"/>
          <w:lang w:val="fr-FR"/>
        </w:rPr>
        <w:t>de l’IPBES</w:t>
      </w:r>
      <w:r w:rsidR="004C01AA" w:rsidRPr="00AE0ED9">
        <w:rPr>
          <w:rFonts w:cstheme="minorHAnsi"/>
          <w:lang w:val="fr-FR"/>
        </w:rPr>
        <w:t>. La c</w:t>
      </w:r>
      <w:r w:rsidR="006E66CA" w:rsidRPr="00AE0ED9">
        <w:rPr>
          <w:rFonts w:cstheme="minorHAnsi"/>
          <w:lang w:val="fr-FR"/>
        </w:rPr>
        <w:t xml:space="preserve">ollaboration </w:t>
      </w:r>
      <w:r w:rsidR="004C01AA" w:rsidRPr="00AE0ED9">
        <w:rPr>
          <w:rFonts w:cstheme="minorHAnsi"/>
          <w:lang w:val="fr-FR"/>
        </w:rPr>
        <w:t>avec l’</w:t>
      </w:r>
      <w:r w:rsidR="006E66CA" w:rsidRPr="00AE0ED9">
        <w:rPr>
          <w:rFonts w:cstheme="minorHAnsi"/>
          <w:lang w:val="fr-FR"/>
        </w:rPr>
        <w:t>I</w:t>
      </w:r>
      <w:r w:rsidR="00176A94" w:rsidRPr="00AE0ED9">
        <w:rPr>
          <w:rFonts w:cstheme="minorHAnsi"/>
          <w:lang w:val="fr-FR"/>
        </w:rPr>
        <w:t>PB</w:t>
      </w:r>
      <w:r w:rsidR="006E66CA" w:rsidRPr="00AE0ED9">
        <w:rPr>
          <w:rFonts w:cstheme="minorHAnsi"/>
          <w:lang w:val="fr-FR"/>
        </w:rPr>
        <w:t xml:space="preserve">ES </w:t>
      </w:r>
      <w:r w:rsidR="004C01AA" w:rsidRPr="00AE0ED9">
        <w:rPr>
          <w:rFonts w:cstheme="minorHAnsi"/>
          <w:lang w:val="fr-FR"/>
        </w:rPr>
        <w:t xml:space="preserve">comprend aussi le lancement conjoint de la Note d’orientation intitulée </w:t>
      </w:r>
      <w:r w:rsidR="004C01AA" w:rsidRPr="00AE0ED9">
        <w:rPr>
          <w:rFonts w:cstheme="minorHAnsi"/>
          <w:i/>
          <w:lang w:val="fr-FR"/>
        </w:rPr>
        <w:t>Intégrer les valeurs multiples des zones humides dans la prise de décisions</w:t>
      </w:r>
      <w:r w:rsidR="00A4194C" w:rsidRPr="00AE0ED9">
        <w:rPr>
          <w:rFonts w:cstheme="minorHAnsi"/>
          <w:lang w:val="fr-FR"/>
        </w:rPr>
        <w:t>.</w:t>
      </w:r>
    </w:p>
    <w:p w14:paraId="12596DF9" w14:textId="77777777" w:rsidR="008A384C" w:rsidRPr="00AE0ED9" w:rsidRDefault="008A384C" w:rsidP="00C81B75">
      <w:pPr>
        <w:pStyle w:val="ListParagraph"/>
        <w:rPr>
          <w:rFonts w:cstheme="minorHAnsi"/>
          <w:lang w:val="fr-FR"/>
        </w:rPr>
      </w:pPr>
    </w:p>
    <w:p w14:paraId="11018897" w14:textId="5424DBAC" w:rsidR="00E65BE2" w:rsidRPr="00AE0ED9" w:rsidRDefault="00E25439" w:rsidP="007F61F4">
      <w:pPr>
        <w:rPr>
          <w:rFonts w:cstheme="minorHAnsi"/>
          <w:lang w:val="fr-FR"/>
        </w:rPr>
      </w:pPr>
      <w:r w:rsidRPr="00AE0ED9">
        <w:rPr>
          <w:rFonts w:cstheme="minorHAnsi"/>
          <w:lang w:val="fr-FR"/>
        </w:rPr>
        <w:t>20</w:t>
      </w:r>
      <w:r w:rsidR="007F61F4" w:rsidRPr="00AE0ED9">
        <w:rPr>
          <w:rFonts w:cstheme="minorHAnsi"/>
          <w:lang w:val="fr-FR"/>
        </w:rPr>
        <w:t>.</w:t>
      </w:r>
      <w:r w:rsidR="007F61F4" w:rsidRPr="00AE0ED9">
        <w:rPr>
          <w:rFonts w:cstheme="minorHAnsi"/>
          <w:lang w:val="fr-FR"/>
        </w:rPr>
        <w:tab/>
      </w:r>
      <w:r w:rsidR="00D944C6" w:rsidRPr="00AE0ED9">
        <w:rPr>
          <w:rFonts w:cs="Arial"/>
          <w:lang w:val="fr-FR"/>
        </w:rPr>
        <w:t xml:space="preserve">Compte tenu du rôle crucial joué par les zones humides en termes d'atténuation des changements climatiques et d'adaptation à ces changements, le Secrétariat s'est engagé dans le programme politique sur les changements climatiques. En particulier, le Secrétariat a participé à la COP22 de la </w:t>
      </w:r>
      <w:r w:rsidR="00776682" w:rsidRPr="00AE0ED9">
        <w:rPr>
          <w:rFonts w:cs="Arial"/>
          <w:lang w:val="fr-FR"/>
        </w:rPr>
        <w:t>Convention-cadre des Nations Unies sur les changements climatiques (CCNUCC) à</w:t>
      </w:r>
      <w:r w:rsidR="00705749" w:rsidRPr="00AE0ED9">
        <w:rPr>
          <w:rFonts w:cstheme="minorHAnsi"/>
          <w:lang w:val="fr-FR"/>
        </w:rPr>
        <w:t xml:space="preserve"> Marrakech</w:t>
      </w:r>
      <w:r w:rsidR="00776682" w:rsidRPr="00AE0ED9">
        <w:rPr>
          <w:rFonts w:cstheme="minorHAnsi"/>
          <w:lang w:val="fr-FR"/>
        </w:rPr>
        <w:t>, Maroc</w:t>
      </w:r>
      <w:r w:rsidR="00705749" w:rsidRPr="00AE0ED9">
        <w:rPr>
          <w:rFonts w:cstheme="minorHAnsi"/>
          <w:lang w:val="fr-FR"/>
        </w:rPr>
        <w:t xml:space="preserve"> (7-18 </w:t>
      </w:r>
      <w:r w:rsidR="00776682" w:rsidRPr="00AE0ED9">
        <w:rPr>
          <w:rFonts w:cstheme="minorHAnsi"/>
          <w:lang w:val="fr-FR"/>
        </w:rPr>
        <w:t>n</w:t>
      </w:r>
      <w:r w:rsidR="00705749" w:rsidRPr="00AE0ED9">
        <w:rPr>
          <w:rFonts w:cstheme="minorHAnsi"/>
          <w:lang w:val="fr-FR"/>
        </w:rPr>
        <w:t>ovemb</w:t>
      </w:r>
      <w:r w:rsidR="00776682" w:rsidRPr="00AE0ED9">
        <w:rPr>
          <w:rFonts w:cstheme="minorHAnsi"/>
          <w:lang w:val="fr-FR"/>
        </w:rPr>
        <w:t>re</w:t>
      </w:r>
      <w:r w:rsidR="00705749" w:rsidRPr="00AE0ED9">
        <w:rPr>
          <w:rFonts w:cstheme="minorHAnsi"/>
          <w:lang w:val="fr-FR"/>
        </w:rPr>
        <w:t xml:space="preserve"> 2016)</w:t>
      </w:r>
      <w:r w:rsidR="00BF28CE" w:rsidRPr="00AE0ED9">
        <w:rPr>
          <w:rFonts w:cstheme="minorHAnsi"/>
          <w:lang w:val="fr-FR"/>
        </w:rPr>
        <w:t xml:space="preserve"> </w:t>
      </w:r>
      <w:r w:rsidR="00DD3671" w:rsidRPr="00AE0ED9">
        <w:rPr>
          <w:rFonts w:cstheme="minorHAnsi"/>
          <w:lang w:val="fr-FR"/>
        </w:rPr>
        <w:t xml:space="preserve">et le Secrétaire général a publié un éditorial </w:t>
      </w:r>
      <w:r w:rsidR="00B31C4C">
        <w:rPr>
          <w:rFonts w:cstheme="minorHAnsi"/>
          <w:lang w:val="fr-FR"/>
        </w:rPr>
        <w:t>commun</w:t>
      </w:r>
      <w:r w:rsidR="00DD3671" w:rsidRPr="00AE0ED9">
        <w:rPr>
          <w:rFonts w:cstheme="minorHAnsi"/>
          <w:lang w:val="fr-FR"/>
        </w:rPr>
        <w:t xml:space="preserve"> avec l</w:t>
      </w:r>
      <w:r w:rsidR="00B31C4C">
        <w:rPr>
          <w:rFonts w:cstheme="minorHAnsi"/>
          <w:lang w:val="fr-FR"/>
        </w:rPr>
        <w:t>a</w:t>
      </w:r>
      <w:r w:rsidR="00DD3671" w:rsidRPr="00AE0ED9">
        <w:rPr>
          <w:rFonts w:cstheme="minorHAnsi"/>
          <w:lang w:val="fr-FR"/>
        </w:rPr>
        <w:t xml:space="preserve"> Secrétaire exécuti</w:t>
      </w:r>
      <w:r w:rsidR="00B31C4C">
        <w:rPr>
          <w:rFonts w:cstheme="minorHAnsi"/>
          <w:lang w:val="fr-FR"/>
        </w:rPr>
        <w:t>ve</w:t>
      </w:r>
      <w:r w:rsidR="00DD3671" w:rsidRPr="00AE0ED9">
        <w:rPr>
          <w:rFonts w:cstheme="minorHAnsi"/>
          <w:lang w:val="fr-FR"/>
        </w:rPr>
        <w:t xml:space="preserve"> de la CCNUCC,</w:t>
      </w:r>
      <w:r w:rsidR="0035595C" w:rsidRPr="00AE0ED9">
        <w:rPr>
          <w:rFonts w:cstheme="minorHAnsi"/>
          <w:lang w:val="fr-FR"/>
        </w:rPr>
        <w:t xml:space="preserve"> </w:t>
      </w:r>
      <w:r w:rsidR="00DD3671" w:rsidRPr="00AE0ED9">
        <w:rPr>
          <w:rFonts w:cstheme="minorHAnsi"/>
          <w:lang w:val="fr-FR"/>
        </w:rPr>
        <w:t>soulignant le rôle important des zones humides et de la Convention pour l’atténuation des changements climatiques et l’adaptation à ces changements</w:t>
      </w:r>
      <w:r w:rsidR="002E46A0">
        <w:rPr>
          <w:rFonts w:cstheme="minorHAnsi"/>
          <w:lang w:val="fr-FR"/>
        </w:rPr>
        <w:t>;</w:t>
      </w:r>
      <w:r w:rsidR="00DD3671" w:rsidRPr="00AE0ED9">
        <w:rPr>
          <w:rFonts w:cstheme="minorHAnsi"/>
          <w:lang w:val="fr-FR"/>
        </w:rPr>
        <w:t xml:space="preserve"> </w:t>
      </w:r>
      <w:r w:rsidR="00776682" w:rsidRPr="00AE0ED9">
        <w:rPr>
          <w:rFonts w:cstheme="minorHAnsi"/>
          <w:lang w:val="fr-FR"/>
        </w:rPr>
        <w:t xml:space="preserve">et </w:t>
      </w:r>
      <w:r w:rsidR="00776682" w:rsidRPr="00AE0ED9">
        <w:rPr>
          <w:rFonts w:cs="Arial"/>
          <w:lang w:val="fr-FR"/>
        </w:rPr>
        <w:t>à la COP 23 à Bonn, Allemagne (6 - 17 novembre 2017) qui a accordé une importance particulière aux tourbières, à l'eau et aux écosystèmes côtiers et marins</w:t>
      </w:r>
      <w:r w:rsidR="207F27EF" w:rsidRPr="00AE0ED9">
        <w:rPr>
          <w:rFonts w:cstheme="minorHAnsi"/>
          <w:lang w:val="fr-FR"/>
        </w:rPr>
        <w:t xml:space="preserve">. </w:t>
      </w:r>
      <w:r w:rsidR="00DD3671" w:rsidRPr="00AE0ED9">
        <w:rPr>
          <w:rFonts w:cstheme="minorHAnsi"/>
          <w:lang w:val="fr-FR"/>
        </w:rPr>
        <w:t xml:space="preserve">Le Secrétariat a également accéléré le positionnement de la Convention dans l’Initiative mondiale pour les tourbières (dont il est un membre fondateur) afin de réduire les émissions mondiales de gaz à effet de serre en protégeant les tourbières, </w:t>
      </w:r>
      <w:r w:rsidR="00776682" w:rsidRPr="00AE0ED9">
        <w:rPr>
          <w:rFonts w:cstheme="minorHAnsi"/>
          <w:lang w:val="fr-FR"/>
        </w:rPr>
        <w:t>y compris en participant</w:t>
      </w:r>
      <w:r w:rsidR="008A384C" w:rsidRPr="00AE0ED9">
        <w:rPr>
          <w:rFonts w:cstheme="minorHAnsi"/>
          <w:lang w:val="fr-FR"/>
        </w:rPr>
        <w:t xml:space="preserve"> </w:t>
      </w:r>
      <w:r w:rsidR="00776682" w:rsidRPr="00AE0ED9">
        <w:rPr>
          <w:rFonts w:cs="Arial"/>
          <w:lang w:val="fr-FR"/>
        </w:rPr>
        <w:t xml:space="preserve">à la préparation, au lancement et au suivi de </w:t>
      </w:r>
      <w:r w:rsidR="00980FB2" w:rsidRPr="00980FB2">
        <w:rPr>
          <w:rFonts w:cs="Arial"/>
          <w:lang w:val="fr-FR"/>
        </w:rPr>
        <w:t>l’évaluation en vue d’une intervention rapide</w:t>
      </w:r>
      <w:r w:rsidR="00980FB2" w:rsidRPr="00AE0ED9">
        <w:rPr>
          <w:rFonts w:cs="Arial"/>
          <w:lang w:val="fr-FR"/>
        </w:rPr>
        <w:t xml:space="preserve"> </w:t>
      </w:r>
      <w:r w:rsidR="00776682" w:rsidRPr="00AE0ED9">
        <w:rPr>
          <w:rFonts w:cs="Arial"/>
          <w:lang w:val="fr-FR"/>
        </w:rPr>
        <w:t>« </w:t>
      </w:r>
      <w:r w:rsidR="00980FB2" w:rsidRPr="00980FB2">
        <w:rPr>
          <w:rFonts w:cs="Arial"/>
          <w:i/>
          <w:lang w:val="fr-FR"/>
        </w:rPr>
        <w:t xml:space="preserve">De la fumée sur l’eau - lutter contre les menaces mondiales liées à la destruction et </w:t>
      </w:r>
      <w:r w:rsidR="00980FB2">
        <w:rPr>
          <w:rFonts w:cs="Arial"/>
          <w:i/>
          <w:lang w:val="fr-FR"/>
        </w:rPr>
        <w:t>à la dégradation des tourbières</w:t>
      </w:r>
      <w:r w:rsidR="00776682" w:rsidRPr="00AE0ED9">
        <w:rPr>
          <w:rFonts w:cs="Arial"/>
          <w:lang w:val="fr-FR"/>
        </w:rPr>
        <w:t>», publiée à l'occasion de la COP23 de la CCNUCC, ainsi qu'à des événements sur l'eau et d'autres questions pertinentes</w:t>
      </w:r>
      <w:r w:rsidR="207F27EF" w:rsidRPr="00AE0ED9">
        <w:rPr>
          <w:rFonts w:cstheme="minorHAnsi"/>
          <w:lang w:val="fr-FR"/>
        </w:rPr>
        <w:t>.</w:t>
      </w:r>
      <w:r w:rsidR="005F2999" w:rsidRPr="00AE0ED9">
        <w:rPr>
          <w:rFonts w:cstheme="minorHAnsi"/>
          <w:lang w:val="fr-FR"/>
        </w:rPr>
        <w:t xml:space="preserve"> I</w:t>
      </w:r>
      <w:r w:rsidR="00DD3671" w:rsidRPr="00AE0ED9">
        <w:rPr>
          <w:rFonts w:cstheme="minorHAnsi"/>
          <w:lang w:val="fr-FR"/>
        </w:rPr>
        <w:t xml:space="preserve">l a également rejoint le Partenariat international pour le carbone bleu en 2017, qui s’intéresse aux écosystèmes côtiers et marins. </w:t>
      </w:r>
      <w:r w:rsidR="005F2999" w:rsidRPr="00AE0ED9">
        <w:rPr>
          <w:rFonts w:cstheme="minorHAnsi"/>
          <w:lang w:val="fr-FR"/>
        </w:rPr>
        <w:t xml:space="preserve"> </w:t>
      </w:r>
      <w:r w:rsidR="006E53B7" w:rsidRPr="00AE0ED9">
        <w:rPr>
          <w:rFonts w:cstheme="minorHAnsi"/>
          <w:lang w:val="fr-FR"/>
        </w:rPr>
        <w:t xml:space="preserve"> </w:t>
      </w:r>
    </w:p>
    <w:p w14:paraId="5DC7FE54" w14:textId="77777777" w:rsidR="009D4535" w:rsidRPr="00AE0ED9" w:rsidRDefault="009D4535" w:rsidP="00C81B75">
      <w:pPr>
        <w:rPr>
          <w:rFonts w:cstheme="minorHAnsi"/>
          <w:lang w:val="fr-FR"/>
        </w:rPr>
      </w:pPr>
    </w:p>
    <w:p w14:paraId="02E1B777" w14:textId="1900B51B" w:rsidR="00296B78" w:rsidRPr="00AE0ED9" w:rsidRDefault="00E25439" w:rsidP="005D05E1">
      <w:pPr>
        <w:rPr>
          <w:rFonts w:cstheme="minorHAnsi"/>
          <w:lang w:val="fr-FR"/>
        </w:rPr>
      </w:pPr>
      <w:r w:rsidRPr="00AE0ED9">
        <w:rPr>
          <w:rFonts w:cstheme="minorHAnsi"/>
          <w:lang w:val="fr-FR"/>
        </w:rPr>
        <w:t>21</w:t>
      </w:r>
      <w:r w:rsidR="005D05E1" w:rsidRPr="00AE0ED9">
        <w:rPr>
          <w:rFonts w:cstheme="minorHAnsi"/>
          <w:lang w:val="fr-FR"/>
        </w:rPr>
        <w:t>.</w:t>
      </w:r>
      <w:r w:rsidR="005D05E1" w:rsidRPr="00AE0ED9">
        <w:rPr>
          <w:rFonts w:cstheme="minorHAnsi"/>
          <w:lang w:val="fr-FR"/>
        </w:rPr>
        <w:tab/>
      </w:r>
      <w:r w:rsidR="00776682" w:rsidRPr="00AE0ED9">
        <w:rPr>
          <w:rFonts w:cstheme="minorHAnsi"/>
          <w:lang w:val="fr-FR"/>
        </w:rPr>
        <w:t>Le Secrétariat a pris une part active à la troisième session de l'Assemblée des Nations Unies pour l'environnement qui s’est déroulée à Nairobi (4-6 décembre 2017), mettant en lumière le rôle des zones humides dans la lutte contre la pollution et</w:t>
      </w:r>
      <w:r w:rsidR="00B31C4C">
        <w:rPr>
          <w:rFonts w:cstheme="minorHAnsi"/>
          <w:lang w:val="fr-FR"/>
        </w:rPr>
        <w:t xml:space="preserve"> pour l’épuration</w:t>
      </w:r>
      <w:r w:rsidR="00776682" w:rsidRPr="00AE0ED9">
        <w:rPr>
          <w:rFonts w:cstheme="minorHAnsi"/>
          <w:lang w:val="fr-FR"/>
        </w:rPr>
        <w:t xml:space="preserve"> de l'eau, et plus largement leur contribution à la réalisation de l'ODD 6. La Convention de Ramsar sur les zones humides et son </w:t>
      </w:r>
      <w:r w:rsidR="001145C0" w:rsidRPr="00AE0ED9">
        <w:rPr>
          <w:rFonts w:cstheme="minorHAnsi"/>
          <w:lang w:val="fr-FR"/>
        </w:rPr>
        <w:t>4</w:t>
      </w:r>
      <w:r w:rsidR="001145C0" w:rsidRPr="00AE0ED9">
        <w:rPr>
          <w:rFonts w:cstheme="minorHAnsi"/>
          <w:vertAlign w:val="superscript"/>
          <w:lang w:val="fr-FR"/>
        </w:rPr>
        <w:t>e</w:t>
      </w:r>
      <w:r w:rsidR="001145C0" w:rsidRPr="00AE0ED9">
        <w:rPr>
          <w:rFonts w:cstheme="minorHAnsi"/>
          <w:lang w:val="fr-FR"/>
        </w:rPr>
        <w:t> </w:t>
      </w:r>
      <w:r w:rsidR="00776682" w:rsidRPr="00AE0ED9">
        <w:rPr>
          <w:rFonts w:cstheme="minorHAnsi"/>
          <w:lang w:val="fr-FR"/>
        </w:rPr>
        <w:t xml:space="preserve">Plan stratégique 2016-2024 sont mentionnés dans les résolutions intitulées « Lutte contre la pollution de l'eau pour protéger et restaurer les écosystèmes liés à l'eau » et « Atténuation de la pollution par l'intégration de la biodiversité dans les secteurs clés ». La Secrétaire générale est intervenue lors du « Leadership Dialogue » sur les solutions pratiques pour une planète sans pollution, lors d'une table ronde de haut niveau sur la protection des récifs coralliens et des mangroves, ainsi que lors d'un événement sur l’égalité entre les sexes et l'environnement, s’exprimant notamment lors du lancement des </w:t>
      </w:r>
      <w:r w:rsidR="00B31C4C">
        <w:rPr>
          <w:rFonts w:cstheme="minorHAnsi"/>
          <w:lang w:val="fr-FR"/>
        </w:rPr>
        <w:t>International Gender Champions</w:t>
      </w:r>
      <w:r w:rsidR="00776682" w:rsidRPr="00AE0ED9">
        <w:rPr>
          <w:rFonts w:cstheme="minorHAnsi"/>
          <w:lang w:val="fr-FR"/>
        </w:rPr>
        <w:t>. La Secrétaire générale a fait une déclaration en s</w:t>
      </w:r>
      <w:r w:rsidR="00794FCD" w:rsidRPr="00AE0ED9">
        <w:rPr>
          <w:rFonts w:cstheme="minorHAnsi"/>
          <w:lang w:val="fr-FR"/>
        </w:rPr>
        <w:t>éance plénière sur « Le </w:t>
      </w:r>
      <w:r w:rsidR="00776682" w:rsidRPr="00AE0ED9">
        <w:rPr>
          <w:rFonts w:cstheme="minorHAnsi"/>
          <w:lang w:val="fr-FR"/>
        </w:rPr>
        <w:t xml:space="preserve">rôle des zones humides comme solution durable pour l’épuration de l'eau » et elle a participé à une réunion avec les chefs des secrétariats des accords multilatéraux sur l'environnement (AME) sur une approche intégrée de la mise en œuvre de la dimension environnementale du Programme </w:t>
      </w:r>
      <w:r w:rsidR="00B31C4C">
        <w:rPr>
          <w:rFonts w:cstheme="minorHAnsi"/>
          <w:lang w:val="fr-FR"/>
        </w:rPr>
        <w:t>de</w:t>
      </w:r>
      <w:r w:rsidR="00776682" w:rsidRPr="00AE0ED9">
        <w:rPr>
          <w:rFonts w:cstheme="minorHAnsi"/>
          <w:lang w:val="fr-FR"/>
        </w:rPr>
        <w:t xml:space="preserve"> développement durable à l’horizon 2030 et des ODD.</w:t>
      </w:r>
    </w:p>
    <w:p w14:paraId="284802F5" w14:textId="77777777" w:rsidR="00127E63" w:rsidRPr="00AE0ED9" w:rsidRDefault="00127E63" w:rsidP="00C81B75">
      <w:pPr>
        <w:pStyle w:val="NormalNonumber"/>
        <w:spacing w:after="0"/>
        <w:ind w:left="425" w:hanging="425"/>
        <w:rPr>
          <w:rFonts w:asciiTheme="minorHAnsi" w:hAnsiTheme="minorHAnsi" w:cstheme="minorHAnsi"/>
          <w:iCs/>
          <w:snapToGrid w:val="0"/>
          <w:sz w:val="22"/>
          <w:szCs w:val="22"/>
          <w:lang w:val="fr-FR"/>
        </w:rPr>
      </w:pPr>
    </w:p>
    <w:p w14:paraId="6DA649B8" w14:textId="512DD6B9" w:rsidR="00DB1663" w:rsidRPr="00AE0ED9" w:rsidRDefault="00E25439" w:rsidP="005D05E1">
      <w:pPr>
        <w:rPr>
          <w:rFonts w:cstheme="minorHAnsi"/>
          <w:lang w:val="fr-FR"/>
        </w:rPr>
      </w:pPr>
      <w:r w:rsidRPr="00AE0ED9">
        <w:rPr>
          <w:rFonts w:cstheme="minorHAnsi"/>
          <w:lang w:val="fr-FR"/>
        </w:rPr>
        <w:t>22</w:t>
      </w:r>
      <w:r w:rsidR="005D05E1" w:rsidRPr="00AE0ED9">
        <w:rPr>
          <w:rFonts w:cstheme="minorHAnsi"/>
          <w:lang w:val="fr-FR"/>
        </w:rPr>
        <w:t>.</w:t>
      </w:r>
      <w:r w:rsidR="005D05E1" w:rsidRPr="00AE0ED9">
        <w:rPr>
          <w:rFonts w:cstheme="minorHAnsi"/>
          <w:lang w:val="fr-FR"/>
        </w:rPr>
        <w:tab/>
      </w:r>
      <w:r w:rsidR="00701688" w:rsidRPr="00AE0ED9">
        <w:rPr>
          <w:rFonts w:cstheme="minorHAnsi"/>
          <w:lang w:val="fr-FR"/>
        </w:rPr>
        <w:t xml:space="preserve">Au cours de la période considérée, le Secrétariat s'est également </w:t>
      </w:r>
      <w:r w:rsidR="00B31C4C">
        <w:rPr>
          <w:rFonts w:cstheme="minorHAnsi"/>
          <w:lang w:val="fr-FR"/>
        </w:rPr>
        <w:t>employé à</w:t>
      </w:r>
      <w:r w:rsidR="00701688" w:rsidRPr="00AE0ED9">
        <w:rPr>
          <w:rFonts w:cstheme="minorHAnsi"/>
          <w:lang w:val="fr-FR"/>
        </w:rPr>
        <w:t xml:space="preserve"> renforcer ses relations avec les missions et les institutions des Natio</w:t>
      </w:r>
      <w:r w:rsidR="00794FCD" w:rsidRPr="00AE0ED9">
        <w:rPr>
          <w:rFonts w:cstheme="minorHAnsi"/>
          <w:lang w:val="fr-FR"/>
        </w:rPr>
        <w:t xml:space="preserve">ns Unies basées à Genève. Le </w:t>
      </w:r>
      <w:r w:rsidR="00794FCD" w:rsidRPr="00AE0ED9">
        <w:rPr>
          <w:rFonts w:cstheme="minorHAnsi"/>
          <w:lang w:val="fr-FR"/>
        </w:rPr>
        <w:lastRenderedPageBreak/>
        <w:t>21 </w:t>
      </w:r>
      <w:r w:rsidR="00701688" w:rsidRPr="00AE0ED9">
        <w:rPr>
          <w:rFonts w:cstheme="minorHAnsi"/>
          <w:lang w:val="fr-FR"/>
        </w:rPr>
        <w:t>juin</w:t>
      </w:r>
      <w:r w:rsidR="00794FCD" w:rsidRPr="00AE0ED9">
        <w:rPr>
          <w:rFonts w:cstheme="minorHAnsi"/>
          <w:lang w:val="fr-FR"/>
        </w:rPr>
        <w:t> </w:t>
      </w:r>
      <w:r w:rsidR="00701688" w:rsidRPr="00AE0ED9">
        <w:rPr>
          <w:rFonts w:cstheme="minorHAnsi"/>
          <w:lang w:val="fr-FR"/>
        </w:rPr>
        <w:t>2017, la Secrétaire générale a présenté un exposé aux missions permanentes auprès de</w:t>
      </w:r>
      <w:r w:rsidR="003D2F6F" w:rsidRPr="00AE0ED9">
        <w:rPr>
          <w:rFonts w:cstheme="minorHAnsi"/>
          <w:lang w:val="fr-FR"/>
        </w:rPr>
        <w:t>s</w:t>
      </w:r>
      <w:r w:rsidR="00701688" w:rsidRPr="00AE0ED9">
        <w:rPr>
          <w:rFonts w:cstheme="minorHAnsi"/>
          <w:lang w:val="fr-FR"/>
        </w:rPr>
        <w:t xml:space="preserve"> Nations Unies à Genève sur « La Convention de Ramsar sur les zones humides</w:t>
      </w:r>
      <w:r w:rsidR="003D2F6F" w:rsidRPr="00AE0ED9">
        <w:rPr>
          <w:rFonts w:cstheme="minorHAnsi"/>
          <w:lang w:val="fr-FR"/>
        </w:rPr>
        <w:t xml:space="preserve"> –</w:t>
      </w:r>
      <w:r w:rsidR="00701688" w:rsidRPr="00AE0ED9">
        <w:rPr>
          <w:rFonts w:cstheme="minorHAnsi"/>
          <w:lang w:val="fr-FR"/>
        </w:rPr>
        <w:t xml:space="preserve"> vers la réalisation des </w:t>
      </w:r>
      <w:r w:rsidR="003D2F6F" w:rsidRPr="00AE0ED9">
        <w:rPr>
          <w:rFonts w:cstheme="minorHAnsi"/>
          <w:lang w:val="fr-FR"/>
        </w:rPr>
        <w:t>O</w:t>
      </w:r>
      <w:r w:rsidR="00701688" w:rsidRPr="00AE0ED9">
        <w:rPr>
          <w:rFonts w:cstheme="minorHAnsi"/>
          <w:lang w:val="fr-FR"/>
        </w:rPr>
        <w:t>bjectifs d</w:t>
      </w:r>
      <w:r w:rsidR="003D2F6F" w:rsidRPr="00AE0ED9">
        <w:rPr>
          <w:rFonts w:cstheme="minorHAnsi"/>
          <w:lang w:val="fr-FR"/>
        </w:rPr>
        <w:t>e</w:t>
      </w:r>
      <w:r w:rsidR="00701688" w:rsidRPr="00AE0ED9">
        <w:rPr>
          <w:rFonts w:cstheme="minorHAnsi"/>
          <w:lang w:val="fr-FR"/>
        </w:rPr>
        <w:t xml:space="preserve"> développement durable », </w:t>
      </w:r>
      <w:r w:rsidR="00B31C4C">
        <w:rPr>
          <w:rFonts w:cstheme="minorHAnsi"/>
          <w:lang w:val="fr-FR"/>
        </w:rPr>
        <w:t>sur invitation du</w:t>
      </w:r>
      <w:r w:rsidR="00701688" w:rsidRPr="00AE0ED9">
        <w:rPr>
          <w:rFonts w:cstheme="minorHAnsi"/>
          <w:lang w:val="fr-FR"/>
        </w:rPr>
        <w:t xml:space="preserve"> Directeur de l'Office des Nations Unies à Genève (ONUG)</w:t>
      </w:r>
      <w:r w:rsidR="00DB1663" w:rsidRPr="00AE0ED9">
        <w:rPr>
          <w:rFonts w:cstheme="minorHAnsi"/>
          <w:lang w:val="fr-FR"/>
        </w:rPr>
        <w:t>.</w:t>
      </w:r>
      <w:r w:rsidR="001F7F26" w:rsidRPr="00AE0ED9">
        <w:rPr>
          <w:rFonts w:cstheme="minorHAnsi"/>
          <w:lang w:val="fr-FR"/>
        </w:rPr>
        <w:t xml:space="preserve"> </w:t>
      </w:r>
      <w:r w:rsidR="003D2F6F" w:rsidRPr="00AE0ED9">
        <w:rPr>
          <w:rFonts w:cstheme="minorHAnsi"/>
          <w:lang w:val="fr-FR"/>
        </w:rPr>
        <w:t>Une séance d’information sur la</w:t>
      </w:r>
      <w:r w:rsidR="001F7F26" w:rsidRPr="00AE0ED9">
        <w:rPr>
          <w:rFonts w:cstheme="minorHAnsi"/>
          <w:lang w:val="fr-FR"/>
        </w:rPr>
        <w:t xml:space="preserve"> COP13 </w:t>
      </w:r>
      <w:r w:rsidR="00B31C4C">
        <w:rPr>
          <w:rFonts w:cstheme="minorHAnsi"/>
          <w:lang w:val="fr-FR"/>
        </w:rPr>
        <w:t xml:space="preserve">pour les </w:t>
      </w:r>
      <w:r w:rsidR="003D2F6F" w:rsidRPr="00AE0ED9">
        <w:rPr>
          <w:rFonts w:cstheme="minorHAnsi"/>
          <w:lang w:val="fr-FR"/>
        </w:rPr>
        <w:t>missions permanentes auprès des Nations Unies à Genève, également organisée par l’ONUG, est prévue pour le</w:t>
      </w:r>
      <w:r w:rsidR="00A52454" w:rsidRPr="00AE0ED9">
        <w:rPr>
          <w:rFonts w:cstheme="minorHAnsi"/>
          <w:lang w:val="fr-FR"/>
        </w:rPr>
        <w:t xml:space="preserve"> 1</w:t>
      </w:r>
      <w:r w:rsidR="009B0849" w:rsidRPr="00AE0ED9">
        <w:rPr>
          <w:rFonts w:cstheme="minorHAnsi"/>
          <w:lang w:val="fr-FR"/>
        </w:rPr>
        <w:t>3</w:t>
      </w:r>
      <w:r w:rsidR="001F7F26" w:rsidRPr="00AE0ED9">
        <w:rPr>
          <w:rFonts w:cstheme="minorHAnsi"/>
          <w:lang w:val="fr-FR"/>
        </w:rPr>
        <w:t xml:space="preserve"> </w:t>
      </w:r>
      <w:r w:rsidR="003D2F6F" w:rsidRPr="00AE0ED9">
        <w:rPr>
          <w:rFonts w:cstheme="minorHAnsi"/>
          <w:lang w:val="fr-FR"/>
        </w:rPr>
        <w:t>s</w:t>
      </w:r>
      <w:r w:rsidR="001F7F26" w:rsidRPr="00AE0ED9">
        <w:rPr>
          <w:rFonts w:cstheme="minorHAnsi"/>
          <w:lang w:val="fr-FR"/>
        </w:rPr>
        <w:t>eptemb</w:t>
      </w:r>
      <w:r w:rsidR="003D2F6F" w:rsidRPr="00AE0ED9">
        <w:rPr>
          <w:rFonts w:cstheme="minorHAnsi"/>
          <w:lang w:val="fr-FR"/>
        </w:rPr>
        <w:t>re</w:t>
      </w:r>
      <w:r w:rsidR="00A52454" w:rsidRPr="00AE0ED9">
        <w:rPr>
          <w:rFonts w:cstheme="minorHAnsi"/>
          <w:lang w:val="fr-FR"/>
        </w:rPr>
        <w:t xml:space="preserve"> 2018</w:t>
      </w:r>
      <w:r w:rsidR="001F7F26" w:rsidRPr="00AE0ED9">
        <w:rPr>
          <w:rFonts w:cstheme="minorHAnsi"/>
          <w:lang w:val="fr-FR"/>
        </w:rPr>
        <w:t xml:space="preserve">. </w:t>
      </w:r>
    </w:p>
    <w:p w14:paraId="1F670B16" w14:textId="77777777" w:rsidR="00DB1663" w:rsidRPr="00AE0ED9" w:rsidRDefault="00DB1663" w:rsidP="00C81B75">
      <w:pPr>
        <w:pStyle w:val="NormalNonumber"/>
        <w:spacing w:after="0"/>
        <w:ind w:left="425" w:hanging="425"/>
        <w:rPr>
          <w:rFonts w:asciiTheme="minorHAnsi" w:hAnsiTheme="minorHAnsi" w:cstheme="minorHAnsi"/>
          <w:sz w:val="22"/>
          <w:szCs w:val="22"/>
          <w:lang w:val="fr-FR"/>
        </w:rPr>
      </w:pPr>
    </w:p>
    <w:p w14:paraId="4F210C8E" w14:textId="3F26512E" w:rsidR="00DB1663" w:rsidRPr="00AE0ED9" w:rsidRDefault="00E25439" w:rsidP="005D05E1">
      <w:pPr>
        <w:rPr>
          <w:rFonts w:cstheme="minorHAnsi"/>
          <w:lang w:val="fr-FR"/>
        </w:rPr>
      </w:pPr>
      <w:r w:rsidRPr="00AE0ED9">
        <w:rPr>
          <w:rFonts w:cstheme="minorHAnsi"/>
          <w:lang w:val="fr-FR"/>
        </w:rPr>
        <w:t>23</w:t>
      </w:r>
      <w:r w:rsidR="005D05E1" w:rsidRPr="00AE0ED9">
        <w:rPr>
          <w:rFonts w:cstheme="minorHAnsi"/>
          <w:lang w:val="fr-FR"/>
        </w:rPr>
        <w:t>.</w:t>
      </w:r>
      <w:r w:rsidR="005D05E1" w:rsidRPr="00AE0ED9">
        <w:rPr>
          <w:rFonts w:cstheme="minorHAnsi"/>
          <w:lang w:val="fr-FR"/>
        </w:rPr>
        <w:tab/>
      </w:r>
      <w:r w:rsidR="003D2F6F" w:rsidRPr="00AE0ED9">
        <w:rPr>
          <w:rFonts w:cstheme="minorHAnsi"/>
          <w:lang w:val="fr-FR"/>
        </w:rPr>
        <w:t>Parmi les autres points importants, on peut citer</w:t>
      </w:r>
      <w:r w:rsidR="00D0521F" w:rsidRPr="00AE0ED9">
        <w:rPr>
          <w:rFonts w:cstheme="minorHAnsi"/>
          <w:lang w:val="fr-FR"/>
        </w:rPr>
        <w:t> </w:t>
      </w:r>
      <w:r w:rsidR="00DB1663" w:rsidRPr="00AE0ED9">
        <w:rPr>
          <w:rFonts w:cstheme="minorHAnsi"/>
          <w:lang w:val="fr-FR"/>
        </w:rPr>
        <w:t>:</w:t>
      </w:r>
    </w:p>
    <w:p w14:paraId="41EB7AF4" w14:textId="77777777" w:rsidR="0071474A" w:rsidRPr="00AE0ED9" w:rsidRDefault="0071474A" w:rsidP="00C81B75">
      <w:pPr>
        <w:ind w:left="0" w:firstLine="0"/>
        <w:rPr>
          <w:rFonts w:cstheme="minorHAnsi"/>
          <w:lang w:val="fr-FR"/>
        </w:rPr>
      </w:pPr>
    </w:p>
    <w:p w14:paraId="01D8B48B" w14:textId="03EB4787" w:rsidR="00FF20E2" w:rsidRPr="00AE0ED9" w:rsidRDefault="003D2F6F" w:rsidP="005D05E1">
      <w:pPr>
        <w:pStyle w:val="ListParagraph"/>
        <w:numPr>
          <w:ilvl w:val="0"/>
          <w:numId w:val="2"/>
        </w:numPr>
        <w:ind w:left="850" w:hanging="425"/>
        <w:rPr>
          <w:rFonts w:cstheme="minorHAnsi"/>
          <w:lang w:val="fr-FR"/>
        </w:rPr>
      </w:pPr>
      <w:r w:rsidRPr="00AE0ED9">
        <w:rPr>
          <w:rFonts w:cs="Arial"/>
          <w:lang w:val="fr-FR"/>
        </w:rPr>
        <w:t>Participation à la 13</w:t>
      </w:r>
      <w:r w:rsidRPr="00AE0ED9">
        <w:rPr>
          <w:rFonts w:cs="Arial"/>
          <w:vertAlign w:val="superscript"/>
          <w:lang w:val="fr-FR"/>
        </w:rPr>
        <w:t>e</w:t>
      </w:r>
      <w:r w:rsidRPr="00AE0ED9">
        <w:rPr>
          <w:rFonts w:cs="Arial"/>
          <w:lang w:val="fr-FR"/>
        </w:rPr>
        <w:t xml:space="preserve"> session du Comité de la science et de la technologie de la CNULD à Ordos (Chine), du 6 au 9 septembre 2017</w:t>
      </w:r>
      <w:r w:rsidR="00BB2857">
        <w:rPr>
          <w:rFonts w:cs="Arial"/>
          <w:lang w:val="fr-FR"/>
        </w:rPr>
        <w:t xml:space="preserve"> avec</w:t>
      </w:r>
      <w:r w:rsidRPr="00AE0ED9">
        <w:rPr>
          <w:rFonts w:cs="Arial"/>
          <w:lang w:val="fr-FR"/>
        </w:rPr>
        <w:t xml:space="preserve">, notamment </w:t>
      </w:r>
      <w:r w:rsidR="00BB2857">
        <w:rPr>
          <w:rFonts w:cs="Arial"/>
          <w:lang w:val="fr-FR"/>
        </w:rPr>
        <w:t>un exposé</w:t>
      </w:r>
      <w:r w:rsidRPr="00AE0ED9">
        <w:rPr>
          <w:rFonts w:cs="Arial"/>
          <w:lang w:val="fr-FR"/>
        </w:rPr>
        <w:t xml:space="preserve"> devant l'IBPES sur les progrès accomplis en matière d’évaluation globale de la dégradation et de la restauration des terres. Des discussions avec le </w:t>
      </w:r>
      <w:r w:rsidR="007837BA">
        <w:rPr>
          <w:rFonts w:cs="Arial"/>
          <w:lang w:val="fr-FR"/>
        </w:rPr>
        <w:t>S</w:t>
      </w:r>
      <w:r w:rsidRPr="00AE0ED9">
        <w:rPr>
          <w:rFonts w:cs="Arial"/>
          <w:lang w:val="fr-FR"/>
        </w:rPr>
        <w:t>ecrétariat de la Convention sont en cours sur des possibilités de collaboration.</w:t>
      </w:r>
    </w:p>
    <w:p w14:paraId="56CBE952" w14:textId="77777777" w:rsidR="009B0849" w:rsidRPr="00AE0ED9" w:rsidRDefault="009B0849" w:rsidP="005D05E1">
      <w:pPr>
        <w:rPr>
          <w:rFonts w:cstheme="minorHAnsi"/>
          <w:lang w:val="fr-FR"/>
        </w:rPr>
      </w:pPr>
    </w:p>
    <w:p w14:paraId="585301A1" w14:textId="7423C581" w:rsidR="009B0849" w:rsidRPr="00AE0ED9" w:rsidRDefault="003D2F6F" w:rsidP="005D05E1">
      <w:pPr>
        <w:pStyle w:val="ListParagraph"/>
        <w:numPr>
          <w:ilvl w:val="0"/>
          <w:numId w:val="2"/>
        </w:numPr>
        <w:ind w:left="850" w:hanging="425"/>
        <w:rPr>
          <w:rFonts w:cstheme="minorHAnsi"/>
          <w:lang w:val="fr-FR"/>
        </w:rPr>
      </w:pPr>
      <w:r w:rsidRPr="00AE0ED9">
        <w:rPr>
          <w:lang w:val="fr-FR"/>
        </w:rPr>
        <w:t xml:space="preserve">Participation à la COP de la Convention sur les </w:t>
      </w:r>
      <w:r w:rsidR="007837BA">
        <w:rPr>
          <w:lang w:val="fr-FR"/>
        </w:rPr>
        <w:t>e</w:t>
      </w:r>
      <w:r w:rsidRPr="00AE0ED9">
        <w:rPr>
          <w:lang w:val="fr-FR"/>
        </w:rPr>
        <w:t xml:space="preserve">spèces </w:t>
      </w:r>
      <w:r w:rsidR="007837BA">
        <w:rPr>
          <w:lang w:val="fr-FR"/>
        </w:rPr>
        <w:t>m</w:t>
      </w:r>
      <w:r w:rsidRPr="00AE0ED9">
        <w:rPr>
          <w:lang w:val="fr-FR"/>
        </w:rPr>
        <w:t>igratrices</w:t>
      </w:r>
      <w:r w:rsidR="007837BA">
        <w:rPr>
          <w:lang w:val="fr-FR"/>
        </w:rPr>
        <w:t xml:space="preserve"> appartenant à la faune sauvage</w:t>
      </w:r>
      <w:r w:rsidRPr="00AE0ED9">
        <w:rPr>
          <w:lang w:val="fr-FR"/>
        </w:rPr>
        <w:t xml:space="preserve"> (CMS) qui s’est déroulée </w:t>
      </w:r>
      <w:r w:rsidR="00BB2857">
        <w:rPr>
          <w:lang w:val="fr-FR"/>
        </w:rPr>
        <w:t xml:space="preserve">du </w:t>
      </w:r>
      <w:r w:rsidRPr="00AE0ED9">
        <w:rPr>
          <w:lang w:val="fr-FR"/>
        </w:rPr>
        <w:t>23 au 28 octobre 2017, au cours de laquelle le Secrétariat était représenté à la discussion du Groupe de haut niveau sur le thème « Pollution et espèces sauvages » et à trois activités parallèles.</w:t>
      </w:r>
    </w:p>
    <w:p w14:paraId="7192DA10" w14:textId="77777777" w:rsidR="00127E63" w:rsidRPr="00AE0ED9" w:rsidRDefault="00127E63" w:rsidP="005D05E1">
      <w:pPr>
        <w:rPr>
          <w:rFonts w:cstheme="minorHAnsi"/>
          <w:lang w:val="fr-FR"/>
        </w:rPr>
      </w:pPr>
    </w:p>
    <w:p w14:paraId="0DEA984A" w14:textId="713709D3" w:rsidR="009D4535" w:rsidRPr="00AE0ED9" w:rsidRDefault="0071474A" w:rsidP="005D05E1">
      <w:pPr>
        <w:pStyle w:val="ListParagraph"/>
        <w:numPr>
          <w:ilvl w:val="0"/>
          <w:numId w:val="2"/>
        </w:numPr>
        <w:ind w:left="850" w:hanging="425"/>
        <w:rPr>
          <w:rFonts w:cstheme="minorHAnsi"/>
          <w:lang w:val="fr-FR"/>
        </w:rPr>
      </w:pPr>
      <w:r w:rsidRPr="00AE0ED9">
        <w:rPr>
          <w:rFonts w:cstheme="minorHAnsi"/>
          <w:lang w:val="fr-FR"/>
        </w:rPr>
        <w:t xml:space="preserve">Engagement </w:t>
      </w:r>
      <w:r w:rsidR="006E5CB2" w:rsidRPr="00AE0ED9">
        <w:rPr>
          <w:rFonts w:cstheme="minorHAnsi"/>
          <w:lang w:val="fr-FR"/>
        </w:rPr>
        <w:t>dans le programme pour l’eau avec notamment la participation : au Sommet international sur l’eau de 2016 à Abu </w:t>
      </w:r>
      <w:r w:rsidR="00863509" w:rsidRPr="00AE0ED9">
        <w:rPr>
          <w:rFonts w:cstheme="minorHAnsi"/>
          <w:lang w:val="fr-FR"/>
        </w:rPr>
        <w:t>Dhab</w:t>
      </w:r>
      <w:r w:rsidR="006E5CB2" w:rsidRPr="00AE0ED9">
        <w:rPr>
          <w:rFonts w:cstheme="minorHAnsi"/>
          <w:lang w:val="fr-FR"/>
        </w:rPr>
        <w:t>i (18</w:t>
      </w:r>
      <w:r w:rsidR="006E5CB2" w:rsidRPr="00AE0ED9">
        <w:rPr>
          <w:rFonts w:cstheme="minorHAnsi"/>
          <w:lang w:val="fr-FR"/>
        </w:rPr>
        <w:noBreakHyphen/>
      </w:r>
      <w:r w:rsidR="00863509" w:rsidRPr="00AE0ED9">
        <w:rPr>
          <w:rFonts w:cstheme="minorHAnsi"/>
          <w:lang w:val="fr-FR"/>
        </w:rPr>
        <w:t>21</w:t>
      </w:r>
      <w:r w:rsidR="006E5CB2" w:rsidRPr="00AE0ED9">
        <w:rPr>
          <w:rFonts w:cstheme="minorHAnsi"/>
          <w:lang w:val="fr-FR"/>
        </w:rPr>
        <w:t> janvier </w:t>
      </w:r>
      <w:r w:rsidR="00863509" w:rsidRPr="00AE0ED9">
        <w:rPr>
          <w:rFonts w:cstheme="minorHAnsi"/>
          <w:lang w:val="fr-FR"/>
        </w:rPr>
        <w:t>2016)</w:t>
      </w:r>
      <w:r w:rsidR="009B0849" w:rsidRPr="00AE0ED9">
        <w:rPr>
          <w:rFonts w:cstheme="minorHAnsi"/>
          <w:lang w:val="fr-FR"/>
        </w:rPr>
        <w:t>;</w:t>
      </w:r>
      <w:r w:rsidR="00863509" w:rsidRPr="00AE0ED9">
        <w:rPr>
          <w:rFonts w:cstheme="minorHAnsi"/>
          <w:lang w:val="fr-FR"/>
        </w:rPr>
        <w:t xml:space="preserve"> </w:t>
      </w:r>
      <w:r w:rsidR="006E5CB2" w:rsidRPr="00AE0ED9">
        <w:rPr>
          <w:rFonts w:cstheme="minorHAnsi"/>
          <w:lang w:val="fr-FR"/>
        </w:rPr>
        <w:t xml:space="preserve">au Sommet sur l’eau de </w:t>
      </w:r>
      <w:r w:rsidR="00863509" w:rsidRPr="00AE0ED9">
        <w:rPr>
          <w:rFonts w:cstheme="minorHAnsi"/>
          <w:lang w:val="fr-FR"/>
        </w:rPr>
        <w:t>Budapest (28</w:t>
      </w:r>
      <w:r w:rsidR="006E5CB2" w:rsidRPr="00AE0ED9">
        <w:rPr>
          <w:rFonts w:cstheme="minorHAnsi"/>
          <w:lang w:val="fr-FR"/>
        </w:rPr>
        <w:noBreakHyphen/>
      </w:r>
      <w:r w:rsidR="00863509" w:rsidRPr="00AE0ED9">
        <w:rPr>
          <w:rFonts w:cstheme="minorHAnsi"/>
          <w:lang w:val="fr-FR"/>
        </w:rPr>
        <w:t>30</w:t>
      </w:r>
      <w:r w:rsidR="006E5CB2" w:rsidRPr="00AE0ED9">
        <w:rPr>
          <w:rFonts w:cstheme="minorHAnsi"/>
          <w:lang w:val="fr-FR"/>
        </w:rPr>
        <w:t> novembre </w:t>
      </w:r>
      <w:r w:rsidR="00863509" w:rsidRPr="00AE0ED9">
        <w:rPr>
          <w:rFonts w:cstheme="minorHAnsi"/>
          <w:lang w:val="fr-FR"/>
        </w:rPr>
        <w:t>2016)</w:t>
      </w:r>
      <w:r w:rsidR="009B0849" w:rsidRPr="00AE0ED9">
        <w:rPr>
          <w:rFonts w:cstheme="minorHAnsi"/>
          <w:lang w:val="fr-FR"/>
        </w:rPr>
        <w:t>;</w:t>
      </w:r>
      <w:r w:rsidR="00863509" w:rsidRPr="00AE0ED9">
        <w:rPr>
          <w:rFonts w:cstheme="minorHAnsi"/>
          <w:lang w:val="fr-FR"/>
        </w:rPr>
        <w:t xml:space="preserve"> </w:t>
      </w:r>
      <w:r w:rsidR="006E5CB2" w:rsidRPr="00AE0ED9">
        <w:rPr>
          <w:rFonts w:cstheme="minorHAnsi"/>
          <w:lang w:val="fr-FR"/>
        </w:rPr>
        <w:t>à la Semaine mondiale de l’eau de Stockholm </w:t>
      </w:r>
      <w:r w:rsidR="00863509" w:rsidRPr="00AE0ED9">
        <w:rPr>
          <w:rFonts w:cstheme="minorHAnsi"/>
          <w:lang w:val="fr-FR"/>
        </w:rPr>
        <w:t>2016 (28</w:t>
      </w:r>
      <w:r w:rsidR="006E5CB2" w:rsidRPr="00AE0ED9">
        <w:rPr>
          <w:rFonts w:cstheme="minorHAnsi"/>
          <w:lang w:val="fr-FR"/>
        </w:rPr>
        <w:t> août – 2 septembre 2016) et 2017</w:t>
      </w:r>
      <w:r w:rsidR="00863509" w:rsidRPr="00AE0ED9">
        <w:rPr>
          <w:rFonts w:cstheme="minorHAnsi"/>
          <w:lang w:val="fr-FR"/>
        </w:rPr>
        <w:t xml:space="preserve"> (24</w:t>
      </w:r>
      <w:r w:rsidR="006E5CB2" w:rsidRPr="00AE0ED9">
        <w:rPr>
          <w:rFonts w:cstheme="minorHAnsi"/>
          <w:lang w:val="fr-FR"/>
        </w:rPr>
        <w:noBreakHyphen/>
      </w:r>
      <w:r w:rsidR="00863509" w:rsidRPr="00AE0ED9">
        <w:rPr>
          <w:rFonts w:cstheme="minorHAnsi"/>
          <w:lang w:val="fr-FR"/>
        </w:rPr>
        <w:t>31</w:t>
      </w:r>
      <w:r w:rsidR="006E5CB2" w:rsidRPr="00AE0ED9">
        <w:rPr>
          <w:rFonts w:cstheme="minorHAnsi"/>
          <w:lang w:val="fr-FR"/>
        </w:rPr>
        <w:t> août 2017</w:t>
      </w:r>
      <w:r w:rsidR="00863509" w:rsidRPr="00AE0ED9">
        <w:rPr>
          <w:rFonts w:cstheme="minorHAnsi"/>
          <w:lang w:val="fr-FR"/>
        </w:rPr>
        <w:t>)</w:t>
      </w:r>
      <w:r w:rsidR="006E5CB2" w:rsidRPr="00AE0ED9">
        <w:rPr>
          <w:rFonts w:cstheme="minorHAnsi"/>
          <w:lang w:val="fr-FR"/>
        </w:rPr>
        <w:t xml:space="preserve"> où il y avait des réunions d</w:t>
      </w:r>
      <w:r w:rsidR="007837BA">
        <w:rPr>
          <w:rFonts w:cstheme="minorHAnsi"/>
          <w:lang w:val="fr-FR"/>
        </w:rPr>
        <w:t>e l</w:t>
      </w:r>
      <w:r w:rsidR="006E5CB2" w:rsidRPr="00AE0ED9">
        <w:rPr>
          <w:rFonts w:cstheme="minorHAnsi"/>
          <w:lang w:val="fr-FR"/>
        </w:rPr>
        <w:t>’ONU</w:t>
      </w:r>
      <w:r w:rsidR="006E5CB2" w:rsidRPr="00AE0ED9">
        <w:rPr>
          <w:rFonts w:cstheme="minorHAnsi"/>
          <w:lang w:val="fr-FR"/>
        </w:rPr>
        <w:noBreakHyphen/>
        <w:t>Eau et la participation d’orateurs à la séance de dialogue de haut niveau sur la Construction d’un avenir résilient grâce à l’eau et des activités sur l’Alliance pour la vie des eaux douces, les Solutions fondées sur la nature pour une meilleure rési</w:t>
      </w:r>
      <w:r w:rsidR="007837BA">
        <w:rPr>
          <w:rFonts w:cstheme="minorHAnsi"/>
          <w:lang w:val="fr-FR"/>
        </w:rPr>
        <w:t>lience</w:t>
      </w:r>
      <w:r w:rsidR="006E5CB2" w:rsidRPr="00AE0ED9">
        <w:rPr>
          <w:rFonts w:cstheme="minorHAnsi"/>
          <w:lang w:val="fr-FR"/>
        </w:rPr>
        <w:t xml:space="preserve"> au climat et </w:t>
      </w:r>
      <w:r w:rsidR="007837BA">
        <w:rPr>
          <w:rFonts w:cstheme="minorHAnsi"/>
          <w:lang w:val="fr-FR"/>
        </w:rPr>
        <w:t>De la source à la mer ; un exercice d’équilibre</w:t>
      </w:r>
      <w:r w:rsidR="00BB2857">
        <w:rPr>
          <w:rFonts w:cstheme="minorHAnsi"/>
          <w:lang w:val="fr-FR"/>
        </w:rPr>
        <w:t xml:space="preserve"> (Source-to-Sea Balancing Act</w:t>
      </w:r>
      <w:r w:rsidR="007837BA">
        <w:rPr>
          <w:rFonts w:cstheme="minorHAnsi"/>
          <w:lang w:val="fr-FR"/>
        </w:rPr>
        <w:t>)</w:t>
      </w:r>
      <w:r w:rsidR="006E5CB2" w:rsidRPr="00AE0ED9">
        <w:rPr>
          <w:rFonts w:cstheme="minorHAnsi"/>
          <w:lang w:val="fr-FR"/>
        </w:rPr>
        <w:t>;</w:t>
      </w:r>
      <w:r w:rsidR="0035595C" w:rsidRPr="00AE0ED9">
        <w:rPr>
          <w:rFonts w:cstheme="minorHAnsi"/>
          <w:lang w:val="fr-FR"/>
        </w:rPr>
        <w:t xml:space="preserve"> </w:t>
      </w:r>
      <w:r w:rsidR="006E5CB2" w:rsidRPr="00AE0ED9">
        <w:rPr>
          <w:rFonts w:cstheme="minorHAnsi"/>
          <w:lang w:val="fr-FR"/>
        </w:rPr>
        <w:t>le 8</w:t>
      </w:r>
      <w:r w:rsidR="006E5CB2" w:rsidRPr="00AE0ED9">
        <w:rPr>
          <w:rFonts w:cstheme="minorHAnsi"/>
          <w:vertAlign w:val="superscript"/>
          <w:lang w:val="fr-FR"/>
        </w:rPr>
        <w:t>e</w:t>
      </w:r>
      <w:r w:rsidR="006E5CB2" w:rsidRPr="00AE0ED9">
        <w:rPr>
          <w:rFonts w:cstheme="minorHAnsi"/>
          <w:lang w:val="fr-FR"/>
        </w:rPr>
        <w:t xml:space="preserve"> Forum de l’eau à </w:t>
      </w:r>
      <w:r w:rsidR="00E25E60" w:rsidRPr="00AE0ED9">
        <w:rPr>
          <w:rFonts w:cstheme="minorHAnsi"/>
          <w:lang w:val="fr-FR"/>
        </w:rPr>
        <w:t>Brasilia</w:t>
      </w:r>
      <w:r w:rsidR="006E5CB2" w:rsidRPr="00AE0ED9">
        <w:rPr>
          <w:rFonts w:cstheme="minorHAnsi"/>
          <w:lang w:val="fr-FR"/>
        </w:rPr>
        <w:t xml:space="preserve">, </w:t>
      </w:r>
      <w:r w:rsidR="00E25E60" w:rsidRPr="00AE0ED9">
        <w:rPr>
          <w:rFonts w:cstheme="minorHAnsi"/>
          <w:lang w:val="fr-FR"/>
        </w:rPr>
        <w:t>18</w:t>
      </w:r>
      <w:r w:rsidR="006E5CB2" w:rsidRPr="00AE0ED9">
        <w:rPr>
          <w:rFonts w:cstheme="minorHAnsi"/>
          <w:lang w:val="fr-FR"/>
        </w:rPr>
        <w:noBreakHyphen/>
      </w:r>
      <w:r w:rsidR="00E25E60" w:rsidRPr="00AE0ED9">
        <w:rPr>
          <w:rFonts w:cstheme="minorHAnsi"/>
          <w:lang w:val="fr-FR"/>
        </w:rPr>
        <w:t>23</w:t>
      </w:r>
      <w:r w:rsidR="006E5CB2" w:rsidRPr="00AE0ED9">
        <w:rPr>
          <w:rFonts w:cstheme="minorHAnsi"/>
          <w:lang w:val="fr-FR"/>
        </w:rPr>
        <w:t> mars </w:t>
      </w:r>
      <w:r w:rsidR="00E25E60" w:rsidRPr="00AE0ED9">
        <w:rPr>
          <w:rFonts w:cstheme="minorHAnsi"/>
          <w:lang w:val="fr-FR"/>
        </w:rPr>
        <w:t xml:space="preserve">2018; </w:t>
      </w:r>
      <w:r w:rsidR="006E5CB2" w:rsidRPr="00AE0ED9">
        <w:rPr>
          <w:rFonts w:cstheme="minorHAnsi"/>
          <w:lang w:val="fr-FR"/>
        </w:rPr>
        <w:t xml:space="preserve">et une contribution au Rapport mondial </w:t>
      </w:r>
      <w:r w:rsidR="007837BA">
        <w:rPr>
          <w:rFonts w:cstheme="minorHAnsi"/>
          <w:lang w:val="fr-FR"/>
        </w:rPr>
        <w:t xml:space="preserve">sur la </w:t>
      </w:r>
      <w:r w:rsidR="006E5CB2" w:rsidRPr="00AE0ED9">
        <w:rPr>
          <w:rFonts w:cstheme="minorHAnsi"/>
          <w:lang w:val="fr-FR"/>
        </w:rPr>
        <w:t xml:space="preserve">mise en valeur </w:t>
      </w:r>
      <w:r w:rsidR="007837BA">
        <w:rPr>
          <w:rFonts w:cstheme="minorHAnsi"/>
          <w:lang w:val="fr-FR"/>
        </w:rPr>
        <w:t>des ressources en eau</w:t>
      </w:r>
      <w:r w:rsidR="006E5CB2" w:rsidRPr="00AE0ED9">
        <w:rPr>
          <w:rFonts w:cstheme="minorHAnsi"/>
          <w:lang w:val="fr-FR"/>
        </w:rPr>
        <w:t> 2018 axé sur « </w:t>
      </w:r>
      <w:r w:rsidR="007837BA">
        <w:rPr>
          <w:rFonts w:cstheme="minorHAnsi"/>
          <w:lang w:val="fr-FR"/>
        </w:rPr>
        <w:t>l</w:t>
      </w:r>
      <w:r w:rsidR="006E5CB2" w:rsidRPr="00AE0ED9">
        <w:rPr>
          <w:rFonts w:cstheme="minorHAnsi"/>
          <w:lang w:val="fr-FR"/>
        </w:rPr>
        <w:t xml:space="preserve">a nature et l’eau » lancé en mars 2018. </w:t>
      </w:r>
    </w:p>
    <w:p w14:paraId="3F4D8C69" w14:textId="77777777" w:rsidR="005D05E1" w:rsidRPr="00AE0ED9" w:rsidRDefault="005D05E1" w:rsidP="005D05E1">
      <w:pPr>
        <w:rPr>
          <w:rFonts w:cstheme="minorHAnsi"/>
          <w:lang w:val="fr-FR"/>
        </w:rPr>
      </w:pPr>
    </w:p>
    <w:p w14:paraId="619079F6" w14:textId="4625123B" w:rsidR="009461BB" w:rsidRPr="00AE0ED9" w:rsidRDefault="003D2F6F" w:rsidP="004D2127">
      <w:pPr>
        <w:pStyle w:val="ListParagraph"/>
        <w:numPr>
          <w:ilvl w:val="0"/>
          <w:numId w:val="2"/>
        </w:numPr>
        <w:ind w:left="850" w:hanging="425"/>
        <w:rPr>
          <w:rFonts w:cstheme="minorHAnsi"/>
          <w:lang w:val="fr-FR"/>
        </w:rPr>
      </w:pPr>
      <w:r w:rsidRPr="00AE0ED9">
        <w:rPr>
          <w:rFonts w:cs="Arial"/>
          <w:lang w:val="fr-FR"/>
        </w:rPr>
        <w:t xml:space="preserve">Contribution à d'autres évaluations importantes, en plus de celles de l’IPBES, en particulier </w:t>
      </w:r>
      <w:r w:rsidR="003F5034" w:rsidRPr="00AE0ED9">
        <w:rPr>
          <w:rFonts w:cs="Arial"/>
          <w:lang w:val="fr-FR"/>
        </w:rPr>
        <w:t xml:space="preserve">au chapitre sur l'eau douce de </w:t>
      </w:r>
      <w:r w:rsidRPr="00AE0ED9">
        <w:rPr>
          <w:rFonts w:cs="Arial"/>
          <w:lang w:val="fr-FR"/>
        </w:rPr>
        <w:t xml:space="preserve">la sixième édition </w:t>
      </w:r>
      <w:r w:rsidR="003F5034" w:rsidRPr="00AE0ED9">
        <w:rPr>
          <w:rFonts w:cs="Arial"/>
          <w:lang w:val="fr-FR"/>
        </w:rPr>
        <w:t>d</w:t>
      </w:r>
      <w:r w:rsidRPr="00AE0ED9">
        <w:rPr>
          <w:rFonts w:cs="Arial"/>
          <w:lang w:val="fr-FR"/>
        </w:rPr>
        <w:t xml:space="preserve">e </w:t>
      </w:r>
      <w:r w:rsidR="003F5034" w:rsidRPr="00AE0ED9">
        <w:rPr>
          <w:rFonts w:cs="Arial"/>
          <w:lang w:val="fr-FR"/>
        </w:rPr>
        <w:t xml:space="preserve">l’Avenir de l’environnement mondial </w:t>
      </w:r>
      <w:r w:rsidRPr="00AE0ED9">
        <w:rPr>
          <w:rFonts w:cs="Arial"/>
          <w:lang w:val="fr-FR"/>
        </w:rPr>
        <w:t>GEO-6</w:t>
      </w:r>
      <w:r w:rsidR="0035595C" w:rsidRPr="00AE0ED9">
        <w:rPr>
          <w:rFonts w:cs="Arial"/>
          <w:lang w:val="fr-FR"/>
        </w:rPr>
        <w:t xml:space="preserve"> </w:t>
      </w:r>
      <w:r w:rsidRPr="00AE0ED9">
        <w:rPr>
          <w:rFonts w:cs="Arial"/>
          <w:lang w:val="fr-FR"/>
        </w:rPr>
        <w:t xml:space="preserve">et participation du GEST à l'appel </w:t>
      </w:r>
      <w:r w:rsidR="007837BA">
        <w:rPr>
          <w:rFonts w:cs="Arial"/>
          <w:lang w:val="fr-FR"/>
        </w:rPr>
        <w:t>à réviseurs pour l’avant-projet</w:t>
      </w:r>
      <w:r w:rsidRPr="00AE0ED9">
        <w:rPr>
          <w:rFonts w:cs="Arial"/>
          <w:lang w:val="fr-FR"/>
        </w:rPr>
        <w:t xml:space="preserve"> du Groupe d'experts intergouvernemental sur l'évolution du climat (GIEC) de la version 2019 des Lignes directrices 2006 du GIEC pour les inventaires nationaux des gaz à effet de serre.</w:t>
      </w:r>
    </w:p>
    <w:p w14:paraId="7EA3B665" w14:textId="77777777" w:rsidR="00C72D5E" w:rsidRPr="00AE0ED9" w:rsidRDefault="00C72D5E" w:rsidP="005D05E1">
      <w:pPr>
        <w:rPr>
          <w:rFonts w:cstheme="minorHAnsi"/>
          <w:lang w:val="fr-FR"/>
        </w:rPr>
      </w:pPr>
    </w:p>
    <w:p w14:paraId="69992D56" w14:textId="10AD17C4" w:rsidR="0071474A" w:rsidRPr="00AE0ED9" w:rsidRDefault="003F5034" w:rsidP="005D05E1">
      <w:pPr>
        <w:pStyle w:val="ListParagraph"/>
        <w:numPr>
          <w:ilvl w:val="0"/>
          <w:numId w:val="2"/>
        </w:numPr>
        <w:ind w:left="850" w:hanging="425"/>
        <w:rPr>
          <w:rFonts w:cstheme="minorHAnsi"/>
          <w:lang w:val="fr-FR"/>
        </w:rPr>
      </w:pPr>
      <w:r w:rsidRPr="00AE0ED9">
        <w:rPr>
          <w:rFonts w:cs="Arial"/>
          <w:lang w:val="fr-FR"/>
        </w:rPr>
        <w:t>Collaboration avec le Secrétariat de l'AEWA en tant que membre du Comité directeur du projet « Renforcement d'</w:t>
      </w:r>
      <w:r w:rsidR="003B13D4">
        <w:rPr>
          <w:rFonts w:cs="Arial"/>
          <w:lang w:val="fr-FR"/>
        </w:rPr>
        <w:t>e</w:t>
      </w:r>
      <w:r w:rsidRPr="00AE0ED9">
        <w:rPr>
          <w:rFonts w:cs="Arial"/>
          <w:lang w:val="fr-FR"/>
        </w:rPr>
        <w:t xml:space="preserve">xpertise au </w:t>
      </w:r>
      <w:r w:rsidR="003B13D4">
        <w:rPr>
          <w:rFonts w:cs="Arial"/>
          <w:lang w:val="fr-FR"/>
        </w:rPr>
        <w:t>s</w:t>
      </w:r>
      <w:r w:rsidRPr="00AE0ED9">
        <w:rPr>
          <w:rFonts w:cs="Arial"/>
          <w:lang w:val="fr-FR"/>
        </w:rPr>
        <w:t xml:space="preserve">ud du Sahara sur les </w:t>
      </w:r>
      <w:r w:rsidR="003B13D4">
        <w:rPr>
          <w:rFonts w:cs="Arial"/>
          <w:lang w:val="fr-FR"/>
        </w:rPr>
        <w:t>o</w:t>
      </w:r>
      <w:r w:rsidRPr="00AE0ED9">
        <w:rPr>
          <w:rFonts w:cs="Arial"/>
          <w:lang w:val="fr-FR"/>
        </w:rPr>
        <w:t xml:space="preserve">iseaux et leur </w:t>
      </w:r>
      <w:r w:rsidR="003B13D4">
        <w:rPr>
          <w:rFonts w:cs="Arial"/>
          <w:lang w:val="fr-FR"/>
        </w:rPr>
        <w:t>u</w:t>
      </w:r>
      <w:r w:rsidRPr="00AE0ED9">
        <w:rPr>
          <w:rFonts w:cs="Arial"/>
          <w:lang w:val="fr-FR"/>
        </w:rPr>
        <w:t xml:space="preserve">tilisation </w:t>
      </w:r>
      <w:r w:rsidR="003B13D4">
        <w:rPr>
          <w:rFonts w:cs="Arial"/>
          <w:lang w:val="fr-FR"/>
        </w:rPr>
        <w:t>r</w:t>
      </w:r>
      <w:r w:rsidRPr="00AE0ED9">
        <w:rPr>
          <w:rFonts w:cs="Arial"/>
          <w:lang w:val="fr-FR"/>
        </w:rPr>
        <w:t xml:space="preserve">ationnelle en faveur des </w:t>
      </w:r>
      <w:r w:rsidR="003B13D4">
        <w:rPr>
          <w:rFonts w:cs="Arial"/>
          <w:lang w:val="fr-FR"/>
        </w:rPr>
        <w:t>c</w:t>
      </w:r>
      <w:r w:rsidRPr="00AE0ED9">
        <w:rPr>
          <w:rFonts w:cs="Arial"/>
          <w:lang w:val="fr-FR"/>
        </w:rPr>
        <w:t xml:space="preserve">ommunautés et de leur </w:t>
      </w:r>
      <w:r w:rsidR="003B13D4">
        <w:rPr>
          <w:rFonts w:cs="Arial"/>
          <w:lang w:val="fr-FR"/>
        </w:rPr>
        <w:t>e</w:t>
      </w:r>
      <w:r w:rsidRPr="00AE0ED9">
        <w:rPr>
          <w:rFonts w:cs="Arial"/>
          <w:lang w:val="fr-FR"/>
        </w:rPr>
        <w:t>nvironnement » de l'Organisation des Nations Unies pour l'alimentation et l'agriculture (FAO)</w:t>
      </w:r>
      <w:r w:rsidR="00FC5A0A" w:rsidRPr="00AE0ED9">
        <w:rPr>
          <w:rFonts w:cstheme="minorHAnsi"/>
          <w:lang w:val="fr-FR"/>
        </w:rPr>
        <w:t xml:space="preserve">. </w:t>
      </w:r>
    </w:p>
    <w:p w14:paraId="346D24C5" w14:textId="77777777" w:rsidR="009461BB" w:rsidRPr="00AE0ED9" w:rsidRDefault="009461BB" w:rsidP="00C81B75">
      <w:pPr>
        <w:ind w:left="0" w:firstLine="0"/>
        <w:rPr>
          <w:rFonts w:cstheme="minorHAnsi"/>
          <w:lang w:val="fr-FR"/>
        </w:rPr>
      </w:pPr>
    </w:p>
    <w:p w14:paraId="595C76EE" w14:textId="532FEDD6" w:rsidR="000D54A1" w:rsidRPr="00AE0ED9" w:rsidRDefault="005D05E1" w:rsidP="005D05E1">
      <w:pPr>
        <w:rPr>
          <w:rFonts w:cstheme="minorHAnsi"/>
          <w:lang w:val="fr-FR"/>
        </w:rPr>
      </w:pPr>
      <w:r w:rsidRPr="00AE0ED9">
        <w:rPr>
          <w:rFonts w:cstheme="minorHAnsi"/>
          <w:lang w:val="fr-FR"/>
        </w:rPr>
        <w:t>2</w:t>
      </w:r>
      <w:r w:rsidR="00E25439" w:rsidRPr="00AE0ED9">
        <w:rPr>
          <w:rFonts w:cstheme="minorHAnsi"/>
          <w:lang w:val="fr-FR"/>
        </w:rPr>
        <w:t>4</w:t>
      </w:r>
      <w:r w:rsidRPr="00AE0ED9">
        <w:rPr>
          <w:rFonts w:cstheme="minorHAnsi"/>
          <w:lang w:val="fr-FR"/>
        </w:rPr>
        <w:t>.</w:t>
      </w:r>
      <w:r w:rsidRPr="00AE0ED9">
        <w:rPr>
          <w:rFonts w:cstheme="minorHAnsi"/>
          <w:lang w:val="fr-FR"/>
        </w:rPr>
        <w:tab/>
      </w:r>
      <w:r w:rsidR="00CE6079" w:rsidRPr="00AE0ED9">
        <w:rPr>
          <w:rFonts w:cstheme="minorHAnsi"/>
          <w:bCs/>
          <w:lang w:val="fr-FR"/>
        </w:rPr>
        <w:t xml:space="preserve">Pour s'acquitter de son mandat, le Secrétariat a renforcé sa collaboration avec les accords multilatéraux sur l’environnement et les organismes des Nations Unies compétents. Cependant, pendant la période considérée, le Secrétariat s’est vu refuser le droit de participer, au nom de la Convention, à la réunion du Forum politique de haut niveau de l'ONU en juillet 2017, qui examine </w:t>
      </w:r>
      <w:r w:rsidR="000B025A">
        <w:rPr>
          <w:rFonts w:cstheme="minorHAnsi"/>
          <w:bCs/>
          <w:lang w:val="fr-FR"/>
        </w:rPr>
        <w:t>l’application</w:t>
      </w:r>
      <w:r w:rsidR="00CE6079" w:rsidRPr="00AE0ED9">
        <w:rPr>
          <w:rFonts w:cstheme="minorHAnsi"/>
          <w:bCs/>
          <w:lang w:val="fr-FR"/>
        </w:rPr>
        <w:t xml:space="preserve"> des ODD et d</w:t>
      </w:r>
      <w:r w:rsidR="000B025A">
        <w:rPr>
          <w:rFonts w:cstheme="minorHAnsi"/>
          <w:bCs/>
          <w:lang w:val="fr-FR"/>
        </w:rPr>
        <w:t xml:space="preserve">u Programme de </w:t>
      </w:r>
      <w:r w:rsidR="00CE6079" w:rsidRPr="00AE0ED9">
        <w:rPr>
          <w:rFonts w:cstheme="minorHAnsi"/>
          <w:bCs/>
          <w:lang w:val="fr-FR"/>
        </w:rPr>
        <w:t>développement durable</w:t>
      </w:r>
      <w:r w:rsidR="000B025A">
        <w:rPr>
          <w:rFonts w:cstheme="minorHAnsi"/>
          <w:bCs/>
          <w:lang w:val="fr-FR"/>
        </w:rPr>
        <w:t xml:space="preserve"> à l’horizon 2030, car le Secrétariat n'</w:t>
      </w:r>
      <w:r w:rsidR="00CE6079" w:rsidRPr="00AE0ED9">
        <w:rPr>
          <w:rFonts w:cstheme="minorHAnsi"/>
          <w:bCs/>
          <w:lang w:val="fr-FR"/>
        </w:rPr>
        <w:t>a ni le statut d'observateur auprès de l'Assemblée générale des Nations Unies, ni auprès du Conseil économique et social des Nations Unies, qui est la plateforme de l'ONU pour le débat sur le développement durable. Le Secrétariat en a informé le Comité exécutif et les coprésidents du GTF et, avec l</w:t>
      </w:r>
      <w:r w:rsidR="000B025A">
        <w:rPr>
          <w:rFonts w:cstheme="minorHAnsi"/>
          <w:bCs/>
          <w:lang w:val="fr-FR"/>
        </w:rPr>
        <w:t>a</w:t>
      </w:r>
      <w:r w:rsidR="00CE6079" w:rsidRPr="00AE0ED9">
        <w:rPr>
          <w:rFonts w:cstheme="minorHAnsi"/>
          <w:bCs/>
          <w:lang w:val="fr-FR"/>
        </w:rPr>
        <w:t xml:space="preserve"> conseill</w:t>
      </w:r>
      <w:r w:rsidR="000B025A">
        <w:rPr>
          <w:rFonts w:cstheme="minorHAnsi"/>
          <w:bCs/>
          <w:lang w:val="fr-FR"/>
        </w:rPr>
        <w:t>ère</w:t>
      </w:r>
      <w:r w:rsidR="00CE6079" w:rsidRPr="00AE0ED9">
        <w:rPr>
          <w:rFonts w:cstheme="minorHAnsi"/>
          <w:bCs/>
          <w:lang w:val="fr-FR"/>
        </w:rPr>
        <w:t xml:space="preserve"> juridique, a aidé </w:t>
      </w:r>
      <w:r w:rsidR="000B025A">
        <w:rPr>
          <w:rFonts w:cstheme="minorHAnsi"/>
          <w:bCs/>
          <w:lang w:val="fr-FR"/>
        </w:rPr>
        <w:t xml:space="preserve">l’Uruguay en sa </w:t>
      </w:r>
      <w:r w:rsidR="000B025A">
        <w:rPr>
          <w:rFonts w:cstheme="minorHAnsi"/>
          <w:bCs/>
          <w:lang w:val="fr-FR"/>
        </w:rPr>
        <w:lastRenderedPageBreak/>
        <w:t>qualité de</w:t>
      </w:r>
      <w:r w:rsidR="00CE6079" w:rsidRPr="00AE0ED9">
        <w:rPr>
          <w:rFonts w:cstheme="minorHAnsi"/>
          <w:bCs/>
          <w:lang w:val="fr-FR"/>
        </w:rPr>
        <w:t xml:space="preserve"> Président du Comité permanent à présenter une demande de statut d'observateur à l'Assemblée générale pour le Secrétariat Ramsar.</w:t>
      </w:r>
      <w:r w:rsidR="000D54A1" w:rsidRPr="00AE0ED9">
        <w:rPr>
          <w:rFonts w:cstheme="minorHAnsi"/>
          <w:lang w:val="fr-FR"/>
        </w:rPr>
        <w:t xml:space="preserve"> </w:t>
      </w:r>
      <w:r w:rsidR="008667D6" w:rsidRPr="00AE0ED9">
        <w:rPr>
          <w:rFonts w:cstheme="minorHAnsi"/>
          <w:lang w:val="fr-FR"/>
        </w:rPr>
        <w:t>La demande a été différée jusqu’à la 73</w:t>
      </w:r>
      <w:r w:rsidR="008667D6" w:rsidRPr="00AE0ED9">
        <w:rPr>
          <w:rFonts w:cstheme="minorHAnsi"/>
          <w:vertAlign w:val="superscript"/>
          <w:lang w:val="fr-FR"/>
        </w:rPr>
        <w:t>e</w:t>
      </w:r>
      <w:r w:rsidR="008667D6" w:rsidRPr="00AE0ED9">
        <w:rPr>
          <w:rFonts w:cstheme="minorHAnsi"/>
          <w:lang w:val="fr-FR"/>
        </w:rPr>
        <w:t xml:space="preserve"> session de l’Assemblée générale des Nations Unies qui devrait être inaugurée le 18 septembre 2018 et à l’ordre du jour de laquelle elle </w:t>
      </w:r>
      <w:r w:rsidR="000B025A">
        <w:rPr>
          <w:rFonts w:cstheme="minorHAnsi"/>
          <w:lang w:val="fr-FR"/>
        </w:rPr>
        <w:t>est</w:t>
      </w:r>
      <w:r w:rsidR="008667D6" w:rsidRPr="00AE0ED9">
        <w:rPr>
          <w:rFonts w:cstheme="minorHAnsi"/>
          <w:lang w:val="fr-FR"/>
        </w:rPr>
        <w:t xml:space="preserve"> inscrite. À la 54</w:t>
      </w:r>
      <w:r w:rsidR="008667D6" w:rsidRPr="00AE0ED9">
        <w:rPr>
          <w:rFonts w:cstheme="minorHAnsi"/>
          <w:vertAlign w:val="superscript"/>
          <w:lang w:val="fr-FR"/>
        </w:rPr>
        <w:t>e</w:t>
      </w:r>
      <w:r w:rsidR="008667D6" w:rsidRPr="00AE0ED9">
        <w:rPr>
          <w:rFonts w:cstheme="minorHAnsi"/>
          <w:lang w:val="fr-FR"/>
        </w:rPr>
        <w:t xml:space="preserve"> Réunion du Comité permanent, dans la Décision </w:t>
      </w:r>
      <w:r w:rsidR="00452CB9" w:rsidRPr="00AE0ED9">
        <w:rPr>
          <w:rFonts w:cstheme="minorHAnsi"/>
          <w:lang w:val="fr-FR"/>
        </w:rPr>
        <w:t>SC54-07</w:t>
      </w:r>
      <w:r w:rsidR="001B53BE" w:rsidRPr="00AE0ED9">
        <w:rPr>
          <w:rFonts w:cstheme="minorHAnsi"/>
          <w:lang w:val="fr-FR"/>
        </w:rPr>
        <w:t>,</w:t>
      </w:r>
      <w:r w:rsidR="009D4535" w:rsidRPr="00AE0ED9">
        <w:rPr>
          <w:rFonts w:cstheme="minorHAnsi"/>
          <w:lang w:val="fr-FR"/>
        </w:rPr>
        <w:t xml:space="preserve"> </w:t>
      </w:r>
      <w:r w:rsidR="008667D6" w:rsidRPr="00AE0ED9">
        <w:rPr>
          <w:rFonts w:cstheme="minorHAnsi"/>
          <w:lang w:val="fr-FR"/>
        </w:rPr>
        <w:t>le Comité permanent</w:t>
      </w:r>
      <w:r w:rsidR="00B4578B" w:rsidRPr="00AE0ED9">
        <w:rPr>
          <w:rFonts w:cstheme="minorHAnsi"/>
          <w:lang w:val="fr-FR"/>
        </w:rPr>
        <w:t xml:space="preserve"> </w:t>
      </w:r>
      <w:r w:rsidR="00191089" w:rsidRPr="00AE0ED9">
        <w:rPr>
          <w:rFonts w:cstheme="minorHAnsi"/>
          <w:lang w:val="fr-FR"/>
        </w:rPr>
        <w:t>« donne instruction au Secrétariat, conjointement avec les Parties intéressées, de continuer d’étudier des possibilités d’accès aux réunions de l’Assemblée générale des Nations Unies et aux forums de haut niveau apparentés</w:t>
      </w:r>
      <w:r w:rsidR="00B4578B" w:rsidRPr="00AE0ED9">
        <w:rPr>
          <w:rFonts w:cstheme="minorHAnsi"/>
          <w:lang w:val="fr-FR"/>
        </w:rPr>
        <w:t>.</w:t>
      </w:r>
      <w:r w:rsidR="00191089" w:rsidRPr="00AE0ED9">
        <w:rPr>
          <w:rFonts w:cstheme="minorHAnsi"/>
          <w:lang w:val="fr-FR"/>
        </w:rPr>
        <w:t> »</w:t>
      </w:r>
      <w:r w:rsidR="00452CB9" w:rsidRPr="00AE0ED9">
        <w:rPr>
          <w:rFonts w:cstheme="minorHAnsi"/>
          <w:lang w:val="fr-FR"/>
        </w:rPr>
        <w:t xml:space="preserve"> </w:t>
      </w:r>
      <w:r w:rsidR="008A1F37" w:rsidRPr="00AE0ED9">
        <w:rPr>
          <w:rFonts w:cstheme="minorHAnsi"/>
          <w:lang w:val="fr-FR"/>
        </w:rPr>
        <w:t>Cette question est inscrite à l’ordre du jour de la 55</w:t>
      </w:r>
      <w:r w:rsidR="008A1F37" w:rsidRPr="00AE0ED9">
        <w:rPr>
          <w:rFonts w:cstheme="minorHAnsi"/>
          <w:vertAlign w:val="superscript"/>
          <w:lang w:val="fr-FR"/>
        </w:rPr>
        <w:t>e</w:t>
      </w:r>
      <w:r w:rsidR="008A1F37" w:rsidRPr="00AE0ED9">
        <w:rPr>
          <w:rFonts w:cstheme="minorHAnsi"/>
          <w:lang w:val="fr-FR"/>
        </w:rPr>
        <w:t> Réunion du Comité permanent et de la COP13. Entre</w:t>
      </w:r>
      <w:r w:rsidR="008A1F37" w:rsidRPr="00AE0ED9">
        <w:rPr>
          <w:rFonts w:cstheme="minorHAnsi"/>
          <w:lang w:val="fr-FR"/>
        </w:rPr>
        <w:noBreakHyphen/>
        <w:t xml:space="preserve">temps, le Secrétariat a pu assister au Forum politique de haut niveau, en juillet 2018, en tant que membre de la délégation de l’UICN. Le Secrétariat a également rencontré des </w:t>
      </w:r>
      <w:r w:rsidR="000B025A">
        <w:rPr>
          <w:rFonts w:cstheme="minorHAnsi"/>
          <w:lang w:val="fr-FR"/>
        </w:rPr>
        <w:t>obstacles</w:t>
      </w:r>
      <w:r w:rsidR="008A1F37" w:rsidRPr="00AE0ED9">
        <w:rPr>
          <w:rFonts w:cstheme="minorHAnsi"/>
          <w:lang w:val="fr-FR"/>
        </w:rPr>
        <w:t xml:space="preserve"> à son engagement </w:t>
      </w:r>
      <w:r w:rsidR="000B025A">
        <w:rPr>
          <w:rFonts w:cstheme="minorHAnsi"/>
          <w:lang w:val="fr-FR"/>
        </w:rPr>
        <w:t>dans le p</w:t>
      </w:r>
      <w:r w:rsidR="008A1F37" w:rsidRPr="00AE0ED9">
        <w:rPr>
          <w:rFonts w:cstheme="minorHAnsi"/>
          <w:lang w:val="fr-FR"/>
        </w:rPr>
        <w:t xml:space="preserve">rogramme pour l’eau des Nations Unies qui est coordonné </w:t>
      </w:r>
      <w:r w:rsidR="000B025A" w:rsidRPr="00AE0ED9">
        <w:rPr>
          <w:rFonts w:cstheme="minorHAnsi"/>
          <w:lang w:val="fr-FR"/>
        </w:rPr>
        <w:t xml:space="preserve">par </w:t>
      </w:r>
      <w:r w:rsidR="000B025A">
        <w:rPr>
          <w:rFonts w:cstheme="minorHAnsi"/>
          <w:lang w:val="fr-FR"/>
        </w:rPr>
        <w:t>l’</w:t>
      </w:r>
      <w:r w:rsidR="000B025A" w:rsidRPr="00AE0ED9">
        <w:rPr>
          <w:rFonts w:cstheme="minorHAnsi"/>
          <w:lang w:val="fr-FR"/>
        </w:rPr>
        <w:t>ONU</w:t>
      </w:r>
      <w:r w:rsidR="000B025A" w:rsidRPr="00AE0ED9">
        <w:rPr>
          <w:rFonts w:cstheme="minorHAnsi"/>
          <w:lang w:val="fr-FR"/>
        </w:rPr>
        <w:noBreakHyphen/>
        <w:t xml:space="preserve">Eau </w:t>
      </w:r>
      <w:r w:rsidR="008A1F37" w:rsidRPr="00AE0ED9">
        <w:rPr>
          <w:rFonts w:cstheme="minorHAnsi"/>
          <w:lang w:val="fr-FR"/>
        </w:rPr>
        <w:t xml:space="preserve">à l’échelle du Système des Nations Unies. Contrairement à d’autres accords multilatéraux </w:t>
      </w:r>
      <w:r w:rsidR="00BB2857">
        <w:rPr>
          <w:rFonts w:cstheme="minorHAnsi"/>
          <w:lang w:val="fr-FR"/>
        </w:rPr>
        <w:t>sur</w:t>
      </w:r>
      <w:r w:rsidR="008A1F37" w:rsidRPr="00AE0ED9">
        <w:rPr>
          <w:rFonts w:cstheme="minorHAnsi"/>
          <w:lang w:val="fr-FR"/>
        </w:rPr>
        <w:t xml:space="preserve"> l’environnement, la Convention de Ramsar n’est pas « membre » d</w:t>
      </w:r>
      <w:r w:rsidR="000B025A">
        <w:rPr>
          <w:rFonts w:cstheme="minorHAnsi"/>
          <w:lang w:val="fr-FR"/>
        </w:rPr>
        <w:t>e l</w:t>
      </w:r>
      <w:r w:rsidR="008A1F37" w:rsidRPr="00AE0ED9">
        <w:rPr>
          <w:rFonts w:cstheme="minorHAnsi"/>
          <w:lang w:val="fr-FR"/>
        </w:rPr>
        <w:t>’ONU</w:t>
      </w:r>
      <w:r w:rsidR="008A1F37" w:rsidRPr="00AE0ED9">
        <w:rPr>
          <w:rFonts w:cstheme="minorHAnsi"/>
          <w:lang w:val="fr-FR"/>
        </w:rPr>
        <w:noBreakHyphen/>
        <w:t xml:space="preserve">Eau car elle ne fait pas partie du Système des Nations Unies. Le Secrétariat peut uniquement contribuer en tant que « partenaire », ce qui </w:t>
      </w:r>
      <w:r w:rsidR="000B025A">
        <w:rPr>
          <w:rFonts w:cstheme="minorHAnsi"/>
          <w:lang w:val="fr-FR"/>
        </w:rPr>
        <w:t>limite</w:t>
      </w:r>
      <w:r w:rsidR="008A1F37" w:rsidRPr="00AE0ED9">
        <w:rPr>
          <w:rFonts w:cstheme="minorHAnsi"/>
          <w:lang w:val="fr-FR"/>
        </w:rPr>
        <w:t xml:space="preserve"> son engagement. </w:t>
      </w:r>
    </w:p>
    <w:p w14:paraId="6F470F48" w14:textId="77777777" w:rsidR="009D4535" w:rsidRPr="00AE0ED9" w:rsidRDefault="009D4535" w:rsidP="00C81B75">
      <w:pPr>
        <w:ind w:left="0" w:firstLine="0"/>
        <w:rPr>
          <w:rFonts w:cstheme="minorHAnsi"/>
          <w:b/>
          <w:bCs/>
          <w:lang w:val="fr-FR"/>
        </w:rPr>
      </w:pPr>
    </w:p>
    <w:p w14:paraId="298AAD2B" w14:textId="3C46F806" w:rsidR="0091414E" w:rsidRPr="00AE0ED9" w:rsidRDefault="00B52495" w:rsidP="00C81B75">
      <w:pPr>
        <w:keepNext/>
        <w:rPr>
          <w:rFonts w:cstheme="minorHAnsi"/>
          <w:bCs/>
          <w:u w:val="single"/>
          <w:lang w:val="fr-FR"/>
        </w:rPr>
      </w:pPr>
      <w:r w:rsidRPr="00AE0ED9">
        <w:rPr>
          <w:rFonts w:cstheme="minorHAnsi"/>
          <w:bCs/>
          <w:u w:val="single"/>
          <w:lang w:val="fr-FR"/>
        </w:rPr>
        <w:t>Renforcer l’appui et favoriser l’application</w:t>
      </w:r>
    </w:p>
    <w:p w14:paraId="09A5C8D0" w14:textId="77777777" w:rsidR="00B52495" w:rsidRPr="00AE0ED9" w:rsidRDefault="00B52495" w:rsidP="00C81B75">
      <w:pPr>
        <w:keepNext/>
        <w:rPr>
          <w:rFonts w:cstheme="minorHAnsi"/>
          <w:lang w:val="fr-FR"/>
        </w:rPr>
      </w:pPr>
    </w:p>
    <w:p w14:paraId="48220C1C" w14:textId="3F06916E" w:rsidR="00ED1D30" w:rsidRPr="00AE0ED9" w:rsidRDefault="00E25439" w:rsidP="0058733D">
      <w:pPr>
        <w:rPr>
          <w:rFonts w:cstheme="minorHAnsi"/>
          <w:lang w:val="fr-FR"/>
        </w:rPr>
      </w:pPr>
      <w:r w:rsidRPr="00AE0ED9">
        <w:rPr>
          <w:rFonts w:cstheme="minorHAnsi"/>
          <w:lang w:val="fr-FR"/>
        </w:rPr>
        <w:t>25</w:t>
      </w:r>
      <w:r w:rsidR="0058733D" w:rsidRPr="00AE0ED9">
        <w:rPr>
          <w:rFonts w:cstheme="minorHAnsi"/>
          <w:lang w:val="fr-FR"/>
        </w:rPr>
        <w:t>.</w:t>
      </w:r>
      <w:r w:rsidR="0058733D" w:rsidRPr="00AE0ED9">
        <w:rPr>
          <w:rFonts w:cstheme="minorHAnsi"/>
          <w:lang w:val="fr-FR"/>
        </w:rPr>
        <w:tab/>
      </w:r>
      <w:r w:rsidR="00B52495" w:rsidRPr="00AE0ED9">
        <w:rPr>
          <w:rFonts w:cstheme="minorHAnsi"/>
          <w:lang w:val="fr-FR"/>
        </w:rPr>
        <w:t>Au cours de la période triennale,</w:t>
      </w:r>
      <w:r w:rsidR="0035595C" w:rsidRPr="00AE0ED9">
        <w:rPr>
          <w:rFonts w:cstheme="minorHAnsi"/>
          <w:lang w:val="fr-FR"/>
        </w:rPr>
        <w:t xml:space="preserve"> </w:t>
      </w:r>
      <w:r w:rsidR="00B52495" w:rsidRPr="00AE0ED9">
        <w:rPr>
          <w:rFonts w:cstheme="minorHAnsi"/>
          <w:lang w:val="fr-FR"/>
        </w:rPr>
        <w:t>le Secrétariat a accord</w:t>
      </w:r>
      <w:r w:rsidR="0022728A" w:rsidRPr="00AE0ED9">
        <w:rPr>
          <w:rFonts w:cstheme="minorHAnsi"/>
          <w:lang w:val="fr-FR"/>
        </w:rPr>
        <w:t>é</w:t>
      </w:r>
      <w:r w:rsidR="00B52495" w:rsidRPr="00AE0ED9">
        <w:rPr>
          <w:rFonts w:cstheme="minorHAnsi"/>
          <w:lang w:val="fr-FR"/>
        </w:rPr>
        <w:t xml:space="preserve"> son appui au processus d’inscription de 131 Sites Ramsar et à la mise à jour des informations relatives </w:t>
      </w:r>
      <w:r w:rsidR="00506AF8" w:rsidRPr="00AE0ED9">
        <w:rPr>
          <w:rFonts w:cstheme="minorHAnsi"/>
          <w:lang w:val="fr-FR"/>
        </w:rPr>
        <w:t xml:space="preserve">à 299 Sites Ramsar existants, </w:t>
      </w:r>
      <w:r w:rsidR="00E9470D">
        <w:rPr>
          <w:rFonts w:cstheme="minorHAnsi"/>
          <w:lang w:val="fr-FR"/>
        </w:rPr>
        <w:t xml:space="preserve">ce qui supposait également un soutien </w:t>
      </w:r>
      <w:r w:rsidR="00B52495" w:rsidRPr="00AE0ED9">
        <w:rPr>
          <w:rFonts w:cstheme="minorHAnsi"/>
          <w:lang w:val="fr-FR"/>
        </w:rPr>
        <w:t>au transfert de données dans le nouveau Système d'information sur les Sites Ramsar (</w:t>
      </w:r>
      <w:r w:rsidR="00E9470D">
        <w:rPr>
          <w:rFonts w:cstheme="minorHAnsi"/>
          <w:lang w:val="fr-FR"/>
        </w:rPr>
        <w:t>SISR</w:t>
      </w:r>
      <w:r w:rsidR="00B52495" w:rsidRPr="00AE0ED9">
        <w:rPr>
          <w:rFonts w:cstheme="minorHAnsi"/>
          <w:lang w:val="fr-FR"/>
        </w:rPr>
        <w:t>), à la publication et aux traductions. Le Secrétariat a soutenu les Parties contractantes grâce à neuf Missions consultatives Ramsar (MCR) : Éta</w:t>
      </w:r>
      <w:r w:rsidR="007D3464" w:rsidRPr="00AE0ED9">
        <w:rPr>
          <w:rFonts w:cstheme="minorHAnsi"/>
          <w:lang w:val="fr-FR"/>
        </w:rPr>
        <w:t>t plurinational de Bolivie (Los </w:t>
      </w:r>
      <w:r w:rsidR="00B52495" w:rsidRPr="00AE0ED9">
        <w:rPr>
          <w:rFonts w:cstheme="minorHAnsi"/>
          <w:lang w:val="fr-FR"/>
        </w:rPr>
        <w:t>Lípez), Colombie (Sistema Delta Estuarino de Río Madgalena, Ciénaga Grande de Santa Marta)</w:t>
      </w:r>
      <w:r w:rsidR="00E9470D" w:rsidRPr="00AE0ED9">
        <w:rPr>
          <w:rFonts w:cstheme="minorHAnsi"/>
          <w:lang w:val="fr-FR"/>
        </w:rPr>
        <w:t>, Émirats arabes unis (Ras Al Khor)</w:t>
      </w:r>
      <w:r w:rsidR="00B52495" w:rsidRPr="00AE0ED9">
        <w:rPr>
          <w:rFonts w:cstheme="minorHAnsi"/>
          <w:lang w:val="fr-FR"/>
        </w:rPr>
        <w:t xml:space="preserve">, </w:t>
      </w:r>
      <w:r w:rsidR="00F97699" w:rsidRPr="00AE0ED9">
        <w:rPr>
          <w:rFonts w:cstheme="minorHAnsi"/>
          <w:lang w:val="fr-FR"/>
        </w:rPr>
        <w:t xml:space="preserve">Italie (Laguna di Venezia : Valle Averto conjointement avec le Centre du patrimoine mondial), </w:t>
      </w:r>
      <w:r w:rsidR="00B52495" w:rsidRPr="00AE0ED9">
        <w:rPr>
          <w:rFonts w:cstheme="minorHAnsi"/>
          <w:lang w:val="fr-FR"/>
        </w:rPr>
        <w:t>Indonésie (Berbak National Park)</w:t>
      </w:r>
      <w:r w:rsidR="00ED1D30" w:rsidRPr="00AE0ED9">
        <w:rPr>
          <w:rFonts w:cstheme="minorHAnsi"/>
          <w:lang w:val="fr-FR"/>
        </w:rPr>
        <w:t>,</w:t>
      </w:r>
      <w:r w:rsidR="004823C2" w:rsidRPr="00AE0ED9">
        <w:rPr>
          <w:rFonts w:cstheme="minorHAnsi"/>
          <w:lang w:val="fr-FR"/>
        </w:rPr>
        <w:t xml:space="preserve"> Iraq </w:t>
      </w:r>
      <w:r w:rsidR="00B52495" w:rsidRPr="00AE0ED9">
        <w:rPr>
          <w:rFonts w:cstheme="minorHAnsi"/>
          <w:lang w:val="fr-FR"/>
        </w:rPr>
        <w:t>et</w:t>
      </w:r>
      <w:r w:rsidR="004823C2" w:rsidRPr="00AE0ED9">
        <w:rPr>
          <w:rFonts w:cstheme="minorHAnsi"/>
          <w:lang w:val="fr-FR"/>
        </w:rPr>
        <w:t xml:space="preserve"> </w:t>
      </w:r>
      <w:r w:rsidR="00B52495" w:rsidRPr="00AE0ED9">
        <w:rPr>
          <w:rFonts w:cstheme="minorHAnsi"/>
          <w:lang w:val="fr-FR"/>
        </w:rPr>
        <w:t>République islamique d’</w:t>
      </w:r>
      <w:r w:rsidR="004823C2" w:rsidRPr="00AE0ED9">
        <w:rPr>
          <w:rFonts w:cstheme="minorHAnsi"/>
          <w:lang w:val="fr-FR"/>
        </w:rPr>
        <w:t xml:space="preserve">Iran (Hawizeh Marsh, Central Marsh </w:t>
      </w:r>
      <w:r w:rsidR="00B52495" w:rsidRPr="00AE0ED9">
        <w:rPr>
          <w:rFonts w:cstheme="minorHAnsi"/>
          <w:lang w:val="fr-FR"/>
        </w:rPr>
        <w:t>et</w:t>
      </w:r>
      <w:r w:rsidR="004823C2" w:rsidRPr="00AE0ED9">
        <w:rPr>
          <w:rFonts w:cstheme="minorHAnsi"/>
          <w:lang w:val="fr-FR"/>
        </w:rPr>
        <w:t xml:space="preserve"> Hammar Marsh),</w:t>
      </w:r>
      <w:r w:rsidR="00ED1D30" w:rsidRPr="00AE0ED9">
        <w:rPr>
          <w:rFonts w:cstheme="minorHAnsi"/>
          <w:lang w:val="fr-FR"/>
        </w:rPr>
        <w:t xml:space="preserve"> Nicaragua (Sistema de Humedales de San Miguelito), </w:t>
      </w:r>
      <w:r w:rsidR="00B52495" w:rsidRPr="00AE0ED9">
        <w:rPr>
          <w:rFonts w:cstheme="minorHAnsi"/>
          <w:lang w:val="fr-FR"/>
        </w:rPr>
        <w:t>Norvège</w:t>
      </w:r>
      <w:r w:rsidR="00ED1D30" w:rsidRPr="00AE0ED9">
        <w:rPr>
          <w:rFonts w:cstheme="minorHAnsi"/>
          <w:lang w:val="fr-FR"/>
        </w:rPr>
        <w:t xml:space="preserve"> (Nordre Tyrifjord Wetland </w:t>
      </w:r>
      <w:r w:rsidR="00F97699">
        <w:rPr>
          <w:rFonts w:cstheme="minorHAnsi"/>
          <w:lang w:val="fr-FR"/>
        </w:rPr>
        <w:t>S</w:t>
      </w:r>
      <w:r w:rsidR="00ED1D30" w:rsidRPr="00AE0ED9">
        <w:rPr>
          <w:rFonts w:cstheme="minorHAnsi"/>
          <w:lang w:val="fr-FR"/>
        </w:rPr>
        <w:t>ystem</w:t>
      </w:r>
      <w:r w:rsidR="00F97699">
        <w:rPr>
          <w:rFonts w:cstheme="minorHAnsi"/>
          <w:lang w:val="fr-FR"/>
        </w:rPr>
        <w:t>)</w:t>
      </w:r>
      <w:r w:rsidR="00B52495" w:rsidRPr="00AE0ED9">
        <w:rPr>
          <w:rFonts w:cstheme="minorHAnsi"/>
          <w:lang w:val="fr-FR"/>
        </w:rPr>
        <w:t xml:space="preserve"> et République-Unie de Tanzanie</w:t>
      </w:r>
      <w:r w:rsidR="00ED1D30" w:rsidRPr="00AE0ED9">
        <w:rPr>
          <w:rFonts w:cstheme="minorHAnsi"/>
          <w:lang w:val="fr-FR"/>
        </w:rPr>
        <w:t xml:space="preserve"> (Kilombero Valley Floodplain).</w:t>
      </w:r>
      <w:r w:rsidR="007D3464" w:rsidRPr="00AE0ED9">
        <w:rPr>
          <w:rFonts w:cstheme="minorHAnsi"/>
          <w:lang w:val="fr-FR"/>
        </w:rPr>
        <w:t xml:space="preserve"> La 53</w:t>
      </w:r>
      <w:r w:rsidR="007D3464" w:rsidRPr="00AE0ED9">
        <w:rPr>
          <w:rFonts w:cstheme="minorHAnsi"/>
          <w:vertAlign w:val="superscript"/>
          <w:lang w:val="fr-FR"/>
        </w:rPr>
        <w:t>e</w:t>
      </w:r>
      <w:r w:rsidR="007D3464" w:rsidRPr="00AE0ED9">
        <w:rPr>
          <w:rFonts w:cstheme="minorHAnsi"/>
          <w:lang w:val="fr-FR"/>
        </w:rPr>
        <w:t> Réunion du Comité permanent a approuvé des fonds pour d’autres MCR concernant notamment la Côte </w:t>
      </w:r>
      <w:r w:rsidR="00ED1D30" w:rsidRPr="00AE0ED9">
        <w:rPr>
          <w:rFonts w:cstheme="minorHAnsi"/>
          <w:lang w:val="fr-FR"/>
        </w:rPr>
        <w:t>d’Ivoire (</w:t>
      </w:r>
      <w:r w:rsidR="007D3464" w:rsidRPr="00AE0ED9">
        <w:rPr>
          <w:rFonts w:cstheme="minorHAnsi"/>
          <w:lang w:val="fr-FR"/>
        </w:rPr>
        <w:t xml:space="preserve">Site Ramsar de </w:t>
      </w:r>
      <w:r w:rsidR="00ED1D30" w:rsidRPr="00AE0ED9">
        <w:rPr>
          <w:rFonts w:cstheme="minorHAnsi"/>
          <w:lang w:val="fr-FR"/>
        </w:rPr>
        <w:t xml:space="preserve">Grand Bassam), </w:t>
      </w:r>
      <w:r w:rsidR="00F97699">
        <w:rPr>
          <w:rFonts w:cstheme="minorHAnsi"/>
          <w:lang w:val="fr-FR"/>
        </w:rPr>
        <w:t xml:space="preserve">le </w:t>
      </w:r>
      <w:r w:rsidR="004823C2" w:rsidRPr="00AE0ED9">
        <w:rPr>
          <w:rFonts w:cstheme="minorHAnsi"/>
          <w:lang w:val="fr-FR"/>
        </w:rPr>
        <w:t>Nicaragua (</w:t>
      </w:r>
      <w:r w:rsidR="007D3464" w:rsidRPr="00AE0ED9">
        <w:rPr>
          <w:rFonts w:cstheme="minorHAnsi"/>
          <w:lang w:val="fr-FR"/>
        </w:rPr>
        <w:t xml:space="preserve">Site Ramsar </w:t>
      </w:r>
      <w:r w:rsidR="004823C2" w:rsidRPr="00AE0ED9">
        <w:rPr>
          <w:rFonts w:cstheme="minorHAnsi"/>
          <w:lang w:val="fr-FR"/>
        </w:rPr>
        <w:t xml:space="preserve">Bluefield </w:t>
      </w:r>
      <w:r w:rsidR="007D3464" w:rsidRPr="00AE0ED9">
        <w:rPr>
          <w:rFonts w:cstheme="minorHAnsi"/>
          <w:lang w:val="fr-FR"/>
        </w:rPr>
        <w:t xml:space="preserve">et </w:t>
      </w:r>
      <w:r w:rsidR="004823C2" w:rsidRPr="00AE0ED9">
        <w:rPr>
          <w:rFonts w:cstheme="minorHAnsi"/>
          <w:lang w:val="fr-FR"/>
        </w:rPr>
        <w:t>Corn Island)</w:t>
      </w:r>
      <w:r w:rsidR="007D3464" w:rsidRPr="00AE0ED9">
        <w:rPr>
          <w:rFonts w:cstheme="minorHAnsi"/>
          <w:lang w:val="fr-FR"/>
        </w:rPr>
        <w:t xml:space="preserve"> et l’Ouganda</w:t>
      </w:r>
      <w:r w:rsidR="00ED1D30" w:rsidRPr="00AE0ED9">
        <w:rPr>
          <w:rFonts w:cstheme="minorHAnsi"/>
          <w:lang w:val="fr-FR"/>
        </w:rPr>
        <w:t xml:space="preserve"> (</w:t>
      </w:r>
      <w:r w:rsidR="007D3464" w:rsidRPr="00AE0ED9">
        <w:rPr>
          <w:rFonts w:cstheme="minorHAnsi"/>
          <w:lang w:val="fr-FR"/>
        </w:rPr>
        <w:t xml:space="preserve">Site Ramsar </w:t>
      </w:r>
      <w:r w:rsidR="00ED1D30" w:rsidRPr="00AE0ED9">
        <w:rPr>
          <w:rFonts w:cstheme="minorHAnsi"/>
          <w:lang w:val="fr-FR"/>
        </w:rPr>
        <w:t xml:space="preserve">Murchison Falls-Albert Delta Wetland System </w:t>
      </w:r>
      <w:r w:rsidR="007D3464" w:rsidRPr="00AE0ED9">
        <w:rPr>
          <w:rFonts w:cstheme="minorHAnsi"/>
          <w:lang w:val="fr-FR"/>
        </w:rPr>
        <w:t xml:space="preserve">et Site </w:t>
      </w:r>
      <w:r w:rsidR="00ED1D30" w:rsidRPr="00AE0ED9">
        <w:rPr>
          <w:rFonts w:cstheme="minorHAnsi"/>
          <w:lang w:val="fr-FR"/>
        </w:rPr>
        <w:t xml:space="preserve">Ramsar Lake George) </w:t>
      </w:r>
      <w:r w:rsidR="007D3464" w:rsidRPr="00AE0ED9">
        <w:rPr>
          <w:rFonts w:cstheme="minorHAnsi"/>
          <w:lang w:val="fr-FR"/>
        </w:rPr>
        <w:t>qui auront lieu en octobre 2018. Trente Parties contractantes ont reçu une aide à l’élaboration d’inventaires des zones humides. Il y aura de nouvelles occasions de soutenir les Parties contractantes dans ce domaine avec la nomination de la Convention de Ramsar comme coresponsable de l’indicateur 6.6.1 de l’ODD 6 sur l’étendue des zones humides.</w:t>
      </w:r>
      <w:r w:rsidR="00BA6D48" w:rsidRPr="00AE0ED9">
        <w:rPr>
          <w:rFonts w:cstheme="minorHAnsi"/>
          <w:lang w:val="fr-FR"/>
        </w:rPr>
        <w:t xml:space="preserve"> </w:t>
      </w:r>
    </w:p>
    <w:p w14:paraId="5D375E92" w14:textId="77777777" w:rsidR="00D352B8" w:rsidRPr="00AE0ED9" w:rsidRDefault="00D352B8" w:rsidP="00C81B75">
      <w:pPr>
        <w:rPr>
          <w:rFonts w:cstheme="minorHAnsi"/>
          <w:lang w:val="fr-FR"/>
        </w:rPr>
      </w:pPr>
    </w:p>
    <w:p w14:paraId="3033DD0F" w14:textId="1E9D8EE9" w:rsidR="001D3733" w:rsidRPr="00AE0ED9" w:rsidRDefault="00E25439" w:rsidP="0058733D">
      <w:pPr>
        <w:rPr>
          <w:rFonts w:cstheme="minorHAnsi"/>
          <w:lang w:val="fr-FR"/>
        </w:rPr>
      </w:pPr>
      <w:r w:rsidRPr="00AE0ED9">
        <w:rPr>
          <w:rFonts w:cstheme="minorHAnsi"/>
          <w:lang w:val="fr-FR"/>
        </w:rPr>
        <w:t>26</w:t>
      </w:r>
      <w:r w:rsidR="0058733D" w:rsidRPr="00AE0ED9">
        <w:rPr>
          <w:rFonts w:cstheme="minorHAnsi"/>
          <w:lang w:val="fr-FR"/>
        </w:rPr>
        <w:t>.</w:t>
      </w:r>
      <w:r w:rsidR="0058733D" w:rsidRPr="00AE0ED9">
        <w:rPr>
          <w:rFonts w:cstheme="minorHAnsi"/>
          <w:lang w:val="fr-FR"/>
        </w:rPr>
        <w:tab/>
      </w:r>
      <w:r w:rsidR="007D3464" w:rsidRPr="00AE0ED9">
        <w:rPr>
          <w:rFonts w:cstheme="minorHAnsi"/>
          <w:lang w:val="fr-FR"/>
        </w:rPr>
        <w:t>Le Secrétariat a priorisé le transfert de données dans le nouveau SISR. Le transfert est terminé pour 1096 Sites Ramsar et toutes les données de l’ancienne base de données ont migré sur la nouvelle plateforme du SISR.</w:t>
      </w:r>
      <w:r w:rsidR="00D742E9" w:rsidRPr="00AE0ED9">
        <w:rPr>
          <w:rFonts w:cstheme="minorHAnsi"/>
          <w:lang w:val="fr-FR"/>
        </w:rPr>
        <w:t xml:space="preserve"> </w:t>
      </w:r>
    </w:p>
    <w:p w14:paraId="50B45001" w14:textId="77777777" w:rsidR="001D3733" w:rsidRPr="00AE0ED9" w:rsidRDefault="001D3733" w:rsidP="00C81B75">
      <w:pPr>
        <w:rPr>
          <w:rFonts w:cstheme="minorHAnsi"/>
          <w:lang w:val="fr-FR"/>
        </w:rPr>
      </w:pPr>
    </w:p>
    <w:p w14:paraId="306E221D" w14:textId="2CEA5862" w:rsidR="00C17218" w:rsidRPr="00AE0ED9" w:rsidRDefault="00E25439" w:rsidP="0058733D">
      <w:pPr>
        <w:rPr>
          <w:rFonts w:cstheme="minorHAnsi"/>
          <w:lang w:val="fr-FR"/>
        </w:rPr>
      </w:pPr>
      <w:r w:rsidRPr="00AE0ED9">
        <w:rPr>
          <w:rFonts w:cstheme="minorHAnsi"/>
          <w:lang w:val="fr-FR"/>
        </w:rPr>
        <w:t>27</w:t>
      </w:r>
      <w:r w:rsidR="0058733D" w:rsidRPr="00AE0ED9">
        <w:rPr>
          <w:rFonts w:cstheme="minorHAnsi"/>
          <w:lang w:val="fr-FR"/>
        </w:rPr>
        <w:t>.</w:t>
      </w:r>
      <w:r w:rsidR="0058733D" w:rsidRPr="00AE0ED9">
        <w:rPr>
          <w:rFonts w:cstheme="minorHAnsi"/>
          <w:lang w:val="fr-FR"/>
        </w:rPr>
        <w:tab/>
      </w:r>
      <w:r w:rsidR="00B52495" w:rsidRPr="00AE0ED9">
        <w:rPr>
          <w:rFonts w:cstheme="minorHAnsi"/>
          <w:lang w:val="fr-FR"/>
        </w:rPr>
        <w:t xml:space="preserve">Le Secrétariat a poursuivi ses efforts pour renforcer son rôle de facilitation (en ce qui concerne l’appui direct aux différentes Parties contractantes) afin de déployer ses capacités et ses ressources limitées de la manière la plus efficace et </w:t>
      </w:r>
      <w:r w:rsidR="00F97699">
        <w:rPr>
          <w:rFonts w:cstheme="minorHAnsi"/>
          <w:lang w:val="fr-FR"/>
        </w:rPr>
        <w:t xml:space="preserve">la plus </w:t>
      </w:r>
      <w:r w:rsidR="00B52495" w:rsidRPr="00AE0ED9">
        <w:rPr>
          <w:rFonts w:cstheme="minorHAnsi"/>
          <w:lang w:val="fr-FR"/>
        </w:rPr>
        <w:t xml:space="preserve">stratégique possible. En ce qui concerne le renforcement des capacités, le Secrétariat </w:t>
      </w:r>
      <w:r w:rsidR="00267E45" w:rsidRPr="00AE0ED9">
        <w:rPr>
          <w:rFonts w:cstheme="minorHAnsi"/>
          <w:lang w:val="fr-FR"/>
        </w:rPr>
        <w:t>a participé à de nombreu</w:t>
      </w:r>
      <w:r w:rsidR="00F97699">
        <w:rPr>
          <w:rFonts w:cstheme="minorHAnsi"/>
          <w:lang w:val="fr-FR"/>
        </w:rPr>
        <w:t>ses activités dans ce domaine</w:t>
      </w:r>
      <w:r w:rsidR="00267E45" w:rsidRPr="00AE0ED9">
        <w:rPr>
          <w:rFonts w:cstheme="minorHAnsi"/>
          <w:lang w:val="fr-FR"/>
        </w:rPr>
        <w:t>, notamment des séances de formation et des ateliers</w:t>
      </w:r>
      <w:r w:rsidR="006722D1" w:rsidRPr="00AE0ED9">
        <w:rPr>
          <w:rFonts w:cstheme="minorHAnsi"/>
          <w:lang w:val="fr-FR"/>
        </w:rPr>
        <w:t xml:space="preserve">. </w:t>
      </w:r>
      <w:r w:rsidR="00267E45" w:rsidRPr="00AE0ED9">
        <w:rPr>
          <w:rFonts w:cstheme="minorHAnsi"/>
          <w:lang w:val="fr-FR"/>
        </w:rPr>
        <w:t>Pour améliorer son efficacité et son influence, le</w:t>
      </w:r>
      <w:r w:rsidR="00604D41" w:rsidRPr="00AE0ED9">
        <w:rPr>
          <w:rFonts w:cstheme="minorHAnsi"/>
          <w:lang w:val="fr-FR"/>
        </w:rPr>
        <w:t xml:space="preserve"> Secr</w:t>
      </w:r>
      <w:r w:rsidR="00267E45" w:rsidRPr="00AE0ED9">
        <w:rPr>
          <w:rFonts w:cstheme="minorHAnsi"/>
          <w:lang w:val="fr-FR"/>
        </w:rPr>
        <w:t>é</w:t>
      </w:r>
      <w:r w:rsidR="00604D41" w:rsidRPr="00AE0ED9">
        <w:rPr>
          <w:rFonts w:cstheme="minorHAnsi"/>
          <w:lang w:val="fr-FR"/>
        </w:rPr>
        <w:t xml:space="preserve">tariat </w:t>
      </w:r>
      <w:r w:rsidR="00267E45" w:rsidRPr="00AE0ED9">
        <w:rPr>
          <w:rFonts w:cstheme="minorHAnsi"/>
          <w:lang w:val="fr-FR"/>
        </w:rPr>
        <w:t xml:space="preserve">a introduit des approches fondées sur l'Internet et en particulier l'utilisation des webinaires. Fin 2017, quatre séances de formation sur l'utilisation du SISR ont été organisées, auxquelles </w:t>
      </w:r>
      <w:r w:rsidR="00F97699">
        <w:rPr>
          <w:rFonts w:cstheme="minorHAnsi"/>
          <w:lang w:val="fr-FR"/>
        </w:rPr>
        <w:t>étaient présents</w:t>
      </w:r>
      <w:r w:rsidR="00267E45" w:rsidRPr="00AE0ED9">
        <w:rPr>
          <w:rFonts w:cstheme="minorHAnsi"/>
          <w:lang w:val="fr-FR"/>
        </w:rPr>
        <w:t xml:space="preserve"> 53 participants de 23 Parties contractantes. Afin d'aider les Parties contractantes à préparer </w:t>
      </w:r>
      <w:r w:rsidR="00F97699">
        <w:rPr>
          <w:rFonts w:cstheme="minorHAnsi"/>
          <w:lang w:val="fr-FR"/>
        </w:rPr>
        <w:t>leurs</w:t>
      </w:r>
      <w:r w:rsidR="00267E45" w:rsidRPr="00AE0ED9">
        <w:rPr>
          <w:rFonts w:cstheme="minorHAnsi"/>
          <w:lang w:val="fr-FR"/>
        </w:rPr>
        <w:t xml:space="preserve"> rapports nationaux et de suivi sur </w:t>
      </w:r>
      <w:r w:rsidR="00267E45" w:rsidRPr="00AE0ED9">
        <w:rPr>
          <w:rFonts w:cstheme="minorHAnsi"/>
          <w:lang w:val="fr-FR"/>
        </w:rPr>
        <w:lastRenderedPageBreak/>
        <w:t>«</w:t>
      </w:r>
      <w:r w:rsidR="00F6727F" w:rsidRPr="00AE0ED9">
        <w:rPr>
          <w:rFonts w:cstheme="minorHAnsi"/>
          <w:lang w:val="fr-FR"/>
        </w:rPr>
        <w:t> </w:t>
      </w:r>
      <w:r w:rsidR="00267E45" w:rsidRPr="00AE0ED9">
        <w:rPr>
          <w:rFonts w:cstheme="minorHAnsi"/>
          <w:lang w:val="fr-FR"/>
        </w:rPr>
        <w:t>l'étendue des zones humides » en tant que contribution à l’indicateur 6.6.1 de l’ODD</w:t>
      </w:r>
      <w:r w:rsidR="00F6727F" w:rsidRPr="00AE0ED9">
        <w:rPr>
          <w:rFonts w:cstheme="minorHAnsi"/>
          <w:lang w:val="fr-FR"/>
        </w:rPr>
        <w:t> </w:t>
      </w:r>
      <w:r w:rsidR="00267E45" w:rsidRPr="00AE0ED9">
        <w:rPr>
          <w:rFonts w:cstheme="minorHAnsi"/>
          <w:lang w:val="fr-FR"/>
        </w:rPr>
        <w:t xml:space="preserve">6, le Secrétariat a élaboré un tutoriel pour le Système de </w:t>
      </w:r>
      <w:r w:rsidR="00F97699">
        <w:rPr>
          <w:rFonts w:cstheme="minorHAnsi"/>
          <w:lang w:val="fr-FR"/>
        </w:rPr>
        <w:t xml:space="preserve">transmission des </w:t>
      </w:r>
      <w:r w:rsidR="00267E45" w:rsidRPr="00AE0ED9">
        <w:rPr>
          <w:rFonts w:cstheme="minorHAnsi"/>
          <w:lang w:val="fr-FR"/>
        </w:rPr>
        <w:t xml:space="preserve">rapports nationaux en ligne, et des lignes directrices sur les informations à fournir </w:t>
      </w:r>
      <w:r w:rsidR="00F97699">
        <w:rPr>
          <w:rFonts w:cstheme="minorHAnsi"/>
          <w:lang w:val="fr-FR"/>
        </w:rPr>
        <w:t>pour</w:t>
      </w:r>
      <w:r w:rsidR="00267E45" w:rsidRPr="00AE0ED9">
        <w:rPr>
          <w:rFonts w:cstheme="minorHAnsi"/>
          <w:lang w:val="fr-FR"/>
        </w:rPr>
        <w:t xml:space="preserve"> </w:t>
      </w:r>
      <w:r w:rsidR="00F97699">
        <w:rPr>
          <w:rFonts w:cstheme="minorHAnsi"/>
          <w:lang w:val="fr-FR"/>
        </w:rPr>
        <w:t>l’Objectif</w:t>
      </w:r>
      <w:r w:rsidR="00267E45" w:rsidRPr="00AE0ED9">
        <w:rPr>
          <w:rFonts w:cstheme="minorHAnsi"/>
          <w:lang w:val="fr-FR"/>
        </w:rPr>
        <w:t xml:space="preserve"> 8 </w:t>
      </w:r>
      <w:r w:rsidR="00F97699">
        <w:rPr>
          <w:rFonts w:cstheme="minorHAnsi"/>
          <w:lang w:val="fr-FR"/>
        </w:rPr>
        <w:t>concernant</w:t>
      </w:r>
      <w:r w:rsidR="00267E45" w:rsidRPr="00AE0ED9">
        <w:rPr>
          <w:rFonts w:cstheme="minorHAnsi"/>
          <w:lang w:val="fr-FR"/>
        </w:rPr>
        <w:t>«</w:t>
      </w:r>
      <w:r w:rsidR="009B71EA">
        <w:rPr>
          <w:rFonts w:cstheme="minorHAnsi"/>
          <w:lang w:val="fr-FR"/>
        </w:rPr>
        <w:t> </w:t>
      </w:r>
      <w:r w:rsidR="00F97699">
        <w:rPr>
          <w:rFonts w:cstheme="minorHAnsi"/>
          <w:lang w:val="fr-FR"/>
        </w:rPr>
        <w:t>l’i</w:t>
      </w:r>
      <w:r w:rsidR="00267E45" w:rsidRPr="00AE0ED9">
        <w:rPr>
          <w:rFonts w:cstheme="minorHAnsi"/>
          <w:lang w:val="fr-FR"/>
        </w:rPr>
        <w:t>nventaire national des zones humides » et en particulier « l'étendue des zones humides ». Ce tutoriel a été diffusé via des webinaires et des appels sur Skype. Les capacités ont également été renforcées dans le domaine de l'utilisation des outils d'observation de la Terre pour la cartographie et l'inventaire des zones humides (GlobWetland Africa Toolbox). Des efforts sont en cours en faveur d’une coordination plus efficace, à l’échelle du Secrétariat, du renforcement des capacités dans toutes les régions. L'approche proposée comprend l'identification des besoins et des domaines prioritaires dans lesquels des capacités sont nécessaires, l’élaboration et l'utilisation d'approches, de matériels et d'outils communs (tels que les webinaires), le développement de partenariats pour le renforcement des capacités et le suivi des résultats</w:t>
      </w:r>
      <w:r w:rsidR="003C427C" w:rsidRPr="00AE0ED9">
        <w:rPr>
          <w:rFonts w:cstheme="minorHAnsi"/>
          <w:lang w:val="fr-FR"/>
        </w:rPr>
        <w:t>.</w:t>
      </w:r>
      <w:r w:rsidR="000D5902" w:rsidRPr="00AE0ED9">
        <w:rPr>
          <w:rFonts w:cstheme="minorHAnsi"/>
          <w:lang w:val="fr-FR"/>
        </w:rPr>
        <w:t xml:space="preserve"> </w:t>
      </w:r>
    </w:p>
    <w:p w14:paraId="0C1F6DA8" w14:textId="77777777" w:rsidR="003C427C" w:rsidRPr="00AE0ED9" w:rsidRDefault="003C427C" w:rsidP="00C81B75">
      <w:pPr>
        <w:rPr>
          <w:rFonts w:cstheme="minorHAnsi"/>
          <w:lang w:val="fr-FR"/>
        </w:rPr>
      </w:pPr>
    </w:p>
    <w:p w14:paraId="2CBE8592" w14:textId="0812109D" w:rsidR="00F46B68" w:rsidRPr="00AE0ED9" w:rsidRDefault="00E25439" w:rsidP="0058733D">
      <w:pPr>
        <w:rPr>
          <w:rFonts w:cstheme="minorHAnsi"/>
          <w:lang w:val="fr-FR"/>
        </w:rPr>
      </w:pPr>
      <w:r w:rsidRPr="00AE0ED9">
        <w:rPr>
          <w:rFonts w:cstheme="minorHAnsi"/>
          <w:lang w:val="fr-FR"/>
        </w:rPr>
        <w:t>28</w:t>
      </w:r>
      <w:r w:rsidR="0058733D" w:rsidRPr="00AE0ED9">
        <w:rPr>
          <w:rFonts w:cstheme="minorHAnsi"/>
          <w:lang w:val="fr-FR"/>
        </w:rPr>
        <w:t>.</w:t>
      </w:r>
      <w:r w:rsidR="0058733D" w:rsidRPr="00AE0ED9">
        <w:rPr>
          <w:rFonts w:cstheme="minorHAnsi"/>
          <w:lang w:val="fr-FR"/>
        </w:rPr>
        <w:tab/>
      </w:r>
      <w:r w:rsidR="00190349">
        <w:rPr>
          <w:rFonts w:cstheme="minorHAnsi"/>
          <w:lang w:val="fr-FR"/>
        </w:rPr>
        <w:t>Pour</w:t>
      </w:r>
      <w:r w:rsidR="007605AB" w:rsidRPr="00AE0ED9">
        <w:rPr>
          <w:rFonts w:cstheme="minorHAnsi"/>
          <w:lang w:val="fr-FR"/>
        </w:rPr>
        <w:t xml:space="preserve"> renforcer son rôle de facilitation, le Secrétariat continue de soutenir les Initiatives régionales Ramsar qui restent actives, notamment : en participant à leurs réunions de coordination; en donnant des avis et un appui sur l’application de leurs activités; en soutenant leurs efforts d’appels de fonds conformément aux priorités approuvées à la COP12; en facilitant et compilant leurs rapports au Comité permanent; et en fournissant un appui au Groupe de travail du Comité permanent sur les Initiatives régionales. </w:t>
      </w:r>
      <w:r w:rsidR="004958F4" w:rsidRPr="00AE0ED9">
        <w:rPr>
          <w:rFonts w:cstheme="minorHAnsi"/>
          <w:lang w:val="fr-FR"/>
        </w:rPr>
        <w:t>Le Secrétariat s’est aussi engagé</w:t>
      </w:r>
      <w:r w:rsidR="004958F4" w:rsidRPr="00AE0ED9">
        <w:rPr>
          <w:lang w:val="fr-FR"/>
        </w:rPr>
        <w:t xml:space="preserve"> dans des partenariats stratégiques. Le Secrétariat a renouvelé son partenariat avec Danone pour trois ans (2017-2019). Le prolongement de ce partenariat apporte des ressources pour la Journée mondiale des zones humides et les prix Ramsar, ainsi que pour financer d'autres activités visant à accroître la visibilité de la Convention et la sensibilisation aux zones humides. Le partenariat prévoit également une collaboration </w:t>
      </w:r>
      <w:r w:rsidR="00190349">
        <w:rPr>
          <w:lang w:val="fr-FR"/>
        </w:rPr>
        <w:t>à la</w:t>
      </w:r>
      <w:r w:rsidR="004958F4" w:rsidRPr="00AE0ED9">
        <w:rPr>
          <w:lang w:val="fr-FR"/>
        </w:rPr>
        <w:t xml:space="preserve"> gestion durable des bassins versants et </w:t>
      </w:r>
      <w:r w:rsidR="00190349">
        <w:rPr>
          <w:lang w:val="fr-FR"/>
        </w:rPr>
        <w:t>pour les</w:t>
      </w:r>
      <w:r w:rsidR="004958F4" w:rsidRPr="00AE0ED9">
        <w:rPr>
          <w:lang w:val="fr-FR"/>
        </w:rPr>
        <w:t xml:space="preserve"> changement</w:t>
      </w:r>
      <w:r w:rsidR="00190349">
        <w:rPr>
          <w:lang w:val="fr-FR"/>
        </w:rPr>
        <w:t>s</w:t>
      </w:r>
      <w:r w:rsidR="004958F4" w:rsidRPr="00AE0ED9">
        <w:rPr>
          <w:lang w:val="fr-FR"/>
        </w:rPr>
        <w:t xml:space="preserve"> climatique</w:t>
      </w:r>
      <w:r w:rsidR="00190349">
        <w:rPr>
          <w:lang w:val="fr-FR"/>
        </w:rPr>
        <w:t>s</w:t>
      </w:r>
      <w:r w:rsidR="004958F4" w:rsidRPr="00AE0ED9">
        <w:rPr>
          <w:lang w:val="fr-FR"/>
        </w:rPr>
        <w:t xml:space="preserve"> avec des outils et des méthodologies validés. Compte tenu de l'évolution des priorités de Danone, le Secrétariat devra </w:t>
      </w:r>
      <w:r w:rsidR="00190349">
        <w:rPr>
          <w:lang w:val="fr-FR"/>
        </w:rPr>
        <w:t xml:space="preserve">sans doute, à partir de 2019, </w:t>
      </w:r>
      <w:r w:rsidR="004958F4" w:rsidRPr="00AE0ED9">
        <w:rPr>
          <w:lang w:val="fr-FR"/>
        </w:rPr>
        <w:t>mobiliser des fonds supplémentaires pour les célébrations de la Journée mondiale des zones humides et le programme des prix Ramsar. Le partenariat avec Danone continue d'ouvrir la voie à de nouvelles possibilités, notamment une collaboration potentielle avec le Fonds Livelihoods et le CEO Water Mandate</w:t>
      </w:r>
      <w:r w:rsidR="00190349">
        <w:rPr>
          <w:lang w:val="fr-FR"/>
        </w:rPr>
        <w:t xml:space="preserve"> (mandat sur l’eau)</w:t>
      </w:r>
      <w:r w:rsidR="004958F4" w:rsidRPr="00AE0ED9">
        <w:rPr>
          <w:lang w:val="fr-FR"/>
        </w:rPr>
        <w:t>. Le partenariat de Star Alliance avec la Convention et l'UICN a pris fin en 2017 en raison d'un changement de priorités dans la gestion de Star Alliance</w:t>
      </w:r>
      <w:r w:rsidR="00266AF0" w:rsidRPr="00AE0ED9">
        <w:rPr>
          <w:rFonts w:cstheme="minorHAnsi"/>
          <w:lang w:val="fr-FR"/>
        </w:rPr>
        <w:t>.</w:t>
      </w:r>
      <w:r w:rsidR="00971CF5" w:rsidRPr="00AE0ED9">
        <w:rPr>
          <w:rFonts w:cstheme="minorHAnsi"/>
          <w:lang w:val="fr-FR"/>
        </w:rPr>
        <w:t xml:space="preserve"> </w:t>
      </w:r>
      <w:r w:rsidR="00815588" w:rsidRPr="00AE0ED9">
        <w:rPr>
          <w:rFonts w:cstheme="minorHAnsi"/>
          <w:lang w:val="fr-FR"/>
        </w:rPr>
        <w:t xml:space="preserve">Le projet </w:t>
      </w:r>
      <w:r w:rsidR="00A334B5" w:rsidRPr="00AE0ED9">
        <w:rPr>
          <w:rFonts w:cstheme="minorHAnsi"/>
          <w:lang w:val="fr-FR"/>
        </w:rPr>
        <w:t xml:space="preserve">MAVA </w:t>
      </w:r>
      <w:r w:rsidR="00815588" w:rsidRPr="00AE0ED9">
        <w:rPr>
          <w:rFonts w:cstheme="minorHAnsi"/>
          <w:lang w:val="fr-FR"/>
        </w:rPr>
        <w:t>sur la conservation du patrimoine naturel et culturel dans les zones humides s’est terminé en mars 2018 et le Comité permanent a fourni des orientations pour les étapes finales. Le Secrétariat a passé en revue les partenariats existants pour lesquels des accords de coopération (c</w:t>
      </w:r>
      <w:r w:rsidR="00190349">
        <w:rPr>
          <w:rFonts w:cstheme="minorHAnsi"/>
          <w:lang w:val="fr-FR"/>
        </w:rPr>
        <w:t>’est</w:t>
      </w:r>
      <w:r w:rsidR="00815588" w:rsidRPr="00AE0ED9">
        <w:rPr>
          <w:rFonts w:cstheme="minorHAnsi"/>
          <w:lang w:val="fr-FR"/>
        </w:rPr>
        <w:noBreakHyphen/>
        <w:t>à</w:t>
      </w:r>
      <w:r w:rsidR="00815588" w:rsidRPr="00AE0ED9">
        <w:rPr>
          <w:rFonts w:cstheme="minorHAnsi"/>
          <w:lang w:val="fr-FR"/>
        </w:rPr>
        <w:noBreakHyphen/>
        <w:t>d</w:t>
      </w:r>
      <w:r w:rsidR="00190349">
        <w:rPr>
          <w:rFonts w:cstheme="minorHAnsi"/>
          <w:lang w:val="fr-FR"/>
        </w:rPr>
        <w:t>ire</w:t>
      </w:r>
      <w:r w:rsidR="00815588" w:rsidRPr="00AE0ED9">
        <w:rPr>
          <w:rFonts w:cstheme="minorHAnsi"/>
          <w:lang w:val="fr-FR"/>
        </w:rPr>
        <w:t xml:space="preserve"> Mémorandum de coopération, Mémorandum d’accord) sont </w:t>
      </w:r>
      <w:r w:rsidR="00190349">
        <w:rPr>
          <w:rFonts w:cstheme="minorHAnsi"/>
          <w:lang w:val="fr-FR"/>
        </w:rPr>
        <w:t>conclus</w:t>
      </w:r>
      <w:r w:rsidR="00815588" w:rsidRPr="00AE0ED9">
        <w:rPr>
          <w:rFonts w:cstheme="minorHAnsi"/>
          <w:lang w:val="fr-FR"/>
        </w:rPr>
        <w:t xml:space="preserve"> et a présenté ses conclusions à la 54</w:t>
      </w:r>
      <w:r w:rsidR="00815588" w:rsidRPr="00AE0ED9">
        <w:rPr>
          <w:rFonts w:cstheme="minorHAnsi"/>
          <w:vertAlign w:val="superscript"/>
          <w:lang w:val="fr-FR"/>
        </w:rPr>
        <w:t>e</w:t>
      </w:r>
      <w:r w:rsidR="00815588" w:rsidRPr="00AE0ED9">
        <w:rPr>
          <w:rFonts w:cstheme="minorHAnsi"/>
          <w:lang w:val="fr-FR"/>
        </w:rPr>
        <w:t xml:space="preserve"> Réunion du Comité permanent. Le Comité permanent a approuvé l’approche proposée et l’arbre décisionnel d’accompagnement pour déterminer le moment opportun </w:t>
      </w:r>
      <w:r w:rsidR="00190349">
        <w:rPr>
          <w:rFonts w:cstheme="minorHAnsi"/>
          <w:lang w:val="fr-FR"/>
        </w:rPr>
        <w:t>de conclure</w:t>
      </w:r>
      <w:r w:rsidR="00815588" w:rsidRPr="00AE0ED9">
        <w:rPr>
          <w:rFonts w:cstheme="minorHAnsi"/>
          <w:lang w:val="fr-FR"/>
        </w:rPr>
        <w:t xml:space="preserve"> des accords de coopération. </w:t>
      </w:r>
    </w:p>
    <w:p w14:paraId="24170D14" w14:textId="77777777" w:rsidR="001A0ACF" w:rsidRPr="00AE0ED9" w:rsidRDefault="001A0ACF" w:rsidP="00C81B75">
      <w:pPr>
        <w:rPr>
          <w:rFonts w:cstheme="minorHAnsi"/>
          <w:lang w:val="fr-FR"/>
        </w:rPr>
      </w:pPr>
    </w:p>
    <w:p w14:paraId="235D8658" w14:textId="7BB6F417" w:rsidR="001A0ACF" w:rsidRPr="00AE0ED9" w:rsidRDefault="00E25439" w:rsidP="0058733D">
      <w:pPr>
        <w:rPr>
          <w:rFonts w:cstheme="minorHAnsi"/>
          <w:lang w:val="fr-FR"/>
        </w:rPr>
      </w:pPr>
      <w:r w:rsidRPr="00AE0ED9">
        <w:rPr>
          <w:rFonts w:cstheme="minorHAnsi"/>
          <w:lang w:val="fr-FR"/>
        </w:rPr>
        <w:t>29</w:t>
      </w:r>
      <w:r w:rsidR="0058733D" w:rsidRPr="00AE0ED9">
        <w:rPr>
          <w:rFonts w:cstheme="minorHAnsi"/>
          <w:lang w:val="fr-FR"/>
        </w:rPr>
        <w:t>.</w:t>
      </w:r>
      <w:r w:rsidR="0058733D" w:rsidRPr="00AE0ED9">
        <w:rPr>
          <w:rFonts w:cstheme="minorHAnsi"/>
          <w:lang w:val="fr-FR"/>
        </w:rPr>
        <w:tab/>
      </w:r>
      <w:r w:rsidR="006B6F56" w:rsidRPr="00AE0ED9">
        <w:rPr>
          <w:rFonts w:cstheme="minorHAnsi"/>
          <w:lang w:val="fr-FR"/>
        </w:rPr>
        <w:t>Le 2 mai 2017, le Secrétariat a organisé une réunion des chefs des OIP pour renouveler le Mémorandum de coopération et préciser les moyens stratégiques de travailler ensemble. Cette réunion a abouti à un accord sur des activités conjointes qui permettront au partenariat de devenir « plus grand que la somme de ses parties ». Ces activités conjointes ont par la suite été reflétées dans le Mémorandum de coopération révisé pour la période 2</w:t>
      </w:r>
      <w:r w:rsidR="001F04E0" w:rsidRPr="00AE0ED9">
        <w:rPr>
          <w:rFonts w:cstheme="minorHAnsi"/>
          <w:lang w:val="fr-FR"/>
        </w:rPr>
        <w:t>018</w:t>
      </w:r>
      <w:r w:rsidR="006B6F56" w:rsidRPr="00AE0ED9">
        <w:rPr>
          <w:rFonts w:cstheme="minorHAnsi"/>
          <w:lang w:val="fr-FR"/>
        </w:rPr>
        <w:noBreakHyphen/>
      </w:r>
      <w:r w:rsidR="001F04E0" w:rsidRPr="00AE0ED9">
        <w:rPr>
          <w:rFonts w:cstheme="minorHAnsi"/>
          <w:lang w:val="fr-FR"/>
        </w:rPr>
        <w:t>2024.</w:t>
      </w:r>
    </w:p>
    <w:p w14:paraId="34A70B0B" w14:textId="77777777" w:rsidR="00D74A26" w:rsidRPr="00AE0ED9" w:rsidRDefault="00D74A26" w:rsidP="0058733D">
      <w:pPr>
        <w:ind w:left="0" w:firstLine="0"/>
        <w:rPr>
          <w:rFonts w:cstheme="minorHAnsi"/>
          <w:lang w:val="fr-FR"/>
        </w:rPr>
      </w:pPr>
    </w:p>
    <w:p w14:paraId="4199643B" w14:textId="2B7A9398" w:rsidR="00D74A26" w:rsidRPr="00AE0ED9" w:rsidRDefault="00E25439" w:rsidP="0058733D">
      <w:pPr>
        <w:rPr>
          <w:rFonts w:cstheme="minorHAnsi"/>
          <w:lang w:val="fr-FR"/>
        </w:rPr>
      </w:pPr>
      <w:r w:rsidRPr="00AE0ED9">
        <w:rPr>
          <w:rFonts w:cstheme="minorHAnsi"/>
          <w:lang w:val="fr-FR"/>
        </w:rPr>
        <w:t>30</w:t>
      </w:r>
      <w:r w:rsidR="0058733D" w:rsidRPr="00AE0ED9">
        <w:rPr>
          <w:rFonts w:cstheme="minorHAnsi"/>
          <w:lang w:val="fr-FR"/>
        </w:rPr>
        <w:t>.</w:t>
      </w:r>
      <w:r w:rsidR="0058733D" w:rsidRPr="00AE0ED9">
        <w:rPr>
          <w:rFonts w:cstheme="minorHAnsi"/>
          <w:lang w:val="fr-FR"/>
        </w:rPr>
        <w:tab/>
      </w:r>
      <w:r w:rsidR="00706AAD" w:rsidRPr="00AE0ED9">
        <w:rPr>
          <w:rFonts w:cstheme="minorHAnsi"/>
          <w:lang w:val="fr-FR"/>
        </w:rPr>
        <w:t xml:space="preserve">Concernant la mobilisation des ressources, durant la période triennale, les ressources non administratives se sont élevées </w:t>
      </w:r>
      <w:r w:rsidR="00706AAD" w:rsidRPr="00BC41E7">
        <w:rPr>
          <w:rFonts w:cstheme="minorHAnsi"/>
          <w:lang w:val="fr-FR"/>
        </w:rPr>
        <w:t xml:space="preserve">à </w:t>
      </w:r>
      <w:r w:rsidR="00D74A26" w:rsidRPr="00BC41E7">
        <w:rPr>
          <w:rFonts w:cstheme="minorHAnsi"/>
          <w:lang w:val="fr-FR"/>
        </w:rPr>
        <w:t>2</w:t>
      </w:r>
      <w:r w:rsidR="00706AAD" w:rsidRPr="00BC41E7">
        <w:rPr>
          <w:rFonts w:cstheme="minorHAnsi"/>
          <w:lang w:val="fr-FR"/>
        </w:rPr>
        <w:t> </w:t>
      </w:r>
      <w:r w:rsidR="00D74A26" w:rsidRPr="00BC41E7">
        <w:rPr>
          <w:rFonts w:cstheme="minorHAnsi"/>
          <w:lang w:val="fr-FR"/>
        </w:rPr>
        <w:t>312</w:t>
      </w:r>
      <w:r w:rsidR="00706AAD" w:rsidRPr="00BC41E7">
        <w:rPr>
          <w:rFonts w:cstheme="minorHAnsi"/>
          <w:lang w:val="fr-FR"/>
        </w:rPr>
        <w:t> </w:t>
      </w:r>
      <w:r w:rsidR="00D74A26" w:rsidRPr="00BC41E7">
        <w:rPr>
          <w:rFonts w:cstheme="minorHAnsi"/>
          <w:lang w:val="fr-FR"/>
        </w:rPr>
        <w:t>000</w:t>
      </w:r>
      <w:r w:rsidR="00706AAD" w:rsidRPr="00BC41E7">
        <w:rPr>
          <w:rFonts w:cstheme="minorHAnsi"/>
          <w:lang w:val="fr-FR"/>
        </w:rPr>
        <w:t> CHF</w:t>
      </w:r>
      <w:r w:rsidR="00D74A26" w:rsidRPr="00BC41E7">
        <w:rPr>
          <w:rFonts w:cstheme="minorHAnsi"/>
          <w:lang w:val="fr-FR"/>
        </w:rPr>
        <w:t xml:space="preserve"> </w:t>
      </w:r>
      <w:r w:rsidR="00714CB6" w:rsidRPr="00BC41E7">
        <w:rPr>
          <w:rFonts w:cstheme="minorHAnsi"/>
          <w:lang w:val="fr-FR"/>
        </w:rPr>
        <w:t>pour soutenir les priorités établies par la COP dans la Résolution </w:t>
      </w:r>
      <w:r w:rsidR="00D74A26" w:rsidRPr="00BC41E7">
        <w:rPr>
          <w:rFonts w:cstheme="minorHAnsi"/>
          <w:lang w:val="fr-FR"/>
        </w:rPr>
        <w:t>XII.7 Annex</w:t>
      </w:r>
      <w:r w:rsidR="00714CB6" w:rsidRPr="00BC41E7">
        <w:rPr>
          <w:rFonts w:cstheme="minorHAnsi"/>
          <w:lang w:val="fr-FR"/>
        </w:rPr>
        <w:t>e </w:t>
      </w:r>
      <w:r w:rsidR="00D74A26" w:rsidRPr="00BC41E7">
        <w:rPr>
          <w:rFonts w:cstheme="minorHAnsi"/>
          <w:lang w:val="fr-FR"/>
        </w:rPr>
        <w:t xml:space="preserve">3. </w:t>
      </w:r>
      <w:r w:rsidR="00714CB6" w:rsidRPr="00BC41E7">
        <w:rPr>
          <w:rFonts w:cstheme="minorHAnsi"/>
          <w:lang w:val="fr-FR"/>
        </w:rPr>
        <w:t>Dans cette période</w:t>
      </w:r>
      <w:r w:rsidR="002362AE" w:rsidRPr="00BC41E7">
        <w:rPr>
          <w:rFonts w:cstheme="minorHAnsi"/>
          <w:lang w:val="fr-FR"/>
        </w:rPr>
        <w:t>,</w:t>
      </w:r>
      <w:r w:rsidR="00D74A26" w:rsidRPr="00BC41E7">
        <w:rPr>
          <w:rFonts w:cstheme="minorHAnsi"/>
          <w:lang w:val="fr-FR"/>
        </w:rPr>
        <w:t xml:space="preserve"> 157</w:t>
      </w:r>
      <w:r w:rsidR="00706AAD" w:rsidRPr="00BC41E7">
        <w:rPr>
          <w:rFonts w:cstheme="minorHAnsi"/>
          <w:lang w:val="fr-FR"/>
        </w:rPr>
        <w:t> </w:t>
      </w:r>
      <w:r w:rsidR="00D74A26" w:rsidRPr="00BC41E7">
        <w:rPr>
          <w:rFonts w:cstheme="minorHAnsi"/>
          <w:lang w:val="fr-FR"/>
        </w:rPr>
        <w:t>000</w:t>
      </w:r>
      <w:r w:rsidR="00706AAD" w:rsidRPr="00BC41E7">
        <w:rPr>
          <w:rFonts w:cstheme="minorHAnsi"/>
          <w:lang w:val="fr-FR"/>
        </w:rPr>
        <w:t> CHF</w:t>
      </w:r>
      <w:r w:rsidR="00714CB6" w:rsidRPr="00BC41E7">
        <w:rPr>
          <w:rFonts w:cstheme="minorHAnsi"/>
          <w:lang w:val="fr-FR"/>
        </w:rPr>
        <w:t xml:space="preserve"> ont été obtenus pour les MCR</w:t>
      </w:r>
      <w:r w:rsidR="00D74A26" w:rsidRPr="00BC41E7">
        <w:rPr>
          <w:rFonts w:cstheme="minorHAnsi"/>
          <w:lang w:val="fr-FR"/>
        </w:rPr>
        <w:t>, 221</w:t>
      </w:r>
      <w:r w:rsidR="00706AAD" w:rsidRPr="00BC41E7">
        <w:rPr>
          <w:rFonts w:cstheme="minorHAnsi"/>
          <w:lang w:val="fr-FR"/>
        </w:rPr>
        <w:t> </w:t>
      </w:r>
      <w:r w:rsidR="00D74A26" w:rsidRPr="00BC41E7">
        <w:rPr>
          <w:rFonts w:cstheme="minorHAnsi"/>
          <w:lang w:val="fr-FR"/>
        </w:rPr>
        <w:t>000</w:t>
      </w:r>
      <w:r w:rsidR="00706AAD" w:rsidRPr="00BC41E7">
        <w:rPr>
          <w:rFonts w:cstheme="minorHAnsi"/>
          <w:lang w:val="fr-FR"/>
        </w:rPr>
        <w:t> CHF</w:t>
      </w:r>
      <w:r w:rsidR="00714CB6" w:rsidRPr="00BC41E7">
        <w:rPr>
          <w:rFonts w:cstheme="minorHAnsi"/>
          <w:lang w:val="fr-FR"/>
        </w:rPr>
        <w:t xml:space="preserve"> pour les voyages des délégués parrainés à la COP13 et aux réunions pré</w:t>
      </w:r>
      <w:r w:rsidR="00714CB6" w:rsidRPr="00BC41E7">
        <w:rPr>
          <w:rFonts w:cstheme="minorHAnsi"/>
          <w:lang w:val="fr-FR"/>
        </w:rPr>
        <w:noBreakHyphen/>
        <w:t xml:space="preserve">COP et </w:t>
      </w:r>
      <w:r w:rsidR="00D74A26" w:rsidRPr="00BC41E7">
        <w:rPr>
          <w:rFonts w:cstheme="minorHAnsi"/>
          <w:lang w:val="fr-FR"/>
        </w:rPr>
        <w:t>33</w:t>
      </w:r>
      <w:r w:rsidR="00706AAD" w:rsidRPr="00BC41E7">
        <w:rPr>
          <w:rFonts w:cstheme="minorHAnsi"/>
          <w:lang w:val="fr-FR"/>
        </w:rPr>
        <w:t> </w:t>
      </w:r>
      <w:r w:rsidR="00D74A26" w:rsidRPr="00BC41E7">
        <w:rPr>
          <w:rFonts w:cstheme="minorHAnsi"/>
          <w:lang w:val="fr-FR"/>
        </w:rPr>
        <w:t>000</w:t>
      </w:r>
      <w:r w:rsidR="00706AAD" w:rsidRPr="00BC41E7">
        <w:rPr>
          <w:rFonts w:cstheme="minorHAnsi"/>
          <w:lang w:val="fr-FR"/>
        </w:rPr>
        <w:t> CHF</w:t>
      </w:r>
      <w:r w:rsidR="00714CB6" w:rsidRPr="00BC41E7">
        <w:rPr>
          <w:rFonts w:cstheme="minorHAnsi"/>
          <w:lang w:val="fr-FR"/>
        </w:rPr>
        <w:t xml:space="preserve"> ont été obtenus pour</w:t>
      </w:r>
      <w:r w:rsidR="00714CB6" w:rsidRPr="00AE0ED9">
        <w:rPr>
          <w:rFonts w:cstheme="minorHAnsi"/>
          <w:lang w:val="fr-FR"/>
        </w:rPr>
        <w:t xml:space="preserve"> les Initiatives régionales. </w:t>
      </w:r>
      <w:r w:rsidR="004958F4" w:rsidRPr="00AE0ED9">
        <w:rPr>
          <w:lang w:val="fr-FR"/>
        </w:rPr>
        <w:t xml:space="preserve">L'un des faits marquants de la </w:t>
      </w:r>
      <w:r w:rsidR="004958F4" w:rsidRPr="00AE0ED9">
        <w:rPr>
          <w:lang w:val="fr-FR"/>
        </w:rPr>
        <w:lastRenderedPageBreak/>
        <w:t xml:space="preserve">période considérée a été le recrutement d’un Directeur, Mobilisation des ressources et </w:t>
      </w:r>
      <w:r w:rsidR="007072C9">
        <w:rPr>
          <w:lang w:val="fr-FR"/>
        </w:rPr>
        <w:t>i</w:t>
      </w:r>
      <w:r w:rsidR="004958F4" w:rsidRPr="00AE0ED9">
        <w:rPr>
          <w:lang w:val="fr-FR"/>
        </w:rPr>
        <w:t xml:space="preserve">nformation. L’une des étapes importantes consistait à élaborer une stratégie de mobilisation des ressources, comme demandé dans la Décision SC52-23. Ce plan a été présenté </w:t>
      </w:r>
      <w:r w:rsidR="00BB2857">
        <w:rPr>
          <w:lang w:val="fr-FR"/>
        </w:rPr>
        <w:t xml:space="preserve">et approuvé </w:t>
      </w:r>
      <w:r w:rsidR="004958F4" w:rsidRPr="00AE0ED9">
        <w:rPr>
          <w:lang w:val="fr-FR"/>
        </w:rPr>
        <w:t>à la 54</w:t>
      </w:r>
      <w:r w:rsidR="004958F4" w:rsidRPr="00AE0ED9">
        <w:rPr>
          <w:vertAlign w:val="superscript"/>
          <w:lang w:val="fr-FR"/>
        </w:rPr>
        <w:t>e</w:t>
      </w:r>
      <w:r w:rsidR="004958F4" w:rsidRPr="00AE0ED9">
        <w:rPr>
          <w:lang w:val="fr-FR"/>
        </w:rPr>
        <w:t xml:space="preserve"> Réunion du Comité permanent. Il permettra d'aborder de manière plus stratégique cet important domaine d'activité du Secrétariat</w:t>
      </w:r>
      <w:r w:rsidR="00D74A26" w:rsidRPr="00AE0ED9">
        <w:rPr>
          <w:rFonts w:cstheme="minorHAnsi"/>
          <w:lang w:val="fr-FR"/>
        </w:rPr>
        <w:t>.</w:t>
      </w:r>
    </w:p>
    <w:p w14:paraId="55F79BC9" w14:textId="77777777" w:rsidR="00F46B68" w:rsidRPr="00AE0ED9" w:rsidRDefault="00F46B68" w:rsidP="00C81B75">
      <w:pPr>
        <w:rPr>
          <w:rFonts w:cstheme="minorHAnsi"/>
          <w:lang w:val="fr-FR"/>
        </w:rPr>
      </w:pPr>
    </w:p>
    <w:p w14:paraId="14EB03B1" w14:textId="0EB983FD" w:rsidR="00620259" w:rsidRPr="00AE0ED9" w:rsidRDefault="00E25439" w:rsidP="0058733D">
      <w:pPr>
        <w:rPr>
          <w:rFonts w:cstheme="minorHAnsi"/>
          <w:lang w:val="fr-FR"/>
        </w:rPr>
      </w:pPr>
      <w:r w:rsidRPr="00AE0ED9">
        <w:rPr>
          <w:rFonts w:cstheme="minorHAnsi"/>
          <w:lang w:val="fr-FR"/>
        </w:rPr>
        <w:t>31</w:t>
      </w:r>
      <w:r w:rsidR="0058733D" w:rsidRPr="00AE0ED9">
        <w:rPr>
          <w:rFonts w:cstheme="minorHAnsi"/>
          <w:lang w:val="fr-FR"/>
        </w:rPr>
        <w:t>.</w:t>
      </w:r>
      <w:r w:rsidR="0058733D" w:rsidRPr="00AE0ED9">
        <w:rPr>
          <w:rFonts w:cstheme="minorHAnsi"/>
          <w:lang w:val="fr-FR"/>
        </w:rPr>
        <w:tab/>
      </w:r>
      <w:r w:rsidR="004E6E32" w:rsidRPr="00AE0ED9">
        <w:rPr>
          <w:rFonts w:cstheme="minorHAnsi"/>
          <w:lang w:val="fr-FR"/>
        </w:rPr>
        <w:t xml:space="preserve">Le Secrétariat a également </w:t>
      </w:r>
      <w:r w:rsidR="000A3C0B">
        <w:rPr>
          <w:rFonts w:cstheme="minorHAnsi"/>
          <w:lang w:val="fr-FR"/>
        </w:rPr>
        <w:t>aidé les</w:t>
      </w:r>
      <w:r w:rsidR="004E6E32" w:rsidRPr="00AE0ED9">
        <w:rPr>
          <w:rFonts w:cstheme="minorHAnsi"/>
          <w:lang w:val="fr-FR"/>
        </w:rPr>
        <w:t xml:space="preserve"> Parties contractantes dans leurs efforts de collecte de fonds. En Afrique, il a aidé le Gabon à mettre au point un projet financé par le FEM, intitulé « Projet d’appui à la gestion durable des écosystèmes des zones humides</w:t>
      </w:r>
      <w:r w:rsidR="00E310CA" w:rsidRPr="00AE0ED9">
        <w:rPr>
          <w:rFonts w:cstheme="minorHAnsi"/>
          <w:lang w:val="fr-FR"/>
        </w:rPr>
        <w:t xml:space="preserve"> critiques », d'un montant de 7</w:t>
      </w:r>
      <w:r w:rsidR="00BB2857">
        <w:rPr>
          <w:rFonts w:cstheme="minorHAnsi"/>
          <w:lang w:val="fr-FR"/>
        </w:rPr>
        <w:t>,</w:t>
      </w:r>
      <w:r w:rsidR="00E310CA" w:rsidRPr="00AE0ED9">
        <w:rPr>
          <w:rFonts w:cstheme="minorHAnsi"/>
          <w:lang w:val="fr-FR"/>
        </w:rPr>
        <w:t>52 millions </w:t>
      </w:r>
      <w:r w:rsidR="004E6E32" w:rsidRPr="00AE0ED9">
        <w:rPr>
          <w:rFonts w:cstheme="minorHAnsi"/>
          <w:lang w:val="fr-FR"/>
        </w:rPr>
        <w:t xml:space="preserve">USD, et il aide actuellement le Bénin, le Burkina Faso et la Guinée à élaborer des projets </w:t>
      </w:r>
      <w:r w:rsidR="000A3C0B">
        <w:rPr>
          <w:rFonts w:cstheme="minorHAnsi"/>
          <w:lang w:val="fr-FR"/>
        </w:rPr>
        <w:t>pour les</w:t>
      </w:r>
      <w:r w:rsidR="004E6E32" w:rsidRPr="00AE0ED9">
        <w:rPr>
          <w:rFonts w:cstheme="minorHAnsi"/>
          <w:lang w:val="fr-FR"/>
        </w:rPr>
        <w:t xml:space="preserve"> zones humides qui seront soumis au Fonds vert pour le climat.</w:t>
      </w:r>
      <w:r w:rsidR="00CD7EF2" w:rsidRPr="00AE0ED9">
        <w:rPr>
          <w:rFonts w:cstheme="minorHAnsi"/>
          <w:lang w:val="fr-FR"/>
        </w:rPr>
        <w:t xml:space="preserve"> </w:t>
      </w:r>
      <w:r w:rsidR="00E310CA" w:rsidRPr="00AE0ED9">
        <w:rPr>
          <w:rFonts w:cstheme="minorHAnsi"/>
          <w:lang w:val="fr-FR"/>
        </w:rPr>
        <w:t xml:space="preserve">En Asie, il a travaillé avec le Bureau régional de l’UICN pour l’Asie à un projet d’une valeur de </w:t>
      </w:r>
      <w:r w:rsidR="003B50AF" w:rsidRPr="00AE0ED9">
        <w:rPr>
          <w:rFonts w:cstheme="minorHAnsi"/>
          <w:lang w:val="fr-FR"/>
        </w:rPr>
        <w:t>2</w:t>
      </w:r>
      <w:r w:rsidR="004E6E32" w:rsidRPr="00AE0ED9">
        <w:rPr>
          <w:rFonts w:cstheme="minorHAnsi"/>
          <w:lang w:val="fr-FR"/>
        </w:rPr>
        <w:t> </w:t>
      </w:r>
      <w:r w:rsidR="003B50AF" w:rsidRPr="00AE0ED9">
        <w:rPr>
          <w:rFonts w:cstheme="minorHAnsi"/>
          <w:lang w:val="fr-FR"/>
        </w:rPr>
        <w:t>530</w:t>
      </w:r>
      <w:r w:rsidR="00E310CA" w:rsidRPr="00AE0ED9">
        <w:rPr>
          <w:rFonts w:cstheme="minorHAnsi"/>
          <w:lang w:val="fr-FR"/>
        </w:rPr>
        <w:t> </w:t>
      </w:r>
      <w:r w:rsidR="003B50AF" w:rsidRPr="00AE0ED9">
        <w:rPr>
          <w:rFonts w:cstheme="minorHAnsi"/>
          <w:lang w:val="fr-FR"/>
        </w:rPr>
        <w:t>000</w:t>
      </w:r>
      <w:r w:rsidR="00E310CA" w:rsidRPr="00AE0ED9">
        <w:rPr>
          <w:rFonts w:cstheme="minorHAnsi"/>
          <w:lang w:val="fr-FR"/>
        </w:rPr>
        <w:t> euros, intitulé « Construire la résilience des zones humides dans la région du bas</w:t>
      </w:r>
      <w:r w:rsidR="00E310CA" w:rsidRPr="00AE0ED9">
        <w:rPr>
          <w:rFonts w:cstheme="minorHAnsi"/>
          <w:lang w:val="fr-FR"/>
        </w:rPr>
        <w:noBreakHyphen/>
        <w:t xml:space="preserve">Mékong dans le cadre d’une Initiative régionale Ramsar ». </w:t>
      </w:r>
      <w:r w:rsidR="004E6E32" w:rsidRPr="00AE0ED9">
        <w:rPr>
          <w:rFonts w:cstheme="minorHAnsi"/>
          <w:lang w:val="fr-FR"/>
        </w:rPr>
        <w:t xml:space="preserve">Dans les Amériques, la collecte de fonds a été axée sur les priorités définies par les Parties contractantes, à savoir les Initiatives régionales. Le Secrétariat et les Parties contractantes sont à la recherche de donateurs pour les Initiatives régionales des Hautes Andes, du bassin du Rio de La Plata, et des mangroves et </w:t>
      </w:r>
      <w:r w:rsidR="0022728A" w:rsidRPr="00AE0ED9">
        <w:rPr>
          <w:rFonts w:cstheme="minorHAnsi"/>
          <w:lang w:val="fr-FR"/>
        </w:rPr>
        <w:t>récifs</w:t>
      </w:r>
      <w:r w:rsidR="004E6E32" w:rsidRPr="00AE0ED9">
        <w:rPr>
          <w:rFonts w:cstheme="minorHAnsi"/>
          <w:lang w:val="fr-FR"/>
        </w:rPr>
        <w:t xml:space="preserve"> coralliens</w:t>
      </w:r>
      <w:r w:rsidR="00670185" w:rsidRPr="00AE0ED9">
        <w:rPr>
          <w:rFonts w:cstheme="minorHAnsi"/>
          <w:lang w:val="fr-FR"/>
        </w:rPr>
        <w:t>.</w:t>
      </w:r>
      <w:r w:rsidR="00971CF5" w:rsidRPr="00AE0ED9">
        <w:rPr>
          <w:rFonts w:cstheme="minorHAnsi"/>
          <w:lang w:val="fr-FR"/>
        </w:rPr>
        <w:t xml:space="preserve"> </w:t>
      </w:r>
      <w:r w:rsidR="0022728A" w:rsidRPr="00AE0ED9">
        <w:rPr>
          <w:rFonts w:cstheme="minorHAnsi"/>
          <w:lang w:val="fr-FR"/>
        </w:rPr>
        <w:t>En</w:t>
      </w:r>
      <w:r w:rsidR="00971CF5" w:rsidRPr="00AE0ED9">
        <w:rPr>
          <w:rFonts w:cstheme="minorHAnsi"/>
          <w:lang w:val="fr-FR"/>
        </w:rPr>
        <w:t xml:space="preserve"> Europe, </w:t>
      </w:r>
      <w:r w:rsidR="0022728A" w:rsidRPr="00AE0ED9">
        <w:rPr>
          <w:rFonts w:cstheme="minorHAnsi"/>
          <w:lang w:val="fr-FR"/>
        </w:rPr>
        <w:t>il a facilité les échanges entre la Commission européenne (donateur majeur), les coordonnateurs de projet</w:t>
      </w:r>
      <w:r w:rsidR="009E670A" w:rsidRPr="00AE0ED9">
        <w:rPr>
          <w:rFonts w:cstheme="minorHAnsi"/>
          <w:lang w:val="fr-FR"/>
        </w:rPr>
        <w:t>s</w:t>
      </w:r>
      <w:r w:rsidR="0022728A" w:rsidRPr="00AE0ED9">
        <w:rPr>
          <w:rFonts w:cstheme="minorHAnsi"/>
          <w:lang w:val="fr-FR"/>
        </w:rPr>
        <w:t xml:space="preserve"> relatif</w:t>
      </w:r>
      <w:r w:rsidR="009E670A" w:rsidRPr="00AE0ED9">
        <w:rPr>
          <w:rFonts w:cstheme="minorHAnsi"/>
          <w:lang w:val="fr-FR"/>
        </w:rPr>
        <w:t>s</w:t>
      </w:r>
      <w:r w:rsidR="0022728A" w:rsidRPr="00AE0ED9">
        <w:rPr>
          <w:rFonts w:cstheme="minorHAnsi"/>
          <w:lang w:val="fr-FR"/>
        </w:rPr>
        <w:t xml:space="preserve"> aux zones humides et les Autorités administratives Ramsar afin de maximiser les avantages des projets financés par l’UE pour la gestion, la restauration et le développement de politiques relatives aux zones humides à tous les niveaux. </w:t>
      </w:r>
    </w:p>
    <w:p w14:paraId="16F964B6" w14:textId="77777777" w:rsidR="00670185" w:rsidRPr="00AE0ED9" w:rsidRDefault="00670185" w:rsidP="00C81B75">
      <w:pPr>
        <w:pStyle w:val="ListParagraph"/>
        <w:ind w:left="425"/>
        <w:rPr>
          <w:rFonts w:cstheme="minorHAnsi"/>
          <w:lang w:val="fr-FR"/>
        </w:rPr>
      </w:pPr>
    </w:p>
    <w:p w14:paraId="78E67DDF" w14:textId="71F8F920" w:rsidR="004E6E32" w:rsidRPr="00AE0ED9" w:rsidRDefault="004E6E32" w:rsidP="004E6E32">
      <w:pPr>
        <w:rPr>
          <w:rFonts w:cstheme="minorHAnsi"/>
          <w:bCs/>
          <w:u w:val="single"/>
          <w:lang w:val="fr-FR"/>
        </w:rPr>
      </w:pPr>
      <w:r w:rsidRPr="00AE0ED9">
        <w:rPr>
          <w:rFonts w:cstheme="minorHAnsi"/>
          <w:bCs/>
          <w:u w:val="single"/>
          <w:lang w:val="fr-FR"/>
        </w:rPr>
        <w:t>Rehausser la visibilit</w:t>
      </w:r>
      <w:r w:rsidR="0022728A" w:rsidRPr="00AE0ED9">
        <w:rPr>
          <w:rFonts w:cstheme="minorHAnsi"/>
          <w:bCs/>
          <w:u w:val="single"/>
          <w:lang w:val="fr-FR"/>
        </w:rPr>
        <w:t>é</w:t>
      </w:r>
      <w:r w:rsidRPr="00AE0ED9">
        <w:rPr>
          <w:rFonts w:cstheme="minorHAnsi"/>
          <w:bCs/>
          <w:u w:val="single"/>
          <w:lang w:val="fr-FR"/>
        </w:rPr>
        <w:t xml:space="preserve"> des zones humides et de la Convention</w:t>
      </w:r>
    </w:p>
    <w:p w14:paraId="2CDAEB0A" w14:textId="77777777" w:rsidR="00D352B8" w:rsidRPr="00AE0ED9" w:rsidRDefault="00D352B8" w:rsidP="00C81B75">
      <w:pPr>
        <w:rPr>
          <w:rFonts w:cstheme="minorHAnsi"/>
          <w:lang w:val="fr-FR"/>
        </w:rPr>
      </w:pPr>
    </w:p>
    <w:p w14:paraId="65779D7F" w14:textId="423CCADC" w:rsidR="008B18E1" w:rsidRPr="00AE0ED9" w:rsidRDefault="00E25439" w:rsidP="005C28FB">
      <w:pPr>
        <w:rPr>
          <w:rFonts w:cstheme="minorHAnsi"/>
          <w:lang w:val="fr-FR"/>
        </w:rPr>
      </w:pPr>
      <w:r w:rsidRPr="00AE0ED9">
        <w:rPr>
          <w:rFonts w:cstheme="minorHAnsi"/>
          <w:lang w:val="fr-FR"/>
        </w:rPr>
        <w:t>32</w:t>
      </w:r>
      <w:r w:rsidR="005C28FB" w:rsidRPr="00AE0ED9">
        <w:rPr>
          <w:rFonts w:cstheme="minorHAnsi"/>
          <w:lang w:val="fr-FR"/>
        </w:rPr>
        <w:t>.</w:t>
      </w:r>
      <w:r w:rsidR="005C28FB" w:rsidRPr="00AE0ED9">
        <w:rPr>
          <w:rFonts w:cstheme="minorHAnsi"/>
          <w:lang w:val="fr-FR"/>
        </w:rPr>
        <w:tab/>
      </w:r>
      <w:r w:rsidR="004E6E32" w:rsidRPr="00AE0ED9">
        <w:rPr>
          <w:rFonts w:cstheme="minorHAnsi"/>
          <w:lang w:val="fr-FR"/>
        </w:rPr>
        <w:t xml:space="preserve">La visibilité des zones humides et de la Convention </w:t>
      </w:r>
      <w:r w:rsidR="00363329">
        <w:rPr>
          <w:rFonts w:cstheme="minorHAnsi"/>
          <w:lang w:val="fr-FR"/>
        </w:rPr>
        <w:t>est liée aux</w:t>
      </w:r>
      <w:r w:rsidR="004E6E32" w:rsidRPr="00AE0ED9">
        <w:rPr>
          <w:rFonts w:cstheme="minorHAnsi"/>
          <w:lang w:val="fr-FR"/>
        </w:rPr>
        <w:t xml:space="preserve"> divers efforts de communication. Le Secrétariat a renforcé l’échange d’informations entre les acteurs de la Convention et la sensibilisation du public aux services et avantages des zones humides dans le cadre du site web Ramsar, des réseaux sociaux, du bulletin, d'un large éventail de listes électroniques et de campagnes d'information telles que celle de la Journée mondiale des zones humides</w:t>
      </w:r>
      <w:r w:rsidR="207F27EF" w:rsidRPr="00AE0ED9">
        <w:rPr>
          <w:rFonts w:cstheme="minorHAnsi"/>
          <w:lang w:val="fr-FR"/>
        </w:rPr>
        <w:t>.</w:t>
      </w:r>
      <w:r w:rsidR="00B31A2B" w:rsidRPr="00AE0ED9">
        <w:rPr>
          <w:rFonts w:cstheme="minorHAnsi"/>
          <w:lang w:val="fr-FR"/>
        </w:rPr>
        <w:t xml:space="preserve"> </w:t>
      </w:r>
      <w:r w:rsidR="00DB31E1" w:rsidRPr="00AE0ED9">
        <w:rPr>
          <w:rFonts w:cstheme="minorHAnsi"/>
          <w:lang w:val="fr-FR"/>
        </w:rPr>
        <w:t>Le Secrétariat a décidé d</w:t>
      </w:r>
      <w:r w:rsidR="008B18E1" w:rsidRPr="00AE0ED9">
        <w:rPr>
          <w:rFonts w:cstheme="minorHAnsi"/>
          <w:lang w:val="fr-FR"/>
        </w:rPr>
        <w:t xml:space="preserve">e </w:t>
      </w:r>
      <w:r w:rsidR="00DB31E1" w:rsidRPr="00AE0ED9">
        <w:rPr>
          <w:rFonts w:cstheme="minorHAnsi"/>
          <w:lang w:val="fr-FR"/>
        </w:rPr>
        <w:t xml:space="preserve">parler « d’une seule voix » à l’échelle du Secrétariat, </w:t>
      </w:r>
      <w:r w:rsidR="00BB2857">
        <w:rPr>
          <w:rFonts w:cstheme="minorHAnsi"/>
          <w:lang w:val="fr-FR"/>
        </w:rPr>
        <w:t>aux</w:t>
      </w:r>
      <w:r w:rsidR="00DB31E1" w:rsidRPr="00AE0ED9">
        <w:rPr>
          <w:rFonts w:cstheme="minorHAnsi"/>
          <w:lang w:val="fr-FR"/>
        </w:rPr>
        <w:t xml:space="preserve"> publics ciblés, sur les questions relatives aux zones humides et de relier les zones humides aux cadres politiques pertinents tels que les ODD et les changements climatiques. Depuis le lancement du nouveau site web de Ramsar en 2015, le trafic sur le site web a augmenté de 10% par an. Le site a reçu plus de 1,3 million de visiteurs depuis son lancement.</w:t>
      </w:r>
    </w:p>
    <w:p w14:paraId="38E1FA30" w14:textId="77777777" w:rsidR="00EE515A" w:rsidRPr="00AE0ED9" w:rsidRDefault="00EE515A" w:rsidP="00C81B75">
      <w:pPr>
        <w:rPr>
          <w:rFonts w:cstheme="minorHAnsi"/>
          <w:lang w:val="fr-FR"/>
        </w:rPr>
      </w:pPr>
    </w:p>
    <w:p w14:paraId="5047D03D" w14:textId="5B0B12FE" w:rsidR="00EE515A" w:rsidRPr="00AE0ED9" w:rsidRDefault="00E25439" w:rsidP="005C28FB">
      <w:pPr>
        <w:rPr>
          <w:rFonts w:cstheme="minorHAnsi"/>
          <w:lang w:val="fr-FR"/>
        </w:rPr>
      </w:pPr>
      <w:r w:rsidRPr="00AE0ED9">
        <w:rPr>
          <w:rFonts w:cstheme="minorHAnsi"/>
          <w:lang w:val="fr-FR"/>
        </w:rPr>
        <w:t>33</w:t>
      </w:r>
      <w:r w:rsidR="005C28FB" w:rsidRPr="00AE0ED9">
        <w:rPr>
          <w:rFonts w:cstheme="minorHAnsi"/>
          <w:lang w:val="fr-FR"/>
        </w:rPr>
        <w:t>.</w:t>
      </w:r>
      <w:r w:rsidR="005C28FB" w:rsidRPr="00AE0ED9">
        <w:rPr>
          <w:rFonts w:cstheme="minorHAnsi"/>
          <w:lang w:val="fr-FR"/>
        </w:rPr>
        <w:tab/>
      </w:r>
      <w:r w:rsidR="00DB31E1" w:rsidRPr="00AE0ED9">
        <w:rPr>
          <w:rFonts w:cstheme="minorHAnsi"/>
          <w:lang w:val="fr-FR"/>
        </w:rPr>
        <w:t xml:space="preserve">Les activités de communication et d’information ont </w:t>
      </w:r>
      <w:r w:rsidR="00363329">
        <w:rPr>
          <w:rFonts w:cstheme="minorHAnsi"/>
          <w:lang w:val="fr-FR"/>
        </w:rPr>
        <w:t>pris de l’expansion</w:t>
      </w:r>
      <w:r w:rsidR="00DB31E1" w:rsidRPr="00AE0ED9">
        <w:rPr>
          <w:rFonts w:cstheme="minorHAnsi"/>
          <w:lang w:val="fr-FR"/>
        </w:rPr>
        <w:t xml:space="preserve">, en appui à la participation du Secrétariat à plus de 60 forums et événements mondiaux durant la période triennale. Les messages clés de la Convention de Ramsar, délivrés via les réseaux sociaux et d’autres canaux de communication, ont fait connaître le rôle des zones humides pour l’adaptation aux changements climatiques et l’atténuation de ces changements, la qualité et la quantité d’eau et la </w:t>
      </w:r>
      <w:r w:rsidR="00363329">
        <w:rPr>
          <w:rFonts w:cstheme="minorHAnsi"/>
          <w:lang w:val="fr-FR"/>
        </w:rPr>
        <w:t>prévention des</w:t>
      </w:r>
      <w:r w:rsidR="00DB31E1" w:rsidRPr="00AE0ED9">
        <w:rPr>
          <w:rFonts w:cstheme="minorHAnsi"/>
          <w:lang w:val="fr-FR"/>
        </w:rPr>
        <w:t xml:space="preserve"> catastrophe</w:t>
      </w:r>
      <w:r w:rsidR="00363329">
        <w:rPr>
          <w:rFonts w:cstheme="minorHAnsi"/>
          <w:lang w:val="fr-FR"/>
        </w:rPr>
        <w:t>s</w:t>
      </w:r>
      <w:r w:rsidR="00DB31E1" w:rsidRPr="00AE0ED9">
        <w:rPr>
          <w:rFonts w:cstheme="minorHAnsi"/>
          <w:lang w:val="fr-FR"/>
        </w:rPr>
        <w:t xml:space="preserve">. Plus de 800 000 personnes à travers le monde ont été directement touchées via les réseaux sociaux. </w:t>
      </w:r>
      <w:r w:rsidR="00D365D0" w:rsidRPr="00AE0ED9">
        <w:rPr>
          <w:rFonts w:cstheme="minorHAnsi"/>
          <w:lang w:val="fr-FR"/>
        </w:rPr>
        <w:t xml:space="preserve">Un éditorial </w:t>
      </w:r>
      <w:r w:rsidR="00363329">
        <w:rPr>
          <w:rFonts w:cstheme="minorHAnsi"/>
          <w:lang w:val="fr-FR"/>
        </w:rPr>
        <w:t>commun</w:t>
      </w:r>
      <w:r w:rsidR="00D365D0" w:rsidRPr="00AE0ED9">
        <w:rPr>
          <w:rFonts w:cstheme="minorHAnsi"/>
          <w:lang w:val="fr-FR"/>
        </w:rPr>
        <w:t xml:space="preserve"> </w:t>
      </w:r>
      <w:r w:rsidR="00754133" w:rsidRPr="00AE0ED9">
        <w:rPr>
          <w:rFonts w:cstheme="minorHAnsi"/>
          <w:lang w:val="fr-FR"/>
        </w:rPr>
        <w:t>du</w:t>
      </w:r>
      <w:r w:rsidR="00D365D0" w:rsidRPr="00AE0ED9">
        <w:rPr>
          <w:rFonts w:cstheme="minorHAnsi"/>
          <w:lang w:val="fr-FR"/>
        </w:rPr>
        <w:t xml:space="preserve"> Secrétaire général de Ramsar et </w:t>
      </w:r>
      <w:r w:rsidR="00754133" w:rsidRPr="00AE0ED9">
        <w:rPr>
          <w:rFonts w:cstheme="minorHAnsi"/>
          <w:lang w:val="fr-FR"/>
        </w:rPr>
        <w:t>d</w:t>
      </w:r>
      <w:r w:rsidR="00363329">
        <w:rPr>
          <w:rFonts w:cstheme="minorHAnsi"/>
          <w:lang w:val="fr-FR"/>
        </w:rPr>
        <w:t>e la</w:t>
      </w:r>
      <w:r w:rsidR="00CF4E94" w:rsidRPr="00AE0ED9">
        <w:rPr>
          <w:rFonts w:cstheme="minorHAnsi"/>
          <w:lang w:val="fr-FR"/>
        </w:rPr>
        <w:t xml:space="preserve"> Secrétaire exécuti</w:t>
      </w:r>
      <w:r w:rsidR="00363329">
        <w:rPr>
          <w:rFonts w:cstheme="minorHAnsi"/>
          <w:lang w:val="fr-FR"/>
        </w:rPr>
        <w:t>ve</w:t>
      </w:r>
      <w:r w:rsidR="00D365D0" w:rsidRPr="00AE0ED9">
        <w:rPr>
          <w:rFonts w:cstheme="minorHAnsi"/>
          <w:lang w:val="fr-FR"/>
        </w:rPr>
        <w:t xml:space="preserve"> de la CCNUCC </w:t>
      </w:r>
      <w:r w:rsidR="00CF4E94" w:rsidRPr="00AE0ED9">
        <w:rPr>
          <w:rFonts w:cstheme="minorHAnsi"/>
          <w:lang w:val="fr-FR"/>
        </w:rPr>
        <w:t>a été publié dans plus de 30 médias, générant un visionnement potentiel par 10 millions de personnes.</w:t>
      </w:r>
    </w:p>
    <w:p w14:paraId="6E0C94F7" w14:textId="77777777" w:rsidR="00F56172" w:rsidRPr="00AE0ED9" w:rsidRDefault="00F56172" w:rsidP="005C28FB">
      <w:pPr>
        <w:rPr>
          <w:rFonts w:cstheme="minorHAnsi"/>
          <w:lang w:val="fr-FR"/>
        </w:rPr>
      </w:pPr>
    </w:p>
    <w:p w14:paraId="73BBBBA4" w14:textId="013DF9FA" w:rsidR="00F56172" w:rsidRPr="00AE0ED9" w:rsidRDefault="00E25439" w:rsidP="005C28FB">
      <w:pPr>
        <w:rPr>
          <w:rFonts w:cstheme="minorHAnsi"/>
          <w:lang w:val="fr-FR"/>
        </w:rPr>
      </w:pPr>
      <w:r w:rsidRPr="00AE0ED9">
        <w:rPr>
          <w:rFonts w:cstheme="minorHAnsi"/>
          <w:lang w:val="fr-FR"/>
        </w:rPr>
        <w:t>34</w:t>
      </w:r>
      <w:r w:rsidR="005C28FB" w:rsidRPr="00AE0ED9">
        <w:rPr>
          <w:rFonts w:cstheme="minorHAnsi"/>
          <w:lang w:val="fr-FR"/>
        </w:rPr>
        <w:t>.</w:t>
      </w:r>
      <w:r w:rsidR="005C28FB" w:rsidRPr="00AE0ED9">
        <w:rPr>
          <w:rFonts w:cstheme="minorHAnsi"/>
          <w:lang w:val="fr-FR"/>
        </w:rPr>
        <w:tab/>
      </w:r>
      <w:r w:rsidR="00CF4E94" w:rsidRPr="00AE0ED9">
        <w:rPr>
          <w:rFonts w:cstheme="minorHAnsi"/>
          <w:lang w:val="fr-FR"/>
        </w:rPr>
        <w:t xml:space="preserve">L’équipe de communication a collaboré étroitement avec le Président du GEST pour développer les activités d’information pour chaque produit du GEST et a fourni des orientations sur la conception de ces produits pour les rendre plus pertinents du point de vue </w:t>
      </w:r>
      <w:r w:rsidR="00363329">
        <w:rPr>
          <w:rFonts w:cstheme="minorHAnsi"/>
          <w:lang w:val="fr-FR"/>
        </w:rPr>
        <w:t xml:space="preserve">des </w:t>
      </w:r>
      <w:r w:rsidR="00CF4E94" w:rsidRPr="00AE0ED9">
        <w:rPr>
          <w:rFonts w:cstheme="minorHAnsi"/>
          <w:lang w:val="fr-FR"/>
        </w:rPr>
        <w:t>politique</w:t>
      </w:r>
      <w:r w:rsidR="00363329">
        <w:rPr>
          <w:rFonts w:cstheme="minorHAnsi"/>
          <w:lang w:val="fr-FR"/>
        </w:rPr>
        <w:t>s</w:t>
      </w:r>
      <w:r w:rsidR="00CF4E94" w:rsidRPr="00AE0ED9">
        <w:rPr>
          <w:rFonts w:cstheme="minorHAnsi"/>
          <w:lang w:val="fr-FR"/>
        </w:rPr>
        <w:t xml:space="preserve"> et plus appropriés à des fins de communication. Un des principaux domaines de travail a été la préparation et le lancement des Perspectives mondiales pour les zones humides, y compris un </w:t>
      </w:r>
      <w:r w:rsidR="00CF4E94" w:rsidRPr="00AE0ED9">
        <w:rPr>
          <w:rFonts w:cstheme="minorHAnsi"/>
          <w:lang w:val="fr-FR"/>
        </w:rPr>
        <w:lastRenderedPageBreak/>
        <w:t>plan d’information dans les médias et sur les réseaux sociaux qui a été élaboré et appliqué. Un microsite séparé</w:t>
      </w:r>
      <w:r w:rsidR="00363329">
        <w:rPr>
          <w:rFonts w:cstheme="minorHAnsi"/>
          <w:lang w:val="fr-FR"/>
        </w:rPr>
        <w:t>,</w:t>
      </w:r>
      <w:r w:rsidR="00CF4E94" w:rsidRPr="00AE0ED9">
        <w:rPr>
          <w:rFonts w:cstheme="minorHAnsi"/>
          <w:lang w:val="fr-FR"/>
        </w:rPr>
        <w:t xml:space="preserve"> pour les Perspectives mondiales pour les zones humides et les produits associés</w:t>
      </w:r>
      <w:r w:rsidR="00363329">
        <w:rPr>
          <w:rFonts w:cstheme="minorHAnsi"/>
          <w:lang w:val="fr-FR"/>
        </w:rPr>
        <w:t>,</w:t>
      </w:r>
      <w:r w:rsidR="00CF4E94" w:rsidRPr="00AE0ED9">
        <w:rPr>
          <w:rFonts w:cstheme="minorHAnsi"/>
          <w:lang w:val="fr-FR"/>
        </w:rPr>
        <w:t xml:space="preserve"> a été créé et communiqué aux médias mondiaux et au public. </w:t>
      </w:r>
      <w:r w:rsidR="00785F30" w:rsidRPr="00AE0ED9">
        <w:rPr>
          <w:rFonts w:cstheme="minorHAnsi"/>
          <w:lang w:val="fr-FR"/>
        </w:rPr>
        <w:t xml:space="preserve"> </w:t>
      </w:r>
    </w:p>
    <w:p w14:paraId="041A82C9" w14:textId="77777777" w:rsidR="00EE515A" w:rsidRPr="00AE0ED9" w:rsidRDefault="00EE515A" w:rsidP="00C81B75">
      <w:pPr>
        <w:rPr>
          <w:rFonts w:cstheme="minorHAnsi"/>
          <w:lang w:val="fr-FR"/>
        </w:rPr>
      </w:pPr>
    </w:p>
    <w:p w14:paraId="08180468" w14:textId="56BA1411" w:rsidR="00EE515A" w:rsidRPr="00AE0ED9" w:rsidRDefault="00E25439" w:rsidP="005C28FB">
      <w:pPr>
        <w:rPr>
          <w:rFonts w:cstheme="minorHAnsi"/>
          <w:lang w:val="fr-FR"/>
        </w:rPr>
      </w:pPr>
      <w:r w:rsidRPr="00AE0ED9">
        <w:rPr>
          <w:rFonts w:cstheme="minorHAnsi"/>
          <w:lang w:val="fr-FR"/>
        </w:rPr>
        <w:t>35</w:t>
      </w:r>
      <w:r w:rsidR="005C28FB" w:rsidRPr="00AE0ED9">
        <w:rPr>
          <w:rFonts w:cstheme="minorHAnsi"/>
          <w:lang w:val="fr-FR"/>
        </w:rPr>
        <w:t>.</w:t>
      </w:r>
      <w:r w:rsidR="005C28FB" w:rsidRPr="00AE0ED9">
        <w:rPr>
          <w:rFonts w:cstheme="minorHAnsi"/>
          <w:lang w:val="fr-FR"/>
        </w:rPr>
        <w:tab/>
      </w:r>
      <w:r w:rsidR="004E6E32" w:rsidRPr="00AE0ED9">
        <w:rPr>
          <w:rFonts w:cstheme="minorHAnsi"/>
          <w:lang w:val="fr-FR"/>
        </w:rPr>
        <w:t>Ces efforts de communication s’inscrivent dans le cadre de la mise en œuvre du Plan d'action de CESP par le Secrétariat. Le Secrétariat a évalué l'état d'avancement de la mise en œu</w:t>
      </w:r>
      <w:r w:rsidR="00BB2857">
        <w:rPr>
          <w:rFonts w:cstheme="minorHAnsi"/>
          <w:lang w:val="fr-FR"/>
        </w:rPr>
        <w:t xml:space="preserve">vre du Plan et </w:t>
      </w:r>
      <w:r w:rsidR="004E6E32" w:rsidRPr="00AE0ED9">
        <w:rPr>
          <w:rFonts w:cstheme="minorHAnsi"/>
          <w:lang w:val="fr-FR"/>
        </w:rPr>
        <w:t xml:space="preserve">a examiné les résultats escomptés à l’aulne de ses capacités, en adoptant une approche globale. Le Secrétariat a intégré les résultats du Plan dans </w:t>
      </w:r>
      <w:r w:rsidR="006727B4">
        <w:rPr>
          <w:rFonts w:cstheme="minorHAnsi"/>
          <w:lang w:val="fr-FR"/>
        </w:rPr>
        <w:t>son propre plan de travail triennal et</w:t>
      </w:r>
      <w:r w:rsidR="004E6E32" w:rsidRPr="00AE0ED9">
        <w:rPr>
          <w:rFonts w:cstheme="minorHAnsi"/>
          <w:lang w:val="fr-FR"/>
        </w:rPr>
        <w:t xml:space="preserve"> </w:t>
      </w:r>
      <w:r w:rsidR="006727B4">
        <w:rPr>
          <w:rFonts w:cstheme="minorHAnsi"/>
          <w:lang w:val="fr-FR"/>
        </w:rPr>
        <w:t>ses</w:t>
      </w:r>
      <w:r w:rsidR="004E6E32" w:rsidRPr="00AE0ED9">
        <w:rPr>
          <w:rFonts w:cstheme="minorHAnsi"/>
          <w:lang w:val="fr-FR"/>
        </w:rPr>
        <w:t xml:space="preserve"> plans de travail annuels, afin </w:t>
      </w:r>
      <w:r w:rsidR="006727B4">
        <w:rPr>
          <w:rFonts w:cstheme="minorHAnsi"/>
          <w:lang w:val="fr-FR"/>
        </w:rPr>
        <w:t>d’harmoniser</w:t>
      </w:r>
      <w:r w:rsidR="004E6E32" w:rsidRPr="00AE0ED9">
        <w:rPr>
          <w:rFonts w:cstheme="minorHAnsi"/>
          <w:lang w:val="fr-FR"/>
        </w:rPr>
        <w:t xml:space="preserve"> et de rationaliser ses travaux</w:t>
      </w:r>
      <w:r w:rsidR="00C14D58" w:rsidRPr="00AE0ED9">
        <w:rPr>
          <w:rFonts w:cstheme="minorHAnsi"/>
          <w:lang w:val="fr-FR"/>
        </w:rPr>
        <w:t xml:space="preserve">, </w:t>
      </w:r>
      <w:r w:rsidR="003B5BF8" w:rsidRPr="00AE0ED9">
        <w:rPr>
          <w:rFonts w:cstheme="minorHAnsi"/>
          <w:lang w:val="fr-FR"/>
        </w:rPr>
        <w:t>avec l’approbation des 53</w:t>
      </w:r>
      <w:r w:rsidR="003B5BF8" w:rsidRPr="00AE0ED9">
        <w:rPr>
          <w:rFonts w:cstheme="minorHAnsi"/>
          <w:vertAlign w:val="superscript"/>
          <w:lang w:val="fr-FR"/>
        </w:rPr>
        <w:t>e</w:t>
      </w:r>
      <w:r w:rsidR="003B5BF8" w:rsidRPr="00AE0ED9">
        <w:rPr>
          <w:rFonts w:cstheme="minorHAnsi"/>
          <w:lang w:val="fr-FR"/>
        </w:rPr>
        <w:t xml:space="preserve"> et 54</w:t>
      </w:r>
      <w:r w:rsidR="003B5BF8" w:rsidRPr="00AE0ED9">
        <w:rPr>
          <w:rFonts w:cstheme="minorHAnsi"/>
          <w:vertAlign w:val="superscript"/>
          <w:lang w:val="fr-FR"/>
        </w:rPr>
        <w:t>e</w:t>
      </w:r>
      <w:r w:rsidR="003B5BF8" w:rsidRPr="00AE0ED9">
        <w:rPr>
          <w:rFonts w:cstheme="minorHAnsi"/>
          <w:lang w:val="fr-FR"/>
        </w:rPr>
        <w:t xml:space="preserve"> </w:t>
      </w:r>
      <w:r w:rsidR="00BB2857">
        <w:rPr>
          <w:rFonts w:cstheme="minorHAnsi"/>
          <w:lang w:val="fr-FR"/>
        </w:rPr>
        <w:t>R</w:t>
      </w:r>
      <w:r w:rsidR="003B5BF8" w:rsidRPr="00AE0ED9">
        <w:rPr>
          <w:rFonts w:cstheme="minorHAnsi"/>
          <w:lang w:val="fr-FR"/>
        </w:rPr>
        <w:t>éunions du Comité permanent</w:t>
      </w:r>
      <w:r w:rsidR="00C14D58" w:rsidRPr="00AE0ED9">
        <w:rPr>
          <w:rFonts w:cstheme="minorHAnsi"/>
          <w:lang w:val="fr-FR"/>
        </w:rPr>
        <w:t>.</w:t>
      </w:r>
    </w:p>
    <w:p w14:paraId="1C6DC3C7" w14:textId="77777777" w:rsidR="00EE515A" w:rsidRPr="00AE0ED9" w:rsidRDefault="00EE515A" w:rsidP="005C28FB">
      <w:pPr>
        <w:rPr>
          <w:rFonts w:cstheme="minorHAnsi"/>
          <w:lang w:val="fr-FR"/>
        </w:rPr>
      </w:pPr>
    </w:p>
    <w:p w14:paraId="39FC7366" w14:textId="6B59AAF4" w:rsidR="00B02C5C" w:rsidRPr="00AE0ED9" w:rsidRDefault="00E25439" w:rsidP="005C28FB">
      <w:pPr>
        <w:rPr>
          <w:rFonts w:cstheme="minorHAnsi"/>
          <w:lang w:val="fr-FR"/>
        </w:rPr>
      </w:pPr>
      <w:r w:rsidRPr="00AE0ED9">
        <w:rPr>
          <w:rFonts w:cstheme="minorHAnsi"/>
          <w:lang w:val="fr-FR"/>
        </w:rPr>
        <w:t>36</w:t>
      </w:r>
      <w:r w:rsidR="005C28FB" w:rsidRPr="00AE0ED9">
        <w:rPr>
          <w:rFonts w:cstheme="minorHAnsi"/>
          <w:lang w:val="fr-FR"/>
        </w:rPr>
        <w:t>.</w:t>
      </w:r>
      <w:r w:rsidR="005C28FB" w:rsidRPr="00AE0ED9">
        <w:rPr>
          <w:rFonts w:cstheme="minorHAnsi"/>
          <w:lang w:val="fr-FR"/>
        </w:rPr>
        <w:tab/>
      </w:r>
      <w:r w:rsidR="00F14180" w:rsidRPr="00AE0ED9">
        <w:rPr>
          <w:rFonts w:cstheme="minorHAnsi"/>
          <w:lang w:val="fr-FR"/>
        </w:rPr>
        <w:t xml:space="preserve">La Journée mondiale des zones humides continue d’être une formidable plateforme d’information pour sensibiliser </w:t>
      </w:r>
      <w:r w:rsidR="008C12AD">
        <w:rPr>
          <w:rFonts w:cstheme="minorHAnsi"/>
          <w:lang w:val="fr-FR"/>
        </w:rPr>
        <w:t>au sort</w:t>
      </w:r>
      <w:r w:rsidR="00F14180" w:rsidRPr="00AE0ED9">
        <w:rPr>
          <w:rFonts w:cstheme="minorHAnsi"/>
          <w:lang w:val="fr-FR"/>
        </w:rPr>
        <w:t xml:space="preserve"> des zones humides aux niveaux mondial et national. Durant la période triennale, le Secrétariat a </w:t>
      </w:r>
      <w:r w:rsidR="008C12AD">
        <w:rPr>
          <w:rFonts w:cstheme="minorHAnsi"/>
          <w:lang w:val="fr-FR"/>
        </w:rPr>
        <w:t>observé</w:t>
      </w:r>
      <w:r w:rsidR="00F14180" w:rsidRPr="00AE0ED9">
        <w:rPr>
          <w:rFonts w:cstheme="minorHAnsi"/>
          <w:lang w:val="fr-FR"/>
        </w:rPr>
        <w:t xml:space="preserve"> une augmentation régulière du nombre d’activités organisées par les Parties et autres organisations spécialistes de l’environnement, de 1346 (2016) à 1507 </w:t>
      </w:r>
      <w:r w:rsidR="00B02C5C" w:rsidRPr="00AE0ED9">
        <w:rPr>
          <w:rFonts w:cstheme="minorHAnsi"/>
          <w:lang w:val="fr-FR"/>
        </w:rPr>
        <w:t>(2018)</w:t>
      </w:r>
      <w:r w:rsidR="008C12AD">
        <w:rPr>
          <w:rFonts w:cstheme="minorHAnsi"/>
          <w:lang w:val="fr-FR"/>
        </w:rPr>
        <w:t xml:space="preserve"> activités</w:t>
      </w:r>
      <w:r w:rsidR="00B02C5C" w:rsidRPr="00AE0ED9">
        <w:rPr>
          <w:rFonts w:cstheme="minorHAnsi"/>
          <w:lang w:val="fr-FR"/>
        </w:rPr>
        <w:t xml:space="preserve">. </w:t>
      </w:r>
      <w:r w:rsidR="00F14180" w:rsidRPr="00AE0ED9">
        <w:rPr>
          <w:rFonts w:cstheme="minorHAnsi"/>
          <w:lang w:val="fr-FR"/>
        </w:rPr>
        <w:t xml:space="preserve">Avec un financement fourni par le Groupe Danone, le Secrétariat a produit </w:t>
      </w:r>
      <w:r w:rsidR="008C12AD">
        <w:rPr>
          <w:rFonts w:cstheme="minorHAnsi"/>
          <w:lang w:val="fr-FR"/>
        </w:rPr>
        <w:t>un</w:t>
      </w:r>
      <w:r w:rsidR="00F14180" w:rsidRPr="00AE0ED9">
        <w:rPr>
          <w:rFonts w:cstheme="minorHAnsi"/>
          <w:lang w:val="fr-FR"/>
        </w:rPr>
        <w:t xml:space="preserve"> matériel d’information </w:t>
      </w:r>
      <w:r w:rsidR="008C12AD">
        <w:rPr>
          <w:rFonts w:cstheme="minorHAnsi"/>
          <w:lang w:val="fr-FR"/>
        </w:rPr>
        <w:t xml:space="preserve">très varié </w:t>
      </w:r>
      <w:r w:rsidR="00F14180" w:rsidRPr="00AE0ED9">
        <w:rPr>
          <w:rFonts w:cstheme="minorHAnsi"/>
          <w:lang w:val="fr-FR"/>
        </w:rPr>
        <w:t xml:space="preserve">pour soutenir les efforts d’information des Parties sur les thèmes des moyens d’existence </w:t>
      </w:r>
      <w:r w:rsidR="00B02C5C" w:rsidRPr="00AE0ED9">
        <w:rPr>
          <w:rFonts w:cstheme="minorHAnsi"/>
          <w:lang w:val="fr-FR"/>
        </w:rPr>
        <w:t xml:space="preserve">(2016), </w:t>
      </w:r>
      <w:r w:rsidR="008C12AD">
        <w:rPr>
          <w:rFonts w:cstheme="minorHAnsi"/>
          <w:lang w:val="fr-FR"/>
        </w:rPr>
        <w:t xml:space="preserve">de la </w:t>
      </w:r>
      <w:r w:rsidR="00F14180" w:rsidRPr="00AE0ED9">
        <w:rPr>
          <w:rFonts w:cstheme="minorHAnsi"/>
          <w:lang w:val="fr-FR"/>
        </w:rPr>
        <w:t>prévention des catastrophe</w:t>
      </w:r>
      <w:r w:rsidR="008C12AD">
        <w:rPr>
          <w:rFonts w:cstheme="minorHAnsi"/>
          <w:lang w:val="fr-FR"/>
        </w:rPr>
        <w:t>s</w:t>
      </w:r>
      <w:r w:rsidR="00B02C5C" w:rsidRPr="00AE0ED9">
        <w:rPr>
          <w:rFonts w:cstheme="minorHAnsi"/>
          <w:lang w:val="fr-FR"/>
        </w:rPr>
        <w:t xml:space="preserve"> (2017) </w:t>
      </w:r>
      <w:r w:rsidR="00F14180" w:rsidRPr="00AE0ED9">
        <w:rPr>
          <w:rFonts w:cstheme="minorHAnsi"/>
          <w:lang w:val="fr-FR"/>
        </w:rPr>
        <w:t xml:space="preserve">et </w:t>
      </w:r>
      <w:r w:rsidR="008C12AD">
        <w:rPr>
          <w:rFonts w:cstheme="minorHAnsi"/>
          <w:lang w:val="fr-FR"/>
        </w:rPr>
        <w:t xml:space="preserve">des </w:t>
      </w:r>
      <w:r w:rsidR="00F14180" w:rsidRPr="00AE0ED9">
        <w:rPr>
          <w:rFonts w:cstheme="minorHAnsi"/>
          <w:lang w:val="fr-FR"/>
        </w:rPr>
        <w:t xml:space="preserve">zones humides urbaines </w:t>
      </w:r>
      <w:r w:rsidR="00B02C5C" w:rsidRPr="00AE0ED9">
        <w:rPr>
          <w:rFonts w:cstheme="minorHAnsi"/>
          <w:lang w:val="fr-FR"/>
        </w:rPr>
        <w:t xml:space="preserve">(2018). </w:t>
      </w:r>
      <w:r w:rsidR="00F14180" w:rsidRPr="00AE0ED9">
        <w:rPr>
          <w:rFonts w:cstheme="minorHAnsi"/>
          <w:lang w:val="fr-FR"/>
        </w:rPr>
        <w:t xml:space="preserve">En outre, le Secrétariat a cherché à obtenir la collaboration stratégique des OIP et des institutions pertinentes des Nations Unies pour profiter de leurs réseaux et atteindre un public plus vaste. Il s’agissait notamment du Programme des Nations Unies pour l’environnement (PNUE), du Bureau des Nations Unies pour la </w:t>
      </w:r>
      <w:r w:rsidR="008C12AD">
        <w:rPr>
          <w:rFonts w:cstheme="minorHAnsi"/>
          <w:lang w:val="fr-FR"/>
        </w:rPr>
        <w:t>prévention</w:t>
      </w:r>
      <w:r w:rsidR="00F14180" w:rsidRPr="00AE0ED9">
        <w:rPr>
          <w:rFonts w:cstheme="minorHAnsi"/>
          <w:lang w:val="fr-FR"/>
        </w:rPr>
        <w:t xml:space="preserve"> des catastrophes </w:t>
      </w:r>
      <w:r w:rsidR="003709D4" w:rsidRPr="00AE0ED9">
        <w:rPr>
          <w:rFonts w:cstheme="minorHAnsi"/>
          <w:lang w:val="fr-FR"/>
        </w:rPr>
        <w:t>(</w:t>
      </w:r>
      <w:r w:rsidR="00B02C5C" w:rsidRPr="00AE0ED9">
        <w:rPr>
          <w:rFonts w:cstheme="minorHAnsi"/>
          <w:lang w:val="fr-FR"/>
        </w:rPr>
        <w:t>UNISDR</w:t>
      </w:r>
      <w:r w:rsidR="003709D4" w:rsidRPr="00AE0ED9">
        <w:rPr>
          <w:rFonts w:cstheme="minorHAnsi"/>
          <w:lang w:val="fr-FR"/>
        </w:rPr>
        <w:t>)</w:t>
      </w:r>
      <w:r w:rsidR="00F14180" w:rsidRPr="00AE0ED9">
        <w:rPr>
          <w:rFonts w:cstheme="minorHAnsi"/>
          <w:lang w:val="fr-FR"/>
        </w:rPr>
        <w:t xml:space="preserve"> et d’ONU</w:t>
      </w:r>
      <w:r w:rsidR="00F14180" w:rsidRPr="00AE0ED9">
        <w:rPr>
          <w:rFonts w:cstheme="minorHAnsi"/>
          <w:lang w:val="fr-FR"/>
        </w:rPr>
        <w:noBreakHyphen/>
        <w:t>Habitat. Les réseaux sociaux ainsi que le Concours mondial de photo</w:t>
      </w:r>
      <w:r w:rsidR="008C12AD">
        <w:rPr>
          <w:rFonts w:cstheme="minorHAnsi"/>
          <w:lang w:val="fr-FR"/>
        </w:rPr>
        <w:t>graphies de</w:t>
      </w:r>
      <w:r w:rsidR="00F14180" w:rsidRPr="00AE0ED9">
        <w:rPr>
          <w:rFonts w:cstheme="minorHAnsi"/>
          <w:lang w:val="fr-FR"/>
        </w:rPr>
        <w:t xml:space="preserve">s zones humides pour les jeunes, en 2016 et 2017, ont été d’autres canaux importants qui ont permis de renforcer la sensibilisation et l’engagement des jeunes à l’occasion de la Journée mondiale des zones humides. Plus précisément, durant la période triennale, le recours combiné aux plateformes de réseaux sociaux Facebook, </w:t>
      </w:r>
      <w:r w:rsidR="002F60CD" w:rsidRPr="00AE0ED9">
        <w:rPr>
          <w:rFonts w:cstheme="minorHAnsi"/>
          <w:lang w:val="fr-FR"/>
        </w:rPr>
        <w:t>Twitter, YouT</w:t>
      </w:r>
      <w:r w:rsidR="00B02C5C" w:rsidRPr="00AE0ED9">
        <w:rPr>
          <w:rFonts w:cstheme="minorHAnsi"/>
          <w:lang w:val="fr-FR"/>
        </w:rPr>
        <w:t xml:space="preserve">ube </w:t>
      </w:r>
      <w:r w:rsidR="00F14180" w:rsidRPr="00AE0ED9">
        <w:rPr>
          <w:rFonts w:cstheme="minorHAnsi"/>
          <w:lang w:val="fr-FR"/>
        </w:rPr>
        <w:t>et</w:t>
      </w:r>
      <w:r w:rsidR="00B02C5C" w:rsidRPr="00AE0ED9">
        <w:rPr>
          <w:rFonts w:cstheme="minorHAnsi"/>
          <w:lang w:val="fr-FR"/>
        </w:rPr>
        <w:t xml:space="preserve"> Instagram </w:t>
      </w:r>
      <w:r w:rsidR="002F60CD" w:rsidRPr="00AE0ED9">
        <w:rPr>
          <w:rFonts w:cstheme="minorHAnsi"/>
          <w:lang w:val="fr-FR"/>
        </w:rPr>
        <w:t>a peut</w:t>
      </w:r>
      <w:r w:rsidR="002F60CD" w:rsidRPr="00AE0ED9">
        <w:rPr>
          <w:rFonts w:cstheme="minorHAnsi"/>
          <w:lang w:val="fr-FR"/>
        </w:rPr>
        <w:noBreakHyphen/>
        <w:t>être atteint 16 </w:t>
      </w:r>
      <w:r w:rsidR="00B02C5C" w:rsidRPr="00AE0ED9">
        <w:rPr>
          <w:rFonts w:cstheme="minorHAnsi"/>
          <w:lang w:val="fr-FR"/>
        </w:rPr>
        <w:t>million</w:t>
      </w:r>
      <w:r w:rsidR="002F60CD" w:rsidRPr="00AE0ED9">
        <w:rPr>
          <w:rFonts w:cstheme="minorHAnsi"/>
          <w:lang w:val="fr-FR"/>
        </w:rPr>
        <w:t>s</w:t>
      </w:r>
      <w:r w:rsidR="00B02C5C" w:rsidRPr="00AE0ED9">
        <w:rPr>
          <w:rFonts w:cstheme="minorHAnsi"/>
          <w:lang w:val="fr-FR"/>
        </w:rPr>
        <w:t xml:space="preserve"> </w:t>
      </w:r>
      <w:r w:rsidR="008C12AD">
        <w:rPr>
          <w:rFonts w:cstheme="minorHAnsi"/>
          <w:lang w:val="fr-FR"/>
        </w:rPr>
        <w:t xml:space="preserve">de visites </w:t>
      </w:r>
      <w:r w:rsidR="002F60CD" w:rsidRPr="00AE0ED9">
        <w:rPr>
          <w:rFonts w:cstheme="minorHAnsi"/>
          <w:lang w:val="fr-FR"/>
        </w:rPr>
        <w:t>e</w:t>
      </w:r>
      <w:r w:rsidR="00B02C5C" w:rsidRPr="00AE0ED9">
        <w:rPr>
          <w:rFonts w:cstheme="minorHAnsi"/>
          <w:lang w:val="fr-FR"/>
        </w:rPr>
        <w:t>n</w:t>
      </w:r>
      <w:r w:rsidR="002F60CD" w:rsidRPr="00AE0ED9">
        <w:rPr>
          <w:rFonts w:cstheme="minorHAnsi"/>
          <w:lang w:val="fr-FR"/>
        </w:rPr>
        <w:t> 2016, 25 </w:t>
      </w:r>
      <w:r w:rsidR="00B02C5C" w:rsidRPr="00AE0ED9">
        <w:rPr>
          <w:rFonts w:cstheme="minorHAnsi"/>
          <w:lang w:val="fr-FR"/>
        </w:rPr>
        <w:t>million</w:t>
      </w:r>
      <w:r w:rsidR="002F60CD" w:rsidRPr="00AE0ED9">
        <w:rPr>
          <w:rFonts w:cstheme="minorHAnsi"/>
          <w:lang w:val="fr-FR"/>
        </w:rPr>
        <w:t>s en </w:t>
      </w:r>
      <w:r w:rsidR="00B02C5C" w:rsidRPr="00AE0ED9">
        <w:rPr>
          <w:rFonts w:cstheme="minorHAnsi"/>
          <w:lang w:val="fr-FR"/>
        </w:rPr>
        <w:t xml:space="preserve">2017 </w:t>
      </w:r>
      <w:r w:rsidR="002F60CD" w:rsidRPr="00AE0ED9">
        <w:rPr>
          <w:rFonts w:cstheme="minorHAnsi"/>
          <w:lang w:val="fr-FR"/>
        </w:rPr>
        <w:t>et 9 </w:t>
      </w:r>
      <w:r w:rsidR="00B02C5C" w:rsidRPr="00AE0ED9">
        <w:rPr>
          <w:rFonts w:cstheme="minorHAnsi"/>
          <w:lang w:val="fr-FR"/>
        </w:rPr>
        <w:t>million</w:t>
      </w:r>
      <w:r w:rsidR="002F60CD" w:rsidRPr="00AE0ED9">
        <w:rPr>
          <w:rFonts w:cstheme="minorHAnsi"/>
          <w:lang w:val="fr-FR"/>
        </w:rPr>
        <w:t>s à ce jour en </w:t>
      </w:r>
      <w:r w:rsidR="00B02C5C" w:rsidRPr="00AE0ED9">
        <w:rPr>
          <w:rFonts w:cstheme="minorHAnsi"/>
          <w:lang w:val="fr-FR"/>
        </w:rPr>
        <w:t xml:space="preserve">2018. </w:t>
      </w:r>
    </w:p>
    <w:p w14:paraId="24E3DC2F" w14:textId="77777777" w:rsidR="207F27EF" w:rsidRPr="00AE0ED9" w:rsidRDefault="207F27EF" w:rsidP="00C81B75">
      <w:pPr>
        <w:pStyle w:val="ListParagraph"/>
        <w:ind w:firstLine="0"/>
        <w:rPr>
          <w:rFonts w:eastAsia="Calibri" w:cstheme="minorHAnsi"/>
          <w:lang w:val="fr-FR"/>
        </w:rPr>
      </w:pPr>
    </w:p>
    <w:p w14:paraId="36FA90AF" w14:textId="6847B47D" w:rsidR="00D352B8" w:rsidRPr="00AE0ED9" w:rsidRDefault="00BB2857" w:rsidP="006A3761">
      <w:pPr>
        <w:rPr>
          <w:rFonts w:cstheme="minorHAnsi"/>
          <w:bCs/>
          <w:u w:val="single"/>
          <w:lang w:val="fr-FR"/>
        </w:rPr>
      </w:pPr>
      <w:r>
        <w:rPr>
          <w:rFonts w:cstheme="minorHAnsi"/>
          <w:bCs/>
          <w:u w:val="single"/>
          <w:lang w:val="fr-FR"/>
        </w:rPr>
        <w:t>Un Secrétariat plus efficace</w:t>
      </w:r>
    </w:p>
    <w:p w14:paraId="37016581" w14:textId="77777777" w:rsidR="003B5BF8" w:rsidRPr="00AE0ED9" w:rsidRDefault="003B5BF8" w:rsidP="006A3761">
      <w:pPr>
        <w:rPr>
          <w:rFonts w:cstheme="minorHAnsi"/>
          <w:lang w:val="fr-FR"/>
        </w:rPr>
      </w:pPr>
    </w:p>
    <w:p w14:paraId="458D5FF7" w14:textId="299978AA" w:rsidR="00E036FC" w:rsidRPr="00AE0ED9" w:rsidRDefault="00E25439" w:rsidP="006A3761">
      <w:pPr>
        <w:rPr>
          <w:rFonts w:cstheme="minorHAnsi"/>
          <w:lang w:val="fr-FR"/>
        </w:rPr>
      </w:pPr>
      <w:r w:rsidRPr="00AE0ED9">
        <w:rPr>
          <w:rFonts w:cstheme="minorHAnsi"/>
          <w:lang w:val="fr-FR"/>
        </w:rPr>
        <w:t>37</w:t>
      </w:r>
      <w:r w:rsidR="006A3761" w:rsidRPr="00AE0ED9">
        <w:rPr>
          <w:rFonts w:cstheme="minorHAnsi"/>
          <w:lang w:val="fr-FR"/>
        </w:rPr>
        <w:t>.</w:t>
      </w:r>
      <w:r w:rsidR="006A3761" w:rsidRPr="00AE0ED9">
        <w:rPr>
          <w:rFonts w:cstheme="minorHAnsi"/>
          <w:lang w:val="fr-FR"/>
        </w:rPr>
        <w:tab/>
      </w:r>
      <w:r w:rsidR="00FE1821" w:rsidRPr="00AE0ED9">
        <w:rPr>
          <w:rFonts w:cstheme="minorHAnsi"/>
          <w:lang w:val="fr-FR"/>
        </w:rPr>
        <w:t>Depuis que la Secrétaire générale a pris ses fonctions, l</w:t>
      </w:r>
      <w:r w:rsidR="00FE1821" w:rsidRPr="00AE0ED9">
        <w:rPr>
          <w:lang w:val="fr-FR"/>
        </w:rPr>
        <w:t>’objectif directeur a ét</w:t>
      </w:r>
      <w:r w:rsidR="0022728A" w:rsidRPr="00AE0ED9">
        <w:rPr>
          <w:lang w:val="fr-FR"/>
        </w:rPr>
        <w:t>é</w:t>
      </w:r>
      <w:r w:rsidR="00FE1821" w:rsidRPr="00AE0ED9">
        <w:rPr>
          <w:lang w:val="fr-FR"/>
        </w:rPr>
        <w:t xml:space="preserve"> « d’organiser pour livrer des résultats » concernant le Plan stratégique de la Convention et le mandat des Parties contractantes, et pour utiliser</w:t>
      </w:r>
      <w:r w:rsidR="008C12AD">
        <w:rPr>
          <w:lang w:val="fr-FR"/>
        </w:rPr>
        <w:t>,</w:t>
      </w:r>
      <w:r w:rsidR="00FE1821" w:rsidRPr="00AE0ED9">
        <w:rPr>
          <w:lang w:val="fr-FR"/>
        </w:rPr>
        <w:t xml:space="preserve"> de la façon la plus efficace qui soit</w:t>
      </w:r>
      <w:r w:rsidR="008C12AD">
        <w:rPr>
          <w:lang w:val="fr-FR"/>
        </w:rPr>
        <w:t>,</w:t>
      </w:r>
      <w:r w:rsidR="00FE1821" w:rsidRPr="00AE0ED9">
        <w:rPr>
          <w:lang w:val="fr-FR"/>
        </w:rPr>
        <w:t xml:space="preserve"> les ressources limitées de la Convention et les capacités de son Secrétariat</w:t>
      </w:r>
      <w:r w:rsidR="00843F44" w:rsidRPr="00AE0ED9">
        <w:rPr>
          <w:rFonts w:cstheme="minorHAnsi"/>
          <w:lang w:val="fr-FR"/>
        </w:rPr>
        <w:t xml:space="preserve">. </w:t>
      </w:r>
    </w:p>
    <w:p w14:paraId="4CCFE62D" w14:textId="77777777" w:rsidR="009D4535" w:rsidRPr="00AE0ED9" w:rsidRDefault="009D4535" w:rsidP="006A3761">
      <w:pPr>
        <w:rPr>
          <w:rFonts w:cstheme="minorHAnsi"/>
          <w:lang w:val="fr-FR"/>
        </w:rPr>
      </w:pPr>
    </w:p>
    <w:p w14:paraId="41ABD621" w14:textId="4915ADFF" w:rsidR="00843F44" w:rsidRPr="00AE0ED9" w:rsidRDefault="00E25439" w:rsidP="006A3761">
      <w:pPr>
        <w:rPr>
          <w:rFonts w:cstheme="minorHAnsi"/>
          <w:lang w:val="fr-FR"/>
        </w:rPr>
      </w:pPr>
      <w:r w:rsidRPr="00AE0ED9">
        <w:rPr>
          <w:rFonts w:cstheme="minorHAnsi"/>
          <w:lang w:val="fr-FR"/>
        </w:rPr>
        <w:t>38</w:t>
      </w:r>
      <w:r w:rsidR="006A3761" w:rsidRPr="00AE0ED9">
        <w:rPr>
          <w:rFonts w:cstheme="minorHAnsi"/>
          <w:lang w:val="fr-FR"/>
        </w:rPr>
        <w:t>.</w:t>
      </w:r>
      <w:r w:rsidR="006A3761" w:rsidRPr="00AE0ED9">
        <w:rPr>
          <w:rFonts w:cstheme="minorHAnsi"/>
          <w:lang w:val="fr-FR"/>
        </w:rPr>
        <w:tab/>
      </w:r>
      <w:r w:rsidR="00FE1821" w:rsidRPr="00AE0ED9">
        <w:rPr>
          <w:rFonts w:cstheme="minorHAnsi"/>
          <w:lang w:val="fr-FR"/>
        </w:rPr>
        <w:t>Des</w:t>
      </w:r>
      <w:r w:rsidR="00FE1821" w:rsidRPr="00AE0ED9">
        <w:rPr>
          <w:lang w:val="fr-FR"/>
        </w:rPr>
        <w:t xml:space="preserve"> lacunes ont été identifiées </w:t>
      </w:r>
      <w:r w:rsidR="007072C9">
        <w:rPr>
          <w:lang w:val="fr-FR"/>
        </w:rPr>
        <w:t xml:space="preserve">dans les capacités, </w:t>
      </w:r>
      <w:r w:rsidR="00FE1821" w:rsidRPr="00AE0ED9">
        <w:rPr>
          <w:lang w:val="fr-FR"/>
        </w:rPr>
        <w:t>en particulier dans deux domaines, à savoir la fonction centrale consistant à soutenir les organes directeurs et subsidiaires de la Convention et les liens avec les processus politiques pertinents par l’intermédiaire d’une science utile à la politique</w:t>
      </w:r>
      <w:r w:rsidR="00843F44" w:rsidRPr="00AE0ED9">
        <w:rPr>
          <w:rFonts w:cstheme="minorHAnsi"/>
          <w:lang w:val="fr-FR"/>
        </w:rPr>
        <w:t>.</w:t>
      </w:r>
      <w:r w:rsidR="00FE1821" w:rsidRPr="00AE0ED9">
        <w:rPr>
          <w:rFonts w:cstheme="minorHAnsi"/>
          <w:lang w:val="fr-FR"/>
        </w:rPr>
        <w:t xml:space="preserve"> </w:t>
      </w:r>
      <w:r w:rsidR="00E8142F" w:rsidRPr="00AE0ED9">
        <w:rPr>
          <w:rFonts w:cstheme="minorHAnsi"/>
          <w:lang w:val="fr-FR"/>
        </w:rPr>
        <w:t>Des ajustements ont été apportés aux descriptions des postes vacants, notamment après le départ à la retraite des titulaires, et du personnel administratif pour combler les lacunes dans les capacités. Depuis deux ans, la Secrétaire générale a recruté pour les postes suivants : Secrétaire général adjoint, avec une description de poste recentrée sur les organes directeurs et subsidiaires et en faveur de la responsabilité globale vis</w:t>
      </w:r>
      <w:r w:rsidR="00E8142F" w:rsidRPr="00AE0ED9">
        <w:rPr>
          <w:rFonts w:cstheme="minorHAnsi"/>
          <w:lang w:val="fr-FR"/>
        </w:rPr>
        <w:noBreakHyphen/>
        <w:t>à</w:t>
      </w:r>
      <w:r w:rsidR="00E8142F" w:rsidRPr="00AE0ED9">
        <w:rPr>
          <w:rFonts w:cstheme="minorHAnsi"/>
          <w:lang w:val="fr-FR"/>
        </w:rPr>
        <w:noBreakHyphen/>
        <w:t>vis des Parties contractantes; Directeur, Mobilisation des ressources et information</w:t>
      </w:r>
      <w:r w:rsidR="00E036FC" w:rsidRPr="00AE0ED9">
        <w:rPr>
          <w:rFonts w:cstheme="minorHAnsi"/>
          <w:lang w:val="fr-FR"/>
        </w:rPr>
        <w:t xml:space="preserve"> (</w:t>
      </w:r>
      <w:r w:rsidR="00E8142F" w:rsidRPr="00AE0ED9">
        <w:rPr>
          <w:rFonts w:cstheme="minorHAnsi"/>
          <w:lang w:val="fr-FR"/>
        </w:rPr>
        <w:t xml:space="preserve">avec les avis du Groupe de travail sur la mobilisation des ressources pour la préparation de la description de poste); Responsable des finances; Conseiller régional principal pour l’Asie et l’Océanie; </w:t>
      </w:r>
      <w:r w:rsidR="003301FB">
        <w:rPr>
          <w:rFonts w:cstheme="minorHAnsi"/>
          <w:lang w:val="fr-FR"/>
        </w:rPr>
        <w:t>Chef</w:t>
      </w:r>
      <w:r w:rsidR="00BC41E7">
        <w:rPr>
          <w:rFonts w:cstheme="minorHAnsi"/>
          <w:lang w:val="fr-FR"/>
        </w:rPr>
        <w:t>, Sciences et politique</w:t>
      </w:r>
      <w:r w:rsidR="003301FB">
        <w:rPr>
          <w:rFonts w:cstheme="minorHAnsi"/>
          <w:lang w:val="fr-FR"/>
        </w:rPr>
        <w:t>s</w:t>
      </w:r>
      <w:r w:rsidR="00BC41E7">
        <w:rPr>
          <w:rFonts w:cstheme="minorHAnsi"/>
          <w:lang w:val="fr-FR"/>
        </w:rPr>
        <w:t xml:space="preserve">; </w:t>
      </w:r>
      <w:r w:rsidR="00E8142F" w:rsidRPr="00AE0ED9">
        <w:rPr>
          <w:rFonts w:cstheme="minorHAnsi"/>
          <w:lang w:val="fr-FR"/>
        </w:rPr>
        <w:t>Assistant de conférence (pour renforcer les capacités de soutien aux organes subsidiaires et directeurs), Assistant de communication et trois stagiaires. Des efforts ont été faits pour favoriser</w:t>
      </w:r>
      <w:r w:rsidR="007072C9" w:rsidRPr="00AE0ED9">
        <w:rPr>
          <w:rFonts w:cstheme="minorHAnsi"/>
          <w:lang w:val="fr-FR"/>
        </w:rPr>
        <w:t>, dans toute la mesure du possible</w:t>
      </w:r>
      <w:r w:rsidR="007072C9">
        <w:rPr>
          <w:rFonts w:cstheme="minorHAnsi"/>
          <w:lang w:val="fr-FR"/>
        </w:rPr>
        <w:t>,</w:t>
      </w:r>
      <w:r w:rsidR="00E8142F" w:rsidRPr="00AE0ED9">
        <w:rPr>
          <w:rFonts w:cstheme="minorHAnsi"/>
          <w:lang w:val="fr-FR"/>
        </w:rPr>
        <w:t xml:space="preserve"> la plus grande diversité régionale et </w:t>
      </w:r>
      <w:r w:rsidR="007072C9">
        <w:rPr>
          <w:rFonts w:cstheme="minorHAnsi"/>
          <w:lang w:val="fr-FR"/>
        </w:rPr>
        <w:lastRenderedPageBreak/>
        <w:t>l’égalité entre les</w:t>
      </w:r>
      <w:r w:rsidR="00E8142F" w:rsidRPr="00AE0ED9">
        <w:rPr>
          <w:rFonts w:cstheme="minorHAnsi"/>
          <w:lang w:val="fr-FR"/>
        </w:rPr>
        <w:t xml:space="preserve"> sexes. </w:t>
      </w:r>
      <w:r w:rsidR="00BC41E7">
        <w:rPr>
          <w:rFonts w:cstheme="minorHAnsi"/>
          <w:lang w:val="fr-FR"/>
        </w:rPr>
        <w:t>Onze</w:t>
      </w:r>
      <w:r w:rsidR="00E8142F" w:rsidRPr="00AE0ED9">
        <w:rPr>
          <w:rFonts w:cstheme="minorHAnsi"/>
          <w:lang w:val="fr-FR"/>
        </w:rPr>
        <w:t xml:space="preserve"> postes ont été </w:t>
      </w:r>
      <w:r w:rsidR="00BC41E7">
        <w:rPr>
          <w:rFonts w:cstheme="minorHAnsi"/>
          <w:lang w:val="fr-FR"/>
        </w:rPr>
        <w:t>pourvus</w:t>
      </w:r>
      <w:r w:rsidR="00E8142F" w:rsidRPr="00AE0ED9">
        <w:rPr>
          <w:rFonts w:cstheme="minorHAnsi"/>
          <w:lang w:val="fr-FR"/>
        </w:rPr>
        <w:t xml:space="preserve"> depuis que la Secrétaire générale a assumé ses fonctions</w:t>
      </w:r>
      <w:r w:rsidR="00BB2857">
        <w:rPr>
          <w:rFonts w:cstheme="minorHAnsi"/>
          <w:lang w:val="fr-FR"/>
        </w:rPr>
        <w:t>,</w:t>
      </w:r>
      <w:r w:rsidR="00E8142F" w:rsidRPr="00AE0ED9">
        <w:rPr>
          <w:rFonts w:cstheme="minorHAnsi"/>
          <w:lang w:val="fr-FR"/>
        </w:rPr>
        <w:t xml:space="preserve"> dans les régions suivantes : </w:t>
      </w:r>
      <w:r w:rsidR="004C7D32" w:rsidRPr="00AE0ED9">
        <w:rPr>
          <w:rFonts w:cstheme="minorHAnsi"/>
          <w:lang w:val="fr-FR"/>
        </w:rPr>
        <w:t>Europe</w:t>
      </w:r>
      <w:r w:rsidR="00E8142F" w:rsidRPr="00AE0ED9">
        <w:rPr>
          <w:rFonts w:cstheme="minorHAnsi"/>
          <w:lang w:val="fr-FR"/>
        </w:rPr>
        <w:t> </w:t>
      </w:r>
      <w:r w:rsidR="004C7D32" w:rsidRPr="00AE0ED9">
        <w:rPr>
          <w:rFonts w:cstheme="minorHAnsi"/>
          <w:lang w:val="fr-FR"/>
        </w:rPr>
        <w:t>(4), Afri</w:t>
      </w:r>
      <w:r w:rsidR="00E8142F" w:rsidRPr="00AE0ED9">
        <w:rPr>
          <w:rFonts w:cstheme="minorHAnsi"/>
          <w:lang w:val="fr-FR"/>
        </w:rPr>
        <w:t>que </w:t>
      </w:r>
      <w:r w:rsidR="004C7D32" w:rsidRPr="00AE0ED9">
        <w:rPr>
          <w:rFonts w:cstheme="minorHAnsi"/>
          <w:lang w:val="fr-FR"/>
        </w:rPr>
        <w:t>(2), Asi</w:t>
      </w:r>
      <w:r w:rsidR="00E8142F" w:rsidRPr="00AE0ED9">
        <w:rPr>
          <w:rFonts w:cstheme="minorHAnsi"/>
          <w:lang w:val="fr-FR"/>
        </w:rPr>
        <w:t>e </w:t>
      </w:r>
      <w:r w:rsidR="004C7D32" w:rsidRPr="00AE0ED9">
        <w:rPr>
          <w:rFonts w:cstheme="minorHAnsi"/>
          <w:lang w:val="fr-FR"/>
        </w:rPr>
        <w:t>(2),</w:t>
      </w:r>
      <w:r w:rsidR="00E8142F" w:rsidRPr="00AE0ED9">
        <w:rPr>
          <w:rFonts w:cstheme="minorHAnsi"/>
          <w:lang w:val="fr-FR"/>
        </w:rPr>
        <w:t xml:space="preserve"> Amérique du Nord </w:t>
      </w:r>
      <w:r w:rsidR="004C7D32" w:rsidRPr="00AE0ED9">
        <w:rPr>
          <w:rFonts w:cstheme="minorHAnsi"/>
          <w:lang w:val="fr-FR"/>
        </w:rPr>
        <w:t xml:space="preserve">(1), </w:t>
      </w:r>
      <w:r w:rsidR="00E8142F" w:rsidRPr="00AE0ED9">
        <w:rPr>
          <w:rFonts w:cstheme="minorHAnsi"/>
          <w:lang w:val="fr-FR"/>
        </w:rPr>
        <w:t>Amérique latine et Caraïbes (</w:t>
      </w:r>
      <w:r w:rsidR="00BC41E7">
        <w:rPr>
          <w:rFonts w:cstheme="minorHAnsi"/>
          <w:lang w:val="fr-FR"/>
        </w:rPr>
        <w:t>2</w:t>
      </w:r>
      <w:r w:rsidR="00E8142F" w:rsidRPr="00AE0ED9">
        <w:rPr>
          <w:rFonts w:cstheme="minorHAnsi"/>
          <w:lang w:val="fr-FR"/>
        </w:rPr>
        <w:t>), Océanie </w:t>
      </w:r>
      <w:r w:rsidR="004C7D32" w:rsidRPr="00AE0ED9">
        <w:rPr>
          <w:rFonts w:cstheme="minorHAnsi"/>
          <w:lang w:val="fr-FR"/>
        </w:rPr>
        <w:t>(0)</w:t>
      </w:r>
      <w:r w:rsidR="002F58F8" w:rsidRPr="00AE0ED9">
        <w:rPr>
          <w:rFonts w:cstheme="minorHAnsi"/>
          <w:lang w:val="fr-FR"/>
        </w:rPr>
        <w:t xml:space="preserve">. </w:t>
      </w:r>
      <w:r w:rsidR="00E8142F" w:rsidRPr="00AE0ED9">
        <w:rPr>
          <w:rFonts w:cstheme="minorHAnsi"/>
          <w:lang w:val="fr-FR"/>
        </w:rPr>
        <w:t xml:space="preserve">Actuellement, 60% du personnel du Secrétariat </w:t>
      </w:r>
      <w:r w:rsidR="007072C9">
        <w:rPr>
          <w:rFonts w:cstheme="minorHAnsi"/>
          <w:lang w:val="fr-FR"/>
        </w:rPr>
        <w:t>est féminin</w:t>
      </w:r>
      <w:r w:rsidR="00E8142F" w:rsidRPr="00AE0ED9">
        <w:rPr>
          <w:rFonts w:cstheme="minorHAnsi"/>
          <w:lang w:val="fr-FR"/>
        </w:rPr>
        <w:t xml:space="preserve">. </w:t>
      </w:r>
    </w:p>
    <w:p w14:paraId="4C8BB508" w14:textId="77777777" w:rsidR="00BC41E7" w:rsidRPr="00F70CF2" w:rsidRDefault="00BC41E7" w:rsidP="00BC41E7">
      <w:pPr>
        <w:rPr>
          <w:rFonts w:cstheme="minorHAnsi"/>
          <w:lang w:val="fr-FR"/>
        </w:rPr>
      </w:pPr>
    </w:p>
    <w:p w14:paraId="51628B6D" w14:textId="6A4AF7EC" w:rsidR="00BC41E7" w:rsidRPr="00BC41E7" w:rsidRDefault="00BC41E7" w:rsidP="00BC41E7">
      <w:pPr>
        <w:rPr>
          <w:rFonts w:cstheme="minorHAnsi"/>
          <w:lang w:val="fr-FR"/>
        </w:rPr>
      </w:pPr>
      <w:r w:rsidRPr="00BB2857">
        <w:rPr>
          <w:rFonts w:cstheme="minorHAnsi"/>
          <w:lang w:val="fr-FR"/>
        </w:rPr>
        <w:t>39.</w:t>
      </w:r>
      <w:r w:rsidRPr="00BB2857">
        <w:rPr>
          <w:rFonts w:cstheme="minorHAnsi"/>
          <w:lang w:val="fr-FR"/>
        </w:rPr>
        <w:tab/>
        <w:t xml:space="preserve">Des technologies et pratiques du secteur privé en mesure d’améliorer l’efficacité du Secrétariat ont été activement évaluées et adoptées. </w:t>
      </w:r>
      <w:r w:rsidR="00550C2B" w:rsidRPr="00BB2857">
        <w:rPr>
          <w:rFonts w:cstheme="minorHAnsi"/>
          <w:lang w:val="fr-FR"/>
        </w:rPr>
        <w:t>Il convient de noter tout particulièrement l</w:t>
      </w:r>
      <w:r w:rsidRPr="00BB2857">
        <w:rPr>
          <w:rFonts w:cstheme="minorHAnsi"/>
          <w:lang w:val="fr-FR"/>
        </w:rPr>
        <w:t xml:space="preserve">’adoption d’une nouvelle base de données </w:t>
      </w:r>
      <w:r w:rsidR="00664309" w:rsidRPr="00BB2857">
        <w:rPr>
          <w:rFonts w:cstheme="minorHAnsi"/>
          <w:lang w:val="fr-FR"/>
        </w:rPr>
        <w:t>de gestion de la relation client (GRC)</w:t>
      </w:r>
      <w:r w:rsidRPr="00BB2857">
        <w:rPr>
          <w:rFonts w:cstheme="minorHAnsi"/>
          <w:lang w:val="fr-FR"/>
        </w:rPr>
        <w:t xml:space="preserve"> </w:t>
      </w:r>
      <w:r w:rsidR="00550C2B" w:rsidRPr="00BB2857">
        <w:rPr>
          <w:rFonts w:cstheme="minorHAnsi"/>
          <w:lang w:val="fr-FR"/>
        </w:rPr>
        <w:t>qui permettra une gestion plus efficace des envois, de l’inscription aux réunions et des</w:t>
      </w:r>
      <w:r w:rsidRPr="00BB2857">
        <w:rPr>
          <w:rFonts w:cstheme="minorHAnsi"/>
          <w:lang w:val="fr-FR"/>
        </w:rPr>
        <w:t xml:space="preserve"> contacts </w:t>
      </w:r>
      <w:r w:rsidR="00550C2B" w:rsidRPr="00BB2857">
        <w:rPr>
          <w:rFonts w:cstheme="minorHAnsi"/>
          <w:lang w:val="fr-FR"/>
        </w:rPr>
        <w:t xml:space="preserve">tout en assurant le respect des nouvelles lois sur la </w:t>
      </w:r>
      <w:r w:rsidR="00664309" w:rsidRPr="00BB2857">
        <w:rPr>
          <w:rFonts w:cstheme="minorHAnsi"/>
          <w:lang w:val="fr-FR"/>
        </w:rPr>
        <w:t xml:space="preserve">protection de la </w:t>
      </w:r>
      <w:r w:rsidR="00550C2B" w:rsidRPr="00BB2857">
        <w:rPr>
          <w:rFonts w:cstheme="minorHAnsi"/>
          <w:lang w:val="fr-FR"/>
        </w:rPr>
        <w:t>vie privée</w:t>
      </w:r>
      <w:r w:rsidRPr="00BB2857">
        <w:rPr>
          <w:rFonts w:cstheme="minorHAnsi"/>
          <w:lang w:val="fr-FR"/>
        </w:rPr>
        <w:t xml:space="preserve">. </w:t>
      </w:r>
      <w:r w:rsidR="00550C2B" w:rsidRPr="00BB2857">
        <w:rPr>
          <w:rFonts w:cstheme="minorHAnsi"/>
          <w:lang w:val="fr-FR"/>
        </w:rPr>
        <w:t>La</w:t>
      </w:r>
      <w:r w:rsidRPr="00BB2857">
        <w:rPr>
          <w:rFonts w:cstheme="minorHAnsi"/>
          <w:lang w:val="fr-FR"/>
        </w:rPr>
        <w:t xml:space="preserve"> </w:t>
      </w:r>
      <w:r w:rsidR="00BB2857">
        <w:rPr>
          <w:rFonts w:cstheme="minorHAnsi"/>
          <w:lang w:val="fr-FR"/>
        </w:rPr>
        <w:t>GRC</w:t>
      </w:r>
      <w:r w:rsidRPr="00BB2857">
        <w:rPr>
          <w:rFonts w:cstheme="minorHAnsi"/>
          <w:lang w:val="fr-FR"/>
        </w:rPr>
        <w:t xml:space="preserve"> </w:t>
      </w:r>
      <w:r w:rsidR="00550C2B" w:rsidRPr="00BB2857">
        <w:rPr>
          <w:rFonts w:cstheme="minorHAnsi"/>
          <w:lang w:val="fr-FR"/>
        </w:rPr>
        <w:t xml:space="preserve">a servi pour gérer tous les aspects de l’inscription des participants à la </w:t>
      </w:r>
      <w:r w:rsidRPr="00BB2857">
        <w:rPr>
          <w:rFonts w:cstheme="minorHAnsi"/>
          <w:lang w:val="fr-FR"/>
        </w:rPr>
        <w:t xml:space="preserve">COP13. </w:t>
      </w:r>
      <w:r w:rsidR="00550C2B" w:rsidRPr="00BB2857">
        <w:rPr>
          <w:rFonts w:cstheme="minorHAnsi"/>
          <w:lang w:val="fr-FR"/>
        </w:rPr>
        <w:t>Parmi les autres technologies adoptées, on peut citer des services de voix sur IP pour les appels-conférence, l’apprentissage en ligne (webinaires) et une plus grande utilisation de mécanismes numériques de partage des documents</w:t>
      </w:r>
      <w:r w:rsidRPr="00BB2857">
        <w:rPr>
          <w:rFonts w:cstheme="minorHAnsi"/>
          <w:lang w:val="fr-FR"/>
        </w:rPr>
        <w:t>.</w:t>
      </w:r>
    </w:p>
    <w:p w14:paraId="396F9AF7" w14:textId="77777777" w:rsidR="009D4535" w:rsidRPr="00BC41E7" w:rsidRDefault="009D4535" w:rsidP="006A3761">
      <w:pPr>
        <w:rPr>
          <w:rFonts w:cstheme="minorHAnsi"/>
          <w:lang w:val="fr-FR"/>
        </w:rPr>
      </w:pPr>
    </w:p>
    <w:p w14:paraId="51E9B6BC" w14:textId="32D07507" w:rsidR="009D4535" w:rsidRPr="00AE0ED9" w:rsidRDefault="00BC41E7" w:rsidP="006A3761">
      <w:pPr>
        <w:rPr>
          <w:rFonts w:cstheme="minorHAnsi"/>
          <w:lang w:val="fr-FR"/>
        </w:rPr>
      </w:pPr>
      <w:r>
        <w:rPr>
          <w:rFonts w:cstheme="minorHAnsi"/>
          <w:lang w:val="fr-FR"/>
        </w:rPr>
        <w:t>40</w:t>
      </w:r>
      <w:r w:rsidR="006A3761" w:rsidRPr="00AE0ED9">
        <w:rPr>
          <w:rFonts w:cstheme="minorHAnsi"/>
          <w:lang w:val="fr-FR"/>
        </w:rPr>
        <w:t>.</w:t>
      </w:r>
      <w:r w:rsidR="006A3761" w:rsidRPr="00AE0ED9">
        <w:rPr>
          <w:rFonts w:cstheme="minorHAnsi"/>
          <w:lang w:val="fr-FR"/>
        </w:rPr>
        <w:tab/>
      </w:r>
      <w:r w:rsidR="00831D0A" w:rsidRPr="00AE0ED9">
        <w:rPr>
          <w:rFonts w:cstheme="minorHAnsi"/>
          <w:lang w:val="fr-FR"/>
        </w:rPr>
        <w:t xml:space="preserve">La Secrétaire générale </w:t>
      </w:r>
      <w:r w:rsidR="00831D0A">
        <w:rPr>
          <w:rFonts w:cstheme="minorHAnsi"/>
          <w:lang w:val="fr-FR"/>
        </w:rPr>
        <w:t>a mené u</w:t>
      </w:r>
      <w:r w:rsidR="001F3508" w:rsidRPr="00AE0ED9">
        <w:rPr>
          <w:rFonts w:cstheme="minorHAnsi"/>
          <w:lang w:val="fr-FR"/>
        </w:rPr>
        <w:t xml:space="preserve">ne étude sur la gestion financière du Secrétariat en octobre 2016. </w:t>
      </w:r>
      <w:r w:rsidR="00831D0A">
        <w:rPr>
          <w:rFonts w:cstheme="minorHAnsi"/>
          <w:lang w:val="fr-FR"/>
        </w:rPr>
        <w:t>Elle</w:t>
      </w:r>
      <w:r w:rsidR="001F3508" w:rsidRPr="00AE0ED9">
        <w:rPr>
          <w:rFonts w:cstheme="minorHAnsi"/>
          <w:lang w:val="fr-FR"/>
        </w:rPr>
        <w:t xml:space="preserve"> a communiqué ses rapports au Comité exécutif, au Sous</w:t>
      </w:r>
      <w:r w:rsidR="001F3508" w:rsidRPr="00AE0ED9">
        <w:rPr>
          <w:rFonts w:cstheme="minorHAnsi"/>
          <w:lang w:val="fr-FR"/>
        </w:rPr>
        <w:noBreakHyphen/>
        <w:t xml:space="preserve">groupe sur les finances, au Groupe de travail sur la </w:t>
      </w:r>
      <w:r w:rsidR="0058507B" w:rsidRPr="00AE0ED9">
        <w:rPr>
          <w:rFonts w:cstheme="minorHAnsi"/>
          <w:lang w:val="fr-FR"/>
        </w:rPr>
        <w:t>facilitation</w:t>
      </w:r>
      <w:r w:rsidR="001F3508" w:rsidRPr="00AE0ED9">
        <w:rPr>
          <w:rFonts w:cstheme="minorHAnsi"/>
          <w:lang w:val="fr-FR"/>
        </w:rPr>
        <w:t xml:space="preserve"> et aux 53</w:t>
      </w:r>
      <w:r w:rsidR="001F3508" w:rsidRPr="00AE0ED9">
        <w:rPr>
          <w:rFonts w:cstheme="minorHAnsi"/>
          <w:vertAlign w:val="superscript"/>
          <w:lang w:val="fr-FR"/>
        </w:rPr>
        <w:t>e</w:t>
      </w:r>
      <w:r w:rsidR="001F3508" w:rsidRPr="00AE0ED9">
        <w:rPr>
          <w:rFonts w:cstheme="minorHAnsi"/>
          <w:lang w:val="fr-FR"/>
        </w:rPr>
        <w:t xml:space="preserve"> et 54</w:t>
      </w:r>
      <w:r w:rsidR="001F3508" w:rsidRPr="00AE0ED9">
        <w:rPr>
          <w:rFonts w:cstheme="minorHAnsi"/>
          <w:vertAlign w:val="superscript"/>
          <w:lang w:val="fr-FR"/>
        </w:rPr>
        <w:t>e</w:t>
      </w:r>
      <w:r w:rsidR="001F3508" w:rsidRPr="00AE0ED9">
        <w:rPr>
          <w:rFonts w:cstheme="minorHAnsi"/>
          <w:lang w:val="fr-FR"/>
        </w:rPr>
        <w:t> Réunions du Comité permanent. Des mesures ont été prises</w:t>
      </w:r>
      <w:r w:rsidR="00831D0A">
        <w:rPr>
          <w:rFonts w:cstheme="minorHAnsi"/>
          <w:lang w:val="fr-FR"/>
        </w:rPr>
        <w:t>,</w:t>
      </w:r>
      <w:r w:rsidR="001F3508" w:rsidRPr="00AE0ED9">
        <w:rPr>
          <w:rFonts w:cstheme="minorHAnsi"/>
          <w:lang w:val="fr-FR"/>
        </w:rPr>
        <w:t xml:space="preserve"> et les efforts se poursuivent</w:t>
      </w:r>
      <w:r w:rsidR="00831D0A">
        <w:rPr>
          <w:rFonts w:cstheme="minorHAnsi"/>
          <w:lang w:val="fr-FR"/>
        </w:rPr>
        <w:t>,</w:t>
      </w:r>
      <w:r w:rsidR="001F3508" w:rsidRPr="00AE0ED9">
        <w:rPr>
          <w:rFonts w:cstheme="minorHAnsi"/>
          <w:lang w:val="fr-FR"/>
        </w:rPr>
        <w:t xml:space="preserve"> pour résoudre les problèmes identifiés et </w:t>
      </w:r>
      <w:r w:rsidR="00831D0A">
        <w:rPr>
          <w:rFonts w:cstheme="minorHAnsi"/>
          <w:lang w:val="fr-FR"/>
        </w:rPr>
        <w:t>faire en sorte</w:t>
      </w:r>
      <w:r w:rsidR="001F3508" w:rsidRPr="00AE0ED9">
        <w:rPr>
          <w:rFonts w:cstheme="minorHAnsi"/>
          <w:lang w:val="fr-FR"/>
        </w:rPr>
        <w:t xml:space="preserve"> que la Convention dispose d’un système de gestion des finances rigoureux, transparent et responsable, conforme aux politiques et normes de l’UICN. </w:t>
      </w:r>
      <w:r w:rsidR="00FE1821" w:rsidRPr="00AE0ED9">
        <w:rPr>
          <w:lang w:val="fr-FR"/>
        </w:rPr>
        <w:t xml:space="preserve">Les améliorations apportées dans ce domaine ont été validées par les vérificateurs aux comptes externes. Le Secrétariat s’est aligné plus vigoureusement sur les politiques et procédures de l'UICN, </w:t>
      </w:r>
      <w:r w:rsidR="00831D0A">
        <w:rPr>
          <w:lang w:val="fr-FR"/>
        </w:rPr>
        <w:t>le cas échéant</w:t>
      </w:r>
      <w:r w:rsidR="00FE1821" w:rsidRPr="00AE0ED9">
        <w:rPr>
          <w:lang w:val="fr-FR"/>
        </w:rPr>
        <w:t xml:space="preserve">, </w:t>
      </w:r>
      <w:r w:rsidR="00831D0A">
        <w:rPr>
          <w:lang w:val="fr-FR"/>
        </w:rPr>
        <w:t xml:space="preserve">et </w:t>
      </w:r>
      <w:r w:rsidR="00FE1821" w:rsidRPr="00AE0ED9">
        <w:rPr>
          <w:lang w:val="fr-FR"/>
        </w:rPr>
        <w:t xml:space="preserve">des processus et procédures connexes </w:t>
      </w:r>
      <w:r w:rsidR="00831D0A">
        <w:rPr>
          <w:lang w:val="fr-FR"/>
        </w:rPr>
        <w:t>ont</w:t>
      </w:r>
      <w:r w:rsidR="00FE1821" w:rsidRPr="00AE0ED9">
        <w:rPr>
          <w:lang w:val="fr-FR"/>
        </w:rPr>
        <w:t xml:space="preserve"> été mis en place en 2017 ou</w:t>
      </w:r>
      <w:r w:rsidR="009072EA" w:rsidRPr="00AE0ED9">
        <w:rPr>
          <w:lang w:val="fr-FR"/>
        </w:rPr>
        <w:t> </w:t>
      </w:r>
      <w:r w:rsidR="00831D0A">
        <w:rPr>
          <w:lang w:val="fr-FR"/>
        </w:rPr>
        <w:t>sont</w:t>
      </w:r>
      <w:r w:rsidR="00FE1821" w:rsidRPr="00AE0ED9">
        <w:rPr>
          <w:lang w:val="fr-FR"/>
        </w:rPr>
        <w:t xml:space="preserve"> en cours d’application en 2018. Les capacités ont été renforcées à cet égard et des objectifs de performance ont été inclus aux postes de direction. Sur instruction des 53</w:t>
      </w:r>
      <w:r w:rsidR="00FE1821" w:rsidRPr="00AE0ED9">
        <w:rPr>
          <w:vertAlign w:val="superscript"/>
          <w:lang w:val="fr-FR"/>
        </w:rPr>
        <w:t>e</w:t>
      </w:r>
      <w:r w:rsidR="00FE1821" w:rsidRPr="00AE0ED9">
        <w:rPr>
          <w:lang w:val="fr-FR"/>
        </w:rPr>
        <w:t xml:space="preserve"> et 54</w:t>
      </w:r>
      <w:r w:rsidR="00FE1821" w:rsidRPr="00AE0ED9">
        <w:rPr>
          <w:vertAlign w:val="superscript"/>
          <w:lang w:val="fr-FR"/>
        </w:rPr>
        <w:t>e</w:t>
      </w:r>
      <w:r w:rsidR="00714AB4" w:rsidRPr="00AE0ED9">
        <w:rPr>
          <w:lang w:val="fr-FR"/>
        </w:rPr>
        <w:t> R</w:t>
      </w:r>
      <w:r w:rsidR="00FE1821" w:rsidRPr="00AE0ED9">
        <w:rPr>
          <w:lang w:val="fr-FR"/>
        </w:rPr>
        <w:t>éunions du Comité permanent, un examen des finances et de la gestion des fonds non administratifs est en cours. Le Secrétariat a demandé au Chef de l'Unité de surveillance de l'UICN de mener à bien cet examen et les résultats préliminaires ont été présentés au Sous</w:t>
      </w:r>
      <w:r w:rsidR="009E357E" w:rsidRPr="00AE0ED9">
        <w:rPr>
          <w:lang w:val="fr-FR"/>
        </w:rPr>
        <w:noBreakHyphen/>
      </w:r>
      <w:r w:rsidR="00FE1821" w:rsidRPr="00AE0ED9">
        <w:rPr>
          <w:lang w:val="fr-FR"/>
        </w:rPr>
        <w:t>groupe sur les finances à la 54</w:t>
      </w:r>
      <w:r w:rsidR="00FE1821" w:rsidRPr="00AE0ED9">
        <w:rPr>
          <w:vertAlign w:val="superscript"/>
          <w:lang w:val="fr-FR"/>
        </w:rPr>
        <w:t>e</w:t>
      </w:r>
      <w:r w:rsidR="00FE1821" w:rsidRPr="00AE0ED9">
        <w:rPr>
          <w:lang w:val="fr-FR"/>
        </w:rPr>
        <w:t xml:space="preserve"> Réunion du Comité perm</w:t>
      </w:r>
      <w:r w:rsidR="009E357E" w:rsidRPr="00AE0ED9">
        <w:rPr>
          <w:lang w:val="fr-FR"/>
        </w:rPr>
        <w:t>anent</w:t>
      </w:r>
      <w:r w:rsidR="00BB2857">
        <w:rPr>
          <w:lang w:val="fr-FR"/>
        </w:rPr>
        <w:t>. Le rapport final sera</w:t>
      </w:r>
      <w:r w:rsidR="009E357E" w:rsidRPr="00AE0ED9">
        <w:rPr>
          <w:lang w:val="fr-FR"/>
        </w:rPr>
        <w:t xml:space="preserve"> communiqué aux </w:t>
      </w:r>
      <w:r w:rsidR="00FE1821" w:rsidRPr="00AE0ED9">
        <w:rPr>
          <w:lang w:val="fr-FR"/>
        </w:rPr>
        <w:t>Parties contractantes</w:t>
      </w:r>
      <w:r w:rsidR="00E7322F" w:rsidRPr="00AE0ED9">
        <w:rPr>
          <w:rFonts w:cstheme="minorHAnsi"/>
          <w:lang w:val="fr-FR"/>
        </w:rPr>
        <w:t xml:space="preserve">. </w:t>
      </w:r>
    </w:p>
    <w:p w14:paraId="349031D6" w14:textId="77777777" w:rsidR="009D4535" w:rsidRPr="00AE0ED9" w:rsidRDefault="009D4535" w:rsidP="006A3761">
      <w:pPr>
        <w:rPr>
          <w:rFonts w:cstheme="minorHAnsi"/>
          <w:lang w:val="fr-FR"/>
        </w:rPr>
      </w:pPr>
    </w:p>
    <w:p w14:paraId="0FEED085" w14:textId="52841EC6" w:rsidR="00703FA8" w:rsidRPr="00AE0ED9" w:rsidRDefault="00E25439" w:rsidP="006A3761">
      <w:pPr>
        <w:rPr>
          <w:rFonts w:cstheme="minorHAnsi"/>
          <w:lang w:val="fr-FR"/>
        </w:rPr>
      </w:pPr>
      <w:r w:rsidRPr="00AE0ED9">
        <w:rPr>
          <w:rFonts w:cstheme="minorHAnsi"/>
          <w:lang w:val="fr-FR"/>
        </w:rPr>
        <w:t>4</w:t>
      </w:r>
      <w:r w:rsidR="00BC41E7">
        <w:rPr>
          <w:rFonts w:cstheme="minorHAnsi"/>
          <w:lang w:val="fr-FR"/>
        </w:rPr>
        <w:t>1</w:t>
      </w:r>
      <w:r w:rsidR="006A3761" w:rsidRPr="00AE0ED9">
        <w:rPr>
          <w:rFonts w:cstheme="minorHAnsi"/>
          <w:lang w:val="fr-FR"/>
        </w:rPr>
        <w:t>.</w:t>
      </w:r>
      <w:r w:rsidR="006A3761" w:rsidRPr="00AE0ED9">
        <w:rPr>
          <w:rFonts w:cstheme="minorHAnsi"/>
          <w:lang w:val="fr-FR"/>
        </w:rPr>
        <w:tab/>
      </w:r>
      <w:r w:rsidR="00433D77" w:rsidRPr="00AE0ED9">
        <w:rPr>
          <w:rFonts w:cstheme="minorHAnsi"/>
          <w:lang w:val="fr-FR"/>
        </w:rPr>
        <w:t xml:space="preserve">Un atelier pour le personnel a été </w:t>
      </w:r>
      <w:r w:rsidR="00831D0A">
        <w:rPr>
          <w:rFonts w:cstheme="minorHAnsi"/>
          <w:lang w:val="fr-FR"/>
        </w:rPr>
        <w:t>organisé</w:t>
      </w:r>
      <w:r w:rsidR="00433D77" w:rsidRPr="00AE0ED9">
        <w:rPr>
          <w:rFonts w:cstheme="minorHAnsi"/>
          <w:lang w:val="fr-FR"/>
        </w:rPr>
        <w:t xml:space="preserve"> le 2 novembre 2016 </w:t>
      </w:r>
      <w:r w:rsidR="00F85E28">
        <w:rPr>
          <w:rFonts w:cstheme="minorHAnsi"/>
          <w:lang w:val="fr-FR"/>
        </w:rPr>
        <w:t xml:space="preserve">pour faire connaître et discuter </w:t>
      </w:r>
      <w:r w:rsidR="00433D77" w:rsidRPr="00AE0ED9">
        <w:rPr>
          <w:rFonts w:cstheme="minorHAnsi"/>
          <w:lang w:val="fr-FR"/>
        </w:rPr>
        <w:t xml:space="preserve"> les conclusions des consultations externes et internes de la nouvelle Secrétaire générale. Le personnel du Secrétariat a </w:t>
      </w:r>
      <w:r w:rsidR="00F85E28">
        <w:rPr>
          <w:rFonts w:cstheme="minorHAnsi"/>
          <w:lang w:val="fr-FR"/>
        </w:rPr>
        <w:t>étudié</w:t>
      </w:r>
      <w:r w:rsidR="00433D77" w:rsidRPr="00AE0ED9">
        <w:rPr>
          <w:rFonts w:cstheme="minorHAnsi"/>
          <w:lang w:val="fr-FR"/>
        </w:rPr>
        <w:t xml:space="preserve"> </w:t>
      </w:r>
      <w:r w:rsidR="00F85E28">
        <w:rPr>
          <w:rFonts w:cstheme="minorHAnsi"/>
          <w:lang w:val="fr-FR"/>
        </w:rPr>
        <w:t>l</w:t>
      </w:r>
      <w:r w:rsidR="00433D77" w:rsidRPr="00AE0ED9">
        <w:rPr>
          <w:rFonts w:cstheme="minorHAnsi"/>
          <w:lang w:val="fr-FR"/>
        </w:rPr>
        <w:t xml:space="preserve">es moyens de traiter des domaines clés qui nécessitaient d’être renforcés. </w:t>
      </w:r>
      <w:r w:rsidR="00703FA8" w:rsidRPr="00AE0ED9">
        <w:rPr>
          <w:rFonts w:cstheme="minorHAnsi"/>
          <w:lang w:val="fr-FR"/>
        </w:rPr>
        <w:t xml:space="preserve"> </w:t>
      </w:r>
    </w:p>
    <w:p w14:paraId="6EA5B332" w14:textId="77777777" w:rsidR="009D4535" w:rsidRPr="00AE0ED9" w:rsidRDefault="009D4535" w:rsidP="00595FC4">
      <w:pPr>
        <w:rPr>
          <w:rFonts w:cstheme="minorHAnsi"/>
          <w:lang w:val="fr-FR"/>
        </w:rPr>
      </w:pPr>
    </w:p>
    <w:p w14:paraId="004CBF98" w14:textId="0C8EEB58" w:rsidR="00141D11" w:rsidRPr="00AE0ED9" w:rsidRDefault="00595FC4" w:rsidP="00595FC4">
      <w:pPr>
        <w:rPr>
          <w:rFonts w:cstheme="minorHAnsi"/>
          <w:lang w:val="fr-FR"/>
        </w:rPr>
      </w:pPr>
      <w:r w:rsidRPr="00AE0ED9">
        <w:rPr>
          <w:rFonts w:cstheme="minorHAnsi"/>
          <w:lang w:val="fr-FR"/>
        </w:rPr>
        <w:t>4</w:t>
      </w:r>
      <w:r w:rsidR="00BC41E7">
        <w:rPr>
          <w:rFonts w:cstheme="minorHAnsi"/>
          <w:lang w:val="fr-FR"/>
        </w:rPr>
        <w:t>2</w:t>
      </w:r>
      <w:r w:rsidRPr="00AE0ED9">
        <w:rPr>
          <w:rFonts w:cstheme="minorHAnsi"/>
          <w:lang w:val="fr-FR"/>
        </w:rPr>
        <w:t>.</w:t>
      </w:r>
      <w:r w:rsidRPr="00AE0ED9">
        <w:rPr>
          <w:rFonts w:cstheme="minorHAnsi"/>
          <w:lang w:val="fr-FR"/>
        </w:rPr>
        <w:tab/>
      </w:r>
      <w:r w:rsidR="008155A9" w:rsidRPr="00AE0ED9">
        <w:rPr>
          <w:rFonts w:cstheme="minorHAnsi"/>
          <w:lang w:val="fr-FR"/>
        </w:rPr>
        <w:t xml:space="preserve">Des ateliers de planification </w:t>
      </w:r>
      <w:r w:rsidR="00F85E28" w:rsidRPr="00AE0ED9">
        <w:rPr>
          <w:rFonts w:cstheme="minorHAnsi"/>
          <w:lang w:val="fr-FR"/>
        </w:rPr>
        <w:t>pour le Secrétariat</w:t>
      </w:r>
      <w:r w:rsidR="00F85E28">
        <w:rPr>
          <w:rFonts w:cstheme="minorHAnsi"/>
          <w:lang w:val="fr-FR"/>
        </w:rPr>
        <w:t>,</w:t>
      </w:r>
      <w:r w:rsidR="00F85E28" w:rsidRPr="00AE0ED9">
        <w:rPr>
          <w:rFonts w:cstheme="minorHAnsi"/>
          <w:lang w:val="fr-FR"/>
        </w:rPr>
        <w:t xml:space="preserve"> </w:t>
      </w:r>
      <w:r w:rsidR="00F85E28">
        <w:rPr>
          <w:rFonts w:cstheme="minorHAnsi"/>
          <w:lang w:val="fr-FR"/>
        </w:rPr>
        <w:t>animés par</w:t>
      </w:r>
      <w:r w:rsidR="008155A9" w:rsidRPr="00AE0ED9">
        <w:rPr>
          <w:rFonts w:cstheme="minorHAnsi"/>
          <w:lang w:val="fr-FR"/>
        </w:rPr>
        <w:t xml:space="preserve"> </w:t>
      </w:r>
      <w:r w:rsidR="00BB2857">
        <w:rPr>
          <w:rFonts w:cstheme="minorHAnsi"/>
          <w:lang w:val="fr-FR"/>
        </w:rPr>
        <w:t>des professionnels</w:t>
      </w:r>
      <w:r w:rsidR="00F85E28">
        <w:rPr>
          <w:rFonts w:cstheme="minorHAnsi"/>
          <w:lang w:val="fr-FR"/>
        </w:rPr>
        <w:t>,</w:t>
      </w:r>
      <w:r w:rsidR="008155A9" w:rsidRPr="00AE0ED9">
        <w:rPr>
          <w:rFonts w:cstheme="minorHAnsi"/>
          <w:lang w:val="fr-FR"/>
        </w:rPr>
        <w:t xml:space="preserve"> ont été </w:t>
      </w:r>
      <w:r w:rsidR="00F85E28">
        <w:rPr>
          <w:rFonts w:cstheme="minorHAnsi"/>
          <w:lang w:val="fr-FR"/>
        </w:rPr>
        <w:t xml:space="preserve">organisés </w:t>
      </w:r>
      <w:r w:rsidR="008155A9" w:rsidRPr="00AE0ED9">
        <w:rPr>
          <w:rFonts w:cstheme="minorHAnsi"/>
          <w:lang w:val="fr-FR"/>
        </w:rPr>
        <w:t>en janvier 2017 et novembre 2017. Les ateliers portaient sur : l’étude et l’évaluation des progrès des plans de travail triennal et annuels, y compris l’élaboration d’un cadre intégré approuvé par la 53</w:t>
      </w:r>
      <w:r w:rsidR="008155A9" w:rsidRPr="00AE0ED9">
        <w:rPr>
          <w:rFonts w:cstheme="minorHAnsi"/>
          <w:vertAlign w:val="superscript"/>
          <w:lang w:val="fr-FR"/>
        </w:rPr>
        <w:t>e</w:t>
      </w:r>
      <w:r w:rsidR="008155A9" w:rsidRPr="00AE0ED9">
        <w:rPr>
          <w:rFonts w:cstheme="minorHAnsi"/>
          <w:lang w:val="fr-FR"/>
        </w:rPr>
        <w:t xml:space="preserve"> Réunion du Comité permanent; </w:t>
      </w:r>
      <w:r w:rsidR="00B527A0" w:rsidRPr="00AE0ED9">
        <w:rPr>
          <w:rFonts w:cstheme="minorHAnsi"/>
          <w:lang w:val="fr-FR"/>
        </w:rPr>
        <w:t xml:space="preserve">l’unification de l’équipe dans </w:t>
      </w:r>
      <w:r w:rsidR="00B527A0" w:rsidRPr="00AE0ED9">
        <w:rPr>
          <w:lang w:val="fr-FR"/>
        </w:rPr>
        <w:t xml:space="preserve">la clarté de son rôle, </w:t>
      </w:r>
      <w:r w:rsidR="00F85E28">
        <w:rPr>
          <w:lang w:val="fr-FR"/>
        </w:rPr>
        <w:t xml:space="preserve">de </w:t>
      </w:r>
      <w:r w:rsidR="00B527A0" w:rsidRPr="00AE0ED9">
        <w:rPr>
          <w:lang w:val="fr-FR"/>
        </w:rPr>
        <w:t xml:space="preserve">son l'identité et </w:t>
      </w:r>
      <w:r w:rsidR="00F85E28">
        <w:rPr>
          <w:lang w:val="fr-FR"/>
        </w:rPr>
        <w:t xml:space="preserve">de </w:t>
      </w:r>
      <w:r w:rsidR="00B527A0" w:rsidRPr="00AE0ED9">
        <w:rPr>
          <w:lang w:val="fr-FR"/>
        </w:rPr>
        <w:t xml:space="preserve">sa responsabilité; les principes guidant le fonctionnement du Secrétariat; et les changements à apporter pour mieux servir les Parties contractantes et pour que le Secrétariat puisse remplir son mandat. Le Secrétariat a également passé en revue les enseignements tirés de la mise en œuvre de son Plan de travail et a élaboré une nouvelle structure et présentation proposée pour la prochaine période triennale, </w:t>
      </w:r>
      <w:r w:rsidR="00F85E28">
        <w:rPr>
          <w:lang w:val="fr-FR"/>
        </w:rPr>
        <w:t>qui pourrait être un meilleur</w:t>
      </w:r>
      <w:r w:rsidR="00B527A0" w:rsidRPr="00AE0ED9">
        <w:rPr>
          <w:lang w:val="fr-FR"/>
        </w:rPr>
        <w:t xml:space="preserve"> </w:t>
      </w:r>
      <w:r w:rsidR="00BB2857">
        <w:rPr>
          <w:lang w:val="fr-FR"/>
        </w:rPr>
        <w:t xml:space="preserve">moyen </w:t>
      </w:r>
      <w:r w:rsidR="00B527A0" w:rsidRPr="00AE0ED9">
        <w:rPr>
          <w:lang w:val="fr-FR"/>
        </w:rPr>
        <w:t>de planification et de suivi. Ce cadre a été approuvé à la 54</w:t>
      </w:r>
      <w:r w:rsidR="00B527A0" w:rsidRPr="00AE0ED9">
        <w:rPr>
          <w:vertAlign w:val="superscript"/>
          <w:lang w:val="fr-FR"/>
        </w:rPr>
        <w:t>e</w:t>
      </w:r>
      <w:r w:rsidR="00B527A0" w:rsidRPr="00AE0ED9">
        <w:rPr>
          <w:lang w:val="fr-FR"/>
        </w:rPr>
        <w:t xml:space="preserve"> Réunion du Comité permanent.</w:t>
      </w:r>
    </w:p>
    <w:p w14:paraId="1B5EE8F0" w14:textId="77777777" w:rsidR="001A0BC7" w:rsidRPr="00AE0ED9" w:rsidRDefault="001A0BC7" w:rsidP="00C81B75">
      <w:pPr>
        <w:rPr>
          <w:rFonts w:cstheme="minorHAnsi"/>
          <w:lang w:val="fr-FR"/>
        </w:rPr>
      </w:pPr>
    </w:p>
    <w:p w14:paraId="5C0D219E" w14:textId="74A8BF50" w:rsidR="00887511" w:rsidRPr="00AE0ED9" w:rsidRDefault="00595FC4" w:rsidP="0078142B">
      <w:pPr>
        <w:rPr>
          <w:rFonts w:cstheme="minorHAnsi"/>
          <w:lang w:val="fr-FR"/>
        </w:rPr>
      </w:pPr>
      <w:r w:rsidRPr="00AE0ED9">
        <w:rPr>
          <w:rFonts w:cstheme="minorHAnsi"/>
          <w:lang w:val="fr-FR"/>
        </w:rPr>
        <w:t>4</w:t>
      </w:r>
      <w:r w:rsidR="00BC41E7">
        <w:rPr>
          <w:rFonts w:cstheme="minorHAnsi"/>
          <w:lang w:val="fr-FR"/>
        </w:rPr>
        <w:t>3</w:t>
      </w:r>
      <w:r w:rsidR="0078142B" w:rsidRPr="00AE0ED9">
        <w:rPr>
          <w:rFonts w:cstheme="minorHAnsi"/>
          <w:lang w:val="fr-FR"/>
        </w:rPr>
        <w:t>.</w:t>
      </w:r>
      <w:r w:rsidR="0078142B" w:rsidRPr="00AE0ED9">
        <w:rPr>
          <w:rFonts w:cstheme="minorHAnsi"/>
          <w:lang w:val="fr-FR"/>
        </w:rPr>
        <w:tab/>
      </w:r>
      <w:r w:rsidR="00B527A0" w:rsidRPr="00AE0ED9">
        <w:rPr>
          <w:rFonts w:cstheme="minorHAnsi"/>
          <w:lang w:val="fr-FR"/>
        </w:rPr>
        <w:t xml:space="preserve">Les besoins du Secrétariat en matière de perfectionnement du personnel ont été évalués au moyen d'une enquête interne. Des priorités de formation ont été identifiées et un plan de formation dont les activités ont débuté au dernier trimestre de 2017, a été élaboré. Les activités </w:t>
      </w:r>
      <w:r w:rsidR="00B527A0" w:rsidRPr="00AE0ED9">
        <w:rPr>
          <w:rFonts w:cstheme="minorHAnsi"/>
          <w:lang w:val="fr-FR"/>
        </w:rPr>
        <w:lastRenderedPageBreak/>
        <w:t xml:space="preserve">de formation organisées </w:t>
      </w:r>
      <w:r w:rsidR="00FC6B5E">
        <w:rPr>
          <w:rFonts w:cstheme="minorHAnsi"/>
          <w:lang w:val="fr-FR"/>
        </w:rPr>
        <w:t>s</w:t>
      </w:r>
      <w:r w:rsidR="00B527A0" w:rsidRPr="00AE0ED9">
        <w:rPr>
          <w:rFonts w:cstheme="minorHAnsi"/>
          <w:lang w:val="fr-FR"/>
        </w:rPr>
        <w:t xml:space="preserve">ont les suivantes : formation d'une journée </w:t>
      </w:r>
      <w:r w:rsidR="00FC6B5E">
        <w:rPr>
          <w:rFonts w:cstheme="minorHAnsi"/>
          <w:lang w:val="fr-FR"/>
        </w:rPr>
        <w:t>aux</w:t>
      </w:r>
      <w:r w:rsidR="00B527A0" w:rsidRPr="00AE0ED9">
        <w:rPr>
          <w:rFonts w:cstheme="minorHAnsi"/>
          <w:lang w:val="fr-FR"/>
        </w:rPr>
        <w:t xml:space="preserve"> techniques de communication pour les cadres supérieurs; formation d'une journée </w:t>
      </w:r>
      <w:r w:rsidR="00FC6B5E">
        <w:rPr>
          <w:rFonts w:cstheme="minorHAnsi"/>
          <w:lang w:val="fr-FR"/>
        </w:rPr>
        <w:t>aux</w:t>
      </w:r>
      <w:r w:rsidR="00B527A0" w:rsidRPr="00AE0ED9">
        <w:rPr>
          <w:rFonts w:cstheme="minorHAnsi"/>
          <w:lang w:val="fr-FR"/>
        </w:rPr>
        <w:t xml:space="preserve"> techniques de communication ouverte à tous les autres membres du personnel (14 participants); séance de formation sur les finances pour l'ensemble du personnel. Les autres activités de formation identifiées seront organisées avant la fin de 2018</w:t>
      </w:r>
      <w:r w:rsidR="00887511" w:rsidRPr="00AE0ED9">
        <w:rPr>
          <w:rFonts w:cstheme="minorHAnsi"/>
          <w:lang w:val="fr-FR"/>
        </w:rPr>
        <w:t>.</w:t>
      </w:r>
    </w:p>
    <w:p w14:paraId="7ECF85A8" w14:textId="77777777" w:rsidR="00BA05BD" w:rsidRPr="00AE0ED9" w:rsidRDefault="00BA05BD" w:rsidP="00C81B75">
      <w:pPr>
        <w:rPr>
          <w:rFonts w:cstheme="minorHAnsi"/>
          <w:lang w:val="fr-FR"/>
        </w:rPr>
      </w:pPr>
    </w:p>
    <w:p w14:paraId="7A47875F" w14:textId="57DADB35" w:rsidR="3B9DE253" w:rsidRPr="00AE0ED9" w:rsidRDefault="00E25439" w:rsidP="0078142B">
      <w:pPr>
        <w:rPr>
          <w:rFonts w:cstheme="minorHAnsi"/>
          <w:lang w:val="fr-FR"/>
        </w:rPr>
      </w:pPr>
      <w:r w:rsidRPr="00AE0ED9">
        <w:rPr>
          <w:rFonts w:cstheme="minorHAnsi"/>
          <w:lang w:val="fr-FR"/>
        </w:rPr>
        <w:t>4</w:t>
      </w:r>
      <w:r w:rsidR="00BC41E7">
        <w:rPr>
          <w:rFonts w:cstheme="minorHAnsi"/>
          <w:lang w:val="fr-FR"/>
        </w:rPr>
        <w:t>4</w:t>
      </w:r>
      <w:r w:rsidR="0078142B" w:rsidRPr="00AE0ED9">
        <w:rPr>
          <w:rFonts w:cstheme="minorHAnsi"/>
          <w:lang w:val="fr-FR"/>
        </w:rPr>
        <w:t>.</w:t>
      </w:r>
      <w:r w:rsidR="0078142B" w:rsidRPr="00AE0ED9">
        <w:rPr>
          <w:rFonts w:cstheme="minorHAnsi"/>
          <w:lang w:val="fr-FR"/>
        </w:rPr>
        <w:tab/>
      </w:r>
      <w:r w:rsidR="00B527A0" w:rsidRPr="00AE0ED9">
        <w:rPr>
          <w:rFonts w:cstheme="minorHAnsi"/>
          <w:lang w:val="fr-FR"/>
        </w:rPr>
        <w:t xml:space="preserve">Des progrès notables ont été enregistrés en termes d’amélioration de l’efficacité du Secrétariat et d’élimination des lacunes en matière de capacités. L'équipe a travaillé d'arrache-pied et obtenu des résultats encourageants dans les principaux domaines d'activité du Secrétariat décrits dans le présent rapport. Toutefois, il reste encore </w:t>
      </w:r>
      <w:r w:rsidR="00FC6B5E">
        <w:rPr>
          <w:rFonts w:cstheme="minorHAnsi"/>
          <w:lang w:val="fr-FR"/>
        </w:rPr>
        <w:t>beaucoup</w:t>
      </w:r>
      <w:r w:rsidR="00B527A0" w:rsidRPr="00AE0ED9">
        <w:rPr>
          <w:rFonts w:cstheme="minorHAnsi"/>
          <w:lang w:val="fr-FR"/>
        </w:rPr>
        <w:t xml:space="preserve"> à faire. L'adoption d'une approche à l’échelle du Secrétariat a posé des problèmes, car elle entraîne des changements </w:t>
      </w:r>
      <w:r w:rsidR="002065F8" w:rsidRPr="00AE0ED9">
        <w:rPr>
          <w:rFonts w:cstheme="minorHAnsi"/>
          <w:lang w:val="fr-FR"/>
        </w:rPr>
        <w:t>dans les</w:t>
      </w:r>
      <w:r w:rsidR="00B527A0" w:rsidRPr="00AE0ED9">
        <w:rPr>
          <w:rFonts w:cstheme="minorHAnsi"/>
          <w:lang w:val="fr-FR"/>
        </w:rPr>
        <w:t xml:space="preserve"> méthodes de travail et la culture organisationnelle au sein du Secrétariat</w:t>
      </w:r>
      <w:r w:rsidR="00FC6B5E">
        <w:rPr>
          <w:rFonts w:cstheme="minorHAnsi"/>
          <w:lang w:val="fr-FR"/>
        </w:rPr>
        <w:t xml:space="preserve"> et dans</w:t>
      </w:r>
      <w:r w:rsidR="00B527A0" w:rsidRPr="00AE0ED9">
        <w:rPr>
          <w:rFonts w:cstheme="minorHAnsi"/>
          <w:lang w:val="fr-FR"/>
        </w:rPr>
        <w:t xml:space="preserve"> son engagement envers les Parties contractantes. Le Secrétariat élabore actuellement des procédures opérationnelles normalisées qui permettront de faire de nouveaux progrès. D'autres secteurs doivent encore être améliorés : rationalisation du processus de planification des travaux et liens avec les plans individuels de performance; adoption d’approches plus cohérentes et mieux coordonnées entre les régions afin de gagner en efficacité et de mieux servir les Parties contractantes; équilibre entre la responsabili</w:t>
      </w:r>
      <w:r w:rsidR="00FC6B5E">
        <w:rPr>
          <w:rFonts w:cstheme="minorHAnsi"/>
          <w:lang w:val="fr-FR"/>
        </w:rPr>
        <w:t>té pour l’application</w:t>
      </w:r>
      <w:r w:rsidR="00B527A0" w:rsidRPr="00AE0ED9">
        <w:rPr>
          <w:rFonts w:cstheme="minorHAnsi"/>
          <w:lang w:val="fr-FR"/>
        </w:rPr>
        <w:t xml:space="preserve"> des décisions prises par la Conférence des Parties et le Comité permanent et </w:t>
      </w:r>
      <w:r w:rsidR="00FC6B5E">
        <w:rPr>
          <w:rFonts w:cstheme="minorHAnsi"/>
          <w:lang w:val="fr-FR"/>
        </w:rPr>
        <w:t>les</w:t>
      </w:r>
      <w:r w:rsidR="00B527A0" w:rsidRPr="00AE0ED9">
        <w:rPr>
          <w:rFonts w:cstheme="minorHAnsi"/>
          <w:lang w:val="fr-FR"/>
        </w:rPr>
        <w:t xml:space="preserve"> services fournis aux Parties contractantes dans chaque région; équilibre entre les approches régionales et thématiques; poursuite du renforcement de la responsabili</w:t>
      </w:r>
      <w:r w:rsidR="00FC6B5E">
        <w:rPr>
          <w:rFonts w:cstheme="minorHAnsi"/>
          <w:lang w:val="fr-FR"/>
        </w:rPr>
        <w:t>té</w:t>
      </w:r>
      <w:r w:rsidR="00B527A0" w:rsidRPr="00AE0ED9">
        <w:rPr>
          <w:rFonts w:cstheme="minorHAnsi"/>
          <w:lang w:val="fr-FR"/>
        </w:rPr>
        <w:t xml:space="preserve"> </w:t>
      </w:r>
      <w:r w:rsidR="00FC6B5E">
        <w:rPr>
          <w:rFonts w:cstheme="minorHAnsi"/>
          <w:lang w:val="fr-FR"/>
        </w:rPr>
        <w:t>du point de vue des</w:t>
      </w:r>
      <w:r w:rsidR="00B527A0" w:rsidRPr="00AE0ED9">
        <w:rPr>
          <w:rFonts w:cstheme="minorHAnsi"/>
          <w:lang w:val="fr-FR"/>
        </w:rPr>
        <w:t xml:space="preserve"> normes financières et de</w:t>
      </w:r>
      <w:r w:rsidR="00FC6B5E">
        <w:rPr>
          <w:rFonts w:cstheme="minorHAnsi"/>
          <w:lang w:val="fr-FR"/>
        </w:rPr>
        <w:t>s</w:t>
      </w:r>
      <w:r w:rsidR="00B527A0" w:rsidRPr="00AE0ED9">
        <w:rPr>
          <w:rFonts w:cstheme="minorHAnsi"/>
          <w:lang w:val="fr-FR"/>
        </w:rPr>
        <w:t xml:space="preserve"> procédures opérationnelles; et poursuite du renforcement des capacités et </w:t>
      </w:r>
      <w:r w:rsidR="00FC6B5E">
        <w:rPr>
          <w:rFonts w:cstheme="minorHAnsi"/>
          <w:lang w:val="fr-FR"/>
        </w:rPr>
        <w:t>d</w:t>
      </w:r>
      <w:r w:rsidR="00B527A0" w:rsidRPr="00AE0ED9">
        <w:rPr>
          <w:rFonts w:cstheme="minorHAnsi"/>
          <w:lang w:val="fr-FR"/>
        </w:rPr>
        <w:t>es compétences dans les principaux domaines d’activité du Secrétariat.</w:t>
      </w:r>
    </w:p>
    <w:sectPr w:rsidR="3B9DE253" w:rsidRPr="00AE0ED9" w:rsidSect="00570F8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B67EB" w14:textId="77777777" w:rsidR="00301A00" w:rsidRDefault="00301A00" w:rsidP="00FC5A0A">
      <w:r>
        <w:separator/>
      </w:r>
    </w:p>
  </w:endnote>
  <w:endnote w:type="continuationSeparator" w:id="0">
    <w:p w14:paraId="2053EF07" w14:textId="77777777" w:rsidR="00301A00" w:rsidRDefault="00301A00"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3228" w14:textId="28E7DBB4" w:rsidR="00D365D0" w:rsidRDefault="00D365D0" w:rsidP="00B1621D">
    <w:pPr>
      <w:pStyle w:val="Footer"/>
      <w:tabs>
        <w:tab w:val="right" w:pos="9000"/>
      </w:tabs>
    </w:pPr>
    <w:r w:rsidRPr="00870418">
      <w:rPr>
        <w:sz w:val="20"/>
      </w:rPr>
      <w:t>COP13 Doc.</w:t>
    </w:r>
    <w:r>
      <w:rPr>
        <w:sz w:val="20"/>
      </w:rPr>
      <w:t>11.2</w:t>
    </w:r>
    <w:r w:rsidRPr="00870418">
      <w:rPr>
        <w:sz w:val="20"/>
      </w:rPr>
      <w:tab/>
    </w:r>
    <w:r w:rsidRPr="00870418">
      <w:rPr>
        <w:sz w:val="20"/>
      </w:rPr>
      <w:tab/>
    </w:r>
    <w:r w:rsidRPr="00870418">
      <w:rPr>
        <w:sz w:val="20"/>
      </w:rPr>
      <w:fldChar w:fldCharType="begin"/>
    </w:r>
    <w:r w:rsidRPr="00870418">
      <w:rPr>
        <w:sz w:val="20"/>
      </w:rPr>
      <w:instrText xml:space="preserve"> PAGE   \* MERGEFORMAT </w:instrText>
    </w:r>
    <w:r w:rsidRPr="00870418">
      <w:rPr>
        <w:sz w:val="20"/>
      </w:rPr>
      <w:fldChar w:fldCharType="separate"/>
    </w:r>
    <w:r w:rsidR="00F70CF2">
      <w:rPr>
        <w:noProof/>
        <w:sz w:val="20"/>
      </w:rPr>
      <w:t>4</w:t>
    </w:r>
    <w:r w:rsidRPr="0087041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7480" w14:textId="77777777" w:rsidR="00301A00" w:rsidRDefault="00301A00" w:rsidP="00FC5A0A">
      <w:r>
        <w:separator/>
      </w:r>
    </w:p>
  </w:footnote>
  <w:footnote w:type="continuationSeparator" w:id="0">
    <w:p w14:paraId="405D5BE0" w14:textId="77777777" w:rsidR="00301A00" w:rsidRDefault="00301A00" w:rsidP="00FC5A0A">
      <w:r>
        <w:continuationSeparator/>
      </w:r>
    </w:p>
  </w:footnote>
  <w:footnote w:id="1">
    <w:p w14:paraId="256F2751" w14:textId="6287D480" w:rsidR="00D365D0" w:rsidRPr="00F70CF2" w:rsidRDefault="00D365D0">
      <w:pPr>
        <w:pStyle w:val="FootnoteText"/>
        <w:rPr>
          <w:lang w:val="fr-FR"/>
        </w:rPr>
      </w:pPr>
      <w:r>
        <w:rPr>
          <w:rStyle w:val="FootnoteReference"/>
        </w:rPr>
        <w:footnoteRef/>
      </w:r>
      <w:r w:rsidRPr="00F70CF2">
        <w:rPr>
          <w:lang w:val="fr-FR"/>
        </w:rPr>
        <w:t xml:space="preserve"> Documents SC51-06, SC52-04 Rev.2, SC53-02 et SC54-5.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EE2"/>
    <w:multiLevelType w:val="hybridMultilevel"/>
    <w:tmpl w:val="F2704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622B9"/>
    <w:multiLevelType w:val="hybridMultilevel"/>
    <w:tmpl w:val="A810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4958"/>
    <w:multiLevelType w:val="hybridMultilevel"/>
    <w:tmpl w:val="DA4AC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C15F13"/>
    <w:multiLevelType w:val="hybridMultilevel"/>
    <w:tmpl w:val="27BE2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BC3B85"/>
    <w:multiLevelType w:val="hybridMultilevel"/>
    <w:tmpl w:val="1E643C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0A1034"/>
    <w:multiLevelType w:val="hybridMultilevel"/>
    <w:tmpl w:val="142C21E4"/>
    <w:lvl w:ilvl="0" w:tplc="C4DCE602">
      <w:start w:val="20"/>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B8"/>
    <w:rsid w:val="0000043C"/>
    <w:rsid w:val="00001C7D"/>
    <w:rsid w:val="00002720"/>
    <w:rsid w:val="00002FA3"/>
    <w:rsid w:val="00003B4C"/>
    <w:rsid w:val="0000494D"/>
    <w:rsid w:val="00010F0F"/>
    <w:rsid w:val="000145B1"/>
    <w:rsid w:val="00027C74"/>
    <w:rsid w:val="00031F37"/>
    <w:rsid w:val="00034027"/>
    <w:rsid w:val="00034429"/>
    <w:rsid w:val="00034996"/>
    <w:rsid w:val="00042694"/>
    <w:rsid w:val="00047005"/>
    <w:rsid w:val="00055982"/>
    <w:rsid w:val="00064A2F"/>
    <w:rsid w:val="00065D5E"/>
    <w:rsid w:val="00074DC9"/>
    <w:rsid w:val="0007564A"/>
    <w:rsid w:val="00077D72"/>
    <w:rsid w:val="00081C49"/>
    <w:rsid w:val="00081FC0"/>
    <w:rsid w:val="000851A9"/>
    <w:rsid w:val="00085807"/>
    <w:rsid w:val="00086DDE"/>
    <w:rsid w:val="000912DE"/>
    <w:rsid w:val="00091C8F"/>
    <w:rsid w:val="00092293"/>
    <w:rsid w:val="00093104"/>
    <w:rsid w:val="000A16A6"/>
    <w:rsid w:val="000A3C0B"/>
    <w:rsid w:val="000A75C5"/>
    <w:rsid w:val="000B025A"/>
    <w:rsid w:val="000B4682"/>
    <w:rsid w:val="000B56C5"/>
    <w:rsid w:val="000C06FB"/>
    <w:rsid w:val="000C3354"/>
    <w:rsid w:val="000C3B92"/>
    <w:rsid w:val="000C6177"/>
    <w:rsid w:val="000C6AC6"/>
    <w:rsid w:val="000D395B"/>
    <w:rsid w:val="000D54A1"/>
    <w:rsid w:val="000D54E1"/>
    <w:rsid w:val="000D5902"/>
    <w:rsid w:val="000D594F"/>
    <w:rsid w:val="000D63DF"/>
    <w:rsid w:val="000D7F50"/>
    <w:rsid w:val="000E1304"/>
    <w:rsid w:val="000E158F"/>
    <w:rsid w:val="001008B4"/>
    <w:rsid w:val="00101D13"/>
    <w:rsid w:val="00104BE2"/>
    <w:rsid w:val="00107EF9"/>
    <w:rsid w:val="00110E53"/>
    <w:rsid w:val="001137F8"/>
    <w:rsid w:val="001145C0"/>
    <w:rsid w:val="00116BF8"/>
    <w:rsid w:val="001172C2"/>
    <w:rsid w:val="00125486"/>
    <w:rsid w:val="001258C5"/>
    <w:rsid w:val="00127E63"/>
    <w:rsid w:val="00130225"/>
    <w:rsid w:val="0013179F"/>
    <w:rsid w:val="00134BA0"/>
    <w:rsid w:val="00135192"/>
    <w:rsid w:val="0014100E"/>
    <w:rsid w:val="00141530"/>
    <w:rsid w:val="00141D11"/>
    <w:rsid w:val="00142557"/>
    <w:rsid w:val="00143602"/>
    <w:rsid w:val="00144197"/>
    <w:rsid w:val="00144CE0"/>
    <w:rsid w:val="00150B2A"/>
    <w:rsid w:val="001522DA"/>
    <w:rsid w:val="001525AC"/>
    <w:rsid w:val="001553CF"/>
    <w:rsid w:val="00161960"/>
    <w:rsid w:val="00173630"/>
    <w:rsid w:val="00173CE7"/>
    <w:rsid w:val="00176A94"/>
    <w:rsid w:val="00176BDF"/>
    <w:rsid w:val="001771D7"/>
    <w:rsid w:val="0018738D"/>
    <w:rsid w:val="00190349"/>
    <w:rsid w:val="00191089"/>
    <w:rsid w:val="001A0ACF"/>
    <w:rsid w:val="001A0BC7"/>
    <w:rsid w:val="001A663F"/>
    <w:rsid w:val="001B0AE2"/>
    <w:rsid w:val="001B0D72"/>
    <w:rsid w:val="001B1CE8"/>
    <w:rsid w:val="001B29E7"/>
    <w:rsid w:val="001B2ED9"/>
    <w:rsid w:val="001B3FF2"/>
    <w:rsid w:val="001B53BE"/>
    <w:rsid w:val="001B7E1A"/>
    <w:rsid w:val="001C19A1"/>
    <w:rsid w:val="001C43E8"/>
    <w:rsid w:val="001D0413"/>
    <w:rsid w:val="001D3733"/>
    <w:rsid w:val="001D3E01"/>
    <w:rsid w:val="001F04E0"/>
    <w:rsid w:val="001F33A0"/>
    <w:rsid w:val="001F3508"/>
    <w:rsid w:val="001F531E"/>
    <w:rsid w:val="001F7F26"/>
    <w:rsid w:val="0020311D"/>
    <w:rsid w:val="0020317B"/>
    <w:rsid w:val="00204BCB"/>
    <w:rsid w:val="00204E02"/>
    <w:rsid w:val="00205F78"/>
    <w:rsid w:val="002061F9"/>
    <w:rsid w:val="002065F8"/>
    <w:rsid w:val="00206EBE"/>
    <w:rsid w:val="00210611"/>
    <w:rsid w:val="00210935"/>
    <w:rsid w:val="002128FF"/>
    <w:rsid w:val="00212C9A"/>
    <w:rsid w:val="002136FB"/>
    <w:rsid w:val="002142D3"/>
    <w:rsid w:val="00223A43"/>
    <w:rsid w:val="00226070"/>
    <w:rsid w:val="0022728A"/>
    <w:rsid w:val="00230C7A"/>
    <w:rsid w:val="00231248"/>
    <w:rsid w:val="00233E58"/>
    <w:rsid w:val="002362AE"/>
    <w:rsid w:val="00243BD9"/>
    <w:rsid w:val="00250611"/>
    <w:rsid w:val="00250ACC"/>
    <w:rsid w:val="00251660"/>
    <w:rsid w:val="00253288"/>
    <w:rsid w:val="0025450B"/>
    <w:rsid w:val="002567BE"/>
    <w:rsid w:val="00260669"/>
    <w:rsid w:val="00261BD8"/>
    <w:rsid w:val="002625F5"/>
    <w:rsid w:val="002645C7"/>
    <w:rsid w:val="00266AF0"/>
    <w:rsid w:val="00267B3F"/>
    <w:rsid w:val="00267E45"/>
    <w:rsid w:val="00276784"/>
    <w:rsid w:val="00277510"/>
    <w:rsid w:val="00277D40"/>
    <w:rsid w:val="00285456"/>
    <w:rsid w:val="00292879"/>
    <w:rsid w:val="00296B78"/>
    <w:rsid w:val="002A1915"/>
    <w:rsid w:val="002B2FDD"/>
    <w:rsid w:val="002B32E9"/>
    <w:rsid w:val="002B5E1C"/>
    <w:rsid w:val="002C029B"/>
    <w:rsid w:val="002C0C40"/>
    <w:rsid w:val="002C2C09"/>
    <w:rsid w:val="002C3699"/>
    <w:rsid w:val="002C5B63"/>
    <w:rsid w:val="002C7598"/>
    <w:rsid w:val="002C7FA2"/>
    <w:rsid w:val="002D2249"/>
    <w:rsid w:val="002D5A9B"/>
    <w:rsid w:val="002D5BAB"/>
    <w:rsid w:val="002E253C"/>
    <w:rsid w:val="002E46A0"/>
    <w:rsid w:val="002E6747"/>
    <w:rsid w:val="002E78EF"/>
    <w:rsid w:val="002F0AD3"/>
    <w:rsid w:val="002F1527"/>
    <w:rsid w:val="002F22AA"/>
    <w:rsid w:val="002F332A"/>
    <w:rsid w:val="002F58F8"/>
    <w:rsid w:val="002F60CD"/>
    <w:rsid w:val="002F662B"/>
    <w:rsid w:val="002F73E9"/>
    <w:rsid w:val="00300649"/>
    <w:rsid w:val="00301A00"/>
    <w:rsid w:val="00302130"/>
    <w:rsid w:val="003072A6"/>
    <w:rsid w:val="003109BF"/>
    <w:rsid w:val="0031686B"/>
    <w:rsid w:val="00316DBA"/>
    <w:rsid w:val="00320BF9"/>
    <w:rsid w:val="0032482F"/>
    <w:rsid w:val="00324A30"/>
    <w:rsid w:val="00327A95"/>
    <w:rsid w:val="003301FB"/>
    <w:rsid w:val="003304D6"/>
    <w:rsid w:val="00335B27"/>
    <w:rsid w:val="00336004"/>
    <w:rsid w:val="00340D2B"/>
    <w:rsid w:val="00340DC8"/>
    <w:rsid w:val="00343856"/>
    <w:rsid w:val="003463C0"/>
    <w:rsid w:val="00351F00"/>
    <w:rsid w:val="0035234F"/>
    <w:rsid w:val="0035595C"/>
    <w:rsid w:val="00357A91"/>
    <w:rsid w:val="0036170A"/>
    <w:rsid w:val="00362BBD"/>
    <w:rsid w:val="00363329"/>
    <w:rsid w:val="00365631"/>
    <w:rsid w:val="00366A46"/>
    <w:rsid w:val="00370328"/>
    <w:rsid w:val="003709D4"/>
    <w:rsid w:val="00382C8C"/>
    <w:rsid w:val="00383B6A"/>
    <w:rsid w:val="00384D85"/>
    <w:rsid w:val="003910BE"/>
    <w:rsid w:val="00391A45"/>
    <w:rsid w:val="00394574"/>
    <w:rsid w:val="00395490"/>
    <w:rsid w:val="003A13CF"/>
    <w:rsid w:val="003A2DCD"/>
    <w:rsid w:val="003A58F8"/>
    <w:rsid w:val="003B13D4"/>
    <w:rsid w:val="003B18F4"/>
    <w:rsid w:val="003B32AA"/>
    <w:rsid w:val="003B50AF"/>
    <w:rsid w:val="003B5BF8"/>
    <w:rsid w:val="003B71DC"/>
    <w:rsid w:val="003B77B3"/>
    <w:rsid w:val="003B79F0"/>
    <w:rsid w:val="003C427C"/>
    <w:rsid w:val="003C64E9"/>
    <w:rsid w:val="003D13D5"/>
    <w:rsid w:val="003D1AF2"/>
    <w:rsid w:val="003D2F6F"/>
    <w:rsid w:val="003D4C69"/>
    <w:rsid w:val="003E2322"/>
    <w:rsid w:val="003E3D36"/>
    <w:rsid w:val="003E6853"/>
    <w:rsid w:val="003F5034"/>
    <w:rsid w:val="003F7C2E"/>
    <w:rsid w:val="00403C46"/>
    <w:rsid w:val="00403F48"/>
    <w:rsid w:val="00405547"/>
    <w:rsid w:val="00405735"/>
    <w:rsid w:val="00405CBD"/>
    <w:rsid w:val="00410C6A"/>
    <w:rsid w:val="004141B3"/>
    <w:rsid w:val="0041604C"/>
    <w:rsid w:val="00423F68"/>
    <w:rsid w:val="00425DBE"/>
    <w:rsid w:val="0042782C"/>
    <w:rsid w:val="00430CC1"/>
    <w:rsid w:val="00433D77"/>
    <w:rsid w:val="00443191"/>
    <w:rsid w:val="00443B2A"/>
    <w:rsid w:val="0044428D"/>
    <w:rsid w:val="00444C4A"/>
    <w:rsid w:val="00445093"/>
    <w:rsid w:val="00446D1C"/>
    <w:rsid w:val="00447092"/>
    <w:rsid w:val="00452CB9"/>
    <w:rsid w:val="0045585D"/>
    <w:rsid w:val="00456438"/>
    <w:rsid w:val="00456BCF"/>
    <w:rsid w:val="00462756"/>
    <w:rsid w:val="00466E94"/>
    <w:rsid w:val="004738DB"/>
    <w:rsid w:val="00475017"/>
    <w:rsid w:val="0047660F"/>
    <w:rsid w:val="00477FB0"/>
    <w:rsid w:val="00481208"/>
    <w:rsid w:val="004812A3"/>
    <w:rsid w:val="004823C2"/>
    <w:rsid w:val="00482417"/>
    <w:rsid w:val="004958F4"/>
    <w:rsid w:val="0049686B"/>
    <w:rsid w:val="004969F3"/>
    <w:rsid w:val="00496CF9"/>
    <w:rsid w:val="004A2378"/>
    <w:rsid w:val="004A37C4"/>
    <w:rsid w:val="004A40BF"/>
    <w:rsid w:val="004A476E"/>
    <w:rsid w:val="004A6874"/>
    <w:rsid w:val="004B3CB6"/>
    <w:rsid w:val="004B4E30"/>
    <w:rsid w:val="004B56EB"/>
    <w:rsid w:val="004B5A95"/>
    <w:rsid w:val="004B762C"/>
    <w:rsid w:val="004B7647"/>
    <w:rsid w:val="004C01AA"/>
    <w:rsid w:val="004C1037"/>
    <w:rsid w:val="004C2ED1"/>
    <w:rsid w:val="004C6067"/>
    <w:rsid w:val="004C7D32"/>
    <w:rsid w:val="004D2127"/>
    <w:rsid w:val="004D35A3"/>
    <w:rsid w:val="004D3756"/>
    <w:rsid w:val="004D3C32"/>
    <w:rsid w:val="004E14B1"/>
    <w:rsid w:val="004E2633"/>
    <w:rsid w:val="004E4283"/>
    <w:rsid w:val="004E6E32"/>
    <w:rsid w:val="004E737E"/>
    <w:rsid w:val="004E7E51"/>
    <w:rsid w:val="005011F1"/>
    <w:rsid w:val="0050249F"/>
    <w:rsid w:val="00506AF8"/>
    <w:rsid w:val="00506DF9"/>
    <w:rsid w:val="00506E65"/>
    <w:rsid w:val="00513085"/>
    <w:rsid w:val="00515E5B"/>
    <w:rsid w:val="00517125"/>
    <w:rsid w:val="005175BB"/>
    <w:rsid w:val="00520F06"/>
    <w:rsid w:val="00521589"/>
    <w:rsid w:val="005220F3"/>
    <w:rsid w:val="005260D7"/>
    <w:rsid w:val="00533501"/>
    <w:rsid w:val="00537548"/>
    <w:rsid w:val="00540CE0"/>
    <w:rsid w:val="00541447"/>
    <w:rsid w:val="005419EA"/>
    <w:rsid w:val="0054298A"/>
    <w:rsid w:val="00546F01"/>
    <w:rsid w:val="00547386"/>
    <w:rsid w:val="00550C2B"/>
    <w:rsid w:val="00551653"/>
    <w:rsid w:val="00560DBF"/>
    <w:rsid w:val="00560ED9"/>
    <w:rsid w:val="00561D51"/>
    <w:rsid w:val="005640B1"/>
    <w:rsid w:val="00565EB7"/>
    <w:rsid w:val="00570621"/>
    <w:rsid w:val="00570882"/>
    <w:rsid w:val="00570F86"/>
    <w:rsid w:val="0057402E"/>
    <w:rsid w:val="00574733"/>
    <w:rsid w:val="00577C24"/>
    <w:rsid w:val="00581249"/>
    <w:rsid w:val="0058201C"/>
    <w:rsid w:val="0058507B"/>
    <w:rsid w:val="00585694"/>
    <w:rsid w:val="0058733D"/>
    <w:rsid w:val="005875D1"/>
    <w:rsid w:val="0058770D"/>
    <w:rsid w:val="00590D44"/>
    <w:rsid w:val="005910E4"/>
    <w:rsid w:val="005918F1"/>
    <w:rsid w:val="00591B61"/>
    <w:rsid w:val="005926DF"/>
    <w:rsid w:val="0059345B"/>
    <w:rsid w:val="00595FC4"/>
    <w:rsid w:val="00596B4A"/>
    <w:rsid w:val="00597507"/>
    <w:rsid w:val="005A0FDA"/>
    <w:rsid w:val="005A3333"/>
    <w:rsid w:val="005A37B8"/>
    <w:rsid w:val="005A3BAD"/>
    <w:rsid w:val="005A63B1"/>
    <w:rsid w:val="005B04BF"/>
    <w:rsid w:val="005B0649"/>
    <w:rsid w:val="005B2D10"/>
    <w:rsid w:val="005C1A8F"/>
    <w:rsid w:val="005C28FB"/>
    <w:rsid w:val="005C667D"/>
    <w:rsid w:val="005C682A"/>
    <w:rsid w:val="005D05E1"/>
    <w:rsid w:val="005D738D"/>
    <w:rsid w:val="005D7408"/>
    <w:rsid w:val="005E0C03"/>
    <w:rsid w:val="005E5AD4"/>
    <w:rsid w:val="005E73D9"/>
    <w:rsid w:val="005F2999"/>
    <w:rsid w:val="005F4507"/>
    <w:rsid w:val="005F5926"/>
    <w:rsid w:val="005F7A17"/>
    <w:rsid w:val="0060101F"/>
    <w:rsid w:val="00602A6A"/>
    <w:rsid w:val="00604D41"/>
    <w:rsid w:val="006129D6"/>
    <w:rsid w:val="00616183"/>
    <w:rsid w:val="00620259"/>
    <w:rsid w:val="00626FDB"/>
    <w:rsid w:val="006311D7"/>
    <w:rsid w:val="0063165E"/>
    <w:rsid w:val="0064716C"/>
    <w:rsid w:val="00651B32"/>
    <w:rsid w:val="00652DF0"/>
    <w:rsid w:val="006535A3"/>
    <w:rsid w:val="00656F3D"/>
    <w:rsid w:val="006602B8"/>
    <w:rsid w:val="00662A2C"/>
    <w:rsid w:val="00662E32"/>
    <w:rsid w:val="00663612"/>
    <w:rsid w:val="00664309"/>
    <w:rsid w:val="00666DC5"/>
    <w:rsid w:val="00667680"/>
    <w:rsid w:val="00670185"/>
    <w:rsid w:val="006722D1"/>
    <w:rsid w:val="006727B4"/>
    <w:rsid w:val="00677A29"/>
    <w:rsid w:val="00680202"/>
    <w:rsid w:val="00681058"/>
    <w:rsid w:val="006827DA"/>
    <w:rsid w:val="00685173"/>
    <w:rsid w:val="006910E3"/>
    <w:rsid w:val="00692275"/>
    <w:rsid w:val="00692366"/>
    <w:rsid w:val="006924FE"/>
    <w:rsid w:val="006A31A9"/>
    <w:rsid w:val="006A3761"/>
    <w:rsid w:val="006A5D2E"/>
    <w:rsid w:val="006A7E1E"/>
    <w:rsid w:val="006B22F0"/>
    <w:rsid w:val="006B5142"/>
    <w:rsid w:val="006B5596"/>
    <w:rsid w:val="006B6F56"/>
    <w:rsid w:val="006B70AE"/>
    <w:rsid w:val="006C0A66"/>
    <w:rsid w:val="006C3BE4"/>
    <w:rsid w:val="006D15C9"/>
    <w:rsid w:val="006D32CD"/>
    <w:rsid w:val="006D3E70"/>
    <w:rsid w:val="006D46B7"/>
    <w:rsid w:val="006D52A5"/>
    <w:rsid w:val="006D6655"/>
    <w:rsid w:val="006D6B57"/>
    <w:rsid w:val="006E1A57"/>
    <w:rsid w:val="006E3318"/>
    <w:rsid w:val="006E53B7"/>
    <w:rsid w:val="006E5CB2"/>
    <w:rsid w:val="006E620E"/>
    <w:rsid w:val="006E66CA"/>
    <w:rsid w:val="006F08F5"/>
    <w:rsid w:val="006F1F19"/>
    <w:rsid w:val="0070027E"/>
    <w:rsid w:val="00700762"/>
    <w:rsid w:val="00701688"/>
    <w:rsid w:val="00701D82"/>
    <w:rsid w:val="00703FA8"/>
    <w:rsid w:val="00705749"/>
    <w:rsid w:val="00706AAD"/>
    <w:rsid w:val="007072C9"/>
    <w:rsid w:val="00710932"/>
    <w:rsid w:val="00710DBB"/>
    <w:rsid w:val="0071220F"/>
    <w:rsid w:val="0071474A"/>
    <w:rsid w:val="00714AB4"/>
    <w:rsid w:val="00714CB6"/>
    <w:rsid w:val="00715A00"/>
    <w:rsid w:val="00715D09"/>
    <w:rsid w:val="00720F05"/>
    <w:rsid w:val="00722335"/>
    <w:rsid w:val="00723163"/>
    <w:rsid w:val="00724804"/>
    <w:rsid w:val="00724F0A"/>
    <w:rsid w:val="00725DFF"/>
    <w:rsid w:val="007276F3"/>
    <w:rsid w:val="00727A12"/>
    <w:rsid w:val="00727EB3"/>
    <w:rsid w:val="007324EE"/>
    <w:rsid w:val="007376F7"/>
    <w:rsid w:val="0074193F"/>
    <w:rsid w:val="00744E0B"/>
    <w:rsid w:val="00745AC8"/>
    <w:rsid w:val="007462F5"/>
    <w:rsid w:val="0074756A"/>
    <w:rsid w:val="00754133"/>
    <w:rsid w:val="00755739"/>
    <w:rsid w:val="00756ADA"/>
    <w:rsid w:val="007605AB"/>
    <w:rsid w:val="00762DD8"/>
    <w:rsid w:val="00763CD6"/>
    <w:rsid w:val="00766FB5"/>
    <w:rsid w:val="00770EB7"/>
    <w:rsid w:val="00772F85"/>
    <w:rsid w:val="007734DC"/>
    <w:rsid w:val="00773A5C"/>
    <w:rsid w:val="00776682"/>
    <w:rsid w:val="0078142B"/>
    <w:rsid w:val="007815AF"/>
    <w:rsid w:val="007815DF"/>
    <w:rsid w:val="007837BA"/>
    <w:rsid w:val="00785F30"/>
    <w:rsid w:val="00786102"/>
    <w:rsid w:val="00791678"/>
    <w:rsid w:val="00794FCD"/>
    <w:rsid w:val="00796618"/>
    <w:rsid w:val="007A1C47"/>
    <w:rsid w:val="007A2652"/>
    <w:rsid w:val="007A4EF3"/>
    <w:rsid w:val="007A727C"/>
    <w:rsid w:val="007B010B"/>
    <w:rsid w:val="007B1343"/>
    <w:rsid w:val="007B4132"/>
    <w:rsid w:val="007C1963"/>
    <w:rsid w:val="007C2446"/>
    <w:rsid w:val="007C3DF0"/>
    <w:rsid w:val="007C79A0"/>
    <w:rsid w:val="007D133B"/>
    <w:rsid w:val="007D2348"/>
    <w:rsid w:val="007D2D84"/>
    <w:rsid w:val="007D3464"/>
    <w:rsid w:val="007D664F"/>
    <w:rsid w:val="007D7FB3"/>
    <w:rsid w:val="007E06B3"/>
    <w:rsid w:val="007E238E"/>
    <w:rsid w:val="007E265E"/>
    <w:rsid w:val="007E2FA5"/>
    <w:rsid w:val="007E4AB2"/>
    <w:rsid w:val="007E74EA"/>
    <w:rsid w:val="007F4920"/>
    <w:rsid w:val="007F52A5"/>
    <w:rsid w:val="007F61F4"/>
    <w:rsid w:val="008013F2"/>
    <w:rsid w:val="008059D8"/>
    <w:rsid w:val="00807F6A"/>
    <w:rsid w:val="008133BA"/>
    <w:rsid w:val="008134D3"/>
    <w:rsid w:val="00813846"/>
    <w:rsid w:val="00815588"/>
    <w:rsid w:val="008155A9"/>
    <w:rsid w:val="0082111B"/>
    <w:rsid w:val="008228B2"/>
    <w:rsid w:val="00831A5A"/>
    <w:rsid w:val="00831D0A"/>
    <w:rsid w:val="00833965"/>
    <w:rsid w:val="008377C1"/>
    <w:rsid w:val="008379D6"/>
    <w:rsid w:val="00843F44"/>
    <w:rsid w:val="00845F04"/>
    <w:rsid w:val="0085331D"/>
    <w:rsid w:val="00853EF2"/>
    <w:rsid w:val="00856F95"/>
    <w:rsid w:val="008610FE"/>
    <w:rsid w:val="00863509"/>
    <w:rsid w:val="008667D6"/>
    <w:rsid w:val="00870DBF"/>
    <w:rsid w:val="008711CC"/>
    <w:rsid w:val="008737ED"/>
    <w:rsid w:val="008748CA"/>
    <w:rsid w:val="00880264"/>
    <w:rsid w:val="00881872"/>
    <w:rsid w:val="00884BDE"/>
    <w:rsid w:val="00884C89"/>
    <w:rsid w:val="008859DC"/>
    <w:rsid w:val="00887511"/>
    <w:rsid w:val="00887A02"/>
    <w:rsid w:val="0089453D"/>
    <w:rsid w:val="0089488A"/>
    <w:rsid w:val="00894B78"/>
    <w:rsid w:val="00897D8E"/>
    <w:rsid w:val="008A1B52"/>
    <w:rsid w:val="008A1F37"/>
    <w:rsid w:val="008A35E8"/>
    <w:rsid w:val="008A384C"/>
    <w:rsid w:val="008A4D61"/>
    <w:rsid w:val="008B0A6C"/>
    <w:rsid w:val="008B18E1"/>
    <w:rsid w:val="008B2634"/>
    <w:rsid w:val="008C12AD"/>
    <w:rsid w:val="008C2FCA"/>
    <w:rsid w:val="008D32F3"/>
    <w:rsid w:val="008D5867"/>
    <w:rsid w:val="008D5A35"/>
    <w:rsid w:val="008E1ADA"/>
    <w:rsid w:val="008E231B"/>
    <w:rsid w:val="008E6513"/>
    <w:rsid w:val="008E7CCB"/>
    <w:rsid w:val="008F13EC"/>
    <w:rsid w:val="008F3F88"/>
    <w:rsid w:val="008F5246"/>
    <w:rsid w:val="009028AB"/>
    <w:rsid w:val="00904357"/>
    <w:rsid w:val="0090472F"/>
    <w:rsid w:val="009072EA"/>
    <w:rsid w:val="00910A91"/>
    <w:rsid w:val="009116C0"/>
    <w:rsid w:val="00911B74"/>
    <w:rsid w:val="0091414E"/>
    <w:rsid w:val="00915990"/>
    <w:rsid w:val="00916B18"/>
    <w:rsid w:val="00922332"/>
    <w:rsid w:val="00923213"/>
    <w:rsid w:val="009242D5"/>
    <w:rsid w:val="0092718C"/>
    <w:rsid w:val="00931ED6"/>
    <w:rsid w:val="00932639"/>
    <w:rsid w:val="00936E97"/>
    <w:rsid w:val="00945AD4"/>
    <w:rsid w:val="009461BB"/>
    <w:rsid w:val="009503B2"/>
    <w:rsid w:val="009505E9"/>
    <w:rsid w:val="00951676"/>
    <w:rsid w:val="00952D1A"/>
    <w:rsid w:val="0095458A"/>
    <w:rsid w:val="00955B54"/>
    <w:rsid w:val="00960190"/>
    <w:rsid w:val="00960836"/>
    <w:rsid w:val="009664EE"/>
    <w:rsid w:val="009665A3"/>
    <w:rsid w:val="0096673C"/>
    <w:rsid w:val="00971CF5"/>
    <w:rsid w:val="0097384C"/>
    <w:rsid w:val="00980FB2"/>
    <w:rsid w:val="0098136A"/>
    <w:rsid w:val="00987D0D"/>
    <w:rsid w:val="0099290A"/>
    <w:rsid w:val="00997419"/>
    <w:rsid w:val="009A65D5"/>
    <w:rsid w:val="009A66C9"/>
    <w:rsid w:val="009B0849"/>
    <w:rsid w:val="009B1AA7"/>
    <w:rsid w:val="009B383A"/>
    <w:rsid w:val="009B6670"/>
    <w:rsid w:val="009B71EA"/>
    <w:rsid w:val="009B7A0D"/>
    <w:rsid w:val="009B7F61"/>
    <w:rsid w:val="009C2C83"/>
    <w:rsid w:val="009C3352"/>
    <w:rsid w:val="009D0314"/>
    <w:rsid w:val="009D1E97"/>
    <w:rsid w:val="009D26E5"/>
    <w:rsid w:val="009D32B0"/>
    <w:rsid w:val="009D4535"/>
    <w:rsid w:val="009D5F75"/>
    <w:rsid w:val="009D7184"/>
    <w:rsid w:val="009E0798"/>
    <w:rsid w:val="009E0A81"/>
    <w:rsid w:val="009E3419"/>
    <w:rsid w:val="009E357E"/>
    <w:rsid w:val="009E60E2"/>
    <w:rsid w:val="009E6357"/>
    <w:rsid w:val="009E670A"/>
    <w:rsid w:val="009E7395"/>
    <w:rsid w:val="009E795D"/>
    <w:rsid w:val="009E7D62"/>
    <w:rsid w:val="009F1CF3"/>
    <w:rsid w:val="009F6172"/>
    <w:rsid w:val="00A0167B"/>
    <w:rsid w:val="00A03316"/>
    <w:rsid w:val="00A10071"/>
    <w:rsid w:val="00A13E2D"/>
    <w:rsid w:val="00A1416D"/>
    <w:rsid w:val="00A2116E"/>
    <w:rsid w:val="00A2448D"/>
    <w:rsid w:val="00A27753"/>
    <w:rsid w:val="00A32B48"/>
    <w:rsid w:val="00A334B5"/>
    <w:rsid w:val="00A34358"/>
    <w:rsid w:val="00A37B03"/>
    <w:rsid w:val="00A40586"/>
    <w:rsid w:val="00A411CF"/>
    <w:rsid w:val="00A4194C"/>
    <w:rsid w:val="00A419DB"/>
    <w:rsid w:val="00A457C5"/>
    <w:rsid w:val="00A47DFB"/>
    <w:rsid w:val="00A52454"/>
    <w:rsid w:val="00A53B42"/>
    <w:rsid w:val="00A572FA"/>
    <w:rsid w:val="00A57542"/>
    <w:rsid w:val="00A605D5"/>
    <w:rsid w:val="00A61150"/>
    <w:rsid w:val="00A61D41"/>
    <w:rsid w:val="00A62E39"/>
    <w:rsid w:val="00A65799"/>
    <w:rsid w:val="00A77BB9"/>
    <w:rsid w:val="00A82791"/>
    <w:rsid w:val="00A8463A"/>
    <w:rsid w:val="00A93405"/>
    <w:rsid w:val="00A9770C"/>
    <w:rsid w:val="00AA3D2E"/>
    <w:rsid w:val="00AA58E0"/>
    <w:rsid w:val="00AB1869"/>
    <w:rsid w:val="00AB39AC"/>
    <w:rsid w:val="00AB4684"/>
    <w:rsid w:val="00AC0130"/>
    <w:rsid w:val="00AC0ECC"/>
    <w:rsid w:val="00AC1F50"/>
    <w:rsid w:val="00AC3549"/>
    <w:rsid w:val="00AC388E"/>
    <w:rsid w:val="00AC42A8"/>
    <w:rsid w:val="00AC45DA"/>
    <w:rsid w:val="00AC6085"/>
    <w:rsid w:val="00AC7539"/>
    <w:rsid w:val="00AC7A5E"/>
    <w:rsid w:val="00AD294A"/>
    <w:rsid w:val="00AE0EC0"/>
    <w:rsid w:val="00AE0ED9"/>
    <w:rsid w:val="00AF1131"/>
    <w:rsid w:val="00AF1376"/>
    <w:rsid w:val="00AF5A87"/>
    <w:rsid w:val="00B02C5C"/>
    <w:rsid w:val="00B02D0F"/>
    <w:rsid w:val="00B052BF"/>
    <w:rsid w:val="00B06E7B"/>
    <w:rsid w:val="00B1006A"/>
    <w:rsid w:val="00B10AF4"/>
    <w:rsid w:val="00B10E29"/>
    <w:rsid w:val="00B1621D"/>
    <w:rsid w:val="00B176C6"/>
    <w:rsid w:val="00B177E0"/>
    <w:rsid w:val="00B22C05"/>
    <w:rsid w:val="00B25AA5"/>
    <w:rsid w:val="00B31A2B"/>
    <w:rsid w:val="00B31C4C"/>
    <w:rsid w:val="00B332E9"/>
    <w:rsid w:val="00B34F97"/>
    <w:rsid w:val="00B35207"/>
    <w:rsid w:val="00B352BA"/>
    <w:rsid w:val="00B3576E"/>
    <w:rsid w:val="00B37D16"/>
    <w:rsid w:val="00B443F0"/>
    <w:rsid w:val="00B4578B"/>
    <w:rsid w:val="00B51626"/>
    <w:rsid w:val="00B52495"/>
    <w:rsid w:val="00B527A0"/>
    <w:rsid w:val="00B5326D"/>
    <w:rsid w:val="00B55558"/>
    <w:rsid w:val="00B60F74"/>
    <w:rsid w:val="00B6471B"/>
    <w:rsid w:val="00B65BBC"/>
    <w:rsid w:val="00B700A4"/>
    <w:rsid w:val="00B71BEF"/>
    <w:rsid w:val="00B730A3"/>
    <w:rsid w:val="00B75BC6"/>
    <w:rsid w:val="00B76FB8"/>
    <w:rsid w:val="00B82CF1"/>
    <w:rsid w:val="00B85491"/>
    <w:rsid w:val="00B8661F"/>
    <w:rsid w:val="00B879AC"/>
    <w:rsid w:val="00BA05BD"/>
    <w:rsid w:val="00BA1A93"/>
    <w:rsid w:val="00BA549C"/>
    <w:rsid w:val="00BA61DA"/>
    <w:rsid w:val="00BA6D48"/>
    <w:rsid w:val="00BA74D8"/>
    <w:rsid w:val="00BA7AE5"/>
    <w:rsid w:val="00BB0CEB"/>
    <w:rsid w:val="00BB124A"/>
    <w:rsid w:val="00BB2402"/>
    <w:rsid w:val="00BB24FB"/>
    <w:rsid w:val="00BB2857"/>
    <w:rsid w:val="00BB2C15"/>
    <w:rsid w:val="00BB2F77"/>
    <w:rsid w:val="00BB3388"/>
    <w:rsid w:val="00BB5F70"/>
    <w:rsid w:val="00BC41E7"/>
    <w:rsid w:val="00BC50B6"/>
    <w:rsid w:val="00BC6BD8"/>
    <w:rsid w:val="00BD1137"/>
    <w:rsid w:val="00BD17DD"/>
    <w:rsid w:val="00BD2553"/>
    <w:rsid w:val="00BD434F"/>
    <w:rsid w:val="00BD7E33"/>
    <w:rsid w:val="00BE086F"/>
    <w:rsid w:val="00BE141E"/>
    <w:rsid w:val="00BE3BDC"/>
    <w:rsid w:val="00BE44AE"/>
    <w:rsid w:val="00BE4732"/>
    <w:rsid w:val="00BE6317"/>
    <w:rsid w:val="00BF08EE"/>
    <w:rsid w:val="00BF248E"/>
    <w:rsid w:val="00BF28CE"/>
    <w:rsid w:val="00BF4CE2"/>
    <w:rsid w:val="00C01089"/>
    <w:rsid w:val="00C0307B"/>
    <w:rsid w:val="00C0559D"/>
    <w:rsid w:val="00C07BE9"/>
    <w:rsid w:val="00C10B0C"/>
    <w:rsid w:val="00C14D58"/>
    <w:rsid w:val="00C1601D"/>
    <w:rsid w:val="00C17218"/>
    <w:rsid w:val="00C2098B"/>
    <w:rsid w:val="00C20EF5"/>
    <w:rsid w:val="00C224A3"/>
    <w:rsid w:val="00C24D86"/>
    <w:rsid w:val="00C2584E"/>
    <w:rsid w:val="00C25877"/>
    <w:rsid w:val="00C26E4A"/>
    <w:rsid w:val="00C36413"/>
    <w:rsid w:val="00C3788D"/>
    <w:rsid w:val="00C430E3"/>
    <w:rsid w:val="00C431B2"/>
    <w:rsid w:val="00C45C1E"/>
    <w:rsid w:val="00C45C51"/>
    <w:rsid w:val="00C46385"/>
    <w:rsid w:val="00C51666"/>
    <w:rsid w:val="00C5511E"/>
    <w:rsid w:val="00C56FB7"/>
    <w:rsid w:val="00C572FD"/>
    <w:rsid w:val="00C60600"/>
    <w:rsid w:val="00C617C5"/>
    <w:rsid w:val="00C63CC9"/>
    <w:rsid w:val="00C644E2"/>
    <w:rsid w:val="00C64C6E"/>
    <w:rsid w:val="00C671C1"/>
    <w:rsid w:val="00C677D4"/>
    <w:rsid w:val="00C72D5E"/>
    <w:rsid w:val="00C76C6B"/>
    <w:rsid w:val="00C81B75"/>
    <w:rsid w:val="00C84478"/>
    <w:rsid w:val="00C958E8"/>
    <w:rsid w:val="00CA6453"/>
    <w:rsid w:val="00CA6983"/>
    <w:rsid w:val="00CA76AF"/>
    <w:rsid w:val="00CB2375"/>
    <w:rsid w:val="00CB439D"/>
    <w:rsid w:val="00CB6225"/>
    <w:rsid w:val="00CB7355"/>
    <w:rsid w:val="00CC2E71"/>
    <w:rsid w:val="00CC3412"/>
    <w:rsid w:val="00CC55B3"/>
    <w:rsid w:val="00CC6FDF"/>
    <w:rsid w:val="00CD0CB6"/>
    <w:rsid w:val="00CD349E"/>
    <w:rsid w:val="00CD75C3"/>
    <w:rsid w:val="00CD77AF"/>
    <w:rsid w:val="00CD7EF2"/>
    <w:rsid w:val="00CE0116"/>
    <w:rsid w:val="00CE16A2"/>
    <w:rsid w:val="00CE4D76"/>
    <w:rsid w:val="00CE5866"/>
    <w:rsid w:val="00CE6079"/>
    <w:rsid w:val="00CF448B"/>
    <w:rsid w:val="00CF4E94"/>
    <w:rsid w:val="00D0426A"/>
    <w:rsid w:val="00D04B97"/>
    <w:rsid w:val="00D0521F"/>
    <w:rsid w:val="00D05243"/>
    <w:rsid w:val="00D05876"/>
    <w:rsid w:val="00D058D5"/>
    <w:rsid w:val="00D06BF9"/>
    <w:rsid w:val="00D100BC"/>
    <w:rsid w:val="00D165F1"/>
    <w:rsid w:val="00D2615D"/>
    <w:rsid w:val="00D31EAD"/>
    <w:rsid w:val="00D32985"/>
    <w:rsid w:val="00D34212"/>
    <w:rsid w:val="00D352B8"/>
    <w:rsid w:val="00D35BDA"/>
    <w:rsid w:val="00D365D0"/>
    <w:rsid w:val="00D36B07"/>
    <w:rsid w:val="00D402CF"/>
    <w:rsid w:val="00D41243"/>
    <w:rsid w:val="00D43075"/>
    <w:rsid w:val="00D4552B"/>
    <w:rsid w:val="00D462A5"/>
    <w:rsid w:val="00D47B65"/>
    <w:rsid w:val="00D538BC"/>
    <w:rsid w:val="00D546F1"/>
    <w:rsid w:val="00D6214F"/>
    <w:rsid w:val="00D624C8"/>
    <w:rsid w:val="00D63D01"/>
    <w:rsid w:val="00D6685C"/>
    <w:rsid w:val="00D66AB2"/>
    <w:rsid w:val="00D714AC"/>
    <w:rsid w:val="00D73FBE"/>
    <w:rsid w:val="00D742E9"/>
    <w:rsid w:val="00D74A26"/>
    <w:rsid w:val="00D82321"/>
    <w:rsid w:val="00D825EB"/>
    <w:rsid w:val="00D83BDE"/>
    <w:rsid w:val="00D83C46"/>
    <w:rsid w:val="00D853CB"/>
    <w:rsid w:val="00D85666"/>
    <w:rsid w:val="00D90165"/>
    <w:rsid w:val="00D93256"/>
    <w:rsid w:val="00D944C6"/>
    <w:rsid w:val="00D9536C"/>
    <w:rsid w:val="00DA01B9"/>
    <w:rsid w:val="00DA2FC0"/>
    <w:rsid w:val="00DA3A99"/>
    <w:rsid w:val="00DB1663"/>
    <w:rsid w:val="00DB187E"/>
    <w:rsid w:val="00DB31E1"/>
    <w:rsid w:val="00DB56A6"/>
    <w:rsid w:val="00DC2341"/>
    <w:rsid w:val="00DC4BA3"/>
    <w:rsid w:val="00DC5578"/>
    <w:rsid w:val="00DC5693"/>
    <w:rsid w:val="00DC6C1D"/>
    <w:rsid w:val="00DD3671"/>
    <w:rsid w:val="00DD4B87"/>
    <w:rsid w:val="00DE0A31"/>
    <w:rsid w:val="00DE1CA1"/>
    <w:rsid w:val="00DE59C0"/>
    <w:rsid w:val="00DE62D5"/>
    <w:rsid w:val="00DF1C8C"/>
    <w:rsid w:val="00DF1D26"/>
    <w:rsid w:val="00E00F03"/>
    <w:rsid w:val="00E036FC"/>
    <w:rsid w:val="00E03A75"/>
    <w:rsid w:val="00E0489A"/>
    <w:rsid w:val="00E05E95"/>
    <w:rsid w:val="00E07BEE"/>
    <w:rsid w:val="00E10017"/>
    <w:rsid w:val="00E110C0"/>
    <w:rsid w:val="00E11153"/>
    <w:rsid w:val="00E11B95"/>
    <w:rsid w:val="00E16377"/>
    <w:rsid w:val="00E21B43"/>
    <w:rsid w:val="00E24324"/>
    <w:rsid w:val="00E25439"/>
    <w:rsid w:val="00E25E60"/>
    <w:rsid w:val="00E3044C"/>
    <w:rsid w:val="00E310CA"/>
    <w:rsid w:val="00E32679"/>
    <w:rsid w:val="00E32BF3"/>
    <w:rsid w:val="00E35070"/>
    <w:rsid w:val="00E42B04"/>
    <w:rsid w:val="00E4717E"/>
    <w:rsid w:val="00E534BB"/>
    <w:rsid w:val="00E574FB"/>
    <w:rsid w:val="00E57EA8"/>
    <w:rsid w:val="00E607A4"/>
    <w:rsid w:val="00E6304F"/>
    <w:rsid w:val="00E6324A"/>
    <w:rsid w:val="00E63A8E"/>
    <w:rsid w:val="00E63E0E"/>
    <w:rsid w:val="00E65A27"/>
    <w:rsid w:val="00E65BE2"/>
    <w:rsid w:val="00E67C02"/>
    <w:rsid w:val="00E716B5"/>
    <w:rsid w:val="00E71A03"/>
    <w:rsid w:val="00E7254B"/>
    <w:rsid w:val="00E7314F"/>
    <w:rsid w:val="00E7322F"/>
    <w:rsid w:val="00E75F51"/>
    <w:rsid w:val="00E77F8B"/>
    <w:rsid w:val="00E8067E"/>
    <w:rsid w:val="00E8142F"/>
    <w:rsid w:val="00E82F32"/>
    <w:rsid w:val="00E84D11"/>
    <w:rsid w:val="00E84E79"/>
    <w:rsid w:val="00E84EBD"/>
    <w:rsid w:val="00E86406"/>
    <w:rsid w:val="00E873FE"/>
    <w:rsid w:val="00E9470D"/>
    <w:rsid w:val="00E94C2E"/>
    <w:rsid w:val="00E97500"/>
    <w:rsid w:val="00EA221D"/>
    <w:rsid w:val="00EA2B27"/>
    <w:rsid w:val="00EA3B95"/>
    <w:rsid w:val="00EB0862"/>
    <w:rsid w:val="00EB7DCF"/>
    <w:rsid w:val="00EC1F95"/>
    <w:rsid w:val="00EC45A4"/>
    <w:rsid w:val="00EC64CE"/>
    <w:rsid w:val="00ED0727"/>
    <w:rsid w:val="00ED1D30"/>
    <w:rsid w:val="00ED3A2E"/>
    <w:rsid w:val="00ED43B4"/>
    <w:rsid w:val="00ED5099"/>
    <w:rsid w:val="00ED5980"/>
    <w:rsid w:val="00ED6271"/>
    <w:rsid w:val="00ED6D0A"/>
    <w:rsid w:val="00EE1495"/>
    <w:rsid w:val="00EE489C"/>
    <w:rsid w:val="00EE515A"/>
    <w:rsid w:val="00EE5E99"/>
    <w:rsid w:val="00EF2CF5"/>
    <w:rsid w:val="00EF64BD"/>
    <w:rsid w:val="00EF7749"/>
    <w:rsid w:val="00F0358D"/>
    <w:rsid w:val="00F04B42"/>
    <w:rsid w:val="00F065F1"/>
    <w:rsid w:val="00F10C19"/>
    <w:rsid w:val="00F12B83"/>
    <w:rsid w:val="00F13E7F"/>
    <w:rsid w:val="00F14180"/>
    <w:rsid w:val="00F14653"/>
    <w:rsid w:val="00F14F0E"/>
    <w:rsid w:val="00F15C23"/>
    <w:rsid w:val="00F1771C"/>
    <w:rsid w:val="00F21300"/>
    <w:rsid w:val="00F21FA5"/>
    <w:rsid w:val="00F261F0"/>
    <w:rsid w:val="00F26275"/>
    <w:rsid w:val="00F26A4A"/>
    <w:rsid w:val="00F3047B"/>
    <w:rsid w:val="00F315D9"/>
    <w:rsid w:val="00F3249C"/>
    <w:rsid w:val="00F33D38"/>
    <w:rsid w:val="00F369FF"/>
    <w:rsid w:val="00F36D96"/>
    <w:rsid w:val="00F372A8"/>
    <w:rsid w:val="00F412C0"/>
    <w:rsid w:val="00F4144F"/>
    <w:rsid w:val="00F41ACA"/>
    <w:rsid w:val="00F41DE9"/>
    <w:rsid w:val="00F4464F"/>
    <w:rsid w:val="00F46B68"/>
    <w:rsid w:val="00F548F7"/>
    <w:rsid w:val="00F55DD6"/>
    <w:rsid w:val="00F56172"/>
    <w:rsid w:val="00F57B5B"/>
    <w:rsid w:val="00F6166C"/>
    <w:rsid w:val="00F61ED3"/>
    <w:rsid w:val="00F6727F"/>
    <w:rsid w:val="00F70CF2"/>
    <w:rsid w:val="00F70D1B"/>
    <w:rsid w:val="00F7156A"/>
    <w:rsid w:val="00F71B10"/>
    <w:rsid w:val="00F72B19"/>
    <w:rsid w:val="00F72E95"/>
    <w:rsid w:val="00F848F0"/>
    <w:rsid w:val="00F85E28"/>
    <w:rsid w:val="00F8728F"/>
    <w:rsid w:val="00F87A7F"/>
    <w:rsid w:val="00F9043A"/>
    <w:rsid w:val="00F9514E"/>
    <w:rsid w:val="00F95797"/>
    <w:rsid w:val="00F97699"/>
    <w:rsid w:val="00F97DDE"/>
    <w:rsid w:val="00FA01DE"/>
    <w:rsid w:val="00FA3A51"/>
    <w:rsid w:val="00FA3EF2"/>
    <w:rsid w:val="00FB07E7"/>
    <w:rsid w:val="00FB65BD"/>
    <w:rsid w:val="00FC5A0A"/>
    <w:rsid w:val="00FC5CA4"/>
    <w:rsid w:val="00FC6B5E"/>
    <w:rsid w:val="00FD211E"/>
    <w:rsid w:val="00FE1821"/>
    <w:rsid w:val="00FE44F7"/>
    <w:rsid w:val="00FF0121"/>
    <w:rsid w:val="00FF1AC3"/>
    <w:rsid w:val="00FF20E2"/>
    <w:rsid w:val="207F27EF"/>
    <w:rsid w:val="29E6AAA0"/>
    <w:rsid w:val="31B94901"/>
    <w:rsid w:val="3B9DE253"/>
    <w:rsid w:val="637F26AC"/>
    <w:rsid w:val="6A1F65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DD38"/>
  <w15:docId w15:val="{80A98C72-6A44-4517-B334-8D16069B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714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unhideWhenUsed/>
    <w:rsid w:val="006827DA"/>
    <w:rPr>
      <w:sz w:val="20"/>
      <w:szCs w:val="20"/>
    </w:rPr>
  </w:style>
  <w:style w:type="character" w:customStyle="1" w:styleId="CommentTextChar">
    <w:name w:val="Comment Text Char"/>
    <w:basedOn w:val="DefaultParagraphFont"/>
    <w:link w:val="CommentText"/>
    <w:uiPriority w:val="99"/>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uiPriority w:val="99"/>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 w:type="character" w:customStyle="1" w:styleId="apple-converted-space">
    <w:name w:val="apple-converted-space"/>
    <w:basedOn w:val="DefaultParagraphFont"/>
    <w:rsid w:val="00E84D11"/>
  </w:style>
  <w:style w:type="character" w:customStyle="1" w:styleId="Heading3Char">
    <w:name w:val="Heading 3 Char"/>
    <w:basedOn w:val="DefaultParagraphFont"/>
    <w:link w:val="Heading3"/>
    <w:uiPriority w:val="9"/>
    <w:semiHidden/>
    <w:rsid w:val="00D714A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70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371">
      <w:bodyDiv w:val="1"/>
      <w:marLeft w:val="0"/>
      <w:marRight w:val="0"/>
      <w:marTop w:val="0"/>
      <w:marBottom w:val="0"/>
      <w:divBdr>
        <w:top w:val="none" w:sz="0" w:space="0" w:color="auto"/>
        <w:left w:val="none" w:sz="0" w:space="0" w:color="auto"/>
        <w:bottom w:val="none" w:sz="0" w:space="0" w:color="auto"/>
        <w:right w:val="none" w:sz="0" w:space="0" w:color="auto"/>
      </w:divBdr>
    </w:div>
    <w:div w:id="114639190">
      <w:bodyDiv w:val="1"/>
      <w:marLeft w:val="0"/>
      <w:marRight w:val="0"/>
      <w:marTop w:val="0"/>
      <w:marBottom w:val="0"/>
      <w:divBdr>
        <w:top w:val="none" w:sz="0" w:space="0" w:color="auto"/>
        <w:left w:val="none" w:sz="0" w:space="0" w:color="auto"/>
        <w:bottom w:val="none" w:sz="0" w:space="0" w:color="auto"/>
        <w:right w:val="none" w:sz="0" w:space="0" w:color="auto"/>
      </w:divBdr>
    </w:div>
    <w:div w:id="224412979">
      <w:bodyDiv w:val="1"/>
      <w:marLeft w:val="0"/>
      <w:marRight w:val="0"/>
      <w:marTop w:val="0"/>
      <w:marBottom w:val="0"/>
      <w:divBdr>
        <w:top w:val="none" w:sz="0" w:space="0" w:color="auto"/>
        <w:left w:val="none" w:sz="0" w:space="0" w:color="auto"/>
        <w:bottom w:val="none" w:sz="0" w:space="0" w:color="auto"/>
        <w:right w:val="none" w:sz="0" w:space="0" w:color="auto"/>
      </w:divBdr>
    </w:div>
    <w:div w:id="388773355">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28166958">
      <w:bodyDiv w:val="1"/>
      <w:marLeft w:val="0"/>
      <w:marRight w:val="0"/>
      <w:marTop w:val="0"/>
      <w:marBottom w:val="0"/>
      <w:divBdr>
        <w:top w:val="none" w:sz="0" w:space="0" w:color="auto"/>
        <w:left w:val="none" w:sz="0" w:space="0" w:color="auto"/>
        <w:bottom w:val="none" w:sz="0" w:space="0" w:color="auto"/>
        <w:right w:val="none" w:sz="0" w:space="0" w:color="auto"/>
      </w:divBdr>
    </w:div>
    <w:div w:id="652760944">
      <w:bodyDiv w:val="1"/>
      <w:marLeft w:val="0"/>
      <w:marRight w:val="0"/>
      <w:marTop w:val="0"/>
      <w:marBottom w:val="0"/>
      <w:divBdr>
        <w:top w:val="none" w:sz="0" w:space="0" w:color="auto"/>
        <w:left w:val="none" w:sz="0" w:space="0" w:color="auto"/>
        <w:bottom w:val="none" w:sz="0" w:space="0" w:color="auto"/>
        <w:right w:val="none" w:sz="0" w:space="0" w:color="auto"/>
      </w:divBdr>
    </w:div>
    <w:div w:id="840970131">
      <w:bodyDiv w:val="1"/>
      <w:marLeft w:val="0"/>
      <w:marRight w:val="0"/>
      <w:marTop w:val="0"/>
      <w:marBottom w:val="0"/>
      <w:divBdr>
        <w:top w:val="none" w:sz="0" w:space="0" w:color="auto"/>
        <w:left w:val="none" w:sz="0" w:space="0" w:color="auto"/>
        <w:bottom w:val="none" w:sz="0" w:space="0" w:color="auto"/>
        <w:right w:val="none" w:sz="0" w:space="0" w:color="auto"/>
      </w:divBdr>
    </w:div>
    <w:div w:id="865099451">
      <w:bodyDiv w:val="1"/>
      <w:marLeft w:val="0"/>
      <w:marRight w:val="0"/>
      <w:marTop w:val="0"/>
      <w:marBottom w:val="0"/>
      <w:divBdr>
        <w:top w:val="none" w:sz="0" w:space="0" w:color="auto"/>
        <w:left w:val="none" w:sz="0" w:space="0" w:color="auto"/>
        <w:bottom w:val="none" w:sz="0" w:space="0" w:color="auto"/>
        <w:right w:val="none" w:sz="0" w:space="0" w:color="auto"/>
      </w:divBdr>
    </w:div>
    <w:div w:id="950473389">
      <w:bodyDiv w:val="1"/>
      <w:marLeft w:val="0"/>
      <w:marRight w:val="0"/>
      <w:marTop w:val="0"/>
      <w:marBottom w:val="0"/>
      <w:divBdr>
        <w:top w:val="none" w:sz="0" w:space="0" w:color="auto"/>
        <w:left w:val="none" w:sz="0" w:space="0" w:color="auto"/>
        <w:bottom w:val="none" w:sz="0" w:space="0" w:color="auto"/>
        <w:right w:val="none" w:sz="0" w:space="0" w:color="auto"/>
      </w:divBdr>
    </w:div>
    <w:div w:id="955218619">
      <w:bodyDiv w:val="1"/>
      <w:marLeft w:val="0"/>
      <w:marRight w:val="0"/>
      <w:marTop w:val="0"/>
      <w:marBottom w:val="0"/>
      <w:divBdr>
        <w:top w:val="none" w:sz="0" w:space="0" w:color="auto"/>
        <w:left w:val="none" w:sz="0" w:space="0" w:color="auto"/>
        <w:bottom w:val="none" w:sz="0" w:space="0" w:color="auto"/>
        <w:right w:val="none" w:sz="0" w:space="0" w:color="auto"/>
      </w:divBdr>
    </w:div>
    <w:div w:id="968364028">
      <w:bodyDiv w:val="1"/>
      <w:marLeft w:val="0"/>
      <w:marRight w:val="0"/>
      <w:marTop w:val="0"/>
      <w:marBottom w:val="0"/>
      <w:divBdr>
        <w:top w:val="none" w:sz="0" w:space="0" w:color="auto"/>
        <w:left w:val="none" w:sz="0" w:space="0" w:color="auto"/>
        <w:bottom w:val="none" w:sz="0" w:space="0" w:color="auto"/>
        <w:right w:val="none" w:sz="0" w:space="0" w:color="auto"/>
      </w:divBdr>
    </w:div>
    <w:div w:id="1008484320">
      <w:bodyDiv w:val="1"/>
      <w:marLeft w:val="0"/>
      <w:marRight w:val="0"/>
      <w:marTop w:val="0"/>
      <w:marBottom w:val="0"/>
      <w:divBdr>
        <w:top w:val="none" w:sz="0" w:space="0" w:color="auto"/>
        <w:left w:val="none" w:sz="0" w:space="0" w:color="auto"/>
        <w:bottom w:val="none" w:sz="0" w:space="0" w:color="auto"/>
        <w:right w:val="none" w:sz="0" w:space="0" w:color="auto"/>
      </w:divBdr>
    </w:div>
    <w:div w:id="1055011806">
      <w:bodyDiv w:val="1"/>
      <w:marLeft w:val="0"/>
      <w:marRight w:val="0"/>
      <w:marTop w:val="0"/>
      <w:marBottom w:val="0"/>
      <w:divBdr>
        <w:top w:val="none" w:sz="0" w:space="0" w:color="auto"/>
        <w:left w:val="none" w:sz="0" w:space="0" w:color="auto"/>
        <w:bottom w:val="none" w:sz="0" w:space="0" w:color="auto"/>
        <w:right w:val="none" w:sz="0" w:space="0" w:color="auto"/>
      </w:divBdr>
    </w:div>
    <w:div w:id="1267155315">
      <w:bodyDiv w:val="1"/>
      <w:marLeft w:val="0"/>
      <w:marRight w:val="0"/>
      <w:marTop w:val="0"/>
      <w:marBottom w:val="0"/>
      <w:divBdr>
        <w:top w:val="none" w:sz="0" w:space="0" w:color="auto"/>
        <w:left w:val="none" w:sz="0" w:space="0" w:color="auto"/>
        <w:bottom w:val="none" w:sz="0" w:space="0" w:color="auto"/>
        <w:right w:val="none" w:sz="0" w:space="0" w:color="auto"/>
      </w:divBdr>
    </w:div>
    <w:div w:id="1325428596">
      <w:bodyDiv w:val="1"/>
      <w:marLeft w:val="0"/>
      <w:marRight w:val="0"/>
      <w:marTop w:val="0"/>
      <w:marBottom w:val="0"/>
      <w:divBdr>
        <w:top w:val="none" w:sz="0" w:space="0" w:color="auto"/>
        <w:left w:val="none" w:sz="0" w:space="0" w:color="auto"/>
        <w:bottom w:val="none" w:sz="0" w:space="0" w:color="auto"/>
        <w:right w:val="none" w:sz="0" w:space="0" w:color="auto"/>
      </w:divBdr>
    </w:div>
    <w:div w:id="1436055236">
      <w:bodyDiv w:val="1"/>
      <w:marLeft w:val="0"/>
      <w:marRight w:val="0"/>
      <w:marTop w:val="0"/>
      <w:marBottom w:val="0"/>
      <w:divBdr>
        <w:top w:val="none" w:sz="0" w:space="0" w:color="auto"/>
        <w:left w:val="none" w:sz="0" w:space="0" w:color="auto"/>
        <w:bottom w:val="none" w:sz="0" w:space="0" w:color="auto"/>
        <w:right w:val="none" w:sz="0" w:space="0" w:color="auto"/>
      </w:divBdr>
    </w:div>
    <w:div w:id="1502544292">
      <w:bodyDiv w:val="1"/>
      <w:marLeft w:val="0"/>
      <w:marRight w:val="0"/>
      <w:marTop w:val="0"/>
      <w:marBottom w:val="0"/>
      <w:divBdr>
        <w:top w:val="none" w:sz="0" w:space="0" w:color="auto"/>
        <w:left w:val="none" w:sz="0" w:space="0" w:color="auto"/>
        <w:bottom w:val="none" w:sz="0" w:space="0" w:color="auto"/>
        <w:right w:val="none" w:sz="0" w:space="0" w:color="auto"/>
      </w:divBdr>
    </w:div>
    <w:div w:id="1627390294">
      <w:bodyDiv w:val="1"/>
      <w:marLeft w:val="0"/>
      <w:marRight w:val="0"/>
      <w:marTop w:val="0"/>
      <w:marBottom w:val="0"/>
      <w:divBdr>
        <w:top w:val="none" w:sz="0" w:space="0" w:color="auto"/>
        <w:left w:val="none" w:sz="0" w:space="0" w:color="auto"/>
        <w:bottom w:val="none" w:sz="0" w:space="0" w:color="auto"/>
        <w:right w:val="none" w:sz="0" w:space="0" w:color="auto"/>
      </w:divBdr>
    </w:div>
    <w:div w:id="1706560343">
      <w:bodyDiv w:val="1"/>
      <w:marLeft w:val="0"/>
      <w:marRight w:val="0"/>
      <w:marTop w:val="0"/>
      <w:marBottom w:val="0"/>
      <w:divBdr>
        <w:top w:val="none" w:sz="0" w:space="0" w:color="auto"/>
        <w:left w:val="none" w:sz="0" w:space="0" w:color="auto"/>
        <w:bottom w:val="none" w:sz="0" w:space="0" w:color="auto"/>
        <w:right w:val="none" w:sz="0" w:space="0" w:color="auto"/>
      </w:divBdr>
    </w:div>
    <w:div w:id="1747679828">
      <w:bodyDiv w:val="1"/>
      <w:marLeft w:val="0"/>
      <w:marRight w:val="0"/>
      <w:marTop w:val="0"/>
      <w:marBottom w:val="0"/>
      <w:divBdr>
        <w:top w:val="none" w:sz="0" w:space="0" w:color="auto"/>
        <w:left w:val="none" w:sz="0" w:space="0" w:color="auto"/>
        <w:bottom w:val="none" w:sz="0" w:space="0" w:color="auto"/>
        <w:right w:val="none" w:sz="0" w:space="0" w:color="auto"/>
      </w:divBdr>
    </w:div>
    <w:div w:id="1903328239">
      <w:bodyDiv w:val="1"/>
      <w:marLeft w:val="0"/>
      <w:marRight w:val="0"/>
      <w:marTop w:val="0"/>
      <w:marBottom w:val="0"/>
      <w:divBdr>
        <w:top w:val="none" w:sz="0" w:space="0" w:color="auto"/>
        <w:left w:val="none" w:sz="0" w:space="0" w:color="auto"/>
        <w:bottom w:val="none" w:sz="0" w:space="0" w:color="auto"/>
        <w:right w:val="none" w:sz="0" w:space="0" w:color="auto"/>
      </w:divBdr>
    </w:div>
    <w:div w:id="2015838101">
      <w:bodyDiv w:val="1"/>
      <w:marLeft w:val="0"/>
      <w:marRight w:val="0"/>
      <w:marTop w:val="0"/>
      <w:marBottom w:val="0"/>
      <w:divBdr>
        <w:top w:val="none" w:sz="0" w:space="0" w:color="auto"/>
        <w:left w:val="none" w:sz="0" w:space="0" w:color="auto"/>
        <w:bottom w:val="none" w:sz="0" w:space="0" w:color="auto"/>
        <w:right w:val="none" w:sz="0" w:space="0" w:color="auto"/>
      </w:divBdr>
    </w:div>
    <w:div w:id="2116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E7CA-1384-4B5D-9BC1-371FF7C5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7853</Words>
  <Characters>44765</Characters>
  <Application>Microsoft Office Word</Application>
  <DocSecurity>4</DocSecurity>
  <Lines>373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Ramsar\GuerquinF</dc:creator>
  <cp:lastModifiedBy>JENNINGS Edmund</cp:lastModifiedBy>
  <cp:revision>2</cp:revision>
  <cp:lastPrinted>2018-09-24T21:14:00Z</cp:lastPrinted>
  <dcterms:created xsi:type="dcterms:W3CDTF">2018-09-27T12:07:00Z</dcterms:created>
  <dcterms:modified xsi:type="dcterms:W3CDTF">2018-09-27T12:07:00Z</dcterms:modified>
</cp:coreProperties>
</file>