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8D136" w14:textId="02FFE2AC" w:rsidR="00AA3C94" w:rsidRPr="006C49EF" w:rsidRDefault="0005008D" w:rsidP="00AA3C94">
      <w:pPr>
        <w:pBdr>
          <w:top w:val="single" w:sz="12" w:space="0" w:color="auto" w:shadow="1"/>
          <w:left w:val="single" w:sz="12" w:space="4" w:color="auto" w:shadow="1"/>
          <w:bottom w:val="single" w:sz="12" w:space="1" w:color="auto" w:shadow="1"/>
          <w:right w:val="single" w:sz="12" w:space="7" w:color="auto" w:shadow="1"/>
        </w:pBdr>
        <w:suppressAutoHyphens/>
        <w:ind w:right="4490"/>
        <w:rPr>
          <w:bCs/>
          <w:lang w:val="es-ES"/>
        </w:rPr>
      </w:pPr>
      <w:r w:rsidRPr="006C49EF">
        <w:rPr>
          <w:bCs/>
          <w:lang w:val="es-ES"/>
        </w:rPr>
        <w:t>LA CONVENCIÓN SOBRE LOS HUMEDALES</w:t>
      </w:r>
    </w:p>
    <w:p w14:paraId="373F00D9" w14:textId="30B952E3" w:rsidR="00AA3C94" w:rsidRPr="006C49EF" w:rsidRDefault="00AA3C94" w:rsidP="00AA3C94">
      <w:pPr>
        <w:pBdr>
          <w:top w:val="single" w:sz="12" w:space="0" w:color="auto" w:shadow="1"/>
          <w:left w:val="single" w:sz="12" w:space="4" w:color="auto" w:shadow="1"/>
          <w:bottom w:val="single" w:sz="12" w:space="1" w:color="auto" w:shadow="1"/>
          <w:right w:val="single" w:sz="12" w:space="7" w:color="auto" w:shadow="1"/>
        </w:pBdr>
        <w:suppressAutoHyphens/>
        <w:ind w:right="4490"/>
        <w:rPr>
          <w:bCs/>
          <w:lang w:val="es-ES"/>
        </w:rPr>
      </w:pPr>
      <w:r w:rsidRPr="006C49EF">
        <w:rPr>
          <w:bCs/>
          <w:lang w:val="es-ES"/>
        </w:rPr>
        <w:t>63</w:t>
      </w:r>
      <w:r w:rsidR="0005008D" w:rsidRPr="006C49EF">
        <w:rPr>
          <w:bCs/>
          <w:lang w:val="es-ES"/>
        </w:rPr>
        <w:t>ª reunión del Comité Permanente</w:t>
      </w:r>
    </w:p>
    <w:p w14:paraId="071064F8" w14:textId="0FC1A0B5" w:rsidR="00AA3C94" w:rsidRPr="006C49EF" w:rsidRDefault="00AA3C94" w:rsidP="00AA3C94">
      <w:pPr>
        <w:pBdr>
          <w:top w:val="single" w:sz="12" w:space="0" w:color="auto" w:shadow="1"/>
          <w:left w:val="single" w:sz="12" w:space="4" w:color="auto" w:shadow="1"/>
          <w:bottom w:val="single" w:sz="12" w:space="1" w:color="auto" w:shadow="1"/>
          <w:right w:val="single" w:sz="12" w:space="7" w:color="auto" w:shadow="1"/>
        </w:pBdr>
        <w:suppressAutoHyphens/>
        <w:ind w:right="4490"/>
        <w:rPr>
          <w:rFonts w:cs="Arial"/>
          <w:b/>
          <w:sz w:val="28"/>
          <w:szCs w:val="28"/>
          <w:lang w:val="es-ES"/>
        </w:rPr>
      </w:pPr>
      <w:r w:rsidRPr="006C49EF">
        <w:rPr>
          <w:bCs/>
          <w:lang w:val="es-ES"/>
        </w:rPr>
        <w:t>Gland, S</w:t>
      </w:r>
      <w:r w:rsidR="0005008D" w:rsidRPr="006C49EF">
        <w:rPr>
          <w:bCs/>
          <w:lang w:val="es-ES"/>
        </w:rPr>
        <w:t>uiza, 3 a 7 de junio de 2024</w:t>
      </w:r>
    </w:p>
    <w:p w14:paraId="1AFE334C" w14:textId="77777777" w:rsidR="00AA3C94" w:rsidRPr="006C49EF" w:rsidRDefault="00AA3C94" w:rsidP="00AA3C94">
      <w:pPr>
        <w:tabs>
          <w:tab w:val="left" w:pos="10650"/>
          <w:tab w:val="right" w:pos="13958"/>
        </w:tabs>
        <w:jc w:val="right"/>
        <w:rPr>
          <w:rFonts w:cs="Arial"/>
          <w:b/>
          <w:sz w:val="28"/>
          <w:szCs w:val="28"/>
          <w:lang w:val="es-ES"/>
        </w:rPr>
      </w:pPr>
    </w:p>
    <w:p w14:paraId="25029CBD" w14:textId="77777777" w:rsidR="000944EB" w:rsidRPr="006C49EF" w:rsidRDefault="00AA3C94" w:rsidP="00AA3C94">
      <w:pPr>
        <w:tabs>
          <w:tab w:val="left" w:pos="10650"/>
          <w:tab w:val="right" w:pos="13958"/>
        </w:tabs>
        <w:jc w:val="right"/>
        <w:rPr>
          <w:rFonts w:asciiTheme="minorHAnsi" w:hAnsiTheme="minorHAnsi" w:cstheme="minorHAnsi"/>
          <w:sz w:val="28"/>
          <w:szCs w:val="28"/>
          <w:lang w:val="es-ES"/>
        </w:rPr>
      </w:pPr>
      <w:r w:rsidRPr="006C49EF">
        <w:rPr>
          <w:rFonts w:cs="Arial"/>
          <w:b/>
          <w:sz w:val="28"/>
          <w:szCs w:val="28"/>
          <w:lang w:val="es-ES"/>
        </w:rPr>
        <w:t>SC63 Doc.</w:t>
      </w:r>
      <w:r w:rsidR="00843405" w:rsidRPr="006C49EF">
        <w:rPr>
          <w:rFonts w:asciiTheme="minorHAnsi" w:hAnsiTheme="minorHAnsi" w:cstheme="minorHAnsi"/>
          <w:b/>
          <w:sz w:val="28"/>
          <w:szCs w:val="28"/>
          <w:lang w:val="es-ES"/>
        </w:rPr>
        <w:t>10</w:t>
      </w:r>
    </w:p>
    <w:p w14:paraId="7043C5FD" w14:textId="77777777" w:rsidR="000944EB" w:rsidRPr="006C49EF" w:rsidRDefault="000944EB" w:rsidP="000944EB">
      <w:pPr>
        <w:rPr>
          <w:rFonts w:asciiTheme="minorHAnsi" w:hAnsiTheme="minorHAnsi" w:cstheme="minorHAnsi"/>
          <w:b/>
          <w:sz w:val="28"/>
          <w:szCs w:val="28"/>
          <w:lang w:val="es-ES"/>
        </w:rPr>
      </w:pPr>
    </w:p>
    <w:p w14:paraId="1466999A" w14:textId="0DDA9FAB" w:rsidR="0005008D" w:rsidRPr="006C49EF" w:rsidRDefault="0005008D" w:rsidP="0005008D">
      <w:pPr>
        <w:pStyle w:val="NormalWeb"/>
        <w:jc w:val="center"/>
        <w:rPr>
          <w:color w:val="000000" w:themeColor="text1"/>
        </w:rPr>
      </w:pPr>
      <w:r w:rsidRPr="006C49EF">
        <w:rPr>
          <w:rFonts w:ascii="Calibri" w:hAnsi="Calibri" w:cs="Calibri"/>
          <w:b/>
          <w:bCs/>
          <w:sz w:val="28"/>
          <w:szCs w:val="28"/>
        </w:rPr>
        <w:t xml:space="preserve">Desafíos urgentes para el uso racional de los humedales que merecen mayor atención: Actualización sobre los inventarios de </w:t>
      </w:r>
      <w:r w:rsidRPr="006C49EF">
        <w:rPr>
          <w:rFonts w:ascii="Calibri" w:hAnsi="Calibri" w:cs="Calibri"/>
          <w:b/>
          <w:bCs/>
          <w:color w:val="000000" w:themeColor="text1"/>
          <w:sz w:val="28"/>
          <w:szCs w:val="28"/>
        </w:rPr>
        <w:t>humedales</w:t>
      </w:r>
    </w:p>
    <w:p w14:paraId="6CED0CD1" w14:textId="77777777" w:rsidR="000C2489" w:rsidRPr="006C49EF" w:rsidRDefault="000C2489" w:rsidP="00014168">
      <w:pPr>
        <w:autoSpaceDE w:val="0"/>
        <w:autoSpaceDN w:val="0"/>
        <w:adjustRightInd w:val="0"/>
        <w:rPr>
          <w:rFonts w:asciiTheme="minorHAnsi" w:eastAsiaTheme="minorHAnsi" w:hAnsiTheme="minorHAnsi" w:cs="Calibri-Bold"/>
          <w:b/>
          <w:bCs/>
          <w:lang w:val="es-ES"/>
        </w:rPr>
      </w:pPr>
      <w:r w:rsidRPr="006C49EF">
        <w:rPr>
          <w:noProof/>
          <w:lang w:val="es-ES" w:eastAsia="en-GB"/>
        </w:rPr>
        <mc:AlternateContent>
          <mc:Choice Requires="wps">
            <w:drawing>
              <wp:inline distT="0" distB="0" distL="0" distR="0" wp14:anchorId="39972923" wp14:editId="3957C01D">
                <wp:extent cx="5731510" cy="1828800"/>
                <wp:effectExtent l="0" t="0" r="8890" b="127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828800"/>
                        </a:xfrm>
                        <a:prstGeom prst="rect">
                          <a:avLst/>
                        </a:prstGeom>
                        <a:solidFill>
                          <a:srgbClr val="FFFFFF"/>
                        </a:solidFill>
                        <a:ln w="9525">
                          <a:solidFill>
                            <a:srgbClr val="000000"/>
                          </a:solidFill>
                          <a:miter lim="800000"/>
                          <a:headEnd/>
                          <a:tailEnd/>
                        </a:ln>
                      </wps:spPr>
                      <wps:txbx>
                        <w:txbxContent>
                          <w:p w14:paraId="47D8C3E2" w14:textId="596286D0" w:rsidR="000C2489" w:rsidRPr="007A5CE3" w:rsidRDefault="000C2489" w:rsidP="000C2489">
                            <w:pPr>
                              <w:rPr>
                                <w:b/>
                                <w:bCs/>
                                <w:lang w:val="es-ES"/>
                              </w:rPr>
                            </w:pPr>
                            <w:r w:rsidRPr="007A5CE3">
                              <w:rPr>
                                <w:b/>
                                <w:bCs/>
                                <w:lang w:val="es-ES"/>
                              </w:rPr>
                              <w:t>Ac</w:t>
                            </w:r>
                            <w:r w:rsidR="0005008D" w:rsidRPr="007A5CE3">
                              <w:rPr>
                                <w:b/>
                                <w:bCs/>
                                <w:lang w:val="es-ES"/>
                              </w:rPr>
                              <w:t>ciones solicitadas:</w:t>
                            </w:r>
                          </w:p>
                          <w:p w14:paraId="61DF9A07" w14:textId="77777777" w:rsidR="000C2489" w:rsidRPr="007A5CE3" w:rsidRDefault="000C2489" w:rsidP="000C2489">
                            <w:pPr>
                              <w:pStyle w:val="ColorfulList-Accent11"/>
                              <w:ind w:left="0"/>
                              <w:rPr>
                                <w:lang w:val="es-ES"/>
                              </w:rPr>
                            </w:pPr>
                          </w:p>
                          <w:p w14:paraId="5A24F215" w14:textId="13A681A4" w:rsidR="00FE7B4F" w:rsidRPr="007A5CE3" w:rsidRDefault="0005008D" w:rsidP="00FE7B4F">
                            <w:pPr>
                              <w:rPr>
                                <w:rFonts w:asciiTheme="minorHAnsi" w:hAnsiTheme="minorHAnsi" w:cstheme="minorHAnsi"/>
                                <w:lang w:val="es-ES"/>
                              </w:rPr>
                            </w:pPr>
                            <w:r w:rsidRPr="007A5CE3">
                              <w:rPr>
                                <w:rFonts w:asciiTheme="minorHAnsi" w:hAnsiTheme="minorHAnsi" w:cstheme="minorHAnsi"/>
                                <w:lang w:val="es-ES"/>
                              </w:rPr>
                              <w:t>Se invita al Comité Permanente a hacer lo siguiente:</w:t>
                            </w:r>
                          </w:p>
                          <w:p w14:paraId="5667ECEA" w14:textId="77777777" w:rsidR="00FE7B4F" w:rsidRPr="007A5CE3" w:rsidRDefault="00FE7B4F" w:rsidP="00FE7B4F">
                            <w:pPr>
                              <w:rPr>
                                <w:rFonts w:asciiTheme="minorHAnsi" w:hAnsiTheme="minorHAnsi" w:cstheme="minorHAnsi"/>
                                <w:lang w:val="es-ES"/>
                              </w:rPr>
                            </w:pPr>
                          </w:p>
                          <w:p w14:paraId="6BF8AC50" w14:textId="44E6F928" w:rsidR="00FE7B4F" w:rsidRPr="007A5CE3" w:rsidRDefault="00FE7B4F" w:rsidP="00FE7B4F">
                            <w:pPr>
                              <w:rPr>
                                <w:rFonts w:asciiTheme="minorHAnsi" w:hAnsiTheme="minorHAnsi" w:cstheme="minorHAnsi"/>
                                <w:lang w:val="es-ES"/>
                              </w:rPr>
                            </w:pPr>
                            <w:r w:rsidRPr="007A5CE3">
                              <w:rPr>
                                <w:rFonts w:asciiTheme="minorHAnsi" w:hAnsiTheme="minorHAnsi" w:cstheme="minorHAnsi"/>
                                <w:lang w:val="es-ES"/>
                              </w:rPr>
                              <w:t>i.</w:t>
                            </w:r>
                            <w:r w:rsidRPr="007A5CE3">
                              <w:rPr>
                                <w:rFonts w:asciiTheme="minorHAnsi" w:hAnsiTheme="minorHAnsi" w:cstheme="minorHAnsi"/>
                                <w:lang w:val="es-ES"/>
                              </w:rPr>
                              <w:tab/>
                            </w:r>
                            <w:r w:rsidR="0005008D" w:rsidRPr="007A5CE3">
                              <w:rPr>
                                <w:rFonts w:asciiTheme="minorHAnsi" w:hAnsiTheme="minorHAnsi" w:cstheme="minorHAnsi"/>
                                <w:lang w:val="es-ES"/>
                              </w:rPr>
                              <w:t xml:space="preserve">tomar nota de los avances de la Secretaría en la provisión de un mecanismo para ayudar a las Partes Contratantes a </w:t>
                            </w:r>
                            <w:r w:rsidR="004873C1" w:rsidRPr="007A5CE3">
                              <w:rPr>
                                <w:rFonts w:asciiTheme="minorHAnsi" w:hAnsiTheme="minorHAnsi" w:cstheme="minorHAnsi"/>
                                <w:lang w:val="es-ES"/>
                              </w:rPr>
                              <w:t>elaborar</w:t>
                            </w:r>
                            <w:r w:rsidR="0005008D" w:rsidRPr="007A5CE3">
                              <w:rPr>
                                <w:rFonts w:asciiTheme="minorHAnsi" w:hAnsiTheme="minorHAnsi" w:cstheme="minorHAnsi"/>
                                <w:lang w:val="es-ES"/>
                              </w:rPr>
                              <w:t xml:space="preserve"> sus inventarios nacionales de humedales; y</w:t>
                            </w:r>
                          </w:p>
                          <w:p w14:paraId="3DF77B10" w14:textId="77777777" w:rsidR="00FE7B4F" w:rsidRPr="007A5CE3" w:rsidRDefault="00FE7B4F" w:rsidP="00FE7B4F">
                            <w:pPr>
                              <w:rPr>
                                <w:rFonts w:asciiTheme="minorHAnsi" w:hAnsiTheme="minorHAnsi" w:cstheme="minorHAnsi"/>
                                <w:lang w:val="es-ES"/>
                              </w:rPr>
                            </w:pPr>
                          </w:p>
                          <w:p w14:paraId="5A38F458" w14:textId="76BDEF50" w:rsidR="00FE7B4F" w:rsidRPr="007A5CE3" w:rsidRDefault="00FE7B4F" w:rsidP="00FE7B4F">
                            <w:pPr>
                              <w:rPr>
                                <w:rFonts w:asciiTheme="minorHAnsi" w:hAnsiTheme="minorHAnsi" w:cstheme="minorHAnsi"/>
                                <w:lang w:val="es-ES"/>
                              </w:rPr>
                            </w:pPr>
                            <w:r w:rsidRPr="007A5CE3">
                              <w:rPr>
                                <w:rFonts w:asciiTheme="minorHAnsi" w:hAnsiTheme="minorHAnsi" w:cstheme="minorHAnsi"/>
                                <w:lang w:val="es-ES"/>
                              </w:rPr>
                              <w:t>ii.</w:t>
                            </w:r>
                            <w:r w:rsidRPr="007A5CE3">
                              <w:rPr>
                                <w:rFonts w:asciiTheme="minorHAnsi" w:hAnsiTheme="minorHAnsi" w:cstheme="minorHAnsi"/>
                                <w:lang w:val="es-ES"/>
                              </w:rPr>
                              <w:tab/>
                            </w:r>
                            <w:r w:rsidR="0005008D" w:rsidRPr="007A5CE3">
                              <w:rPr>
                                <w:rFonts w:asciiTheme="minorHAnsi" w:hAnsiTheme="minorHAnsi" w:cstheme="minorHAnsi"/>
                                <w:lang w:val="es-ES"/>
                              </w:rPr>
                              <w:t xml:space="preserve">pedir a la Secretaría que lleve a cabo actividades de recaudación de fondos </w:t>
                            </w:r>
                            <w:r w:rsidR="004873C1" w:rsidRPr="007A5CE3">
                              <w:rPr>
                                <w:rFonts w:asciiTheme="minorHAnsi" w:hAnsiTheme="minorHAnsi" w:cstheme="minorHAnsi"/>
                                <w:lang w:val="es-ES"/>
                              </w:rPr>
                              <w:t>con miras a facilitar l</w:t>
                            </w:r>
                            <w:r w:rsidR="0005008D" w:rsidRPr="007A5CE3">
                              <w:rPr>
                                <w:rFonts w:asciiTheme="minorHAnsi" w:hAnsiTheme="minorHAnsi" w:cstheme="minorHAnsi"/>
                                <w:lang w:val="es-ES"/>
                              </w:rPr>
                              <w:t>a creación del mecanismo propuesto para brindar apoyo a la elaboración de los inventarios nacionales de humedales.</w:t>
                            </w:r>
                          </w:p>
                        </w:txbxContent>
                      </wps:txbx>
                      <wps:bodyPr rot="0" vert="horz" wrap="square" lIns="91440" tIns="45720" rIns="91440" bIns="45720" anchor="t" anchorCtr="0" upright="1">
                        <a:noAutofit/>
                      </wps:bodyPr>
                    </wps:wsp>
                  </a:graphicData>
                </a:graphic>
              </wp:inline>
            </w:drawing>
          </mc:Choice>
          <mc:Fallback>
            <w:pict>
              <v:shapetype w14:anchorId="39972923" id="_x0000_t202" coordsize="21600,21600" o:spt="202" path="m,l,21600r21600,l21600,xe">
                <v:stroke joinstyle="miter"/>
                <v:path gradientshapeok="t" o:connecttype="rect"/>
              </v:shapetype>
              <v:shape id="Text Box 1" o:spid="_x0000_s1026" type="#_x0000_t202" style="width:451.3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">
                <v:textbox>
                  <w:txbxContent>
                    <w:p w14:paraId="47D8C3E2" w14:textId="596286D0" w:rsidR="000C2489" w:rsidRPr="007A5CE3" w:rsidRDefault="000C2489" w:rsidP="000C2489">
                      <w:pPr>
                        <w:rPr>
                          <w:b/>
                          <w:bCs/>
                          <w:lang w:val="es-ES"/>
                        </w:rPr>
                      </w:pPr>
                      <w:r w:rsidRPr="007A5CE3">
                        <w:rPr>
                          <w:b/>
                          <w:bCs/>
                          <w:lang w:val="es-ES"/>
                        </w:rPr>
                        <w:t>Ac</w:t>
                      </w:r>
                      <w:r w:rsidR="0005008D" w:rsidRPr="007A5CE3">
                        <w:rPr>
                          <w:b/>
                          <w:bCs/>
                          <w:lang w:val="es-ES"/>
                        </w:rPr>
                        <w:t>ciones solicitadas:</w:t>
                      </w:r>
                    </w:p>
                    <w:p w14:paraId="61DF9A07" w14:textId="77777777" w:rsidR="000C2489" w:rsidRPr="007A5CE3" w:rsidRDefault="000C2489" w:rsidP="000C2489">
                      <w:pPr>
                        <w:pStyle w:val="ColorfulList-Accent11"/>
                        <w:ind w:left="0"/>
                        <w:rPr>
                          <w:lang w:val="es-ES"/>
                        </w:rPr>
                      </w:pPr>
                    </w:p>
                    <w:p w14:paraId="5A24F215" w14:textId="13A681A4" w:rsidR="00FE7B4F" w:rsidRPr="007A5CE3" w:rsidRDefault="0005008D" w:rsidP="00FE7B4F">
                      <w:pPr>
                        <w:rPr>
                          <w:rFonts w:asciiTheme="minorHAnsi" w:hAnsiTheme="minorHAnsi" w:cstheme="minorHAnsi"/>
                          <w:lang w:val="es-ES"/>
                        </w:rPr>
                      </w:pPr>
                      <w:r w:rsidRPr="007A5CE3">
                        <w:rPr>
                          <w:rFonts w:asciiTheme="minorHAnsi" w:hAnsiTheme="minorHAnsi" w:cstheme="minorHAnsi"/>
                          <w:lang w:val="es-ES"/>
                        </w:rPr>
                        <w:t>Se invita al Comité Permanente a hacer lo siguiente:</w:t>
                      </w:r>
                    </w:p>
                    <w:p w14:paraId="5667ECEA" w14:textId="77777777" w:rsidR="00FE7B4F" w:rsidRPr="007A5CE3" w:rsidRDefault="00FE7B4F" w:rsidP="00FE7B4F">
                      <w:pPr>
                        <w:rPr>
                          <w:rFonts w:asciiTheme="minorHAnsi" w:hAnsiTheme="minorHAnsi" w:cstheme="minorHAnsi"/>
                          <w:lang w:val="es-ES"/>
                        </w:rPr>
                      </w:pPr>
                    </w:p>
                    <w:p w14:paraId="6BF8AC50" w14:textId="44E6F928" w:rsidR="00FE7B4F" w:rsidRPr="007A5CE3" w:rsidRDefault="00FE7B4F" w:rsidP="00FE7B4F">
                      <w:pPr>
                        <w:rPr>
                          <w:rFonts w:asciiTheme="minorHAnsi" w:hAnsiTheme="minorHAnsi" w:cstheme="minorHAnsi"/>
                          <w:lang w:val="es-ES"/>
                        </w:rPr>
                      </w:pPr>
                      <w:r w:rsidRPr="007A5CE3">
                        <w:rPr>
                          <w:rFonts w:asciiTheme="minorHAnsi" w:hAnsiTheme="minorHAnsi" w:cstheme="minorHAnsi"/>
                          <w:lang w:val="es-ES"/>
                        </w:rPr>
                        <w:t>i.</w:t>
                      </w:r>
                      <w:r w:rsidRPr="007A5CE3">
                        <w:rPr>
                          <w:rFonts w:asciiTheme="minorHAnsi" w:hAnsiTheme="minorHAnsi" w:cstheme="minorHAnsi"/>
                          <w:lang w:val="es-ES"/>
                        </w:rPr>
                        <w:tab/>
                      </w:r>
                      <w:r w:rsidR="0005008D" w:rsidRPr="007A5CE3">
                        <w:rPr>
                          <w:rFonts w:asciiTheme="minorHAnsi" w:hAnsiTheme="minorHAnsi" w:cstheme="minorHAnsi"/>
                          <w:lang w:val="es-ES"/>
                        </w:rPr>
                        <w:t xml:space="preserve">tomar nota de los avances de la Secretaría en la provisión de un mecanismo para ayudar a las Partes Contratantes a </w:t>
                      </w:r>
                      <w:r w:rsidR="004873C1" w:rsidRPr="007A5CE3">
                        <w:rPr>
                          <w:rFonts w:asciiTheme="minorHAnsi" w:hAnsiTheme="minorHAnsi" w:cstheme="minorHAnsi"/>
                          <w:lang w:val="es-ES"/>
                        </w:rPr>
                        <w:t>elaborar</w:t>
                      </w:r>
                      <w:r w:rsidR="0005008D" w:rsidRPr="007A5CE3">
                        <w:rPr>
                          <w:rFonts w:asciiTheme="minorHAnsi" w:hAnsiTheme="minorHAnsi" w:cstheme="minorHAnsi"/>
                          <w:lang w:val="es-ES"/>
                        </w:rPr>
                        <w:t xml:space="preserve"> sus inventarios nacionales de humedales; y</w:t>
                      </w:r>
                    </w:p>
                    <w:p w14:paraId="3DF77B10" w14:textId="77777777" w:rsidR="00FE7B4F" w:rsidRPr="007A5CE3" w:rsidRDefault="00FE7B4F" w:rsidP="00FE7B4F">
                      <w:pPr>
                        <w:rPr>
                          <w:rFonts w:asciiTheme="minorHAnsi" w:hAnsiTheme="minorHAnsi" w:cstheme="minorHAnsi"/>
                          <w:lang w:val="es-ES"/>
                        </w:rPr>
                      </w:pPr>
                    </w:p>
                    <w:p w14:paraId="5A38F458" w14:textId="76BDEF50" w:rsidR="00FE7B4F" w:rsidRPr="007A5CE3" w:rsidRDefault="00FE7B4F" w:rsidP="00FE7B4F">
                      <w:pPr>
                        <w:rPr>
                          <w:rFonts w:asciiTheme="minorHAnsi" w:hAnsiTheme="minorHAnsi" w:cstheme="minorHAnsi"/>
                          <w:lang w:val="es-ES"/>
                        </w:rPr>
                      </w:pPr>
                      <w:r w:rsidRPr="007A5CE3">
                        <w:rPr>
                          <w:rFonts w:asciiTheme="minorHAnsi" w:hAnsiTheme="minorHAnsi" w:cstheme="minorHAnsi"/>
                          <w:lang w:val="es-ES"/>
                        </w:rPr>
                        <w:t>ii.</w:t>
                      </w:r>
                      <w:r w:rsidRPr="007A5CE3">
                        <w:rPr>
                          <w:rFonts w:asciiTheme="minorHAnsi" w:hAnsiTheme="minorHAnsi" w:cstheme="minorHAnsi"/>
                          <w:lang w:val="es-ES"/>
                        </w:rPr>
                        <w:tab/>
                      </w:r>
                      <w:r w:rsidR="0005008D" w:rsidRPr="007A5CE3">
                        <w:rPr>
                          <w:rFonts w:asciiTheme="minorHAnsi" w:hAnsiTheme="minorHAnsi" w:cstheme="minorHAnsi"/>
                          <w:lang w:val="es-ES"/>
                        </w:rPr>
                        <w:t xml:space="preserve">pedir a la Secretaría que lleve a cabo actividades de recaudación de fondos </w:t>
                      </w:r>
                      <w:r w:rsidR="004873C1" w:rsidRPr="007A5CE3">
                        <w:rPr>
                          <w:rFonts w:asciiTheme="minorHAnsi" w:hAnsiTheme="minorHAnsi" w:cstheme="minorHAnsi"/>
                          <w:lang w:val="es-ES"/>
                        </w:rPr>
                        <w:t>con miras a facilitar l</w:t>
                      </w:r>
                      <w:r w:rsidR="0005008D" w:rsidRPr="007A5CE3">
                        <w:rPr>
                          <w:rFonts w:asciiTheme="minorHAnsi" w:hAnsiTheme="minorHAnsi" w:cstheme="minorHAnsi"/>
                          <w:lang w:val="es-ES"/>
                        </w:rPr>
                        <w:t>a creación del mecanismo propuesto para brindar apoyo a la elaboración de los inventarios nacionales de humedales.</w:t>
                      </w:r>
                    </w:p>
                  </w:txbxContent>
                </v:textbox>
                <w10:anchorlock/>
              </v:shape>
            </w:pict>
          </mc:Fallback>
        </mc:AlternateContent>
      </w:r>
    </w:p>
    <w:p w14:paraId="5D118FB5" w14:textId="77777777" w:rsidR="009E0AE8" w:rsidRPr="006C49EF" w:rsidRDefault="009E0AE8" w:rsidP="00014168">
      <w:pPr>
        <w:rPr>
          <w:rFonts w:cs="Arial"/>
          <w:b/>
          <w:lang w:val="es-ES"/>
        </w:rPr>
      </w:pPr>
    </w:p>
    <w:p w14:paraId="05C2EE3F" w14:textId="77777777" w:rsidR="009E0AE8" w:rsidRPr="006C49EF" w:rsidRDefault="009E0AE8" w:rsidP="00014168">
      <w:pPr>
        <w:rPr>
          <w:rFonts w:cs="Arial"/>
          <w:b/>
          <w:color w:val="000000" w:themeColor="text1"/>
          <w:lang w:val="es-ES"/>
        </w:rPr>
      </w:pPr>
    </w:p>
    <w:p w14:paraId="223A920C" w14:textId="4BDEC097" w:rsidR="007B5F8E" w:rsidRPr="006C49EF" w:rsidRDefault="0005008D" w:rsidP="007B5F8E">
      <w:pPr>
        <w:rPr>
          <w:b/>
          <w:color w:val="000000" w:themeColor="text1"/>
          <w:lang w:val="es-ES"/>
        </w:rPr>
      </w:pPr>
      <w:r w:rsidRPr="006C49EF">
        <w:rPr>
          <w:b/>
          <w:color w:val="000000" w:themeColor="text1"/>
          <w:lang w:val="es-ES"/>
        </w:rPr>
        <w:t>Antecedentes</w:t>
      </w:r>
    </w:p>
    <w:p w14:paraId="37B9EBC7" w14:textId="77777777" w:rsidR="004873C1" w:rsidRPr="006C49EF" w:rsidRDefault="004873C1" w:rsidP="007B5F8E">
      <w:pPr>
        <w:rPr>
          <w:b/>
          <w:color w:val="000000" w:themeColor="text1"/>
          <w:lang w:val="es-ES"/>
        </w:rPr>
      </w:pPr>
    </w:p>
    <w:p w14:paraId="5A1B95D6" w14:textId="50CA3757" w:rsidR="0005008D" w:rsidRPr="006C49EF" w:rsidRDefault="0005008D" w:rsidP="004873C1">
      <w:pPr>
        <w:pStyle w:val="NormalWeb"/>
        <w:numPr>
          <w:ilvl w:val="0"/>
          <w:numId w:val="30"/>
        </w:numPr>
        <w:spacing w:before="0" w:beforeAutospacing="0" w:after="0" w:afterAutospacing="0" w:line="240" w:lineRule="atLeast"/>
        <w:ind w:left="425" w:hanging="426"/>
        <w:rPr>
          <w:rFonts w:ascii="Calibri" w:hAnsi="Calibri" w:cs="Calibri"/>
          <w:color w:val="000000" w:themeColor="text1"/>
          <w:sz w:val="22"/>
          <w:szCs w:val="22"/>
        </w:rPr>
      </w:pPr>
      <w:r w:rsidRPr="006C49EF">
        <w:rPr>
          <w:rFonts w:ascii="Calibri" w:hAnsi="Calibri" w:cs="Calibri"/>
          <w:color w:val="000000" w:themeColor="text1"/>
          <w:sz w:val="22"/>
          <w:szCs w:val="22"/>
        </w:rPr>
        <w:t>Desde el primer Plan Estratégico de la Convención, para el período 1997-2002, las Partes Contratantes han establecido la mejora del cumplimiento de las disposiciones de la Convención sobre el inventario de todos los humedales como esfera de especial interés. Esto se pone de relieve en el Cuarto Plan Estratégico (2016-2024) mediante la meta 8 “Se han iniciado, completado o actualizado, divulgado y utilizado inventarios nacionales de humedales para promover la conservación y el manejo eficaz de todos los humedales”, correspondiente al objetivo 3 “Realizar un uso racional de todos los humedales”</w:t>
      </w:r>
      <w:r w:rsidR="038F3BC9" w:rsidRPr="006C49EF">
        <w:rPr>
          <w:rFonts w:asciiTheme="minorHAnsi" w:eastAsiaTheme="minorEastAsia" w:hAnsiTheme="minorHAnsi" w:cstheme="minorBidi"/>
          <w:color w:val="000000" w:themeColor="text1"/>
        </w:rPr>
        <w:t>.</w:t>
      </w:r>
    </w:p>
    <w:p w14:paraId="51BBF710" w14:textId="77777777" w:rsidR="004873C1" w:rsidRPr="006C49EF" w:rsidRDefault="004873C1" w:rsidP="004873C1">
      <w:pPr>
        <w:pStyle w:val="NormalWeb"/>
        <w:spacing w:before="0" w:beforeAutospacing="0" w:after="0" w:afterAutospacing="0" w:line="240" w:lineRule="atLeast"/>
        <w:ind w:left="426"/>
        <w:rPr>
          <w:rFonts w:ascii="Calibri" w:hAnsi="Calibri" w:cs="Calibri"/>
          <w:color w:val="FF0000"/>
          <w:sz w:val="22"/>
          <w:szCs w:val="22"/>
        </w:rPr>
      </w:pPr>
    </w:p>
    <w:p w14:paraId="78AA5DA9" w14:textId="2BCF80DD" w:rsidR="00085890" w:rsidRPr="006C49EF" w:rsidRDefault="0005008D" w:rsidP="004873C1">
      <w:pPr>
        <w:pStyle w:val="NormalWeb"/>
        <w:numPr>
          <w:ilvl w:val="0"/>
          <w:numId w:val="30"/>
        </w:numPr>
        <w:spacing w:before="0" w:beforeAutospacing="0" w:after="0" w:afterAutospacing="0" w:line="240" w:lineRule="atLeast"/>
        <w:ind w:left="426" w:hanging="426"/>
        <w:rPr>
          <w:rFonts w:asciiTheme="minorHAnsi" w:hAnsiTheme="minorHAnsi" w:cstheme="minorHAnsi"/>
          <w:color w:val="000000" w:themeColor="text1"/>
          <w:sz w:val="22"/>
          <w:szCs w:val="22"/>
        </w:rPr>
      </w:pPr>
      <w:r w:rsidRPr="006C49EF">
        <w:rPr>
          <w:rFonts w:asciiTheme="minorHAnsi" w:hAnsiTheme="minorHAnsi" w:cstheme="minorHAnsi"/>
          <w:color w:val="000000" w:themeColor="text1"/>
          <w:sz w:val="22"/>
          <w:szCs w:val="22"/>
        </w:rPr>
        <w:t xml:space="preserve">Desde </w:t>
      </w:r>
      <w:r w:rsidR="00E11618" w:rsidRPr="006C49EF">
        <w:rPr>
          <w:rFonts w:asciiTheme="minorHAnsi" w:hAnsiTheme="minorHAnsi" w:cstheme="minorHAnsi"/>
          <w:color w:val="000000" w:themeColor="text1"/>
          <w:sz w:val="22"/>
          <w:szCs w:val="22"/>
        </w:rPr>
        <w:t>2017</w:t>
      </w:r>
      <w:r w:rsidRPr="006C49EF">
        <w:rPr>
          <w:rFonts w:asciiTheme="minorHAnsi" w:hAnsiTheme="minorHAnsi" w:cstheme="minorHAnsi"/>
          <w:color w:val="000000" w:themeColor="text1"/>
          <w:sz w:val="22"/>
          <w:szCs w:val="22"/>
        </w:rPr>
        <w:t xml:space="preserve">, la Convención es cocustodia junto con el PNUMA del indicador 6.6.1 “Cambio en la extensión de los ecosistemas relacionados con el agua a lo largo del tiempo”. Para medir el indicador utilizando </w:t>
      </w:r>
      <w:r w:rsidR="004873C1" w:rsidRPr="006C49EF">
        <w:rPr>
          <w:rFonts w:asciiTheme="minorHAnsi" w:hAnsiTheme="minorHAnsi" w:cstheme="minorHAnsi"/>
          <w:color w:val="000000" w:themeColor="text1"/>
          <w:sz w:val="22"/>
          <w:szCs w:val="22"/>
        </w:rPr>
        <w:t>los</w:t>
      </w:r>
      <w:r w:rsidRPr="006C49EF">
        <w:rPr>
          <w:rFonts w:asciiTheme="minorHAnsi" w:hAnsiTheme="minorHAnsi" w:cstheme="minorHAnsi"/>
          <w:color w:val="000000" w:themeColor="text1"/>
          <w:sz w:val="22"/>
          <w:szCs w:val="22"/>
        </w:rPr>
        <w:t xml:space="preserve"> informes nacionales a la Convención y a partir de los inventarios nacionales de humedales (INH), hacen falta datos </w:t>
      </w:r>
      <w:r w:rsidR="004873C1" w:rsidRPr="006C49EF">
        <w:rPr>
          <w:rFonts w:asciiTheme="minorHAnsi" w:hAnsiTheme="minorHAnsi" w:cstheme="minorHAnsi"/>
          <w:color w:val="000000" w:themeColor="text1"/>
          <w:sz w:val="22"/>
          <w:szCs w:val="22"/>
        </w:rPr>
        <w:t>comparables</w:t>
      </w:r>
      <w:r w:rsidRPr="006C49EF">
        <w:rPr>
          <w:rFonts w:asciiTheme="minorHAnsi" w:hAnsiTheme="minorHAnsi" w:cstheme="minorHAnsi"/>
          <w:color w:val="000000" w:themeColor="text1"/>
          <w:sz w:val="22"/>
          <w:szCs w:val="22"/>
        </w:rPr>
        <w:t xml:space="preserve"> basados en normas comunes, incluidas las definiciones </w:t>
      </w:r>
      <w:r w:rsidR="004873C1" w:rsidRPr="006C49EF">
        <w:rPr>
          <w:rFonts w:asciiTheme="minorHAnsi" w:hAnsiTheme="minorHAnsi" w:cstheme="minorHAnsi"/>
          <w:color w:val="000000" w:themeColor="text1"/>
          <w:sz w:val="22"/>
          <w:szCs w:val="22"/>
        </w:rPr>
        <w:t>y el Sistema de Clasificación de Tipos de Humedales de la Convención</w:t>
      </w:r>
      <w:r w:rsidR="00075856" w:rsidRPr="006C49EF">
        <w:rPr>
          <w:rFonts w:asciiTheme="minorHAnsi" w:hAnsiTheme="minorHAnsi" w:cstheme="minorHAnsi"/>
          <w:color w:val="000000" w:themeColor="text1"/>
          <w:sz w:val="22"/>
          <w:szCs w:val="22"/>
        </w:rPr>
        <w:t xml:space="preserve">. </w:t>
      </w:r>
      <w:r w:rsidRPr="006C49EF">
        <w:rPr>
          <w:rFonts w:asciiTheme="minorHAnsi" w:hAnsiTheme="minorHAnsi" w:cstheme="minorHAnsi"/>
          <w:color w:val="000000" w:themeColor="text1"/>
          <w:sz w:val="22"/>
          <w:szCs w:val="22"/>
        </w:rPr>
        <w:t>Esto sirve de complemento a los datos del PNUMA</w:t>
      </w:r>
      <w:r w:rsidR="0019088C" w:rsidRPr="006C49EF">
        <w:rPr>
          <w:rStyle w:val="FootnoteReference"/>
          <w:rFonts w:asciiTheme="minorHAnsi" w:hAnsiTheme="minorHAnsi" w:cstheme="minorHAnsi"/>
          <w:color w:val="000000" w:themeColor="text1"/>
          <w:sz w:val="22"/>
          <w:szCs w:val="22"/>
        </w:rPr>
        <w:footnoteReference w:id="1"/>
      </w:r>
      <w:r w:rsidR="0019088C" w:rsidRPr="006C49EF">
        <w:rPr>
          <w:rFonts w:asciiTheme="minorHAnsi" w:hAnsiTheme="minorHAnsi" w:cstheme="minorHAnsi"/>
          <w:color w:val="000000" w:themeColor="text1"/>
          <w:sz w:val="22"/>
          <w:szCs w:val="22"/>
        </w:rPr>
        <w:t>.</w:t>
      </w:r>
    </w:p>
    <w:p w14:paraId="3AD8267D" w14:textId="77777777" w:rsidR="00205321" w:rsidRPr="006C49EF" w:rsidRDefault="00205321" w:rsidP="00205321">
      <w:pPr>
        <w:pStyle w:val="ListParagraph"/>
        <w:autoSpaceDE w:val="0"/>
        <w:autoSpaceDN w:val="0"/>
        <w:adjustRightInd w:val="0"/>
        <w:ind w:left="426" w:firstLine="0"/>
        <w:rPr>
          <w:rFonts w:asciiTheme="minorHAnsi" w:hAnsiTheme="minorHAnsi" w:cstheme="minorHAnsi"/>
          <w:lang w:val="es-ES"/>
        </w:rPr>
      </w:pPr>
      <w:bookmarkStart w:id="0" w:name="_GoBack"/>
      <w:bookmarkEnd w:id="0"/>
    </w:p>
    <w:p w14:paraId="3FCB2C72" w14:textId="77777777" w:rsidR="004873C1" w:rsidRPr="006C49EF" w:rsidRDefault="0005008D" w:rsidP="0005008D">
      <w:pPr>
        <w:pStyle w:val="ListParagraph"/>
        <w:numPr>
          <w:ilvl w:val="0"/>
          <w:numId w:val="30"/>
        </w:numPr>
        <w:autoSpaceDE w:val="0"/>
        <w:autoSpaceDN w:val="0"/>
        <w:adjustRightInd w:val="0"/>
        <w:ind w:left="426" w:hanging="426"/>
        <w:rPr>
          <w:rFonts w:asciiTheme="minorHAnsi" w:hAnsiTheme="minorHAnsi" w:cstheme="minorBidi"/>
          <w:lang w:val="es-ES"/>
        </w:rPr>
      </w:pPr>
      <w:r w:rsidRPr="006C49EF">
        <w:rPr>
          <w:lang w:val="es-ES"/>
        </w:rPr>
        <w:lastRenderedPageBreak/>
        <w:t xml:space="preserve">No obstante, los avances en </w:t>
      </w:r>
      <w:r w:rsidR="004873C1" w:rsidRPr="006C49EF">
        <w:rPr>
          <w:lang w:val="es-ES"/>
        </w:rPr>
        <w:t xml:space="preserve">la elaboración de </w:t>
      </w:r>
      <w:r w:rsidRPr="006C49EF">
        <w:rPr>
          <w:lang w:val="es-ES"/>
        </w:rPr>
        <w:t>los INH siguen siendo limitados. De las Partes Contra</w:t>
      </w:r>
      <w:r w:rsidR="001C4B83" w:rsidRPr="006C49EF">
        <w:rPr>
          <w:lang w:val="es-ES"/>
        </w:rPr>
        <w:t>tantes</w:t>
      </w:r>
      <w:r w:rsidRPr="006C49EF">
        <w:rPr>
          <w:lang w:val="es-ES"/>
        </w:rPr>
        <w:t xml:space="preserve"> que presentaron informes a la </w:t>
      </w:r>
      <w:r w:rsidR="00913EA8" w:rsidRPr="006C49EF">
        <w:rPr>
          <w:rFonts w:asciiTheme="minorHAnsi" w:hAnsiTheme="minorHAnsi" w:cstheme="minorBidi"/>
          <w:lang w:val="es-ES"/>
        </w:rPr>
        <w:t>COP14</w:t>
      </w:r>
      <w:r w:rsidR="000B09CF" w:rsidRPr="006C49EF">
        <w:rPr>
          <w:rFonts w:asciiTheme="minorHAnsi" w:hAnsiTheme="minorHAnsi" w:cstheme="minorBidi"/>
          <w:lang w:val="es-ES"/>
        </w:rPr>
        <w:t xml:space="preserve">, </w:t>
      </w:r>
      <w:r w:rsidRPr="006C49EF">
        <w:rPr>
          <w:rFonts w:asciiTheme="minorHAnsi" w:hAnsiTheme="minorHAnsi" w:cstheme="minorBidi"/>
          <w:lang w:val="es-ES"/>
        </w:rPr>
        <w:t>solo el</w:t>
      </w:r>
      <w:r w:rsidR="000B09CF" w:rsidRPr="006C49EF">
        <w:rPr>
          <w:rFonts w:asciiTheme="minorHAnsi" w:hAnsiTheme="minorHAnsi" w:cstheme="minorBidi"/>
          <w:lang w:val="es-ES"/>
        </w:rPr>
        <w:t xml:space="preserve"> 46</w:t>
      </w:r>
      <w:r w:rsidRPr="006C49EF">
        <w:rPr>
          <w:rFonts w:asciiTheme="minorHAnsi" w:hAnsiTheme="minorHAnsi" w:cstheme="minorBidi"/>
          <w:lang w:val="es-ES"/>
        </w:rPr>
        <w:t xml:space="preserve"> </w:t>
      </w:r>
      <w:r w:rsidR="000B09CF" w:rsidRPr="006C49EF">
        <w:rPr>
          <w:rFonts w:asciiTheme="minorHAnsi" w:hAnsiTheme="minorHAnsi" w:cstheme="minorBidi"/>
          <w:lang w:val="es-ES"/>
        </w:rPr>
        <w:t xml:space="preserve">% </w:t>
      </w:r>
      <w:r w:rsidRPr="006C49EF">
        <w:rPr>
          <w:rFonts w:asciiTheme="minorHAnsi" w:hAnsiTheme="minorHAnsi" w:cstheme="minorBidi"/>
          <w:lang w:val="es-ES"/>
        </w:rPr>
        <w:t xml:space="preserve">habían completado un INH y el </w:t>
      </w:r>
      <w:r w:rsidR="00913EA8" w:rsidRPr="006C49EF">
        <w:rPr>
          <w:rFonts w:asciiTheme="minorHAnsi" w:hAnsiTheme="minorHAnsi" w:cstheme="minorBidi"/>
          <w:lang w:val="es-ES"/>
        </w:rPr>
        <w:t>52</w:t>
      </w:r>
      <w:r w:rsidRPr="006C49EF">
        <w:rPr>
          <w:rFonts w:asciiTheme="minorHAnsi" w:hAnsiTheme="minorHAnsi" w:cstheme="minorBidi"/>
          <w:lang w:val="es-ES"/>
        </w:rPr>
        <w:t xml:space="preserve"> </w:t>
      </w:r>
      <w:r w:rsidR="00913EA8" w:rsidRPr="006C49EF">
        <w:rPr>
          <w:rFonts w:asciiTheme="minorHAnsi" w:hAnsiTheme="minorHAnsi" w:cstheme="minorBidi"/>
          <w:lang w:val="es-ES"/>
        </w:rPr>
        <w:t xml:space="preserve">% </w:t>
      </w:r>
      <w:r w:rsidRPr="006C49EF">
        <w:rPr>
          <w:rFonts w:asciiTheme="minorHAnsi" w:hAnsiTheme="minorHAnsi" w:cstheme="minorBidi"/>
          <w:lang w:val="es-ES"/>
        </w:rPr>
        <w:t xml:space="preserve">aportaron datos sobre la extensión de los humedales (indicador </w:t>
      </w:r>
      <w:r w:rsidR="00913EA8" w:rsidRPr="006C49EF">
        <w:rPr>
          <w:rFonts w:asciiTheme="minorHAnsi" w:hAnsiTheme="minorHAnsi" w:cstheme="minorBidi"/>
          <w:lang w:val="es-ES"/>
        </w:rPr>
        <w:t>6.6.1</w:t>
      </w:r>
      <w:r w:rsidRPr="006C49EF">
        <w:rPr>
          <w:rFonts w:asciiTheme="minorHAnsi" w:hAnsiTheme="minorHAnsi" w:cstheme="minorBidi"/>
          <w:lang w:val="es-ES"/>
        </w:rPr>
        <w:t xml:space="preserve"> de los ODS</w:t>
      </w:r>
      <w:r w:rsidR="00913EA8" w:rsidRPr="006C49EF">
        <w:rPr>
          <w:rFonts w:asciiTheme="minorHAnsi" w:hAnsiTheme="minorHAnsi" w:cstheme="minorBidi"/>
          <w:lang w:val="es-ES"/>
        </w:rPr>
        <w:t>).</w:t>
      </w:r>
    </w:p>
    <w:p w14:paraId="7074E7E1" w14:textId="77777777" w:rsidR="004873C1" w:rsidRPr="006C49EF" w:rsidRDefault="004873C1" w:rsidP="004873C1">
      <w:pPr>
        <w:pStyle w:val="ListParagraph"/>
        <w:rPr>
          <w:rFonts w:asciiTheme="minorHAnsi" w:hAnsiTheme="minorHAnsi" w:cstheme="minorHAnsi"/>
          <w:lang w:val="es-ES"/>
        </w:rPr>
      </w:pPr>
    </w:p>
    <w:p w14:paraId="3278173F" w14:textId="42E74E44" w:rsidR="00BF1D68" w:rsidRPr="006C49EF" w:rsidRDefault="0005008D" w:rsidP="0005008D">
      <w:pPr>
        <w:pStyle w:val="ListParagraph"/>
        <w:numPr>
          <w:ilvl w:val="0"/>
          <w:numId w:val="30"/>
        </w:numPr>
        <w:autoSpaceDE w:val="0"/>
        <w:autoSpaceDN w:val="0"/>
        <w:adjustRightInd w:val="0"/>
        <w:ind w:left="426" w:hanging="426"/>
        <w:rPr>
          <w:rFonts w:asciiTheme="minorHAnsi" w:hAnsiTheme="minorHAnsi" w:cstheme="minorBidi"/>
          <w:lang w:val="es-ES"/>
        </w:rPr>
      </w:pPr>
      <w:r w:rsidRPr="006C49EF">
        <w:rPr>
          <w:rFonts w:asciiTheme="minorHAnsi" w:hAnsiTheme="minorHAnsi" w:cstheme="minorHAnsi"/>
          <w:lang w:val="es-ES"/>
        </w:rPr>
        <w:t xml:space="preserve">En el párrafo </w:t>
      </w:r>
      <w:r w:rsidR="003752D3" w:rsidRPr="006C49EF">
        <w:rPr>
          <w:rFonts w:asciiTheme="minorHAnsi" w:hAnsiTheme="minorHAnsi" w:cstheme="minorHAnsi"/>
          <w:lang w:val="es-ES"/>
        </w:rPr>
        <w:t xml:space="preserve">49 </w:t>
      </w:r>
      <w:r w:rsidRPr="006C49EF">
        <w:rPr>
          <w:rFonts w:asciiTheme="minorHAnsi" w:hAnsiTheme="minorHAnsi" w:cstheme="minorHAnsi"/>
          <w:lang w:val="es-ES"/>
        </w:rPr>
        <w:t xml:space="preserve">de la Resolución </w:t>
      </w:r>
      <w:r w:rsidR="003752D3" w:rsidRPr="006C49EF">
        <w:rPr>
          <w:rFonts w:asciiTheme="minorHAnsi" w:hAnsiTheme="minorHAnsi" w:cstheme="minorHAnsi"/>
          <w:lang w:val="es-ES"/>
        </w:rPr>
        <w:t>XIV.6</w:t>
      </w:r>
      <w:r w:rsidRPr="006C49EF">
        <w:rPr>
          <w:rFonts w:asciiTheme="minorHAnsi" w:hAnsiTheme="minorHAnsi" w:cstheme="minorHAnsi"/>
          <w:lang w:val="es-ES"/>
        </w:rPr>
        <w:t xml:space="preserve">, </w:t>
      </w:r>
      <w:r w:rsidRPr="006C49EF">
        <w:rPr>
          <w:rFonts w:asciiTheme="minorHAnsi" w:hAnsiTheme="minorHAnsi" w:cstheme="minorHAnsi"/>
          <w:i/>
          <w:iCs/>
          <w:lang w:val="es-ES"/>
        </w:rPr>
        <w:t>Mejora de la visibilidad de la Convención y de las sinergias con otros acuerdos multilaterales sobre el medio ambiente e instituciones internacionales</w:t>
      </w:r>
      <w:r w:rsidRPr="006C49EF">
        <w:rPr>
          <w:rFonts w:asciiTheme="minorHAnsi" w:hAnsiTheme="minorHAnsi" w:cstheme="minorHAnsi"/>
          <w:lang w:val="es-ES"/>
        </w:rPr>
        <w:t xml:space="preserve">, </w:t>
      </w:r>
      <w:r w:rsidRPr="006C49EF">
        <w:rPr>
          <w:rFonts w:asciiTheme="minorHAnsi" w:hAnsiTheme="minorHAnsi" w:cstheme="minorHAnsi"/>
          <w:color w:val="000000" w:themeColor="text1"/>
          <w:lang w:val="es-ES"/>
        </w:rPr>
        <w:t xml:space="preserve">se </w:t>
      </w:r>
      <w:r w:rsidR="004873C1" w:rsidRPr="006C49EF">
        <w:rPr>
          <w:rFonts w:cs="Calibri"/>
          <w:color w:val="000000" w:themeColor="text1"/>
          <w:lang w:val="es-ES"/>
        </w:rPr>
        <w:t>alienta</w:t>
      </w:r>
      <w:r w:rsidRPr="006C49EF">
        <w:rPr>
          <w:rFonts w:cs="Calibri"/>
          <w:color w:val="000000" w:themeColor="text1"/>
          <w:lang w:val="es-ES"/>
        </w:rPr>
        <w:t xml:space="preserve"> a </w:t>
      </w:r>
      <w:r w:rsidRPr="006C49EF">
        <w:rPr>
          <w:rFonts w:cs="Calibri"/>
          <w:lang w:val="es-ES"/>
        </w:rPr>
        <w:t>las Partes Contratantes a que intensifiquen su labor para finalizar sus INH e informen sobre la extensión de los humedales para informar sobre el indicador 6.6.1 de los ODS</w:t>
      </w:r>
      <w:r w:rsidR="006C49EF">
        <w:rPr>
          <w:rFonts w:cs="Calibri"/>
          <w:lang w:val="es-ES"/>
        </w:rPr>
        <w:t xml:space="preserve">; además, </w:t>
      </w:r>
      <w:r w:rsidR="004873C1" w:rsidRPr="006C49EF">
        <w:rPr>
          <w:rFonts w:cs="Calibri"/>
          <w:lang w:val="es-ES"/>
        </w:rPr>
        <w:t>se pide</w:t>
      </w:r>
      <w:r w:rsidRPr="006C49EF">
        <w:rPr>
          <w:rFonts w:cs="Calibri"/>
          <w:color w:val="FF0000"/>
          <w:lang w:val="es-ES"/>
        </w:rPr>
        <w:t xml:space="preserve"> </w:t>
      </w:r>
      <w:r w:rsidRPr="006C49EF">
        <w:rPr>
          <w:rFonts w:cs="Calibri"/>
          <w:lang w:val="es-ES"/>
        </w:rPr>
        <w:t>que la Secretaría siga trabajando con las Partes Contratantes para apoyar activamente estas iniciativas</w:t>
      </w:r>
      <w:r w:rsidR="003752D3" w:rsidRPr="006C49EF">
        <w:rPr>
          <w:rFonts w:asciiTheme="minorHAnsi" w:hAnsiTheme="minorHAnsi" w:cstheme="minorHAnsi"/>
          <w:lang w:val="es-ES"/>
        </w:rPr>
        <w:t>.</w:t>
      </w:r>
      <w:r w:rsidR="004C368F" w:rsidRPr="006C49EF">
        <w:rPr>
          <w:rFonts w:asciiTheme="minorHAnsi" w:hAnsiTheme="minorHAnsi" w:cstheme="minorHAnsi"/>
          <w:lang w:val="es-ES"/>
        </w:rPr>
        <w:t xml:space="preserve"> </w:t>
      </w:r>
      <w:r w:rsidRPr="006C49EF">
        <w:rPr>
          <w:rFonts w:asciiTheme="minorHAnsi" w:hAnsiTheme="minorHAnsi" w:cstheme="minorHAnsi"/>
          <w:lang w:val="es-ES"/>
        </w:rPr>
        <w:t xml:space="preserve">En la resolución </w:t>
      </w:r>
      <w:r w:rsidR="001C4B83" w:rsidRPr="006C49EF">
        <w:rPr>
          <w:rFonts w:asciiTheme="minorHAnsi" w:hAnsiTheme="minorHAnsi" w:cstheme="minorHAnsi"/>
          <w:lang w:val="es-ES"/>
        </w:rPr>
        <w:t>también</w:t>
      </w:r>
      <w:r w:rsidRPr="006C49EF">
        <w:rPr>
          <w:rFonts w:asciiTheme="minorHAnsi" w:hAnsiTheme="minorHAnsi" w:cstheme="minorHAnsi"/>
          <w:lang w:val="es-ES"/>
        </w:rPr>
        <w:t xml:space="preserve"> se recuerda la importancia para las Partes Contratantes de promover sinergias a escala nacional y mejorar la </w:t>
      </w:r>
      <w:r w:rsidR="001C4B83" w:rsidRPr="006C49EF">
        <w:rPr>
          <w:rFonts w:asciiTheme="minorHAnsi" w:hAnsiTheme="minorHAnsi" w:cstheme="minorHAnsi"/>
          <w:lang w:val="es-ES"/>
        </w:rPr>
        <w:t>cooperación</w:t>
      </w:r>
      <w:r w:rsidRPr="006C49EF">
        <w:rPr>
          <w:rFonts w:asciiTheme="minorHAnsi" w:hAnsiTheme="minorHAnsi" w:cstheme="minorHAnsi"/>
          <w:lang w:val="es-ES"/>
        </w:rPr>
        <w:t>, la coordinación y las sinergias entre los AMMA y otros asociados como un medio para fomentar la aplicación coherente de la Convención a escala nacional en pro de la consecución de los objetivos y las metas de la Agenda 2030 y el Marco Mundial de Biodiversidad que se relacionan con los humedales</w:t>
      </w:r>
      <w:r w:rsidR="00321B16" w:rsidRPr="006C49EF">
        <w:rPr>
          <w:lang w:val="es-ES"/>
        </w:rPr>
        <w:t>.</w:t>
      </w:r>
      <w:r w:rsidR="001F52A2" w:rsidRPr="006C49EF">
        <w:rPr>
          <w:lang w:val="es-ES"/>
        </w:rPr>
        <w:t xml:space="preserve"> </w:t>
      </w:r>
    </w:p>
    <w:p w14:paraId="44209385" w14:textId="77777777" w:rsidR="00085890" w:rsidRPr="006C49EF" w:rsidRDefault="00085890" w:rsidP="00085890">
      <w:pPr>
        <w:pStyle w:val="ListParagraph"/>
        <w:autoSpaceDE w:val="0"/>
        <w:autoSpaceDN w:val="0"/>
        <w:adjustRightInd w:val="0"/>
        <w:ind w:left="426" w:firstLine="0"/>
        <w:rPr>
          <w:rFonts w:asciiTheme="minorHAnsi" w:hAnsiTheme="minorHAnsi" w:cstheme="minorHAnsi"/>
          <w:lang w:val="es-ES"/>
        </w:rPr>
      </w:pPr>
    </w:p>
    <w:p w14:paraId="5683680B" w14:textId="79DDBD3B" w:rsidR="004873C1" w:rsidRPr="006C49EF" w:rsidRDefault="0005008D" w:rsidP="0083595D">
      <w:pPr>
        <w:pStyle w:val="ListParagraph"/>
        <w:numPr>
          <w:ilvl w:val="0"/>
          <w:numId w:val="30"/>
        </w:numPr>
        <w:autoSpaceDE w:val="0"/>
        <w:autoSpaceDN w:val="0"/>
        <w:adjustRightInd w:val="0"/>
        <w:ind w:left="426" w:hanging="426"/>
        <w:rPr>
          <w:rFonts w:asciiTheme="minorHAnsi" w:hAnsiTheme="minorHAnsi" w:cstheme="minorBidi"/>
          <w:lang w:val="es-ES"/>
        </w:rPr>
      </w:pPr>
      <w:r w:rsidRPr="006C49EF">
        <w:rPr>
          <w:rFonts w:asciiTheme="minorHAnsi" w:hAnsiTheme="minorHAnsi" w:cstheme="minorHAnsi"/>
          <w:lang w:val="es-ES"/>
        </w:rPr>
        <w:t xml:space="preserve">En el párrafo </w:t>
      </w:r>
      <w:r w:rsidR="004C368F" w:rsidRPr="006C49EF">
        <w:rPr>
          <w:rFonts w:asciiTheme="minorHAnsi" w:hAnsiTheme="minorHAnsi" w:cstheme="minorHAnsi"/>
          <w:lang w:val="es-ES"/>
        </w:rPr>
        <w:t xml:space="preserve">16 </w:t>
      </w:r>
      <w:r w:rsidRPr="006C49EF">
        <w:rPr>
          <w:rFonts w:asciiTheme="minorHAnsi" w:hAnsiTheme="minorHAnsi" w:cstheme="minorHAnsi"/>
          <w:lang w:val="es-ES"/>
        </w:rPr>
        <w:t xml:space="preserve">de la Resolución </w:t>
      </w:r>
      <w:r w:rsidR="004C368F" w:rsidRPr="006C49EF">
        <w:rPr>
          <w:rFonts w:asciiTheme="minorHAnsi" w:hAnsiTheme="minorHAnsi" w:cstheme="minorHAnsi"/>
          <w:lang w:val="es-ES"/>
        </w:rPr>
        <w:t xml:space="preserve">XIV.16 </w:t>
      </w:r>
      <w:r w:rsidRPr="006C49EF">
        <w:rPr>
          <w:rFonts w:asciiTheme="minorHAnsi" w:hAnsiTheme="minorHAnsi" w:cstheme="minorHAnsi"/>
          <w:lang w:val="es-ES"/>
        </w:rPr>
        <w:t xml:space="preserve">se recomienda que las Partes Contratantes lleven a cabo INH sistemáticos, utilizando el </w:t>
      </w:r>
      <w:r w:rsidRPr="006C49EF">
        <w:rPr>
          <w:rFonts w:asciiTheme="minorHAnsi" w:hAnsiTheme="minorHAnsi" w:cstheme="minorHAnsi"/>
          <w:i/>
          <w:iCs/>
          <w:lang w:val="es-ES"/>
        </w:rPr>
        <w:t>Nuevo conjunto de herramientas</w:t>
      </w:r>
      <w:r w:rsidRPr="006C49EF">
        <w:rPr>
          <w:rFonts w:asciiTheme="minorHAnsi" w:hAnsiTheme="minorHAnsi" w:cstheme="minorHAnsi"/>
          <w:lang w:val="es-ES"/>
        </w:rPr>
        <w:t xml:space="preserve"> </w:t>
      </w:r>
      <w:r w:rsidRPr="006C49EF">
        <w:rPr>
          <w:i/>
          <w:iCs/>
          <w:lang w:val="es-ES"/>
        </w:rPr>
        <w:t xml:space="preserve">para los </w:t>
      </w:r>
      <w:r w:rsidR="001C4B83" w:rsidRPr="006C49EF">
        <w:rPr>
          <w:i/>
          <w:iCs/>
          <w:lang w:val="es-ES"/>
        </w:rPr>
        <w:t>Inventarios</w:t>
      </w:r>
      <w:r w:rsidRPr="006C49EF">
        <w:rPr>
          <w:i/>
          <w:iCs/>
          <w:lang w:val="es-ES"/>
        </w:rPr>
        <w:t xml:space="preserve"> Nacionales de Humedales </w:t>
      </w:r>
      <w:r w:rsidRPr="006C49EF">
        <w:rPr>
          <w:lang w:val="es-ES"/>
        </w:rPr>
        <w:t>de</w:t>
      </w:r>
      <w:r w:rsidR="00980492" w:rsidRPr="006C49EF">
        <w:rPr>
          <w:lang w:val="es-ES"/>
        </w:rPr>
        <w:t xml:space="preserve"> 2020</w:t>
      </w:r>
      <w:r w:rsidR="00973EC1" w:rsidRPr="006C49EF">
        <w:rPr>
          <w:lang w:val="es-ES"/>
        </w:rPr>
        <w:t xml:space="preserve">. </w:t>
      </w:r>
      <w:r w:rsidR="0083595D" w:rsidRPr="006C49EF">
        <w:rPr>
          <w:lang w:val="es-ES"/>
        </w:rPr>
        <w:t xml:space="preserve">También </w:t>
      </w:r>
      <w:r w:rsidR="004873C1" w:rsidRPr="006C49EF">
        <w:rPr>
          <w:lang w:val="es-ES"/>
        </w:rPr>
        <w:t xml:space="preserve">se </w:t>
      </w:r>
      <w:r w:rsidR="0083595D" w:rsidRPr="006C49EF">
        <w:rPr>
          <w:lang w:val="es-ES"/>
        </w:rPr>
        <w:t>recomienda que las Partes evalúen el estado y las tendencias de los humedales, analicen las necesidades y carencias nacionales en materia de conservación de los humedales</w:t>
      </w:r>
      <w:r w:rsidR="001A2350">
        <w:rPr>
          <w:lang w:val="es-ES"/>
        </w:rPr>
        <w:t>,</w:t>
      </w:r>
      <w:r w:rsidR="0083595D" w:rsidRPr="006C49EF">
        <w:rPr>
          <w:lang w:val="es-ES"/>
        </w:rPr>
        <w:t xml:space="preserve"> y de</w:t>
      </w:r>
      <w:r w:rsidR="004873C1" w:rsidRPr="006C49EF">
        <w:rPr>
          <w:lang w:val="es-ES"/>
        </w:rPr>
        <w:t>s</w:t>
      </w:r>
      <w:r w:rsidR="0083595D" w:rsidRPr="006C49EF">
        <w:rPr>
          <w:lang w:val="es-ES"/>
        </w:rPr>
        <w:t>arrollen una planificación integrada, sistemática y adaptable de la conservación y la restauración</w:t>
      </w:r>
      <w:r w:rsidR="00085890" w:rsidRPr="006C49EF">
        <w:rPr>
          <w:lang w:val="es-ES"/>
        </w:rPr>
        <w:t>.</w:t>
      </w:r>
    </w:p>
    <w:p w14:paraId="0A3B5F97" w14:textId="77777777" w:rsidR="004873C1" w:rsidRPr="006C49EF" w:rsidRDefault="004873C1" w:rsidP="004873C1">
      <w:pPr>
        <w:pStyle w:val="ListParagraph"/>
        <w:rPr>
          <w:rFonts w:asciiTheme="minorHAnsi" w:hAnsiTheme="minorHAnsi" w:cstheme="minorHAnsi"/>
          <w:lang w:val="es-ES"/>
        </w:rPr>
      </w:pPr>
    </w:p>
    <w:p w14:paraId="5B27A6F6" w14:textId="0116F9EF" w:rsidR="00907958" w:rsidRPr="006C49EF" w:rsidRDefault="0083595D" w:rsidP="0083595D">
      <w:pPr>
        <w:pStyle w:val="ListParagraph"/>
        <w:numPr>
          <w:ilvl w:val="0"/>
          <w:numId w:val="30"/>
        </w:numPr>
        <w:autoSpaceDE w:val="0"/>
        <w:autoSpaceDN w:val="0"/>
        <w:adjustRightInd w:val="0"/>
        <w:ind w:left="426" w:hanging="426"/>
        <w:rPr>
          <w:rFonts w:asciiTheme="minorHAnsi" w:hAnsiTheme="minorHAnsi" w:cstheme="minorBidi"/>
          <w:lang w:val="es-ES"/>
        </w:rPr>
      </w:pPr>
      <w:r w:rsidRPr="006C49EF">
        <w:rPr>
          <w:rFonts w:asciiTheme="minorHAnsi" w:hAnsiTheme="minorHAnsi" w:cstheme="minorHAnsi"/>
          <w:lang w:val="es-ES"/>
        </w:rPr>
        <w:t xml:space="preserve">En su </w:t>
      </w:r>
      <w:r w:rsidR="00A35E4A" w:rsidRPr="006C49EF">
        <w:rPr>
          <w:rFonts w:asciiTheme="minorHAnsi" w:hAnsiTheme="minorHAnsi" w:cstheme="minorHAnsi"/>
          <w:lang w:val="es-ES"/>
        </w:rPr>
        <w:t>62</w:t>
      </w:r>
      <w:r w:rsidRPr="006C49EF">
        <w:rPr>
          <w:rFonts w:asciiTheme="minorHAnsi" w:hAnsiTheme="minorHAnsi" w:cstheme="minorHAnsi"/>
          <w:lang w:val="es-ES"/>
        </w:rPr>
        <w:t xml:space="preserve">ª reunión </w:t>
      </w:r>
      <w:r w:rsidR="00A35E4A" w:rsidRPr="006C49EF">
        <w:rPr>
          <w:rFonts w:asciiTheme="minorHAnsi" w:hAnsiTheme="minorHAnsi" w:cstheme="minorHAnsi"/>
          <w:lang w:val="es-ES"/>
        </w:rPr>
        <w:t>(SC62)</w:t>
      </w:r>
      <w:r w:rsidR="000F071D" w:rsidRPr="006C49EF">
        <w:rPr>
          <w:rFonts w:asciiTheme="minorHAnsi" w:hAnsiTheme="minorHAnsi" w:cstheme="minorHAnsi"/>
          <w:lang w:val="es-ES"/>
        </w:rPr>
        <w:t xml:space="preserve">, </w:t>
      </w:r>
      <w:r w:rsidRPr="006C49EF">
        <w:rPr>
          <w:rFonts w:asciiTheme="minorHAnsi" w:hAnsiTheme="minorHAnsi" w:cstheme="minorHAnsi"/>
          <w:lang w:val="es-ES"/>
        </w:rPr>
        <w:t xml:space="preserve">el Comité Permanente, en la Decisión </w:t>
      </w:r>
      <w:r w:rsidR="00A35E4A" w:rsidRPr="006C49EF">
        <w:rPr>
          <w:rFonts w:asciiTheme="minorHAnsi" w:hAnsiTheme="minorHAnsi" w:cstheme="minorHAnsi"/>
          <w:lang w:val="es-ES"/>
        </w:rPr>
        <w:t>SC62-34</w:t>
      </w:r>
      <w:r w:rsidRPr="006C49EF">
        <w:rPr>
          <w:rFonts w:asciiTheme="minorHAnsi" w:hAnsiTheme="minorHAnsi" w:cstheme="minorHAnsi"/>
          <w:lang w:val="es-ES"/>
        </w:rPr>
        <w:t>, tomó nota de</w:t>
      </w:r>
      <w:r w:rsidR="004873C1" w:rsidRPr="006C49EF">
        <w:rPr>
          <w:rFonts w:asciiTheme="minorHAnsi" w:hAnsiTheme="minorHAnsi" w:cstheme="minorHAnsi"/>
          <w:lang w:val="es-ES"/>
        </w:rPr>
        <w:t>l enfoque propuesto por la Secretaría para suplir estas carencias a través de cinco líneas de trabajo,</w:t>
      </w:r>
      <w:r w:rsidR="00B37912" w:rsidRPr="006C49EF">
        <w:rPr>
          <w:rFonts w:asciiTheme="minorHAnsi" w:hAnsiTheme="minorHAnsi" w:cstheme="minorHAnsi"/>
          <w:lang w:val="es-ES"/>
        </w:rPr>
        <w:t xml:space="preserve"> </w:t>
      </w:r>
      <w:r w:rsidRPr="006C49EF">
        <w:rPr>
          <w:rFonts w:asciiTheme="minorHAnsi" w:hAnsiTheme="minorHAnsi" w:cstheme="minorHAnsi"/>
          <w:lang w:val="es-ES"/>
        </w:rPr>
        <w:t xml:space="preserve">que se presentan en el párrafo 15 del documento </w:t>
      </w:r>
      <w:r w:rsidR="00287DA4" w:rsidRPr="006C49EF">
        <w:rPr>
          <w:rFonts w:asciiTheme="minorHAnsi" w:hAnsiTheme="minorHAnsi" w:cstheme="minorHAnsi"/>
          <w:lang w:val="es-ES"/>
        </w:rPr>
        <w:t>SC62 Doc.9</w:t>
      </w:r>
      <w:r w:rsidR="007D0298" w:rsidRPr="006C49EF">
        <w:rPr>
          <w:rFonts w:asciiTheme="minorHAnsi" w:hAnsiTheme="minorHAnsi" w:cstheme="minorHAnsi"/>
          <w:lang w:val="es-ES"/>
        </w:rPr>
        <w:t>:</w:t>
      </w:r>
    </w:p>
    <w:p w14:paraId="1B3D02E3" w14:textId="479F00E0" w:rsidR="00076C43" w:rsidRPr="006C49EF" w:rsidRDefault="0014028B" w:rsidP="00702FBA">
      <w:pPr>
        <w:ind w:left="850"/>
        <w:rPr>
          <w:rFonts w:cs="Arial"/>
          <w:lang w:val="es-ES"/>
        </w:rPr>
      </w:pPr>
      <w:r w:rsidRPr="006C49EF">
        <w:rPr>
          <w:rFonts w:cs="Arial"/>
          <w:lang w:val="es-ES"/>
        </w:rPr>
        <w:t>a</w:t>
      </w:r>
      <w:r w:rsidR="00076C43" w:rsidRPr="006C49EF">
        <w:rPr>
          <w:rFonts w:cs="Arial"/>
          <w:lang w:val="es-ES"/>
        </w:rPr>
        <w:t xml:space="preserve">. </w:t>
      </w:r>
      <w:r w:rsidR="00C24BD7" w:rsidRPr="006C49EF">
        <w:rPr>
          <w:rFonts w:cs="Arial"/>
          <w:lang w:val="es-ES"/>
        </w:rPr>
        <w:tab/>
      </w:r>
      <w:r w:rsidR="0083595D" w:rsidRPr="006C49EF">
        <w:rPr>
          <w:rFonts w:cs="Arial"/>
          <w:lang w:val="es-ES"/>
        </w:rPr>
        <w:t xml:space="preserve">una mejor definición de las necesidades </w:t>
      </w:r>
      <w:r w:rsidR="001C4B83" w:rsidRPr="006C49EF">
        <w:rPr>
          <w:rFonts w:cs="Arial"/>
          <w:lang w:val="es-ES"/>
        </w:rPr>
        <w:t>específicas</w:t>
      </w:r>
      <w:r w:rsidR="0083595D" w:rsidRPr="006C49EF">
        <w:rPr>
          <w:rFonts w:cs="Arial"/>
          <w:lang w:val="es-ES"/>
        </w:rPr>
        <w:t xml:space="preserve"> y los </w:t>
      </w:r>
      <w:r w:rsidR="001C4B83" w:rsidRPr="006C49EF">
        <w:rPr>
          <w:rFonts w:cs="Arial"/>
          <w:lang w:val="es-ES"/>
        </w:rPr>
        <w:t>principales</w:t>
      </w:r>
      <w:r w:rsidR="0083595D" w:rsidRPr="006C49EF">
        <w:rPr>
          <w:rFonts w:cs="Arial"/>
          <w:lang w:val="es-ES"/>
        </w:rPr>
        <w:t xml:space="preserve"> </w:t>
      </w:r>
      <w:r w:rsidR="001C4B83" w:rsidRPr="006C49EF">
        <w:rPr>
          <w:rFonts w:cs="Arial"/>
          <w:lang w:val="es-ES"/>
        </w:rPr>
        <w:t>obstáculos</w:t>
      </w:r>
      <w:r w:rsidR="0083595D" w:rsidRPr="006C49EF">
        <w:rPr>
          <w:rFonts w:cs="Arial"/>
          <w:lang w:val="es-ES"/>
        </w:rPr>
        <w:t xml:space="preserve"> de las partes Contratantes en los inventarios de </w:t>
      </w:r>
      <w:r w:rsidR="001C4B83" w:rsidRPr="006C49EF">
        <w:rPr>
          <w:rFonts w:cs="Arial"/>
          <w:lang w:val="es-ES"/>
        </w:rPr>
        <w:t>humedales</w:t>
      </w:r>
      <w:r w:rsidR="00A35E4A" w:rsidRPr="006C49EF">
        <w:rPr>
          <w:rFonts w:cs="Arial"/>
          <w:lang w:val="es-ES"/>
        </w:rPr>
        <w:t>;</w:t>
      </w:r>
    </w:p>
    <w:p w14:paraId="0EA477F0" w14:textId="40585DCA" w:rsidR="00D87099" w:rsidRPr="006C49EF" w:rsidRDefault="0014028B" w:rsidP="00702FBA">
      <w:pPr>
        <w:ind w:left="850"/>
        <w:rPr>
          <w:rFonts w:cs="Arial"/>
          <w:lang w:val="es-ES"/>
        </w:rPr>
      </w:pPr>
      <w:r w:rsidRPr="006C49EF">
        <w:rPr>
          <w:rFonts w:cs="Arial"/>
          <w:lang w:val="es-ES"/>
        </w:rPr>
        <w:t>b</w:t>
      </w:r>
      <w:r w:rsidR="00424E44" w:rsidRPr="006C49EF">
        <w:rPr>
          <w:rFonts w:cs="Arial"/>
          <w:lang w:val="es-ES"/>
        </w:rPr>
        <w:t xml:space="preserve">. </w:t>
      </w:r>
      <w:r w:rsidR="00C24BD7" w:rsidRPr="006C49EF">
        <w:rPr>
          <w:rFonts w:cs="Arial"/>
          <w:lang w:val="es-ES"/>
        </w:rPr>
        <w:tab/>
      </w:r>
      <w:r w:rsidR="0083595D" w:rsidRPr="006C49EF">
        <w:rPr>
          <w:rFonts w:cs="Arial"/>
          <w:lang w:val="es-ES"/>
        </w:rPr>
        <w:t>la elaboración de orientaciones adicionales</w:t>
      </w:r>
      <w:r w:rsidR="00A35E4A" w:rsidRPr="006C49EF">
        <w:rPr>
          <w:rFonts w:cs="Arial"/>
          <w:lang w:val="es-ES"/>
        </w:rPr>
        <w:t>;</w:t>
      </w:r>
    </w:p>
    <w:p w14:paraId="5699F1E0" w14:textId="6CC95827" w:rsidR="00424E44" w:rsidRPr="006C49EF" w:rsidRDefault="0014028B" w:rsidP="00702FBA">
      <w:pPr>
        <w:ind w:left="850"/>
        <w:rPr>
          <w:rFonts w:cs="Arial"/>
          <w:lang w:val="es-ES"/>
        </w:rPr>
      </w:pPr>
      <w:r w:rsidRPr="006C49EF">
        <w:rPr>
          <w:rFonts w:cs="Arial"/>
          <w:lang w:val="es-ES"/>
        </w:rPr>
        <w:t>c</w:t>
      </w:r>
      <w:r w:rsidR="00424E44" w:rsidRPr="006C49EF">
        <w:rPr>
          <w:rFonts w:cs="Arial"/>
          <w:lang w:val="es-ES"/>
        </w:rPr>
        <w:t xml:space="preserve">. </w:t>
      </w:r>
      <w:r w:rsidR="00C24BD7" w:rsidRPr="006C49EF">
        <w:rPr>
          <w:rFonts w:cs="Arial"/>
          <w:lang w:val="es-ES"/>
        </w:rPr>
        <w:tab/>
      </w:r>
      <w:r w:rsidR="0083595D" w:rsidRPr="006C49EF">
        <w:rPr>
          <w:rFonts w:cs="Arial"/>
          <w:lang w:val="es-ES"/>
        </w:rPr>
        <w:t>la creación de capacidad, por ejemplo, la preparación de cursos de formación y materiales de formación</w:t>
      </w:r>
      <w:r w:rsidR="00A35E4A" w:rsidRPr="006C49EF">
        <w:rPr>
          <w:rFonts w:cs="Arial"/>
          <w:lang w:val="es-ES"/>
        </w:rPr>
        <w:t>;</w:t>
      </w:r>
    </w:p>
    <w:p w14:paraId="6AE10759" w14:textId="53D41C7D" w:rsidR="00424E44" w:rsidRPr="006C49EF" w:rsidRDefault="0014028B" w:rsidP="00702FBA">
      <w:pPr>
        <w:ind w:left="850"/>
        <w:rPr>
          <w:rFonts w:cs="Arial"/>
          <w:lang w:val="es-ES"/>
        </w:rPr>
      </w:pPr>
      <w:r w:rsidRPr="006C49EF">
        <w:rPr>
          <w:rFonts w:cs="Arial"/>
          <w:lang w:val="es-ES"/>
        </w:rPr>
        <w:t>d</w:t>
      </w:r>
      <w:r w:rsidR="00797222" w:rsidRPr="006C49EF">
        <w:rPr>
          <w:rFonts w:cs="Arial"/>
          <w:lang w:val="es-ES"/>
        </w:rPr>
        <w:t xml:space="preserve">. </w:t>
      </w:r>
      <w:r w:rsidR="00C24BD7" w:rsidRPr="006C49EF">
        <w:rPr>
          <w:rFonts w:cs="Arial"/>
          <w:lang w:val="es-ES"/>
        </w:rPr>
        <w:tab/>
      </w:r>
      <w:r w:rsidR="0083595D" w:rsidRPr="006C49EF">
        <w:rPr>
          <w:rFonts w:cs="Arial"/>
          <w:lang w:val="es-ES"/>
        </w:rPr>
        <w:t xml:space="preserve">el </w:t>
      </w:r>
      <w:r w:rsidR="001C4B83" w:rsidRPr="006C49EF">
        <w:rPr>
          <w:rFonts w:cs="Arial"/>
          <w:lang w:val="es-ES"/>
        </w:rPr>
        <w:t>apoyo</w:t>
      </w:r>
      <w:r w:rsidR="0083595D" w:rsidRPr="006C49EF">
        <w:rPr>
          <w:rFonts w:cs="Arial"/>
          <w:lang w:val="es-ES"/>
        </w:rPr>
        <w:t xml:space="preserve"> a la aplicación, por ejemplo, </w:t>
      </w:r>
      <w:r w:rsidR="001C4B83" w:rsidRPr="006C49EF">
        <w:rPr>
          <w:rFonts w:cs="Arial"/>
          <w:lang w:val="es-ES"/>
        </w:rPr>
        <w:t>mediante</w:t>
      </w:r>
      <w:r w:rsidR="0083595D" w:rsidRPr="006C49EF">
        <w:rPr>
          <w:rFonts w:cs="Arial"/>
          <w:lang w:val="es-ES"/>
        </w:rPr>
        <w:t xml:space="preserve"> la cooperación institucional; y</w:t>
      </w:r>
    </w:p>
    <w:p w14:paraId="55E3CD87" w14:textId="5085645C" w:rsidR="00907958" w:rsidRPr="006C49EF" w:rsidRDefault="0014028B" w:rsidP="00702FBA">
      <w:pPr>
        <w:ind w:left="850"/>
        <w:rPr>
          <w:rFonts w:cs="Arial"/>
          <w:lang w:val="es-ES"/>
        </w:rPr>
      </w:pPr>
      <w:r w:rsidRPr="006C49EF">
        <w:rPr>
          <w:rFonts w:cs="Arial"/>
          <w:lang w:val="es-ES"/>
        </w:rPr>
        <w:t>e</w:t>
      </w:r>
      <w:r w:rsidR="00B472B9" w:rsidRPr="006C49EF">
        <w:rPr>
          <w:rFonts w:cs="Arial"/>
          <w:lang w:val="es-ES"/>
        </w:rPr>
        <w:t xml:space="preserve">. </w:t>
      </w:r>
      <w:r w:rsidR="00C24BD7" w:rsidRPr="006C49EF">
        <w:rPr>
          <w:rFonts w:cs="Arial"/>
          <w:lang w:val="es-ES"/>
        </w:rPr>
        <w:tab/>
      </w:r>
      <w:r w:rsidR="0083595D" w:rsidRPr="006C49EF">
        <w:rPr>
          <w:rFonts w:cs="Arial"/>
          <w:lang w:val="es-ES"/>
        </w:rPr>
        <w:t>la movilización de recursos.</w:t>
      </w:r>
    </w:p>
    <w:p w14:paraId="1F5098F9" w14:textId="77777777" w:rsidR="00816BF7" w:rsidRPr="006C49EF" w:rsidRDefault="00816BF7" w:rsidP="00B472B9">
      <w:pPr>
        <w:pStyle w:val="ListParagraph"/>
        <w:autoSpaceDE w:val="0"/>
        <w:autoSpaceDN w:val="0"/>
        <w:adjustRightInd w:val="0"/>
        <w:ind w:left="993" w:firstLine="0"/>
        <w:rPr>
          <w:rFonts w:asciiTheme="minorHAnsi" w:hAnsiTheme="minorHAnsi" w:cstheme="minorHAnsi"/>
          <w:lang w:val="es-ES"/>
        </w:rPr>
      </w:pPr>
    </w:p>
    <w:p w14:paraId="720955A1" w14:textId="2A83E4D3" w:rsidR="000F071D" w:rsidRPr="006C49EF" w:rsidRDefault="004873C1" w:rsidP="00EB2187">
      <w:pPr>
        <w:pStyle w:val="ListParagraph"/>
        <w:numPr>
          <w:ilvl w:val="0"/>
          <w:numId w:val="30"/>
        </w:numPr>
        <w:autoSpaceDE w:val="0"/>
        <w:autoSpaceDN w:val="0"/>
        <w:adjustRightInd w:val="0"/>
        <w:ind w:left="426" w:hanging="426"/>
        <w:rPr>
          <w:rFonts w:asciiTheme="minorHAnsi" w:hAnsiTheme="minorHAnsi" w:cstheme="minorHAnsi"/>
          <w:lang w:val="es-ES"/>
        </w:rPr>
      </w:pPr>
      <w:r w:rsidRPr="006C49EF">
        <w:rPr>
          <w:rFonts w:asciiTheme="minorHAnsi" w:hAnsiTheme="minorHAnsi" w:cstheme="minorHAnsi"/>
          <w:lang w:val="es-ES"/>
        </w:rPr>
        <w:t>En las deliberaciones de</w:t>
      </w:r>
      <w:r w:rsidR="0083595D" w:rsidRPr="006C49EF">
        <w:rPr>
          <w:rFonts w:asciiTheme="minorHAnsi" w:hAnsiTheme="minorHAnsi" w:cstheme="minorHAnsi"/>
          <w:lang w:val="es-ES"/>
        </w:rPr>
        <w:t xml:space="preserve"> la reunión </w:t>
      </w:r>
      <w:r w:rsidR="00816BF7" w:rsidRPr="006C49EF">
        <w:rPr>
          <w:rFonts w:asciiTheme="minorHAnsi" w:hAnsiTheme="minorHAnsi" w:cstheme="minorHAnsi"/>
          <w:lang w:val="es-ES"/>
        </w:rPr>
        <w:t>SC62</w:t>
      </w:r>
      <w:r w:rsidR="0083595D" w:rsidRPr="006C49EF">
        <w:rPr>
          <w:rFonts w:asciiTheme="minorHAnsi" w:hAnsiTheme="minorHAnsi" w:cstheme="minorHAnsi"/>
          <w:lang w:val="es-ES"/>
        </w:rPr>
        <w:t xml:space="preserve">, se hizo hincapié en las necesidades financieras y </w:t>
      </w:r>
      <w:r w:rsidRPr="006C49EF">
        <w:rPr>
          <w:rFonts w:asciiTheme="minorHAnsi" w:hAnsiTheme="minorHAnsi" w:cstheme="minorHAnsi"/>
          <w:lang w:val="es-ES"/>
        </w:rPr>
        <w:t xml:space="preserve">de </w:t>
      </w:r>
      <w:r w:rsidR="001C4B83" w:rsidRPr="006C49EF">
        <w:rPr>
          <w:rFonts w:asciiTheme="minorHAnsi" w:hAnsiTheme="minorHAnsi" w:cstheme="minorHAnsi"/>
          <w:lang w:val="es-ES"/>
        </w:rPr>
        <w:t>creación</w:t>
      </w:r>
      <w:r w:rsidR="0083595D" w:rsidRPr="006C49EF">
        <w:rPr>
          <w:rFonts w:asciiTheme="minorHAnsi" w:hAnsiTheme="minorHAnsi" w:cstheme="minorHAnsi"/>
          <w:lang w:val="es-ES"/>
        </w:rPr>
        <w:t xml:space="preserve"> de capacidad de los países que no cuentan con un INH completo. Algunas Partes </w:t>
      </w:r>
      <w:r w:rsidR="001C4B83" w:rsidRPr="006C49EF">
        <w:rPr>
          <w:rFonts w:asciiTheme="minorHAnsi" w:hAnsiTheme="minorHAnsi" w:cstheme="minorHAnsi"/>
          <w:lang w:val="es-ES"/>
        </w:rPr>
        <w:t>Contratantes</w:t>
      </w:r>
      <w:r w:rsidR="0083595D" w:rsidRPr="006C49EF">
        <w:rPr>
          <w:rFonts w:asciiTheme="minorHAnsi" w:hAnsiTheme="minorHAnsi" w:cstheme="minorHAnsi"/>
          <w:lang w:val="es-ES"/>
        </w:rPr>
        <w:t xml:space="preserve"> </w:t>
      </w:r>
      <w:r w:rsidR="001C4B83" w:rsidRPr="006C49EF">
        <w:rPr>
          <w:rFonts w:asciiTheme="minorHAnsi" w:hAnsiTheme="minorHAnsi" w:cstheme="minorHAnsi"/>
          <w:lang w:val="es-ES"/>
        </w:rPr>
        <w:t>propusieron</w:t>
      </w:r>
      <w:r w:rsidR="0083595D" w:rsidRPr="006C49EF">
        <w:rPr>
          <w:rFonts w:asciiTheme="minorHAnsi" w:hAnsiTheme="minorHAnsi" w:cstheme="minorHAnsi"/>
          <w:lang w:val="es-ES"/>
        </w:rPr>
        <w:t xml:space="preserve"> </w:t>
      </w:r>
      <w:r w:rsidRPr="006C49EF">
        <w:rPr>
          <w:rFonts w:asciiTheme="minorHAnsi" w:hAnsiTheme="minorHAnsi" w:cstheme="minorHAnsi"/>
          <w:lang w:val="es-ES"/>
        </w:rPr>
        <w:t>más iniciativas</w:t>
      </w:r>
      <w:r w:rsidR="0083595D" w:rsidRPr="006C49EF">
        <w:rPr>
          <w:rFonts w:asciiTheme="minorHAnsi" w:hAnsiTheme="minorHAnsi" w:cstheme="minorHAnsi"/>
          <w:lang w:val="es-ES"/>
        </w:rPr>
        <w:t xml:space="preserve">, como </w:t>
      </w:r>
      <w:r w:rsidRPr="006C49EF">
        <w:rPr>
          <w:rFonts w:asciiTheme="minorHAnsi" w:hAnsiTheme="minorHAnsi" w:cstheme="minorHAnsi"/>
          <w:lang w:val="es-ES"/>
        </w:rPr>
        <w:t xml:space="preserve">la creación </w:t>
      </w:r>
      <w:r w:rsidR="0083595D" w:rsidRPr="006C49EF">
        <w:rPr>
          <w:rFonts w:asciiTheme="minorHAnsi" w:hAnsiTheme="minorHAnsi" w:cstheme="minorHAnsi"/>
          <w:lang w:val="es-ES"/>
        </w:rPr>
        <w:t xml:space="preserve">de una hoja de ruta y un plan de trabajo para apoyar las actividades de </w:t>
      </w:r>
      <w:r w:rsidR="001C4B83" w:rsidRPr="006C49EF">
        <w:rPr>
          <w:rFonts w:asciiTheme="minorHAnsi" w:hAnsiTheme="minorHAnsi" w:cstheme="minorHAnsi"/>
          <w:lang w:val="es-ES"/>
        </w:rPr>
        <w:t>las</w:t>
      </w:r>
      <w:r w:rsidR="0083595D" w:rsidRPr="006C49EF">
        <w:rPr>
          <w:rFonts w:asciiTheme="minorHAnsi" w:hAnsiTheme="minorHAnsi" w:cstheme="minorHAnsi"/>
          <w:lang w:val="es-ES"/>
        </w:rPr>
        <w:t xml:space="preserve"> Partes y un mayor </w:t>
      </w:r>
      <w:r w:rsidR="001C4B83" w:rsidRPr="006C49EF">
        <w:rPr>
          <w:rFonts w:asciiTheme="minorHAnsi" w:hAnsiTheme="minorHAnsi" w:cstheme="minorHAnsi"/>
          <w:lang w:val="es-ES"/>
        </w:rPr>
        <w:t>apoyo</w:t>
      </w:r>
      <w:r w:rsidR="0083595D" w:rsidRPr="006C49EF">
        <w:rPr>
          <w:rFonts w:asciiTheme="minorHAnsi" w:hAnsiTheme="minorHAnsi" w:cstheme="minorHAnsi"/>
          <w:lang w:val="es-ES"/>
        </w:rPr>
        <w:t xml:space="preserve"> regional a</w:t>
      </w:r>
      <w:r w:rsidRPr="006C49EF">
        <w:rPr>
          <w:rFonts w:asciiTheme="minorHAnsi" w:hAnsiTheme="minorHAnsi" w:cstheme="minorHAnsi"/>
          <w:lang w:val="es-ES"/>
        </w:rPr>
        <w:t xml:space="preserve"> la elaboración </w:t>
      </w:r>
      <w:r w:rsidR="0083595D" w:rsidRPr="006C49EF">
        <w:rPr>
          <w:rFonts w:asciiTheme="minorHAnsi" w:hAnsiTheme="minorHAnsi" w:cstheme="minorHAnsi"/>
          <w:lang w:val="es-ES"/>
        </w:rPr>
        <w:t xml:space="preserve">de </w:t>
      </w:r>
      <w:r w:rsidR="001C4B83" w:rsidRPr="006C49EF">
        <w:rPr>
          <w:rFonts w:asciiTheme="minorHAnsi" w:hAnsiTheme="minorHAnsi" w:cstheme="minorHAnsi"/>
          <w:lang w:val="es-ES"/>
        </w:rPr>
        <w:t>los</w:t>
      </w:r>
      <w:r w:rsidR="0083595D" w:rsidRPr="006C49EF">
        <w:rPr>
          <w:rFonts w:asciiTheme="minorHAnsi" w:hAnsiTheme="minorHAnsi" w:cstheme="minorHAnsi"/>
          <w:lang w:val="es-ES"/>
        </w:rPr>
        <w:t xml:space="preserve"> INH, por ejemplo, mediante actividades de creación de capacidad y el establecimiento de alianzas. Las Partes </w:t>
      </w:r>
      <w:r w:rsidR="001C4B83" w:rsidRPr="006C49EF">
        <w:rPr>
          <w:rFonts w:asciiTheme="minorHAnsi" w:hAnsiTheme="minorHAnsi" w:cstheme="minorHAnsi"/>
          <w:lang w:val="es-ES"/>
        </w:rPr>
        <w:t>también</w:t>
      </w:r>
      <w:r w:rsidR="0083595D" w:rsidRPr="006C49EF">
        <w:rPr>
          <w:rFonts w:asciiTheme="minorHAnsi" w:hAnsiTheme="minorHAnsi" w:cstheme="minorHAnsi"/>
          <w:lang w:val="es-ES"/>
        </w:rPr>
        <w:t xml:space="preserve"> pidieron </w:t>
      </w:r>
      <w:r w:rsidRPr="006C49EF">
        <w:rPr>
          <w:rFonts w:asciiTheme="minorHAnsi" w:hAnsiTheme="minorHAnsi" w:cstheme="minorHAnsi"/>
          <w:lang w:val="es-ES"/>
        </w:rPr>
        <w:t>la elaboración de</w:t>
      </w:r>
      <w:r w:rsidR="0083595D" w:rsidRPr="006C49EF">
        <w:rPr>
          <w:rFonts w:asciiTheme="minorHAnsi" w:hAnsiTheme="minorHAnsi" w:cstheme="minorHAnsi"/>
          <w:lang w:val="es-ES"/>
        </w:rPr>
        <w:t xml:space="preserve"> orientaciones sobre el uso de las nuevas tecnologías, la preparación de estudios de caso regionales sobre experiencias positivas y la mejora de los inventarios regionales existentes.</w:t>
      </w:r>
    </w:p>
    <w:p w14:paraId="6B270523" w14:textId="77777777" w:rsidR="005D7026" w:rsidRPr="006C49EF" w:rsidRDefault="005D7026" w:rsidP="000641D8">
      <w:pPr>
        <w:pStyle w:val="ListParagraph"/>
        <w:autoSpaceDE w:val="0"/>
        <w:autoSpaceDN w:val="0"/>
        <w:adjustRightInd w:val="0"/>
        <w:ind w:left="426" w:firstLine="0"/>
        <w:rPr>
          <w:rFonts w:asciiTheme="minorHAnsi" w:hAnsiTheme="minorHAnsi" w:cstheme="minorHAnsi"/>
          <w:lang w:val="es-ES"/>
        </w:rPr>
      </w:pPr>
    </w:p>
    <w:p w14:paraId="4C6D74C3" w14:textId="247258DA" w:rsidR="00242D0A" w:rsidRPr="006C49EF" w:rsidRDefault="00242D0A" w:rsidP="00DA36E1">
      <w:pPr>
        <w:ind w:left="0" w:firstLine="0"/>
        <w:rPr>
          <w:b/>
          <w:bCs/>
          <w:lang w:val="es-ES"/>
        </w:rPr>
      </w:pPr>
      <w:r w:rsidRPr="006C49EF">
        <w:rPr>
          <w:b/>
          <w:bCs/>
          <w:lang w:val="es-ES"/>
        </w:rPr>
        <w:t>Consolida</w:t>
      </w:r>
      <w:r w:rsidR="0083595D" w:rsidRPr="006C49EF">
        <w:rPr>
          <w:b/>
          <w:bCs/>
          <w:lang w:val="es-ES"/>
        </w:rPr>
        <w:t xml:space="preserve">ción de un mecanismo que ayude a las Partes Contratantes a </w:t>
      </w:r>
      <w:r w:rsidR="004873C1" w:rsidRPr="006C49EF">
        <w:rPr>
          <w:b/>
          <w:bCs/>
          <w:lang w:val="es-ES"/>
        </w:rPr>
        <w:t xml:space="preserve">elaborar </w:t>
      </w:r>
      <w:r w:rsidR="0083595D" w:rsidRPr="006C49EF">
        <w:rPr>
          <w:b/>
          <w:bCs/>
          <w:lang w:val="es-ES"/>
        </w:rPr>
        <w:t xml:space="preserve">sus inventarios nacionales de </w:t>
      </w:r>
      <w:r w:rsidR="001C4B83" w:rsidRPr="006C49EF">
        <w:rPr>
          <w:b/>
          <w:bCs/>
          <w:lang w:val="es-ES"/>
        </w:rPr>
        <w:t>humedales</w:t>
      </w:r>
    </w:p>
    <w:p w14:paraId="1E253F26" w14:textId="77777777" w:rsidR="007B5F8E" w:rsidRPr="006C49EF" w:rsidRDefault="007B5F8E" w:rsidP="00CD6968">
      <w:pPr>
        <w:ind w:left="0" w:firstLine="0"/>
        <w:rPr>
          <w:i/>
          <w:lang w:val="es-ES"/>
        </w:rPr>
      </w:pPr>
    </w:p>
    <w:p w14:paraId="15F45446" w14:textId="32314485" w:rsidR="004A66FA" w:rsidRPr="006C49EF" w:rsidRDefault="004873C1" w:rsidP="00CD6968">
      <w:pPr>
        <w:ind w:left="0" w:firstLine="0"/>
        <w:rPr>
          <w:bCs/>
          <w:u w:val="single"/>
          <w:lang w:val="es-ES"/>
        </w:rPr>
      </w:pPr>
      <w:r w:rsidRPr="006C49EF">
        <w:rPr>
          <w:bCs/>
          <w:u w:val="single"/>
          <w:lang w:val="es-ES"/>
        </w:rPr>
        <w:t>Mejor</w:t>
      </w:r>
      <w:r w:rsidR="0083595D" w:rsidRPr="006C49EF">
        <w:rPr>
          <w:bCs/>
          <w:u w:val="single"/>
          <w:lang w:val="es-ES"/>
        </w:rPr>
        <w:t xml:space="preserve"> </w:t>
      </w:r>
      <w:r w:rsidRPr="006C49EF">
        <w:rPr>
          <w:bCs/>
          <w:u w:val="single"/>
          <w:lang w:val="es-ES"/>
        </w:rPr>
        <w:t xml:space="preserve">definición </w:t>
      </w:r>
      <w:r w:rsidR="0083595D" w:rsidRPr="006C49EF">
        <w:rPr>
          <w:bCs/>
          <w:u w:val="single"/>
          <w:lang w:val="es-ES"/>
        </w:rPr>
        <w:t>de las necesidades específicas y las principales limitaciones</w:t>
      </w:r>
    </w:p>
    <w:p w14:paraId="5951AF22" w14:textId="77777777" w:rsidR="00442CF9" w:rsidRPr="006C49EF" w:rsidRDefault="00442CF9" w:rsidP="00CD6968">
      <w:pPr>
        <w:ind w:left="0" w:firstLine="0"/>
        <w:rPr>
          <w:bCs/>
          <w:u w:val="single"/>
          <w:lang w:val="es-ES"/>
        </w:rPr>
      </w:pPr>
    </w:p>
    <w:p w14:paraId="2DB8A3EA" w14:textId="09100382" w:rsidR="003E2DCD" w:rsidRPr="006C49EF" w:rsidRDefault="0083595D" w:rsidP="000F071D">
      <w:pPr>
        <w:pStyle w:val="ListParagraph"/>
        <w:numPr>
          <w:ilvl w:val="0"/>
          <w:numId w:val="30"/>
        </w:numPr>
        <w:autoSpaceDE w:val="0"/>
        <w:autoSpaceDN w:val="0"/>
        <w:adjustRightInd w:val="0"/>
        <w:ind w:left="426" w:hanging="426"/>
        <w:rPr>
          <w:lang w:val="es-ES"/>
        </w:rPr>
      </w:pPr>
      <w:r w:rsidRPr="006C49EF">
        <w:rPr>
          <w:rFonts w:asciiTheme="minorHAnsi" w:hAnsiTheme="minorHAnsi" w:cstheme="minorHAnsi"/>
          <w:lang w:val="es-ES"/>
        </w:rPr>
        <w:t xml:space="preserve">Para poder definir </w:t>
      </w:r>
      <w:r w:rsidR="004873C1" w:rsidRPr="006C49EF">
        <w:rPr>
          <w:rFonts w:asciiTheme="minorHAnsi" w:hAnsiTheme="minorHAnsi" w:cstheme="minorHAnsi"/>
          <w:lang w:val="es-ES"/>
        </w:rPr>
        <w:t>mejor</w:t>
      </w:r>
      <w:r w:rsidRPr="006C49EF">
        <w:rPr>
          <w:rFonts w:asciiTheme="minorHAnsi" w:hAnsiTheme="minorHAnsi" w:cstheme="minorHAnsi"/>
          <w:lang w:val="es-ES"/>
        </w:rPr>
        <w:t xml:space="preserve"> las necesidades específicas y las </w:t>
      </w:r>
      <w:r w:rsidR="001C4B83" w:rsidRPr="006C49EF">
        <w:rPr>
          <w:rFonts w:asciiTheme="minorHAnsi" w:hAnsiTheme="minorHAnsi" w:cstheme="minorHAnsi"/>
          <w:lang w:val="es-ES"/>
        </w:rPr>
        <w:t>principales</w:t>
      </w:r>
      <w:r w:rsidRPr="006C49EF">
        <w:rPr>
          <w:rFonts w:asciiTheme="minorHAnsi" w:hAnsiTheme="minorHAnsi" w:cstheme="minorHAnsi"/>
          <w:lang w:val="es-ES"/>
        </w:rPr>
        <w:t xml:space="preserve"> limitaciones de las Partes </w:t>
      </w:r>
      <w:r w:rsidR="001C4B83" w:rsidRPr="006C49EF">
        <w:rPr>
          <w:rFonts w:asciiTheme="minorHAnsi" w:hAnsiTheme="minorHAnsi" w:cstheme="minorHAnsi"/>
          <w:lang w:val="es-ES"/>
        </w:rPr>
        <w:t>Contratantes</w:t>
      </w:r>
      <w:r w:rsidRPr="006C49EF">
        <w:rPr>
          <w:rFonts w:asciiTheme="minorHAnsi" w:hAnsiTheme="minorHAnsi" w:cstheme="minorHAnsi"/>
          <w:lang w:val="es-ES"/>
        </w:rPr>
        <w:t xml:space="preserve"> en la </w:t>
      </w:r>
      <w:r w:rsidR="004873C1" w:rsidRPr="006C49EF">
        <w:rPr>
          <w:rFonts w:asciiTheme="minorHAnsi" w:hAnsiTheme="minorHAnsi" w:cstheme="minorHAnsi"/>
          <w:lang w:val="es-ES"/>
        </w:rPr>
        <w:t>elaboración</w:t>
      </w:r>
      <w:r w:rsidRPr="006C49EF">
        <w:rPr>
          <w:rFonts w:asciiTheme="minorHAnsi" w:hAnsiTheme="minorHAnsi" w:cstheme="minorHAnsi"/>
          <w:lang w:val="es-ES"/>
        </w:rPr>
        <w:t xml:space="preserve"> de los INH, la Secretaría realizó entrevistas </w:t>
      </w:r>
      <w:r w:rsidR="004873C1" w:rsidRPr="006C49EF">
        <w:rPr>
          <w:rFonts w:asciiTheme="minorHAnsi" w:hAnsiTheme="minorHAnsi" w:cstheme="minorHAnsi"/>
          <w:lang w:val="es-ES"/>
        </w:rPr>
        <w:t xml:space="preserve">detalladas </w:t>
      </w:r>
      <w:r w:rsidRPr="006C49EF">
        <w:rPr>
          <w:lang w:val="es-ES"/>
        </w:rPr>
        <w:t>a 13 Partes (cinco de África, dos de Asia, tres de Europa</w:t>
      </w:r>
      <w:r w:rsidR="004873C1" w:rsidRPr="006C49EF">
        <w:rPr>
          <w:lang w:val="es-ES"/>
        </w:rPr>
        <w:t xml:space="preserve">, </w:t>
      </w:r>
      <w:r w:rsidRPr="006C49EF">
        <w:rPr>
          <w:lang w:val="es-ES"/>
        </w:rPr>
        <w:t>una de América Latina y el Caribe,</w:t>
      </w:r>
      <w:r w:rsidR="004873C1" w:rsidRPr="006C49EF">
        <w:rPr>
          <w:lang w:val="es-ES"/>
        </w:rPr>
        <w:t xml:space="preserve"> una de</w:t>
      </w:r>
      <w:r w:rsidRPr="006C49EF">
        <w:rPr>
          <w:lang w:val="es-ES"/>
        </w:rPr>
        <w:t xml:space="preserve"> </w:t>
      </w:r>
      <w:r w:rsidRPr="006C49EF">
        <w:rPr>
          <w:lang w:val="es-ES"/>
        </w:rPr>
        <w:lastRenderedPageBreak/>
        <w:t>América del Norte y</w:t>
      </w:r>
      <w:r w:rsidR="004873C1" w:rsidRPr="006C49EF">
        <w:rPr>
          <w:lang w:val="es-ES"/>
        </w:rPr>
        <w:t xml:space="preserve"> una de</w:t>
      </w:r>
      <w:r w:rsidRPr="006C49EF">
        <w:rPr>
          <w:lang w:val="es-ES"/>
        </w:rPr>
        <w:t xml:space="preserve"> Oceanía</w:t>
      </w:r>
      <w:r w:rsidR="004873C1" w:rsidRPr="006C49EF">
        <w:rPr>
          <w:lang w:val="es-ES"/>
        </w:rPr>
        <w:t xml:space="preserve">) </w:t>
      </w:r>
      <w:r w:rsidRPr="006C49EF">
        <w:rPr>
          <w:lang w:val="es-ES"/>
        </w:rPr>
        <w:t xml:space="preserve">en </w:t>
      </w:r>
      <w:r w:rsidR="001C4B83" w:rsidRPr="006C49EF">
        <w:rPr>
          <w:lang w:val="es-ES"/>
        </w:rPr>
        <w:t>noviembre</w:t>
      </w:r>
      <w:r w:rsidRPr="006C49EF">
        <w:rPr>
          <w:lang w:val="es-ES"/>
        </w:rPr>
        <w:t xml:space="preserve"> de </w:t>
      </w:r>
      <w:r w:rsidR="000F071D" w:rsidRPr="006C49EF">
        <w:rPr>
          <w:lang w:val="es-ES"/>
        </w:rPr>
        <w:t xml:space="preserve">2023, </w:t>
      </w:r>
      <w:r w:rsidRPr="006C49EF">
        <w:rPr>
          <w:lang w:val="es-ES"/>
        </w:rPr>
        <w:t xml:space="preserve">basándose en la evaluación efectuada en </w:t>
      </w:r>
      <w:r w:rsidR="000F071D" w:rsidRPr="006C49EF">
        <w:rPr>
          <w:rFonts w:eastAsiaTheme="minorHAnsi" w:cs="Calibri"/>
          <w:lang w:val="es-ES"/>
        </w:rPr>
        <w:t>2019</w:t>
      </w:r>
      <w:r w:rsidR="00041A66" w:rsidRPr="006C49EF">
        <w:rPr>
          <w:lang w:val="es-ES"/>
        </w:rPr>
        <w:t xml:space="preserve">. </w:t>
      </w:r>
      <w:r w:rsidRPr="006C49EF">
        <w:rPr>
          <w:lang w:val="es-ES"/>
        </w:rPr>
        <w:t xml:space="preserve">Se invitó a las Partes Contratantes a expresar </w:t>
      </w:r>
      <w:r w:rsidR="004873C1" w:rsidRPr="006C49EF">
        <w:rPr>
          <w:lang w:val="es-ES"/>
        </w:rPr>
        <w:t xml:space="preserve">su </w:t>
      </w:r>
      <w:r w:rsidRPr="006C49EF">
        <w:rPr>
          <w:lang w:val="es-ES"/>
        </w:rPr>
        <w:t xml:space="preserve">interés por </w:t>
      </w:r>
      <w:r w:rsidR="004873C1" w:rsidRPr="006C49EF">
        <w:rPr>
          <w:lang w:val="es-ES"/>
        </w:rPr>
        <w:t>participar en las entrevistas e</w:t>
      </w:r>
      <w:r w:rsidRPr="006C49EF">
        <w:rPr>
          <w:lang w:val="es-ES"/>
        </w:rPr>
        <w:t xml:space="preserve">n las reuniones regionales </w:t>
      </w:r>
      <w:r w:rsidR="004873C1" w:rsidRPr="006C49EF">
        <w:rPr>
          <w:lang w:val="es-ES"/>
        </w:rPr>
        <w:t>previas a la</w:t>
      </w:r>
      <w:r w:rsidRPr="006C49EF">
        <w:rPr>
          <w:lang w:val="es-ES"/>
        </w:rPr>
        <w:t xml:space="preserve"> reunión </w:t>
      </w:r>
      <w:r w:rsidR="00041A66" w:rsidRPr="006C49EF">
        <w:rPr>
          <w:lang w:val="es-ES"/>
        </w:rPr>
        <w:t xml:space="preserve">SC62. </w:t>
      </w:r>
      <w:r w:rsidRPr="006C49EF">
        <w:rPr>
          <w:lang w:val="es-ES"/>
        </w:rPr>
        <w:t xml:space="preserve">El objetivo de las entrevistas era </w:t>
      </w:r>
      <w:r w:rsidR="001C4B83" w:rsidRPr="006C49EF">
        <w:rPr>
          <w:lang w:val="es-ES"/>
        </w:rPr>
        <w:t>obtener</w:t>
      </w:r>
      <w:r w:rsidRPr="006C49EF">
        <w:rPr>
          <w:lang w:val="es-ES"/>
        </w:rPr>
        <w:t xml:space="preserve"> </w:t>
      </w:r>
      <w:r w:rsidR="001C4B83" w:rsidRPr="006C49EF">
        <w:rPr>
          <w:lang w:val="es-ES"/>
        </w:rPr>
        <w:t>información</w:t>
      </w:r>
      <w:r w:rsidRPr="006C49EF">
        <w:rPr>
          <w:lang w:val="es-ES"/>
        </w:rPr>
        <w:t xml:space="preserve"> sobre los retos y las limitaciones </w:t>
      </w:r>
      <w:r w:rsidR="004873C1" w:rsidRPr="006C49EF">
        <w:rPr>
          <w:lang w:val="es-ES"/>
        </w:rPr>
        <w:t>de l</w:t>
      </w:r>
      <w:r w:rsidRPr="006C49EF">
        <w:rPr>
          <w:lang w:val="es-ES"/>
        </w:rPr>
        <w:t xml:space="preserve">as autoridades nacionales y encontrar nuevos </w:t>
      </w:r>
      <w:r w:rsidR="001C4B83" w:rsidRPr="006C49EF">
        <w:rPr>
          <w:lang w:val="es-ES"/>
        </w:rPr>
        <w:t>recursos</w:t>
      </w:r>
      <w:r w:rsidRPr="006C49EF">
        <w:rPr>
          <w:lang w:val="es-ES"/>
        </w:rPr>
        <w:t xml:space="preserve"> y materiales para contribuir a la elaboración de los INH.</w:t>
      </w:r>
    </w:p>
    <w:p w14:paraId="1F750574" w14:textId="77777777" w:rsidR="003E2DCD" w:rsidRPr="006C49EF" w:rsidRDefault="003E2DCD" w:rsidP="00CD6968">
      <w:pPr>
        <w:pStyle w:val="ListParagraph"/>
        <w:autoSpaceDE w:val="0"/>
        <w:autoSpaceDN w:val="0"/>
        <w:adjustRightInd w:val="0"/>
        <w:ind w:left="426" w:firstLine="0"/>
        <w:rPr>
          <w:rFonts w:asciiTheme="minorHAnsi" w:hAnsiTheme="minorHAnsi" w:cstheme="minorHAnsi"/>
          <w:lang w:val="es-ES"/>
        </w:rPr>
      </w:pPr>
    </w:p>
    <w:p w14:paraId="5D462875" w14:textId="77777777" w:rsidR="004873C1" w:rsidRPr="006C49EF" w:rsidRDefault="0083595D" w:rsidP="004873C1">
      <w:pPr>
        <w:pStyle w:val="ListParagraph"/>
        <w:numPr>
          <w:ilvl w:val="0"/>
          <w:numId w:val="30"/>
        </w:numPr>
        <w:autoSpaceDE w:val="0"/>
        <w:autoSpaceDN w:val="0"/>
        <w:adjustRightInd w:val="0"/>
        <w:ind w:left="426" w:hanging="426"/>
        <w:rPr>
          <w:rFonts w:cstheme="minorHAnsi"/>
          <w:lang w:val="es-ES"/>
        </w:rPr>
      </w:pPr>
      <w:r w:rsidRPr="006C49EF">
        <w:rPr>
          <w:rFonts w:asciiTheme="minorHAnsi" w:hAnsiTheme="minorHAnsi" w:cstheme="minorHAnsi"/>
          <w:lang w:val="es-ES"/>
        </w:rPr>
        <w:t xml:space="preserve">Las entrevistas se centraron en cuatro </w:t>
      </w:r>
      <w:r w:rsidR="001C4B83" w:rsidRPr="006C49EF">
        <w:rPr>
          <w:rFonts w:asciiTheme="minorHAnsi" w:hAnsiTheme="minorHAnsi" w:cstheme="minorHAnsi"/>
          <w:lang w:val="es-ES"/>
        </w:rPr>
        <w:t>temas</w:t>
      </w:r>
      <w:r w:rsidRPr="006C49EF">
        <w:rPr>
          <w:rFonts w:asciiTheme="minorHAnsi" w:hAnsiTheme="minorHAnsi" w:cstheme="minorHAnsi"/>
          <w:lang w:val="es-ES"/>
        </w:rPr>
        <w:t xml:space="preserve"> principales: por qué los países acometen un </w:t>
      </w:r>
      <w:r w:rsidR="004873C1" w:rsidRPr="006C49EF">
        <w:rPr>
          <w:rFonts w:asciiTheme="minorHAnsi" w:hAnsiTheme="minorHAnsi" w:cstheme="minorHAnsi"/>
          <w:lang w:val="es-ES"/>
        </w:rPr>
        <w:t>INH</w:t>
      </w:r>
      <w:r w:rsidRPr="006C49EF">
        <w:rPr>
          <w:rFonts w:asciiTheme="minorHAnsi" w:hAnsiTheme="minorHAnsi" w:cstheme="minorHAnsi"/>
          <w:lang w:val="es-ES"/>
        </w:rPr>
        <w:t xml:space="preserve">, es decir, sus objetivos y metas iniciales; qué les ayudó en el proceso, por ejemplo, las orientaciones que utilizaron y el apoyo técnico que recibieron; qué obstáculos tuvieron; y qué productos o resultados se </w:t>
      </w:r>
      <w:r w:rsidR="004873C1" w:rsidRPr="006C49EF">
        <w:rPr>
          <w:rFonts w:asciiTheme="minorHAnsi" w:hAnsiTheme="minorHAnsi" w:cstheme="minorHAnsi"/>
          <w:lang w:val="es-ES"/>
        </w:rPr>
        <w:t>obtuvieron</w:t>
      </w:r>
      <w:r w:rsidRPr="006C49EF">
        <w:rPr>
          <w:rFonts w:asciiTheme="minorHAnsi" w:hAnsiTheme="minorHAnsi" w:cstheme="minorHAnsi"/>
          <w:lang w:val="es-ES"/>
        </w:rPr>
        <w:t xml:space="preserve">. Según se había acordado </w:t>
      </w:r>
      <w:r w:rsidR="004873C1" w:rsidRPr="006C49EF">
        <w:rPr>
          <w:rFonts w:asciiTheme="minorHAnsi" w:hAnsiTheme="minorHAnsi" w:cstheme="minorHAnsi"/>
          <w:lang w:val="es-ES"/>
        </w:rPr>
        <w:t xml:space="preserve">al organizar </w:t>
      </w:r>
      <w:r w:rsidRPr="006C49EF">
        <w:rPr>
          <w:rFonts w:asciiTheme="minorHAnsi" w:hAnsiTheme="minorHAnsi" w:cstheme="minorHAnsi"/>
          <w:lang w:val="es-ES"/>
        </w:rPr>
        <w:t xml:space="preserve">las entrevistas, los informes de las entrevistas bilaterales se compartieron únicamente con los entrevistados para comprobar la exactitud de la </w:t>
      </w:r>
      <w:r w:rsidR="001C4B83" w:rsidRPr="006C49EF">
        <w:rPr>
          <w:rFonts w:asciiTheme="minorHAnsi" w:hAnsiTheme="minorHAnsi" w:cstheme="minorHAnsi"/>
          <w:lang w:val="es-ES"/>
        </w:rPr>
        <w:t>información</w:t>
      </w:r>
      <w:r w:rsidRPr="006C49EF">
        <w:rPr>
          <w:rFonts w:asciiTheme="minorHAnsi" w:hAnsiTheme="minorHAnsi" w:cstheme="minorHAnsi"/>
          <w:lang w:val="es-ES"/>
        </w:rPr>
        <w:t xml:space="preserve"> obtenida. La Secretaría expresó su agradecimiento a los coordinadores nacionales y demás expertos nacionales que </w:t>
      </w:r>
      <w:r w:rsidR="004873C1" w:rsidRPr="006C49EF">
        <w:rPr>
          <w:rFonts w:asciiTheme="minorHAnsi" w:hAnsiTheme="minorHAnsi" w:cstheme="minorHAnsi"/>
          <w:lang w:val="es-ES"/>
        </w:rPr>
        <w:t xml:space="preserve">pusieron a disposición </w:t>
      </w:r>
      <w:r w:rsidRPr="006C49EF">
        <w:rPr>
          <w:rFonts w:asciiTheme="minorHAnsi" w:hAnsiTheme="minorHAnsi" w:cstheme="minorHAnsi"/>
          <w:lang w:val="es-ES"/>
        </w:rPr>
        <w:t xml:space="preserve">su tiempo y sus conocimientos </w:t>
      </w:r>
      <w:r w:rsidR="004873C1" w:rsidRPr="006C49EF">
        <w:rPr>
          <w:rFonts w:asciiTheme="minorHAnsi" w:hAnsiTheme="minorHAnsi" w:cstheme="minorHAnsi"/>
          <w:lang w:val="es-ES"/>
        </w:rPr>
        <w:t>para esta tarea</w:t>
      </w:r>
      <w:r w:rsidR="003C0965" w:rsidRPr="006C49EF">
        <w:rPr>
          <w:rFonts w:cstheme="minorHAnsi"/>
          <w:lang w:val="es-ES"/>
        </w:rPr>
        <w:t>.</w:t>
      </w:r>
    </w:p>
    <w:p w14:paraId="678B0338" w14:textId="77777777" w:rsidR="004873C1" w:rsidRPr="006C49EF" w:rsidRDefault="004873C1" w:rsidP="004873C1">
      <w:pPr>
        <w:pStyle w:val="ListParagraph"/>
        <w:rPr>
          <w:rFonts w:asciiTheme="minorHAnsi" w:hAnsiTheme="minorHAnsi" w:cstheme="minorHAnsi"/>
          <w:lang w:val="es-ES"/>
        </w:rPr>
      </w:pPr>
    </w:p>
    <w:p w14:paraId="1F146703" w14:textId="1BB6878D" w:rsidR="00442CF9" w:rsidRPr="006C49EF" w:rsidRDefault="0083595D" w:rsidP="004873C1">
      <w:pPr>
        <w:pStyle w:val="ListParagraph"/>
        <w:numPr>
          <w:ilvl w:val="0"/>
          <w:numId w:val="30"/>
        </w:numPr>
        <w:autoSpaceDE w:val="0"/>
        <w:autoSpaceDN w:val="0"/>
        <w:adjustRightInd w:val="0"/>
        <w:ind w:left="426" w:hanging="426"/>
        <w:rPr>
          <w:rFonts w:cstheme="minorHAnsi"/>
          <w:lang w:val="es-ES"/>
        </w:rPr>
      </w:pPr>
      <w:r w:rsidRPr="006C49EF">
        <w:rPr>
          <w:rFonts w:asciiTheme="minorHAnsi" w:hAnsiTheme="minorHAnsi" w:cstheme="minorHAnsi"/>
          <w:lang w:val="es-ES"/>
        </w:rPr>
        <w:t>Se ha publicado un breve informe que resume l</w:t>
      </w:r>
      <w:r w:rsidR="004873C1" w:rsidRPr="006C49EF">
        <w:rPr>
          <w:rFonts w:asciiTheme="minorHAnsi" w:hAnsiTheme="minorHAnsi" w:cstheme="minorHAnsi"/>
          <w:lang w:val="es-ES"/>
        </w:rPr>
        <w:t>as</w:t>
      </w:r>
      <w:r w:rsidRPr="006C49EF">
        <w:rPr>
          <w:rFonts w:asciiTheme="minorHAnsi" w:hAnsiTheme="minorHAnsi" w:cstheme="minorHAnsi"/>
          <w:lang w:val="es-ES"/>
        </w:rPr>
        <w:t xml:space="preserve"> </w:t>
      </w:r>
      <w:r w:rsidR="00101AE7" w:rsidRPr="006C49EF">
        <w:rPr>
          <w:rFonts w:asciiTheme="minorHAnsi" w:hAnsiTheme="minorHAnsi" w:cstheme="minorHAnsi"/>
          <w:lang w:val="es-ES"/>
        </w:rPr>
        <w:t>principales</w:t>
      </w:r>
      <w:r w:rsidRPr="006C49EF">
        <w:rPr>
          <w:rFonts w:asciiTheme="minorHAnsi" w:hAnsiTheme="minorHAnsi" w:cstheme="minorHAnsi"/>
          <w:lang w:val="es-ES"/>
        </w:rPr>
        <w:t xml:space="preserve"> conclusiones de estas entrevistas como documento informativo </w:t>
      </w:r>
      <w:r w:rsidR="00943608" w:rsidRPr="006C49EF">
        <w:rPr>
          <w:rFonts w:asciiTheme="minorHAnsi" w:hAnsiTheme="minorHAnsi" w:cstheme="minorHAnsi"/>
          <w:lang w:val="es-ES"/>
        </w:rPr>
        <w:t>SC63 Inf.2</w:t>
      </w:r>
      <w:r w:rsidR="00943608" w:rsidRPr="006C49EF">
        <w:rPr>
          <w:rStyle w:val="FootnoteReference"/>
          <w:rFonts w:asciiTheme="minorHAnsi" w:hAnsiTheme="minorHAnsi" w:cstheme="minorHAnsi"/>
          <w:lang w:val="es-ES"/>
        </w:rPr>
        <w:footnoteReference w:id="2"/>
      </w:r>
      <w:r w:rsidR="00943608" w:rsidRPr="006C49EF">
        <w:rPr>
          <w:rFonts w:asciiTheme="minorHAnsi" w:hAnsiTheme="minorHAnsi" w:cstheme="minorHAnsi"/>
          <w:lang w:val="es-ES"/>
        </w:rPr>
        <w:t xml:space="preserve">. </w:t>
      </w:r>
      <w:r w:rsidRPr="006C49EF">
        <w:rPr>
          <w:rFonts w:asciiTheme="minorHAnsi" w:hAnsiTheme="minorHAnsi" w:cstheme="minorHAnsi"/>
          <w:lang w:val="es-ES"/>
        </w:rPr>
        <w:t xml:space="preserve">En los párrafos </w:t>
      </w:r>
      <w:r w:rsidR="00605F9A" w:rsidRPr="006C49EF">
        <w:rPr>
          <w:rFonts w:asciiTheme="minorHAnsi" w:hAnsiTheme="minorHAnsi" w:cstheme="minorHAnsi"/>
          <w:lang w:val="es-ES"/>
        </w:rPr>
        <w:t xml:space="preserve">4 </w:t>
      </w:r>
      <w:r w:rsidRPr="006C49EF">
        <w:rPr>
          <w:rFonts w:asciiTheme="minorHAnsi" w:hAnsiTheme="minorHAnsi" w:cstheme="minorHAnsi"/>
          <w:lang w:val="es-ES"/>
        </w:rPr>
        <w:t xml:space="preserve">a </w:t>
      </w:r>
      <w:r w:rsidR="00605F9A" w:rsidRPr="006C49EF">
        <w:rPr>
          <w:rFonts w:asciiTheme="minorHAnsi" w:hAnsiTheme="minorHAnsi" w:cstheme="minorHAnsi"/>
          <w:lang w:val="es-ES"/>
        </w:rPr>
        <w:t>13</w:t>
      </w:r>
      <w:r w:rsidR="00943608" w:rsidRPr="006C49EF">
        <w:rPr>
          <w:rFonts w:asciiTheme="minorHAnsi" w:hAnsiTheme="minorHAnsi" w:cstheme="minorHAnsi"/>
          <w:lang w:val="es-ES"/>
        </w:rPr>
        <w:t xml:space="preserve"> </w:t>
      </w:r>
      <w:r w:rsidRPr="006C49EF">
        <w:rPr>
          <w:rFonts w:asciiTheme="minorHAnsi" w:hAnsiTheme="minorHAnsi" w:cstheme="minorHAnsi"/>
          <w:lang w:val="es-ES"/>
        </w:rPr>
        <w:t xml:space="preserve">del informe se </w:t>
      </w:r>
      <w:r w:rsidR="00AA4352" w:rsidRPr="006C49EF">
        <w:rPr>
          <w:rFonts w:asciiTheme="minorHAnsi" w:hAnsiTheme="minorHAnsi" w:cstheme="minorHAnsi"/>
          <w:lang w:val="es-ES"/>
        </w:rPr>
        <w:t xml:space="preserve">detallan las principales lecciones extraídas para orientar el proceso de los INH. Se señalan orientaciones clave para las </w:t>
      </w:r>
      <w:r w:rsidR="00101AE7" w:rsidRPr="006C49EF">
        <w:rPr>
          <w:rFonts w:asciiTheme="minorHAnsi" w:hAnsiTheme="minorHAnsi" w:cstheme="minorHAnsi"/>
          <w:lang w:val="es-ES"/>
        </w:rPr>
        <w:t>acciones</w:t>
      </w:r>
      <w:r w:rsidR="00AA4352" w:rsidRPr="006C49EF">
        <w:rPr>
          <w:rFonts w:asciiTheme="minorHAnsi" w:hAnsiTheme="minorHAnsi" w:cstheme="minorHAnsi"/>
          <w:lang w:val="es-ES"/>
        </w:rPr>
        <w:t xml:space="preserve"> futuras de la Secretaría, </w:t>
      </w:r>
      <w:r w:rsidR="00101AE7" w:rsidRPr="006C49EF">
        <w:rPr>
          <w:rFonts w:asciiTheme="minorHAnsi" w:hAnsiTheme="minorHAnsi" w:cstheme="minorHAnsi"/>
          <w:lang w:val="es-ES"/>
        </w:rPr>
        <w:t>particularmente</w:t>
      </w:r>
      <w:r w:rsidR="00AA4352" w:rsidRPr="006C49EF">
        <w:rPr>
          <w:rFonts w:asciiTheme="minorHAnsi" w:hAnsiTheme="minorHAnsi" w:cstheme="minorHAnsi"/>
          <w:lang w:val="es-ES"/>
        </w:rPr>
        <w:t xml:space="preserve"> para los cursos de formación </w:t>
      </w:r>
      <w:r w:rsidR="004873C1" w:rsidRPr="006C49EF">
        <w:rPr>
          <w:rFonts w:asciiTheme="minorHAnsi" w:hAnsiTheme="minorHAnsi" w:cstheme="minorHAnsi"/>
          <w:lang w:val="es-ES"/>
        </w:rPr>
        <w:t xml:space="preserve">y materiales orientativos </w:t>
      </w:r>
      <w:r w:rsidR="00AA4352" w:rsidRPr="006C49EF">
        <w:rPr>
          <w:rFonts w:asciiTheme="minorHAnsi" w:hAnsiTheme="minorHAnsi" w:cstheme="minorHAnsi"/>
          <w:lang w:val="es-ES"/>
        </w:rPr>
        <w:t xml:space="preserve">sobre los INH. </w:t>
      </w:r>
      <w:r w:rsidR="00101AE7" w:rsidRPr="006C49EF">
        <w:rPr>
          <w:rFonts w:asciiTheme="minorHAnsi" w:hAnsiTheme="minorHAnsi" w:cstheme="minorHAnsi"/>
          <w:lang w:val="es-ES"/>
        </w:rPr>
        <w:t>También</w:t>
      </w:r>
      <w:r w:rsidR="00AA4352" w:rsidRPr="006C49EF">
        <w:rPr>
          <w:rFonts w:asciiTheme="minorHAnsi" w:hAnsiTheme="minorHAnsi" w:cstheme="minorHAnsi"/>
          <w:lang w:val="es-ES"/>
        </w:rPr>
        <w:t xml:space="preserve"> </w:t>
      </w:r>
      <w:r w:rsidR="00101AE7" w:rsidRPr="006C49EF">
        <w:rPr>
          <w:rFonts w:asciiTheme="minorHAnsi" w:hAnsiTheme="minorHAnsi" w:cstheme="minorHAnsi"/>
          <w:lang w:val="es-ES"/>
        </w:rPr>
        <w:t>se</w:t>
      </w:r>
      <w:r w:rsidR="00AA4352" w:rsidRPr="006C49EF">
        <w:rPr>
          <w:rFonts w:asciiTheme="minorHAnsi" w:hAnsiTheme="minorHAnsi" w:cstheme="minorHAnsi"/>
          <w:lang w:val="es-ES"/>
        </w:rPr>
        <w:t xml:space="preserve"> presentan retos, limitaciones</w:t>
      </w:r>
      <w:r w:rsidR="004873C1" w:rsidRPr="006C49EF">
        <w:rPr>
          <w:rFonts w:asciiTheme="minorHAnsi" w:hAnsiTheme="minorHAnsi" w:cstheme="minorHAnsi"/>
          <w:lang w:val="es-ES"/>
        </w:rPr>
        <w:t xml:space="preserve">, </w:t>
      </w:r>
      <w:r w:rsidR="00AA4352" w:rsidRPr="006C49EF">
        <w:rPr>
          <w:rFonts w:asciiTheme="minorHAnsi" w:hAnsiTheme="minorHAnsi" w:cstheme="minorHAnsi"/>
          <w:lang w:val="es-ES"/>
        </w:rPr>
        <w:t xml:space="preserve">expectativas y necesidades </w:t>
      </w:r>
      <w:r w:rsidR="00E13FB9" w:rsidRPr="006C49EF">
        <w:rPr>
          <w:rFonts w:asciiTheme="minorHAnsi" w:hAnsiTheme="minorHAnsi" w:cstheme="minorHAnsi"/>
          <w:lang w:val="es-ES"/>
        </w:rPr>
        <w:t>(</w:t>
      </w:r>
      <w:r w:rsidR="00AA4352" w:rsidRPr="006C49EF">
        <w:rPr>
          <w:rFonts w:asciiTheme="minorHAnsi" w:hAnsiTheme="minorHAnsi" w:cstheme="minorHAnsi"/>
          <w:lang w:val="es-ES"/>
        </w:rPr>
        <w:t xml:space="preserve">véanse los </w:t>
      </w:r>
      <w:r w:rsidR="004873C1" w:rsidRPr="006C49EF">
        <w:rPr>
          <w:rFonts w:asciiTheme="minorHAnsi" w:hAnsiTheme="minorHAnsi" w:cstheme="minorHAnsi"/>
          <w:lang w:val="es-ES"/>
        </w:rPr>
        <w:t>c</w:t>
      </w:r>
      <w:r w:rsidR="00AA4352" w:rsidRPr="006C49EF">
        <w:rPr>
          <w:rFonts w:asciiTheme="minorHAnsi" w:hAnsiTheme="minorHAnsi" w:cstheme="minorHAnsi"/>
          <w:lang w:val="es-ES"/>
        </w:rPr>
        <w:t xml:space="preserve">uadros </w:t>
      </w:r>
      <w:r w:rsidR="00E13FB9" w:rsidRPr="006C49EF">
        <w:rPr>
          <w:rFonts w:asciiTheme="minorHAnsi" w:hAnsiTheme="minorHAnsi" w:cstheme="minorHAnsi"/>
          <w:lang w:val="es-ES"/>
        </w:rPr>
        <w:t xml:space="preserve">1 </w:t>
      </w:r>
      <w:r w:rsidR="00AA4352" w:rsidRPr="006C49EF">
        <w:rPr>
          <w:rFonts w:asciiTheme="minorHAnsi" w:hAnsiTheme="minorHAnsi" w:cstheme="minorHAnsi"/>
          <w:lang w:val="es-ES"/>
        </w:rPr>
        <w:t>a</w:t>
      </w:r>
      <w:r w:rsidR="00E13FB9" w:rsidRPr="006C49EF">
        <w:rPr>
          <w:rFonts w:asciiTheme="minorHAnsi" w:hAnsiTheme="minorHAnsi" w:cstheme="minorHAnsi"/>
          <w:lang w:val="es-ES"/>
        </w:rPr>
        <w:t xml:space="preserve"> 3)</w:t>
      </w:r>
      <w:r w:rsidR="006D7479" w:rsidRPr="006C49EF">
        <w:rPr>
          <w:rFonts w:asciiTheme="minorHAnsi" w:hAnsiTheme="minorHAnsi" w:cstheme="minorHAnsi"/>
          <w:lang w:val="es-ES"/>
        </w:rPr>
        <w:t>.</w:t>
      </w:r>
      <w:r w:rsidR="00CA0D09" w:rsidRPr="006C49EF">
        <w:rPr>
          <w:rFonts w:asciiTheme="minorHAnsi" w:hAnsiTheme="minorHAnsi" w:cstheme="minorHAnsi"/>
          <w:lang w:val="es-ES"/>
        </w:rPr>
        <w:t xml:space="preserve"> </w:t>
      </w:r>
      <w:r w:rsidR="00AA4352" w:rsidRPr="006C49EF">
        <w:rPr>
          <w:rFonts w:asciiTheme="minorHAnsi" w:hAnsiTheme="minorHAnsi" w:cstheme="minorHAnsi"/>
          <w:lang w:val="es-ES"/>
        </w:rPr>
        <w:t>Además de informar a la Secretaría</w:t>
      </w:r>
      <w:r w:rsidR="004873C1" w:rsidRPr="006C49EF">
        <w:rPr>
          <w:rFonts w:asciiTheme="minorHAnsi" w:hAnsiTheme="minorHAnsi" w:cstheme="minorHAnsi"/>
          <w:lang w:val="es-ES"/>
        </w:rPr>
        <w:t>,</w:t>
      </w:r>
      <w:r w:rsidR="00AA4352" w:rsidRPr="006C49EF">
        <w:rPr>
          <w:rFonts w:asciiTheme="minorHAnsi" w:hAnsiTheme="minorHAnsi" w:cstheme="minorHAnsi"/>
          <w:lang w:val="es-ES"/>
        </w:rPr>
        <w:t xml:space="preserve"> </w:t>
      </w:r>
      <w:r w:rsidR="00101AE7" w:rsidRPr="006C49EF">
        <w:rPr>
          <w:rFonts w:asciiTheme="minorHAnsi" w:hAnsiTheme="minorHAnsi" w:cstheme="minorHAnsi"/>
          <w:lang w:val="es-ES"/>
        </w:rPr>
        <w:t>esto</w:t>
      </w:r>
      <w:r w:rsidR="00AA4352" w:rsidRPr="006C49EF">
        <w:rPr>
          <w:rFonts w:asciiTheme="minorHAnsi" w:hAnsiTheme="minorHAnsi" w:cstheme="minorHAnsi"/>
          <w:lang w:val="es-ES"/>
        </w:rPr>
        <w:t xml:space="preserve"> </w:t>
      </w:r>
      <w:r w:rsidR="004873C1" w:rsidRPr="006C49EF">
        <w:rPr>
          <w:rFonts w:asciiTheme="minorHAnsi" w:hAnsiTheme="minorHAnsi" w:cstheme="minorHAnsi"/>
          <w:lang w:val="es-ES"/>
        </w:rPr>
        <w:t xml:space="preserve">puede servir </w:t>
      </w:r>
      <w:r w:rsidR="00AA4352" w:rsidRPr="006C49EF">
        <w:rPr>
          <w:rFonts w:asciiTheme="minorHAnsi" w:hAnsiTheme="minorHAnsi" w:cstheme="minorHAnsi"/>
          <w:lang w:val="es-ES"/>
        </w:rPr>
        <w:t xml:space="preserve">para </w:t>
      </w:r>
      <w:r w:rsidR="004873C1" w:rsidRPr="006C49EF">
        <w:rPr>
          <w:rFonts w:asciiTheme="minorHAnsi" w:hAnsiTheme="minorHAnsi" w:cstheme="minorHAnsi"/>
          <w:lang w:val="es-ES"/>
        </w:rPr>
        <w:t>informar a l</w:t>
      </w:r>
      <w:r w:rsidR="00AA4352" w:rsidRPr="006C49EF">
        <w:rPr>
          <w:rFonts w:asciiTheme="minorHAnsi" w:hAnsiTheme="minorHAnsi" w:cstheme="minorHAnsi"/>
          <w:lang w:val="es-ES"/>
        </w:rPr>
        <w:t xml:space="preserve">as Partes </w:t>
      </w:r>
      <w:r w:rsidR="00101AE7" w:rsidRPr="006C49EF">
        <w:rPr>
          <w:rFonts w:asciiTheme="minorHAnsi" w:hAnsiTheme="minorHAnsi" w:cstheme="minorHAnsi"/>
          <w:lang w:val="es-ES"/>
        </w:rPr>
        <w:t>Contratantes</w:t>
      </w:r>
      <w:r w:rsidR="00AA4352" w:rsidRPr="006C49EF">
        <w:rPr>
          <w:rFonts w:asciiTheme="minorHAnsi" w:hAnsiTheme="minorHAnsi" w:cstheme="minorHAnsi"/>
          <w:lang w:val="es-ES"/>
        </w:rPr>
        <w:t xml:space="preserve"> que aún no han iniciado el proceso de los INH sobre las posibles ventajas, el apoyo disponible o los problemas que pueden encontrar.</w:t>
      </w:r>
    </w:p>
    <w:p w14:paraId="6CC0995B" w14:textId="77777777" w:rsidR="00442CF9" w:rsidRPr="006C49EF" w:rsidRDefault="00442CF9" w:rsidP="00442CF9">
      <w:pPr>
        <w:pStyle w:val="ListParagraph"/>
        <w:autoSpaceDE w:val="0"/>
        <w:autoSpaceDN w:val="0"/>
        <w:adjustRightInd w:val="0"/>
        <w:ind w:left="426" w:firstLine="0"/>
        <w:rPr>
          <w:rFonts w:cstheme="minorHAnsi"/>
          <w:lang w:val="es-ES"/>
        </w:rPr>
      </w:pPr>
    </w:p>
    <w:p w14:paraId="33C82BE6" w14:textId="39B9D90B" w:rsidR="002F6C82" w:rsidRPr="006C49EF" w:rsidRDefault="00AA4352" w:rsidP="00442CF9">
      <w:pPr>
        <w:pStyle w:val="ListParagraph"/>
        <w:numPr>
          <w:ilvl w:val="0"/>
          <w:numId w:val="30"/>
        </w:numPr>
        <w:autoSpaceDE w:val="0"/>
        <w:autoSpaceDN w:val="0"/>
        <w:adjustRightInd w:val="0"/>
        <w:ind w:left="426" w:hanging="426"/>
        <w:rPr>
          <w:rFonts w:cstheme="minorHAnsi"/>
          <w:lang w:val="es-ES"/>
        </w:rPr>
      </w:pPr>
      <w:r w:rsidRPr="006C49EF">
        <w:rPr>
          <w:rFonts w:asciiTheme="minorHAnsi" w:hAnsiTheme="minorHAnsi" w:cstheme="minorHAnsi"/>
          <w:lang w:val="es-ES"/>
        </w:rPr>
        <w:t xml:space="preserve">La Secretaría seguirá investigando las necesidades y </w:t>
      </w:r>
      <w:r w:rsidR="00101AE7" w:rsidRPr="006C49EF">
        <w:rPr>
          <w:rFonts w:asciiTheme="minorHAnsi" w:hAnsiTheme="minorHAnsi" w:cstheme="minorHAnsi"/>
          <w:lang w:val="es-ES"/>
        </w:rPr>
        <w:t>limitaciones</w:t>
      </w:r>
      <w:r w:rsidRPr="006C49EF">
        <w:rPr>
          <w:rFonts w:asciiTheme="minorHAnsi" w:hAnsiTheme="minorHAnsi" w:cstheme="minorHAnsi"/>
          <w:lang w:val="es-ES"/>
        </w:rPr>
        <w:t xml:space="preserve"> de las Partes Contratantes en lo que </w:t>
      </w:r>
      <w:r w:rsidR="00101AE7" w:rsidRPr="006C49EF">
        <w:rPr>
          <w:rFonts w:asciiTheme="minorHAnsi" w:hAnsiTheme="minorHAnsi" w:cstheme="minorHAnsi"/>
          <w:lang w:val="es-ES"/>
        </w:rPr>
        <w:t>respecta</w:t>
      </w:r>
      <w:r w:rsidRPr="006C49EF">
        <w:rPr>
          <w:rFonts w:asciiTheme="minorHAnsi" w:hAnsiTheme="minorHAnsi" w:cstheme="minorHAnsi"/>
          <w:lang w:val="es-ES"/>
        </w:rPr>
        <w:t xml:space="preserve"> a los INH mediante </w:t>
      </w:r>
      <w:r w:rsidR="00101AE7" w:rsidRPr="006C49EF">
        <w:rPr>
          <w:rFonts w:asciiTheme="minorHAnsi" w:hAnsiTheme="minorHAnsi" w:cstheme="minorHAnsi"/>
          <w:lang w:val="es-ES"/>
        </w:rPr>
        <w:t>comunicaciones</w:t>
      </w:r>
      <w:r w:rsidRPr="006C49EF">
        <w:rPr>
          <w:rFonts w:asciiTheme="minorHAnsi" w:hAnsiTheme="minorHAnsi" w:cstheme="minorHAnsi"/>
          <w:lang w:val="es-ES"/>
        </w:rPr>
        <w:t xml:space="preserve"> directas con las Partes, discusiones con asociados y donantes y la </w:t>
      </w:r>
      <w:r w:rsidR="00101AE7" w:rsidRPr="006C49EF">
        <w:rPr>
          <w:rFonts w:asciiTheme="minorHAnsi" w:hAnsiTheme="minorHAnsi" w:cstheme="minorHAnsi"/>
          <w:lang w:val="es-ES"/>
        </w:rPr>
        <w:t>utilización</w:t>
      </w:r>
      <w:r w:rsidRPr="006C49EF">
        <w:rPr>
          <w:rFonts w:asciiTheme="minorHAnsi" w:hAnsiTheme="minorHAnsi" w:cstheme="minorHAnsi"/>
          <w:lang w:val="es-ES"/>
        </w:rPr>
        <w:t xml:space="preserve"> de la información sobre los INH que las Partes presentarán </w:t>
      </w:r>
      <w:r w:rsidR="0086416E">
        <w:rPr>
          <w:rFonts w:asciiTheme="minorHAnsi" w:hAnsiTheme="minorHAnsi" w:cstheme="minorHAnsi"/>
          <w:lang w:val="es-ES"/>
        </w:rPr>
        <w:t>en</w:t>
      </w:r>
      <w:r w:rsidRPr="006C49EF">
        <w:rPr>
          <w:rFonts w:asciiTheme="minorHAnsi" w:hAnsiTheme="minorHAnsi" w:cstheme="minorHAnsi"/>
          <w:lang w:val="es-ES"/>
        </w:rPr>
        <w:t xml:space="preserve"> sus informes </w:t>
      </w:r>
      <w:r w:rsidR="00101AE7" w:rsidRPr="006C49EF">
        <w:rPr>
          <w:rFonts w:asciiTheme="minorHAnsi" w:hAnsiTheme="minorHAnsi" w:cstheme="minorHAnsi"/>
          <w:lang w:val="es-ES"/>
        </w:rPr>
        <w:t>nacionales</w:t>
      </w:r>
      <w:r w:rsidRPr="006C49EF">
        <w:rPr>
          <w:rFonts w:asciiTheme="minorHAnsi" w:hAnsiTheme="minorHAnsi" w:cstheme="minorHAnsi"/>
          <w:lang w:val="es-ES"/>
        </w:rPr>
        <w:t xml:space="preserve"> a la </w:t>
      </w:r>
      <w:r w:rsidR="0016013A" w:rsidRPr="006C49EF">
        <w:rPr>
          <w:rFonts w:asciiTheme="minorHAnsi" w:hAnsiTheme="minorHAnsi" w:cstheme="minorHAnsi"/>
          <w:lang w:val="es-ES"/>
        </w:rPr>
        <w:t>COP15.</w:t>
      </w:r>
    </w:p>
    <w:p w14:paraId="2148E981" w14:textId="77777777" w:rsidR="007B5F8E" w:rsidRPr="006C49EF" w:rsidRDefault="007B5F8E" w:rsidP="00442CF9">
      <w:pPr>
        <w:ind w:left="0" w:firstLine="0"/>
        <w:rPr>
          <w:lang w:val="es-ES"/>
        </w:rPr>
      </w:pPr>
    </w:p>
    <w:p w14:paraId="04A0CF3D" w14:textId="6DC9456F" w:rsidR="00744E7F" w:rsidRPr="006C49EF" w:rsidRDefault="00AA4352" w:rsidP="00744E7F">
      <w:pPr>
        <w:rPr>
          <w:bCs/>
          <w:u w:val="single"/>
          <w:lang w:val="es-ES"/>
        </w:rPr>
      </w:pPr>
      <w:r w:rsidRPr="006C49EF">
        <w:rPr>
          <w:bCs/>
          <w:u w:val="single"/>
          <w:lang w:val="es-ES"/>
        </w:rPr>
        <w:t>Elaboración de orientaciones adicionales</w:t>
      </w:r>
    </w:p>
    <w:p w14:paraId="283B02EC" w14:textId="77777777" w:rsidR="00744E7F" w:rsidRPr="006C49EF" w:rsidRDefault="00744E7F" w:rsidP="00744E7F">
      <w:pPr>
        <w:rPr>
          <w:lang w:val="es-ES"/>
        </w:rPr>
      </w:pPr>
    </w:p>
    <w:p w14:paraId="7AEBCE34" w14:textId="738EE009" w:rsidR="00D842B5" w:rsidRPr="006C49EF" w:rsidRDefault="00AA4352" w:rsidP="007D1C5A">
      <w:pPr>
        <w:pStyle w:val="ListParagraph"/>
        <w:numPr>
          <w:ilvl w:val="0"/>
          <w:numId w:val="30"/>
        </w:numPr>
        <w:autoSpaceDE w:val="0"/>
        <w:autoSpaceDN w:val="0"/>
        <w:adjustRightInd w:val="0"/>
        <w:ind w:left="426" w:hanging="426"/>
        <w:rPr>
          <w:rFonts w:asciiTheme="minorHAnsi" w:hAnsiTheme="minorHAnsi" w:cstheme="minorBidi"/>
          <w:lang w:val="es-ES"/>
        </w:rPr>
      </w:pPr>
      <w:r w:rsidRPr="006C49EF">
        <w:rPr>
          <w:rFonts w:asciiTheme="minorHAnsi" w:hAnsiTheme="minorHAnsi" w:cstheme="minorBidi"/>
          <w:lang w:val="es-ES"/>
        </w:rPr>
        <w:t xml:space="preserve">Como se indica en el documento </w:t>
      </w:r>
      <w:r w:rsidR="00AD4E9D" w:rsidRPr="006C49EF">
        <w:rPr>
          <w:rFonts w:asciiTheme="minorHAnsi" w:hAnsiTheme="minorHAnsi" w:cstheme="minorBidi"/>
          <w:lang w:val="es-ES"/>
        </w:rPr>
        <w:t>SC</w:t>
      </w:r>
      <w:r w:rsidR="003C3625" w:rsidRPr="006C49EF">
        <w:rPr>
          <w:rFonts w:asciiTheme="minorHAnsi" w:hAnsiTheme="minorHAnsi" w:cstheme="minorBidi"/>
          <w:lang w:val="es-ES"/>
        </w:rPr>
        <w:t>6</w:t>
      </w:r>
      <w:r w:rsidR="00287A23" w:rsidRPr="006C49EF">
        <w:rPr>
          <w:rFonts w:asciiTheme="minorHAnsi" w:hAnsiTheme="minorHAnsi" w:cstheme="minorBidi"/>
          <w:lang w:val="es-ES"/>
        </w:rPr>
        <w:t>2</w:t>
      </w:r>
      <w:r w:rsidR="003C3625" w:rsidRPr="006C49EF">
        <w:rPr>
          <w:rFonts w:asciiTheme="minorHAnsi" w:hAnsiTheme="minorHAnsi" w:cstheme="minorBidi"/>
          <w:lang w:val="es-ES"/>
        </w:rPr>
        <w:t xml:space="preserve"> Doc.9, </w:t>
      </w:r>
      <w:r w:rsidR="004873C1" w:rsidRPr="006C49EF">
        <w:rPr>
          <w:rFonts w:asciiTheme="minorHAnsi" w:hAnsiTheme="minorHAnsi" w:cstheme="minorBidi"/>
          <w:lang w:val="es-ES"/>
        </w:rPr>
        <w:t xml:space="preserve">es necesario complementar </w:t>
      </w:r>
      <w:r w:rsidRPr="006C49EF">
        <w:rPr>
          <w:rFonts w:asciiTheme="minorHAnsi" w:hAnsiTheme="minorHAnsi" w:cstheme="minorBidi"/>
          <w:lang w:val="es-ES"/>
        </w:rPr>
        <w:t xml:space="preserve">las orientaciones existentes </w:t>
      </w:r>
      <w:r w:rsidR="004873C1" w:rsidRPr="006C49EF">
        <w:rPr>
          <w:rFonts w:asciiTheme="minorHAnsi" w:hAnsiTheme="minorHAnsi" w:cstheme="minorBidi"/>
          <w:lang w:val="es-ES"/>
        </w:rPr>
        <w:t>con</w:t>
      </w:r>
      <w:r w:rsidRPr="006C49EF">
        <w:rPr>
          <w:rFonts w:asciiTheme="minorHAnsi" w:hAnsiTheme="minorHAnsi" w:cstheme="minorBidi"/>
          <w:lang w:val="es-ES"/>
        </w:rPr>
        <w:t xml:space="preserve"> </w:t>
      </w:r>
      <w:r w:rsidR="00101AE7" w:rsidRPr="006C49EF">
        <w:rPr>
          <w:rFonts w:asciiTheme="minorHAnsi" w:hAnsiTheme="minorHAnsi" w:cstheme="minorBidi"/>
          <w:lang w:val="es-ES"/>
        </w:rPr>
        <w:t>orientaciones</w:t>
      </w:r>
      <w:r w:rsidRPr="006C49EF">
        <w:rPr>
          <w:rFonts w:asciiTheme="minorHAnsi" w:hAnsiTheme="minorHAnsi" w:cstheme="minorBidi"/>
          <w:lang w:val="es-ES"/>
        </w:rPr>
        <w:t xml:space="preserve"> sobre aspectos como los </w:t>
      </w:r>
      <w:r w:rsidR="004873C1" w:rsidRPr="006C49EF">
        <w:rPr>
          <w:rFonts w:asciiTheme="minorHAnsi" w:hAnsiTheme="minorHAnsi" w:cstheme="minorBidi"/>
          <w:lang w:val="es-ES"/>
        </w:rPr>
        <w:t>arreglos</w:t>
      </w:r>
      <w:r w:rsidRPr="006C49EF">
        <w:rPr>
          <w:rFonts w:asciiTheme="minorHAnsi" w:hAnsiTheme="minorHAnsi" w:cstheme="minorBidi"/>
          <w:lang w:val="es-ES"/>
        </w:rPr>
        <w:t xml:space="preserve"> </w:t>
      </w:r>
      <w:r w:rsidR="00101AE7" w:rsidRPr="006C49EF">
        <w:rPr>
          <w:rFonts w:asciiTheme="minorHAnsi" w:hAnsiTheme="minorHAnsi" w:cstheme="minorBidi"/>
          <w:lang w:val="es-ES"/>
        </w:rPr>
        <w:t>institucionales</w:t>
      </w:r>
      <w:r w:rsidRPr="006C49EF">
        <w:rPr>
          <w:rFonts w:asciiTheme="minorHAnsi" w:hAnsiTheme="minorHAnsi" w:cstheme="minorBidi"/>
          <w:lang w:val="es-ES"/>
        </w:rPr>
        <w:t xml:space="preserve"> y la </w:t>
      </w:r>
      <w:r w:rsidR="00101AE7" w:rsidRPr="006C49EF">
        <w:rPr>
          <w:rFonts w:asciiTheme="minorHAnsi" w:hAnsiTheme="minorHAnsi" w:cstheme="minorBidi"/>
          <w:lang w:val="es-ES"/>
        </w:rPr>
        <w:t>base</w:t>
      </w:r>
      <w:r w:rsidRPr="006C49EF">
        <w:rPr>
          <w:rFonts w:asciiTheme="minorHAnsi" w:hAnsiTheme="minorHAnsi" w:cstheme="minorBidi"/>
          <w:lang w:val="es-ES"/>
        </w:rPr>
        <w:t xml:space="preserve"> normativa para la elaboración de los </w:t>
      </w:r>
      <w:r w:rsidR="00101AE7" w:rsidRPr="006C49EF">
        <w:rPr>
          <w:rFonts w:asciiTheme="minorHAnsi" w:hAnsiTheme="minorHAnsi" w:cstheme="minorBidi"/>
          <w:lang w:val="es-ES"/>
        </w:rPr>
        <w:t>inventarios</w:t>
      </w:r>
      <w:r w:rsidRPr="006C49EF">
        <w:rPr>
          <w:rFonts w:asciiTheme="minorHAnsi" w:hAnsiTheme="minorHAnsi" w:cstheme="minorBidi"/>
          <w:lang w:val="es-ES"/>
        </w:rPr>
        <w:t xml:space="preserve"> de </w:t>
      </w:r>
      <w:r w:rsidR="00101AE7" w:rsidRPr="006C49EF">
        <w:rPr>
          <w:rFonts w:asciiTheme="minorHAnsi" w:hAnsiTheme="minorHAnsi" w:cstheme="minorBidi"/>
          <w:lang w:val="es-ES"/>
        </w:rPr>
        <w:t>humedales</w:t>
      </w:r>
      <w:r w:rsidRPr="006C49EF">
        <w:rPr>
          <w:rFonts w:asciiTheme="minorHAnsi" w:hAnsiTheme="minorHAnsi" w:cstheme="minorBidi"/>
          <w:lang w:val="es-ES"/>
        </w:rPr>
        <w:t xml:space="preserve">. En las deliberaciones mantenidas en la reunión </w:t>
      </w:r>
      <w:r w:rsidR="00A71D09" w:rsidRPr="006C49EF">
        <w:rPr>
          <w:rFonts w:asciiTheme="minorHAnsi" w:hAnsiTheme="minorHAnsi" w:cstheme="minorBidi"/>
          <w:lang w:val="es-ES"/>
        </w:rPr>
        <w:t>SC62</w:t>
      </w:r>
      <w:r w:rsidRPr="006C49EF">
        <w:rPr>
          <w:rFonts w:asciiTheme="minorHAnsi" w:hAnsiTheme="minorHAnsi" w:cstheme="minorBidi"/>
          <w:lang w:val="es-ES"/>
        </w:rPr>
        <w:t xml:space="preserve"> </w:t>
      </w:r>
      <w:r w:rsidR="00101AE7" w:rsidRPr="006C49EF">
        <w:rPr>
          <w:rFonts w:asciiTheme="minorHAnsi" w:hAnsiTheme="minorHAnsi" w:cstheme="minorBidi"/>
          <w:lang w:val="es-ES"/>
        </w:rPr>
        <w:t>también</w:t>
      </w:r>
      <w:r w:rsidRPr="006C49EF">
        <w:rPr>
          <w:rFonts w:asciiTheme="minorHAnsi" w:hAnsiTheme="minorHAnsi" w:cstheme="minorBidi"/>
          <w:lang w:val="es-ES"/>
        </w:rPr>
        <w:t xml:space="preserve"> se señalaron otras necesidades relacionadas con </w:t>
      </w:r>
      <w:r w:rsidR="004873C1" w:rsidRPr="006C49EF">
        <w:rPr>
          <w:rFonts w:asciiTheme="minorHAnsi" w:hAnsiTheme="minorHAnsi" w:cstheme="minorBidi"/>
          <w:lang w:val="es-ES"/>
        </w:rPr>
        <w:t>el uso</w:t>
      </w:r>
      <w:r w:rsidRPr="006C49EF">
        <w:rPr>
          <w:rFonts w:asciiTheme="minorHAnsi" w:hAnsiTheme="minorHAnsi" w:cstheme="minorBidi"/>
          <w:lang w:val="es-ES"/>
        </w:rPr>
        <w:t xml:space="preserve"> de </w:t>
      </w:r>
      <w:r w:rsidR="004873C1" w:rsidRPr="006C49EF">
        <w:rPr>
          <w:rFonts w:asciiTheme="minorHAnsi" w:hAnsiTheme="minorHAnsi" w:cstheme="minorBidi"/>
          <w:lang w:val="es-ES"/>
        </w:rPr>
        <w:t xml:space="preserve">las </w:t>
      </w:r>
      <w:r w:rsidRPr="006C49EF">
        <w:rPr>
          <w:rFonts w:asciiTheme="minorHAnsi" w:hAnsiTheme="minorHAnsi" w:cstheme="minorBidi"/>
          <w:lang w:val="es-ES"/>
        </w:rPr>
        <w:t>nuevas tecnologías.</w:t>
      </w:r>
    </w:p>
    <w:p w14:paraId="4352A31E" w14:textId="77777777" w:rsidR="007D1C5A" w:rsidRPr="006C49EF" w:rsidRDefault="007D1C5A" w:rsidP="00CD6968">
      <w:pPr>
        <w:pStyle w:val="ListParagraph"/>
        <w:autoSpaceDE w:val="0"/>
        <w:autoSpaceDN w:val="0"/>
        <w:adjustRightInd w:val="0"/>
        <w:ind w:left="426" w:firstLine="0"/>
        <w:rPr>
          <w:rFonts w:asciiTheme="minorHAnsi" w:hAnsiTheme="minorHAnsi" w:cstheme="minorBidi"/>
          <w:lang w:val="es-ES"/>
        </w:rPr>
      </w:pPr>
    </w:p>
    <w:p w14:paraId="5448840C" w14:textId="4CB0746E" w:rsidR="00AF5C81" w:rsidRPr="006C49EF" w:rsidRDefault="00993EFD" w:rsidP="009A71FE">
      <w:pPr>
        <w:pStyle w:val="ListParagraph"/>
        <w:numPr>
          <w:ilvl w:val="0"/>
          <w:numId w:val="30"/>
        </w:numPr>
        <w:autoSpaceDE w:val="0"/>
        <w:autoSpaceDN w:val="0"/>
        <w:adjustRightInd w:val="0"/>
        <w:ind w:left="426" w:hanging="426"/>
        <w:rPr>
          <w:rFonts w:asciiTheme="minorHAnsi" w:hAnsiTheme="minorHAnsi" w:cstheme="minorBidi"/>
          <w:lang w:val="es-ES"/>
        </w:rPr>
      </w:pPr>
      <w:r w:rsidRPr="006C49EF">
        <w:rPr>
          <w:rFonts w:asciiTheme="minorHAnsi" w:hAnsiTheme="minorHAnsi" w:cstheme="minorBidi"/>
          <w:lang w:val="es-ES"/>
        </w:rPr>
        <w:t>Al examinar las orientaciones existentes sobre</w:t>
      </w:r>
      <w:r w:rsidR="00D92996" w:rsidRPr="006C49EF">
        <w:rPr>
          <w:rFonts w:asciiTheme="minorHAnsi" w:hAnsiTheme="minorHAnsi" w:cstheme="minorBidi"/>
          <w:lang w:val="es-ES"/>
        </w:rPr>
        <w:t xml:space="preserve"> los</w:t>
      </w:r>
      <w:r w:rsidRPr="006C49EF">
        <w:rPr>
          <w:rFonts w:asciiTheme="minorHAnsi" w:hAnsiTheme="minorHAnsi" w:cstheme="minorBidi"/>
          <w:lang w:val="es-ES"/>
        </w:rPr>
        <w:t xml:space="preserve"> INH y a partir de las entrevistas con las Partes </w:t>
      </w:r>
      <w:r w:rsidR="00101AE7" w:rsidRPr="006C49EF">
        <w:rPr>
          <w:rFonts w:asciiTheme="minorHAnsi" w:hAnsiTheme="minorHAnsi" w:cstheme="minorBidi"/>
          <w:lang w:val="es-ES"/>
        </w:rPr>
        <w:t>Contratantes</w:t>
      </w:r>
      <w:r w:rsidRPr="006C49EF">
        <w:rPr>
          <w:rFonts w:asciiTheme="minorHAnsi" w:hAnsiTheme="minorHAnsi" w:cstheme="minorBidi"/>
          <w:lang w:val="es-ES"/>
        </w:rPr>
        <w:t xml:space="preserve">, la </w:t>
      </w:r>
      <w:r w:rsidR="00101AE7" w:rsidRPr="006C49EF">
        <w:rPr>
          <w:rFonts w:asciiTheme="minorHAnsi" w:hAnsiTheme="minorHAnsi" w:cstheme="minorBidi"/>
          <w:lang w:val="es-ES"/>
        </w:rPr>
        <w:t>Secretaría</w:t>
      </w:r>
      <w:r w:rsidRPr="006C49EF">
        <w:rPr>
          <w:rFonts w:asciiTheme="minorHAnsi" w:hAnsiTheme="minorHAnsi" w:cstheme="minorBidi"/>
          <w:lang w:val="es-ES"/>
        </w:rPr>
        <w:t xml:space="preserve"> observó la necesidad de orientaciones </w:t>
      </w:r>
      <w:r w:rsidR="00101AE7" w:rsidRPr="006C49EF">
        <w:rPr>
          <w:rFonts w:asciiTheme="minorHAnsi" w:hAnsiTheme="minorHAnsi" w:cstheme="minorBidi"/>
          <w:lang w:val="es-ES"/>
        </w:rPr>
        <w:t>adicionales</w:t>
      </w:r>
      <w:r w:rsidRPr="006C49EF">
        <w:rPr>
          <w:rFonts w:asciiTheme="minorHAnsi" w:hAnsiTheme="minorHAnsi" w:cstheme="minorBidi"/>
          <w:lang w:val="es-ES"/>
        </w:rPr>
        <w:t xml:space="preserve"> en tres campos principales</w:t>
      </w:r>
      <w:r w:rsidR="00D31FC5" w:rsidRPr="006C49EF">
        <w:rPr>
          <w:rFonts w:asciiTheme="minorHAnsi" w:hAnsiTheme="minorHAnsi" w:cstheme="minorBidi"/>
          <w:lang w:val="es-ES"/>
        </w:rPr>
        <w:t xml:space="preserve"> (</w:t>
      </w:r>
      <w:r w:rsidRPr="006C49EF">
        <w:rPr>
          <w:rFonts w:asciiTheme="minorHAnsi" w:hAnsiTheme="minorHAnsi" w:cstheme="minorBidi"/>
          <w:lang w:val="es-ES"/>
        </w:rPr>
        <w:t>véase el documento informativo</w:t>
      </w:r>
      <w:r w:rsidR="00191719" w:rsidRPr="006C49EF">
        <w:rPr>
          <w:rFonts w:asciiTheme="minorHAnsi" w:hAnsiTheme="minorHAnsi" w:cstheme="minorBidi"/>
          <w:lang w:val="es-ES"/>
        </w:rPr>
        <w:t xml:space="preserve"> SC63 Inf.2</w:t>
      </w:r>
      <w:r w:rsidR="00D31FC5" w:rsidRPr="006C49EF">
        <w:rPr>
          <w:rFonts w:asciiTheme="minorHAnsi" w:hAnsiTheme="minorHAnsi" w:cstheme="minorBidi"/>
          <w:lang w:val="es-ES"/>
        </w:rPr>
        <w:t>)</w:t>
      </w:r>
      <w:r w:rsidR="0081249F" w:rsidRPr="006C49EF">
        <w:rPr>
          <w:rFonts w:asciiTheme="minorHAnsi" w:hAnsiTheme="minorHAnsi" w:cstheme="minorBidi"/>
          <w:lang w:val="es-ES"/>
        </w:rPr>
        <w:t xml:space="preserve">. </w:t>
      </w:r>
    </w:p>
    <w:p w14:paraId="7CFEAB81" w14:textId="77777777" w:rsidR="00AF5C81" w:rsidRPr="006C49EF" w:rsidRDefault="00AF5C81" w:rsidP="00CD6968">
      <w:pPr>
        <w:pStyle w:val="ListParagraph"/>
        <w:rPr>
          <w:rFonts w:asciiTheme="minorHAnsi" w:hAnsiTheme="minorHAnsi" w:cstheme="minorBidi"/>
          <w:lang w:val="es-ES"/>
        </w:rPr>
      </w:pPr>
    </w:p>
    <w:p w14:paraId="51066A53" w14:textId="69910097" w:rsidR="005F1C86" w:rsidRPr="006C49EF" w:rsidRDefault="00993EFD" w:rsidP="005F1C86">
      <w:pPr>
        <w:pStyle w:val="ListParagraph"/>
        <w:numPr>
          <w:ilvl w:val="0"/>
          <w:numId w:val="30"/>
        </w:numPr>
        <w:autoSpaceDE w:val="0"/>
        <w:autoSpaceDN w:val="0"/>
        <w:adjustRightInd w:val="0"/>
        <w:ind w:left="426" w:hanging="426"/>
        <w:rPr>
          <w:rFonts w:asciiTheme="minorHAnsi" w:hAnsiTheme="minorHAnsi" w:cstheme="minorBidi"/>
          <w:lang w:val="es-ES"/>
        </w:rPr>
      </w:pPr>
      <w:r w:rsidRPr="006C49EF">
        <w:rPr>
          <w:rFonts w:asciiTheme="minorHAnsi" w:hAnsiTheme="minorHAnsi" w:cstheme="minorBidi"/>
          <w:lang w:val="es-ES"/>
        </w:rPr>
        <w:t xml:space="preserve">En primer lugar, es necesario definir elementos comunes de los INH, </w:t>
      </w:r>
      <w:r w:rsidR="00D92996" w:rsidRPr="006C49EF">
        <w:rPr>
          <w:rFonts w:asciiTheme="minorHAnsi" w:hAnsiTheme="minorHAnsi" w:cstheme="minorBidi"/>
          <w:lang w:val="es-ES"/>
        </w:rPr>
        <w:t xml:space="preserve">por ejemplo, </w:t>
      </w:r>
      <w:r w:rsidR="0086416E">
        <w:rPr>
          <w:rFonts w:asciiTheme="minorHAnsi" w:hAnsiTheme="minorHAnsi" w:cstheme="minorBidi"/>
          <w:lang w:val="es-ES"/>
        </w:rPr>
        <w:t>determinar cuáles son</w:t>
      </w:r>
      <w:r w:rsidRPr="006C49EF">
        <w:rPr>
          <w:rFonts w:asciiTheme="minorHAnsi" w:hAnsiTheme="minorHAnsi" w:cstheme="minorBidi"/>
          <w:lang w:val="es-ES"/>
        </w:rPr>
        <w:t xml:space="preserve"> </w:t>
      </w:r>
      <w:r w:rsidR="00D92996" w:rsidRPr="006C49EF">
        <w:rPr>
          <w:rFonts w:asciiTheme="minorHAnsi" w:hAnsiTheme="minorHAnsi" w:cstheme="minorBidi"/>
          <w:lang w:val="es-ES"/>
        </w:rPr>
        <w:t>los datos</w:t>
      </w:r>
      <w:r w:rsidR="0086416E">
        <w:rPr>
          <w:rFonts w:asciiTheme="minorHAnsi" w:hAnsiTheme="minorHAnsi" w:cstheme="minorBidi"/>
          <w:lang w:val="es-ES"/>
        </w:rPr>
        <w:t xml:space="preserve"> o </w:t>
      </w:r>
      <w:r w:rsidR="00D92996" w:rsidRPr="006C49EF">
        <w:rPr>
          <w:rFonts w:asciiTheme="minorHAnsi" w:hAnsiTheme="minorHAnsi" w:cstheme="minorBidi"/>
          <w:lang w:val="es-ES"/>
        </w:rPr>
        <w:t>indicadores principales y los</w:t>
      </w:r>
      <w:r w:rsidRPr="006C49EF">
        <w:rPr>
          <w:rFonts w:asciiTheme="minorHAnsi" w:hAnsiTheme="minorHAnsi" w:cstheme="minorBidi"/>
          <w:lang w:val="es-ES"/>
        </w:rPr>
        <w:t xml:space="preserve"> datos</w:t>
      </w:r>
      <w:r w:rsidR="0086416E">
        <w:rPr>
          <w:rFonts w:asciiTheme="minorHAnsi" w:hAnsiTheme="minorHAnsi" w:cstheme="minorBidi"/>
          <w:lang w:val="es-ES"/>
        </w:rPr>
        <w:t xml:space="preserve"> o </w:t>
      </w:r>
      <w:r w:rsidR="00D92996" w:rsidRPr="006C49EF">
        <w:rPr>
          <w:rFonts w:asciiTheme="minorHAnsi" w:hAnsiTheme="minorHAnsi" w:cstheme="minorBidi"/>
          <w:lang w:val="es-ES"/>
        </w:rPr>
        <w:t xml:space="preserve">indicadores </w:t>
      </w:r>
      <w:r w:rsidRPr="006C49EF">
        <w:rPr>
          <w:rFonts w:asciiTheme="minorHAnsi" w:hAnsiTheme="minorHAnsi" w:cstheme="minorBidi"/>
          <w:lang w:val="es-ES"/>
        </w:rPr>
        <w:t xml:space="preserve">recomendados. Aunque cada INH debe definirse </w:t>
      </w:r>
      <w:r w:rsidR="00D92996" w:rsidRPr="006C49EF">
        <w:rPr>
          <w:rFonts w:asciiTheme="minorHAnsi" w:hAnsiTheme="minorHAnsi" w:cstheme="minorBidi"/>
          <w:lang w:val="es-ES"/>
        </w:rPr>
        <w:t xml:space="preserve">cuidadosamente </w:t>
      </w:r>
      <w:r w:rsidRPr="006C49EF">
        <w:rPr>
          <w:rFonts w:asciiTheme="minorHAnsi" w:hAnsiTheme="minorHAnsi" w:cstheme="minorBidi"/>
          <w:lang w:val="es-ES"/>
        </w:rPr>
        <w:t xml:space="preserve">en función del contexto nacional, </w:t>
      </w:r>
      <w:r w:rsidR="00101AE7" w:rsidRPr="006C49EF">
        <w:rPr>
          <w:rFonts w:asciiTheme="minorHAnsi" w:hAnsiTheme="minorHAnsi" w:cstheme="minorBidi"/>
          <w:lang w:val="es-ES"/>
        </w:rPr>
        <w:t>incluyendo</w:t>
      </w:r>
      <w:r w:rsidRPr="006C49EF">
        <w:rPr>
          <w:rFonts w:asciiTheme="minorHAnsi" w:hAnsiTheme="minorHAnsi" w:cstheme="minorBidi"/>
          <w:lang w:val="es-ES"/>
        </w:rPr>
        <w:t xml:space="preserve"> los </w:t>
      </w:r>
      <w:r w:rsidR="00D92996" w:rsidRPr="006C49EF">
        <w:rPr>
          <w:rFonts w:asciiTheme="minorHAnsi" w:hAnsiTheme="minorHAnsi" w:cstheme="minorBidi"/>
          <w:lang w:val="es-ES"/>
        </w:rPr>
        <w:t xml:space="preserve">arreglos </w:t>
      </w:r>
      <w:r w:rsidR="00101AE7" w:rsidRPr="006C49EF">
        <w:rPr>
          <w:rFonts w:asciiTheme="minorHAnsi" w:hAnsiTheme="minorHAnsi" w:cstheme="minorBidi"/>
          <w:lang w:val="es-ES"/>
        </w:rPr>
        <w:t>institucionales</w:t>
      </w:r>
      <w:r w:rsidRPr="006C49EF">
        <w:rPr>
          <w:rFonts w:asciiTheme="minorHAnsi" w:hAnsiTheme="minorHAnsi" w:cstheme="minorBidi"/>
          <w:lang w:val="es-ES"/>
        </w:rPr>
        <w:t xml:space="preserve"> y</w:t>
      </w:r>
      <w:r w:rsidR="00D92996" w:rsidRPr="006C49EF">
        <w:rPr>
          <w:rFonts w:asciiTheme="minorHAnsi" w:hAnsiTheme="minorHAnsi" w:cstheme="minorBidi"/>
          <w:lang w:val="es-ES"/>
        </w:rPr>
        <w:t xml:space="preserve"> los</w:t>
      </w:r>
      <w:r w:rsidRPr="006C49EF">
        <w:rPr>
          <w:rFonts w:asciiTheme="minorHAnsi" w:hAnsiTheme="minorHAnsi" w:cstheme="minorBidi"/>
          <w:lang w:val="es-ES"/>
        </w:rPr>
        <w:t xml:space="preserve"> objetivos, esto es crucial para garantizar que el mecanismo de </w:t>
      </w:r>
      <w:r w:rsidR="00101AE7" w:rsidRPr="006C49EF">
        <w:rPr>
          <w:rFonts w:asciiTheme="minorHAnsi" w:hAnsiTheme="minorHAnsi" w:cstheme="minorBidi"/>
          <w:lang w:val="es-ES"/>
        </w:rPr>
        <w:t>obtención</w:t>
      </w:r>
      <w:r w:rsidRPr="006C49EF">
        <w:rPr>
          <w:rFonts w:asciiTheme="minorHAnsi" w:hAnsiTheme="minorHAnsi" w:cstheme="minorBidi"/>
          <w:lang w:val="es-ES"/>
        </w:rPr>
        <w:t xml:space="preserve"> de datos y </w:t>
      </w:r>
      <w:r w:rsidR="00101AE7" w:rsidRPr="006C49EF">
        <w:rPr>
          <w:rFonts w:asciiTheme="minorHAnsi" w:hAnsiTheme="minorHAnsi" w:cstheme="minorBidi"/>
          <w:lang w:val="es-ES"/>
        </w:rPr>
        <w:t>presentación</w:t>
      </w:r>
      <w:r w:rsidRPr="006C49EF">
        <w:rPr>
          <w:rFonts w:asciiTheme="minorHAnsi" w:hAnsiTheme="minorHAnsi" w:cstheme="minorBidi"/>
          <w:lang w:val="es-ES"/>
        </w:rPr>
        <w:t xml:space="preserve"> de informes de la Convención permita hacer un </w:t>
      </w:r>
      <w:r w:rsidR="00101AE7" w:rsidRPr="006C49EF">
        <w:rPr>
          <w:rFonts w:asciiTheme="minorHAnsi" w:hAnsiTheme="minorHAnsi" w:cstheme="minorBidi"/>
          <w:lang w:val="es-ES"/>
        </w:rPr>
        <w:t>seguimiento</w:t>
      </w:r>
      <w:r w:rsidRPr="006C49EF">
        <w:rPr>
          <w:rFonts w:asciiTheme="minorHAnsi" w:hAnsiTheme="minorHAnsi" w:cstheme="minorBidi"/>
          <w:lang w:val="es-ES"/>
        </w:rPr>
        <w:t xml:space="preserve"> de los indicadores </w:t>
      </w:r>
      <w:r w:rsidR="00101AE7" w:rsidRPr="006C49EF">
        <w:rPr>
          <w:rFonts w:asciiTheme="minorHAnsi" w:hAnsiTheme="minorHAnsi" w:cstheme="minorBidi"/>
          <w:lang w:val="es-ES"/>
        </w:rPr>
        <w:t>mundiales</w:t>
      </w:r>
      <w:r w:rsidRPr="006C49EF">
        <w:rPr>
          <w:rFonts w:asciiTheme="minorHAnsi" w:hAnsiTheme="minorHAnsi" w:cstheme="minorBidi"/>
          <w:lang w:val="es-ES"/>
        </w:rPr>
        <w:t xml:space="preserve"> pertinentes, como los </w:t>
      </w:r>
      <w:r w:rsidR="00D92996" w:rsidRPr="006C49EF">
        <w:rPr>
          <w:rFonts w:asciiTheme="minorHAnsi" w:hAnsiTheme="minorHAnsi" w:cstheme="minorBidi"/>
          <w:lang w:val="es-ES"/>
        </w:rPr>
        <w:t xml:space="preserve">del </w:t>
      </w:r>
      <w:r w:rsidRPr="006C49EF">
        <w:rPr>
          <w:rFonts w:asciiTheme="minorHAnsi" w:hAnsiTheme="minorHAnsi" w:cstheme="minorBidi"/>
          <w:lang w:val="es-ES"/>
        </w:rPr>
        <w:t>Marco Mundial de Biodiversidad</w:t>
      </w:r>
      <w:r w:rsidR="00D92996" w:rsidRPr="006C49EF">
        <w:rPr>
          <w:rFonts w:asciiTheme="minorHAnsi" w:hAnsiTheme="minorHAnsi" w:cstheme="minorBidi"/>
          <w:lang w:val="es-ES"/>
        </w:rPr>
        <w:t xml:space="preserve"> de</w:t>
      </w:r>
      <w:r w:rsidRPr="006C49EF">
        <w:rPr>
          <w:rFonts w:asciiTheme="minorHAnsi" w:hAnsiTheme="minorHAnsi" w:cstheme="minorBidi"/>
          <w:lang w:val="es-ES"/>
        </w:rPr>
        <w:t xml:space="preserve"> Kunming-Montreal.</w:t>
      </w:r>
    </w:p>
    <w:p w14:paraId="7E29D2BB" w14:textId="77777777" w:rsidR="005F1C86" w:rsidRPr="006C49EF" w:rsidRDefault="005F1C86" w:rsidP="00CD6968">
      <w:pPr>
        <w:pStyle w:val="ListParagraph"/>
        <w:autoSpaceDE w:val="0"/>
        <w:autoSpaceDN w:val="0"/>
        <w:adjustRightInd w:val="0"/>
        <w:ind w:left="426" w:firstLine="0"/>
        <w:rPr>
          <w:rFonts w:asciiTheme="minorHAnsi" w:hAnsiTheme="minorHAnsi" w:cstheme="minorBidi"/>
          <w:lang w:val="es-ES"/>
        </w:rPr>
      </w:pPr>
    </w:p>
    <w:p w14:paraId="2586554F" w14:textId="7AD08901" w:rsidR="007160D4" w:rsidRPr="006C49EF" w:rsidRDefault="00993EFD" w:rsidP="009A71FE">
      <w:pPr>
        <w:pStyle w:val="ListParagraph"/>
        <w:numPr>
          <w:ilvl w:val="0"/>
          <w:numId w:val="30"/>
        </w:numPr>
        <w:autoSpaceDE w:val="0"/>
        <w:autoSpaceDN w:val="0"/>
        <w:adjustRightInd w:val="0"/>
        <w:ind w:left="426" w:hanging="426"/>
        <w:rPr>
          <w:rFonts w:asciiTheme="minorHAnsi" w:hAnsiTheme="minorHAnsi" w:cstheme="minorBidi"/>
          <w:lang w:val="es-ES"/>
        </w:rPr>
      </w:pPr>
      <w:r w:rsidRPr="006C49EF">
        <w:rPr>
          <w:rFonts w:asciiTheme="minorHAnsi" w:hAnsiTheme="minorHAnsi" w:cstheme="minorBidi"/>
          <w:lang w:val="es-ES"/>
        </w:rPr>
        <w:lastRenderedPageBreak/>
        <w:t xml:space="preserve">En segundo lugar, las </w:t>
      </w:r>
      <w:r w:rsidR="00101AE7" w:rsidRPr="006C49EF">
        <w:rPr>
          <w:rFonts w:asciiTheme="minorHAnsi" w:hAnsiTheme="minorHAnsi" w:cstheme="minorBidi"/>
          <w:lang w:val="es-ES"/>
        </w:rPr>
        <w:t>orientaciones</w:t>
      </w:r>
      <w:r w:rsidRPr="006C49EF">
        <w:rPr>
          <w:rFonts w:asciiTheme="minorHAnsi" w:hAnsiTheme="minorHAnsi" w:cstheme="minorBidi"/>
          <w:lang w:val="es-ES"/>
        </w:rPr>
        <w:t xml:space="preserve"> adicionales deberían tener la finalidad de mejorar la calidad, la coherencia y la </w:t>
      </w:r>
      <w:r w:rsidR="00D92996" w:rsidRPr="006C49EF">
        <w:rPr>
          <w:rFonts w:asciiTheme="minorHAnsi" w:hAnsiTheme="minorHAnsi" w:cstheme="minorBidi"/>
          <w:lang w:val="es-ES"/>
        </w:rPr>
        <w:t>comparabilidad</w:t>
      </w:r>
      <w:r w:rsidRPr="006C49EF">
        <w:rPr>
          <w:rFonts w:asciiTheme="minorHAnsi" w:hAnsiTheme="minorHAnsi" w:cstheme="minorBidi"/>
          <w:lang w:val="es-ES"/>
        </w:rPr>
        <w:t xml:space="preserve"> de los datos. Esto puede incluir orientaciones sobre métodos recomendados para </w:t>
      </w:r>
      <w:r w:rsidR="00101AE7" w:rsidRPr="006C49EF">
        <w:rPr>
          <w:rFonts w:asciiTheme="minorHAnsi" w:hAnsiTheme="minorHAnsi" w:cstheme="minorBidi"/>
          <w:lang w:val="es-ES"/>
        </w:rPr>
        <w:t>recopilar</w:t>
      </w:r>
      <w:r w:rsidRPr="006C49EF">
        <w:rPr>
          <w:rFonts w:asciiTheme="minorHAnsi" w:hAnsiTheme="minorHAnsi" w:cstheme="minorBidi"/>
          <w:lang w:val="es-ES"/>
        </w:rPr>
        <w:t xml:space="preserve"> datos y </w:t>
      </w:r>
      <w:r w:rsidR="00101AE7" w:rsidRPr="006C49EF">
        <w:rPr>
          <w:rFonts w:asciiTheme="minorHAnsi" w:hAnsiTheme="minorHAnsi" w:cstheme="minorBidi"/>
          <w:lang w:val="es-ES"/>
        </w:rPr>
        <w:t>protocolos</w:t>
      </w:r>
      <w:r w:rsidRPr="006C49EF">
        <w:rPr>
          <w:rFonts w:asciiTheme="minorHAnsi" w:hAnsiTheme="minorHAnsi" w:cstheme="minorBidi"/>
          <w:lang w:val="es-ES"/>
        </w:rPr>
        <w:t xml:space="preserve"> de datos, a partir de </w:t>
      </w:r>
      <w:r w:rsidR="006C0FE8" w:rsidRPr="006C49EF">
        <w:rPr>
          <w:rFonts w:asciiTheme="minorHAnsi" w:hAnsiTheme="minorHAnsi" w:cstheme="minorBidi"/>
          <w:lang w:val="es-ES"/>
        </w:rPr>
        <w:t>princip</w:t>
      </w:r>
      <w:r w:rsidR="00D92996" w:rsidRPr="006C49EF">
        <w:rPr>
          <w:rFonts w:asciiTheme="minorHAnsi" w:hAnsiTheme="minorHAnsi" w:cstheme="minorBidi"/>
          <w:lang w:val="es-ES"/>
        </w:rPr>
        <w:t>ios</w:t>
      </w:r>
      <w:r w:rsidR="0033234A" w:rsidRPr="006C49EF">
        <w:rPr>
          <w:vertAlign w:val="superscript"/>
          <w:lang w:val="es-ES"/>
        </w:rPr>
        <w:footnoteReference w:id="3"/>
      </w:r>
      <w:r w:rsidR="000E0504" w:rsidRPr="006C49EF">
        <w:rPr>
          <w:rStyle w:val="CommentReference"/>
          <w:lang w:val="es-ES"/>
        </w:rPr>
        <w:t xml:space="preserve"> </w:t>
      </w:r>
      <w:r w:rsidR="00D92996" w:rsidRPr="006C49EF">
        <w:rPr>
          <w:rFonts w:asciiTheme="minorHAnsi" w:hAnsiTheme="minorHAnsi" w:cstheme="minorBidi"/>
          <w:lang w:val="es-ES"/>
        </w:rPr>
        <w:t xml:space="preserve">y referencias de datos utilizados a escala internacional, </w:t>
      </w:r>
      <w:r w:rsidRPr="006C49EF">
        <w:rPr>
          <w:rFonts w:asciiTheme="minorHAnsi" w:hAnsiTheme="minorHAnsi" w:cstheme="minorBidi"/>
          <w:lang w:val="es-ES"/>
        </w:rPr>
        <w:t>así como las experiencias de las Partes Contratantes. En est</w:t>
      </w:r>
      <w:r w:rsidR="00D92996" w:rsidRPr="006C49EF">
        <w:rPr>
          <w:rFonts w:asciiTheme="minorHAnsi" w:hAnsiTheme="minorHAnsi" w:cstheme="minorBidi"/>
          <w:lang w:val="es-ES"/>
        </w:rPr>
        <w:t>a</w:t>
      </w:r>
      <w:r w:rsidRPr="006C49EF">
        <w:rPr>
          <w:rFonts w:asciiTheme="minorHAnsi" w:hAnsiTheme="minorHAnsi" w:cstheme="minorBidi"/>
          <w:lang w:val="es-ES"/>
        </w:rPr>
        <w:t xml:space="preserve"> labor se </w:t>
      </w:r>
      <w:r w:rsidR="00101AE7" w:rsidRPr="006C49EF">
        <w:rPr>
          <w:rFonts w:asciiTheme="minorHAnsi" w:hAnsiTheme="minorHAnsi" w:cstheme="minorBidi"/>
          <w:lang w:val="es-ES"/>
        </w:rPr>
        <w:t>abordarán</w:t>
      </w:r>
      <w:r w:rsidRPr="006C49EF">
        <w:rPr>
          <w:rFonts w:asciiTheme="minorHAnsi" w:hAnsiTheme="minorHAnsi" w:cstheme="minorBidi"/>
          <w:lang w:val="es-ES"/>
        </w:rPr>
        <w:t xml:space="preserve"> específicamente las </w:t>
      </w:r>
      <w:r w:rsidR="00101AE7" w:rsidRPr="006C49EF">
        <w:rPr>
          <w:rFonts w:asciiTheme="minorHAnsi" w:hAnsiTheme="minorHAnsi" w:cstheme="minorBidi"/>
          <w:lang w:val="es-ES"/>
        </w:rPr>
        <w:t>orientaciones</w:t>
      </w:r>
      <w:r w:rsidRPr="006C49EF">
        <w:rPr>
          <w:rFonts w:asciiTheme="minorHAnsi" w:hAnsiTheme="minorHAnsi" w:cstheme="minorBidi"/>
          <w:lang w:val="es-ES"/>
        </w:rPr>
        <w:t xml:space="preserve"> sobre el uso adecuado de tecnologías como la teledetección</w:t>
      </w:r>
      <w:r w:rsidR="00432F84" w:rsidRPr="006C49EF">
        <w:rPr>
          <w:rFonts w:asciiTheme="minorHAnsi" w:hAnsiTheme="minorHAnsi" w:cstheme="minorBidi"/>
          <w:lang w:val="es-ES"/>
        </w:rPr>
        <w:t>.</w:t>
      </w:r>
    </w:p>
    <w:p w14:paraId="2D837777" w14:textId="77777777" w:rsidR="003030D4" w:rsidRPr="006C49EF" w:rsidRDefault="003030D4" w:rsidP="00CD6968">
      <w:pPr>
        <w:pStyle w:val="ListParagraph"/>
        <w:autoSpaceDE w:val="0"/>
        <w:autoSpaceDN w:val="0"/>
        <w:adjustRightInd w:val="0"/>
        <w:ind w:left="426" w:firstLine="0"/>
        <w:rPr>
          <w:rFonts w:asciiTheme="minorHAnsi" w:hAnsiTheme="minorHAnsi" w:cstheme="minorBidi"/>
          <w:lang w:val="es-ES"/>
        </w:rPr>
      </w:pPr>
    </w:p>
    <w:p w14:paraId="278AD9D0" w14:textId="44549F57" w:rsidR="000314B6" w:rsidRPr="006C49EF" w:rsidRDefault="00993EFD" w:rsidP="00442CF9">
      <w:pPr>
        <w:pStyle w:val="ListParagraph"/>
        <w:numPr>
          <w:ilvl w:val="0"/>
          <w:numId w:val="30"/>
        </w:numPr>
        <w:autoSpaceDE w:val="0"/>
        <w:autoSpaceDN w:val="0"/>
        <w:adjustRightInd w:val="0"/>
        <w:ind w:left="426" w:hanging="426"/>
        <w:rPr>
          <w:rFonts w:asciiTheme="minorHAnsi" w:hAnsiTheme="minorHAnsi" w:cstheme="minorBidi"/>
          <w:lang w:val="es-ES"/>
        </w:rPr>
      </w:pPr>
      <w:r w:rsidRPr="006C49EF">
        <w:rPr>
          <w:rFonts w:asciiTheme="minorHAnsi" w:hAnsiTheme="minorHAnsi" w:cstheme="minorBidi"/>
          <w:lang w:val="es-ES"/>
        </w:rPr>
        <w:t xml:space="preserve">En tercer lugar, la </w:t>
      </w:r>
      <w:r w:rsidR="00101AE7" w:rsidRPr="006C49EF">
        <w:rPr>
          <w:rFonts w:asciiTheme="minorHAnsi" w:hAnsiTheme="minorHAnsi" w:cstheme="minorBidi"/>
          <w:lang w:val="es-ES"/>
        </w:rPr>
        <w:t>Secretaría</w:t>
      </w:r>
      <w:r w:rsidRPr="006C49EF">
        <w:rPr>
          <w:rFonts w:asciiTheme="minorHAnsi" w:hAnsiTheme="minorHAnsi" w:cstheme="minorBidi"/>
          <w:lang w:val="es-ES"/>
        </w:rPr>
        <w:t xml:space="preserve"> observó la necesidad de mejores orientaciones sobre el proceso de </w:t>
      </w:r>
      <w:r w:rsidR="00101AE7" w:rsidRPr="006C49EF">
        <w:rPr>
          <w:rFonts w:asciiTheme="minorHAnsi" w:hAnsiTheme="minorHAnsi" w:cstheme="minorBidi"/>
          <w:lang w:val="es-ES"/>
        </w:rPr>
        <w:t>los</w:t>
      </w:r>
      <w:r w:rsidRPr="006C49EF">
        <w:rPr>
          <w:rFonts w:asciiTheme="minorHAnsi" w:hAnsiTheme="minorHAnsi" w:cstheme="minorBidi"/>
          <w:lang w:val="es-ES"/>
        </w:rPr>
        <w:t xml:space="preserve"> INH, que incluyan la</w:t>
      </w:r>
      <w:r w:rsidR="00D92996" w:rsidRPr="006C49EF">
        <w:rPr>
          <w:rFonts w:asciiTheme="minorHAnsi" w:hAnsiTheme="minorHAnsi" w:cstheme="minorBidi"/>
          <w:lang w:val="es-ES"/>
        </w:rPr>
        <w:t>s fases de</w:t>
      </w:r>
      <w:r w:rsidRPr="006C49EF">
        <w:rPr>
          <w:rFonts w:asciiTheme="minorHAnsi" w:hAnsiTheme="minorHAnsi" w:cstheme="minorBidi"/>
          <w:lang w:val="es-ES"/>
        </w:rPr>
        <w:t xml:space="preserve"> planificación, recolección de datos, utilización</w:t>
      </w:r>
      <w:r w:rsidR="00D92996" w:rsidRPr="006C49EF">
        <w:rPr>
          <w:rFonts w:asciiTheme="minorHAnsi" w:hAnsiTheme="minorHAnsi" w:cstheme="minorBidi"/>
          <w:lang w:val="es-ES"/>
        </w:rPr>
        <w:t xml:space="preserve"> </w:t>
      </w:r>
      <w:r w:rsidRPr="006C49EF">
        <w:rPr>
          <w:rFonts w:asciiTheme="minorHAnsi" w:hAnsiTheme="minorHAnsi" w:cstheme="minorBidi"/>
          <w:lang w:val="es-ES"/>
        </w:rPr>
        <w:t xml:space="preserve">y </w:t>
      </w:r>
      <w:r w:rsidR="00101AE7" w:rsidRPr="006C49EF">
        <w:rPr>
          <w:rFonts w:asciiTheme="minorHAnsi" w:hAnsiTheme="minorHAnsi" w:cstheme="minorBidi"/>
          <w:lang w:val="es-ES"/>
        </w:rPr>
        <w:t>actualización</w:t>
      </w:r>
      <w:r w:rsidRPr="006C49EF">
        <w:rPr>
          <w:rFonts w:asciiTheme="minorHAnsi" w:hAnsiTheme="minorHAnsi" w:cstheme="minorBidi"/>
          <w:lang w:val="es-ES"/>
        </w:rPr>
        <w:t xml:space="preserve"> de los datos con una división clara de funciones y responsabilidades, entre otras cosas, diseñando los </w:t>
      </w:r>
      <w:r w:rsidR="00101AE7" w:rsidRPr="006C49EF">
        <w:rPr>
          <w:rFonts w:asciiTheme="minorHAnsi" w:hAnsiTheme="minorHAnsi" w:cstheme="minorBidi"/>
          <w:lang w:val="es-ES"/>
        </w:rPr>
        <w:t>propios</w:t>
      </w:r>
      <w:r w:rsidRPr="006C49EF">
        <w:rPr>
          <w:rFonts w:asciiTheme="minorHAnsi" w:hAnsiTheme="minorHAnsi" w:cstheme="minorBidi"/>
          <w:lang w:val="es-ES"/>
        </w:rPr>
        <w:t xml:space="preserve"> mecanismos de apoyo de los países para los equipos de recolección de datos a escala </w:t>
      </w:r>
      <w:r w:rsidR="00101AE7" w:rsidRPr="006C49EF">
        <w:rPr>
          <w:rFonts w:asciiTheme="minorHAnsi" w:hAnsiTheme="minorHAnsi" w:cstheme="minorBidi"/>
          <w:lang w:val="es-ES"/>
        </w:rPr>
        <w:t>nacional</w:t>
      </w:r>
      <w:r w:rsidRPr="006C49EF">
        <w:rPr>
          <w:rFonts w:asciiTheme="minorHAnsi" w:hAnsiTheme="minorHAnsi" w:cstheme="minorBidi"/>
          <w:lang w:val="es-ES"/>
        </w:rPr>
        <w:t xml:space="preserve"> y subnacional</w:t>
      </w:r>
      <w:r w:rsidR="00442CF9" w:rsidRPr="006C49EF">
        <w:rPr>
          <w:rFonts w:asciiTheme="minorHAnsi" w:hAnsiTheme="minorHAnsi" w:cstheme="minorBidi"/>
          <w:lang w:val="es-ES"/>
        </w:rPr>
        <w:t>.</w:t>
      </w:r>
    </w:p>
    <w:p w14:paraId="14D2C247" w14:textId="77777777" w:rsidR="00442CF9" w:rsidRPr="006C49EF" w:rsidRDefault="00442CF9" w:rsidP="00442CF9">
      <w:pPr>
        <w:pStyle w:val="ListParagraph"/>
        <w:autoSpaceDE w:val="0"/>
        <w:autoSpaceDN w:val="0"/>
        <w:adjustRightInd w:val="0"/>
        <w:ind w:left="426" w:firstLine="0"/>
        <w:rPr>
          <w:rFonts w:asciiTheme="minorHAnsi" w:hAnsiTheme="minorHAnsi" w:cstheme="minorBidi"/>
          <w:lang w:val="es-ES"/>
        </w:rPr>
      </w:pPr>
    </w:p>
    <w:p w14:paraId="7473DCBB" w14:textId="2D5C83E8" w:rsidR="00956139" w:rsidRPr="006C49EF" w:rsidRDefault="00993EFD" w:rsidP="00956139">
      <w:pPr>
        <w:pStyle w:val="ListParagraph"/>
        <w:numPr>
          <w:ilvl w:val="0"/>
          <w:numId w:val="30"/>
        </w:numPr>
        <w:autoSpaceDE w:val="0"/>
        <w:autoSpaceDN w:val="0"/>
        <w:adjustRightInd w:val="0"/>
        <w:ind w:left="426" w:hanging="426"/>
        <w:rPr>
          <w:rFonts w:asciiTheme="minorHAnsi" w:hAnsiTheme="minorHAnsi" w:cstheme="minorBidi"/>
          <w:lang w:val="es-ES"/>
        </w:rPr>
      </w:pPr>
      <w:r w:rsidRPr="006C49EF">
        <w:rPr>
          <w:rFonts w:asciiTheme="minorHAnsi" w:hAnsiTheme="minorHAnsi" w:cstheme="minorBidi"/>
          <w:lang w:val="es-ES"/>
        </w:rPr>
        <w:t xml:space="preserve">La Secretaría trabajará en estrecha consulta con el Grupo de Examen Científico y Técnico (GECT), los asociados y donantes para actualizar las orientaciones existentes y elaborar otras nuevas, basándose </w:t>
      </w:r>
      <w:r w:rsidR="00101AE7" w:rsidRPr="006C49EF">
        <w:rPr>
          <w:rFonts w:asciiTheme="minorHAnsi" w:hAnsiTheme="minorHAnsi" w:cstheme="minorBidi"/>
          <w:lang w:val="es-ES"/>
        </w:rPr>
        <w:t>también</w:t>
      </w:r>
      <w:r w:rsidRPr="006C49EF">
        <w:rPr>
          <w:rFonts w:asciiTheme="minorHAnsi" w:hAnsiTheme="minorHAnsi" w:cstheme="minorBidi"/>
          <w:lang w:val="es-ES"/>
        </w:rPr>
        <w:t xml:space="preserve"> en las experiencias de países que </w:t>
      </w:r>
      <w:r w:rsidR="00AB6F3A" w:rsidRPr="006C49EF">
        <w:rPr>
          <w:rFonts w:asciiTheme="minorHAnsi" w:hAnsiTheme="minorHAnsi" w:cstheme="minorBidi"/>
          <w:lang w:val="es-ES"/>
        </w:rPr>
        <w:t>hayan</w:t>
      </w:r>
      <w:r w:rsidRPr="006C49EF">
        <w:rPr>
          <w:rFonts w:asciiTheme="minorHAnsi" w:hAnsiTheme="minorHAnsi" w:cstheme="minorBidi"/>
          <w:lang w:val="es-ES"/>
        </w:rPr>
        <w:t xml:space="preserve"> elaborado con éxito un INH y las experiencias de iniciativas centradas en otros ecosistemas o biomas</w:t>
      </w:r>
      <w:r w:rsidR="006A05AC" w:rsidRPr="006C49EF">
        <w:rPr>
          <w:rFonts w:asciiTheme="minorHAnsi" w:hAnsiTheme="minorHAnsi" w:cstheme="minorBidi"/>
          <w:lang w:val="es-ES"/>
        </w:rPr>
        <w:t>.</w:t>
      </w:r>
    </w:p>
    <w:p w14:paraId="1BE7E1F4" w14:textId="77777777" w:rsidR="00982729" w:rsidRPr="006C49EF" w:rsidRDefault="00982729" w:rsidP="00CD6968">
      <w:pPr>
        <w:pStyle w:val="ListParagraph"/>
        <w:autoSpaceDE w:val="0"/>
        <w:autoSpaceDN w:val="0"/>
        <w:adjustRightInd w:val="0"/>
        <w:ind w:left="426" w:firstLine="0"/>
        <w:rPr>
          <w:rFonts w:asciiTheme="minorHAnsi" w:hAnsiTheme="minorHAnsi" w:cstheme="minorBidi"/>
          <w:lang w:val="es-ES"/>
        </w:rPr>
      </w:pPr>
    </w:p>
    <w:p w14:paraId="486C08D7" w14:textId="35462BEE" w:rsidR="00935D97" w:rsidRPr="006C49EF" w:rsidRDefault="00993EFD" w:rsidP="00DA36E1">
      <w:pPr>
        <w:keepNext/>
        <w:rPr>
          <w:bCs/>
          <w:u w:val="single"/>
          <w:lang w:val="es-ES"/>
        </w:rPr>
      </w:pPr>
      <w:r w:rsidRPr="006C49EF">
        <w:rPr>
          <w:bCs/>
          <w:u w:val="single"/>
          <w:lang w:val="es-ES"/>
        </w:rPr>
        <w:t>Creación de capacidad</w:t>
      </w:r>
    </w:p>
    <w:p w14:paraId="739C0C60" w14:textId="77777777" w:rsidR="00935D97" w:rsidRPr="006C49EF" w:rsidRDefault="00935D97" w:rsidP="00DA36E1">
      <w:pPr>
        <w:pStyle w:val="ListParagraph"/>
        <w:keepNext/>
        <w:autoSpaceDE w:val="0"/>
        <w:autoSpaceDN w:val="0"/>
        <w:adjustRightInd w:val="0"/>
        <w:ind w:left="426" w:firstLine="0"/>
        <w:rPr>
          <w:b/>
          <w:lang w:val="es-ES"/>
        </w:rPr>
      </w:pPr>
    </w:p>
    <w:p w14:paraId="4493AAC6" w14:textId="5A18356E" w:rsidR="00926588" w:rsidRPr="006C49EF" w:rsidRDefault="00993EFD" w:rsidP="00993EFD">
      <w:pPr>
        <w:pStyle w:val="ListParagraph"/>
        <w:numPr>
          <w:ilvl w:val="0"/>
          <w:numId w:val="30"/>
        </w:numPr>
        <w:autoSpaceDE w:val="0"/>
        <w:autoSpaceDN w:val="0"/>
        <w:adjustRightInd w:val="0"/>
        <w:ind w:left="426" w:hanging="426"/>
        <w:rPr>
          <w:rFonts w:asciiTheme="minorHAnsi" w:hAnsiTheme="minorHAnsi" w:cstheme="minorHAnsi"/>
          <w:lang w:val="es-ES"/>
        </w:rPr>
      </w:pPr>
      <w:r w:rsidRPr="006C49EF">
        <w:rPr>
          <w:rFonts w:asciiTheme="minorHAnsi" w:hAnsiTheme="minorHAnsi" w:cstheme="minorHAnsi"/>
          <w:lang w:val="es-ES"/>
        </w:rPr>
        <w:t xml:space="preserve">Las actividades de creación de capacidad de la </w:t>
      </w:r>
      <w:r w:rsidR="00101AE7" w:rsidRPr="006C49EF">
        <w:rPr>
          <w:rFonts w:asciiTheme="minorHAnsi" w:hAnsiTheme="minorHAnsi" w:cstheme="minorHAnsi"/>
          <w:lang w:val="es-ES"/>
        </w:rPr>
        <w:t>Secretaría</w:t>
      </w:r>
      <w:r w:rsidRPr="006C49EF">
        <w:rPr>
          <w:rFonts w:asciiTheme="minorHAnsi" w:hAnsiTheme="minorHAnsi" w:cstheme="minorHAnsi"/>
          <w:lang w:val="es-ES"/>
        </w:rPr>
        <w:t xml:space="preserve"> </w:t>
      </w:r>
      <w:r w:rsidR="00AB6F3A" w:rsidRPr="006C49EF">
        <w:rPr>
          <w:rFonts w:asciiTheme="minorHAnsi" w:hAnsiTheme="minorHAnsi" w:cstheme="minorHAnsi"/>
          <w:lang w:val="es-ES"/>
        </w:rPr>
        <w:t xml:space="preserve">en relación con los INH </w:t>
      </w:r>
      <w:r w:rsidRPr="006C49EF">
        <w:rPr>
          <w:rFonts w:asciiTheme="minorHAnsi" w:hAnsiTheme="minorHAnsi" w:cstheme="minorHAnsi"/>
          <w:lang w:val="es-ES"/>
        </w:rPr>
        <w:t xml:space="preserve">se centran </w:t>
      </w:r>
      <w:r w:rsidR="00101AE7" w:rsidRPr="006C49EF">
        <w:rPr>
          <w:rFonts w:asciiTheme="minorHAnsi" w:hAnsiTheme="minorHAnsi" w:cstheme="minorHAnsi"/>
          <w:lang w:val="es-ES"/>
        </w:rPr>
        <w:t>inicialmente</w:t>
      </w:r>
      <w:r w:rsidRPr="006C49EF">
        <w:rPr>
          <w:rFonts w:asciiTheme="minorHAnsi" w:hAnsiTheme="minorHAnsi" w:cstheme="minorHAnsi"/>
          <w:lang w:val="es-ES"/>
        </w:rPr>
        <w:t xml:space="preserve"> en las Partes Contratantes </w:t>
      </w:r>
      <w:r w:rsidR="00AB6F3A" w:rsidRPr="006C49EF">
        <w:rPr>
          <w:rFonts w:asciiTheme="minorHAnsi" w:hAnsiTheme="minorHAnsi" w:cstheme="minorHAnsi"/>
          <w:lang w:val="es-ES"/>
        </w:rPr>
        <w:t xml:space="preserve">que </w:t>
      </w:r>
      <w:r w:rsidR="0086416E">
        <w:rPr>
          <w:rFonts w:asciiTheme="minorHAnsi" w:hAnsiTheme="minorHAnsi" w:cstheme="minorHAnsi"/>
          <w:lang w:val="es-ES"/>
        </w:rPr>
        <w:t xml:space="preserve">aún </w:t>
      </w:r>
      <w:r w:rsidR="00AB6F3A" w:rsidRPr="006C49EF">
        <w:rPr>
          <w:rFonts w:asciiTheme="minorHAnsi" w:hAnsiTheme="minorHAnsi" w:cstheme="minorHAnsi"/>
          <w:lang w:val="es-ES"/>
        </w:rPr>
        <w:t xml:space="preserve">no han comenzado a elaborar sus </w:t>
      </w:r>
      <w:r w:rsidRPr="006C49EF">
        <w:rPr>
          <w:rFonts w:asciiTheme="minorHAnsi" w:hAnsiTheme="minorHAnsi" w:cstheme="minorHAnsi"/>
          <w:lang w:val="es-ES"/>
        </w:rPr>
        <w:t xml:space="preserve">INH </w:t>
      </w:r>
      <w:r w:rsidR="008946AA" w:rsidRPr="006C49EF">
        <w:rPr>
          <w:rFonts w:asciiTheme="minorHAnsi" w:hAnsiTheme="minorHAnsi" w:cstheme="minorHAnsi"/>
          <w:lang w:val="es-ES"/>
        </w:rPr>
        <w:t>(</w:t>
      </w:r>
      <w:r w:rsidRPr="006C49EF">
        <w:rPr>
          <w:rFonts w:asciiTheme="minorHAnsi" w:hAnsiTheme="minorHAnsi" w:cstheme="minorHAnsi"/>
          <w:lang w:val="es-ES"/>
        </w:rPr>
        <w:t xml:space="preserve">el </w:t>
      </w:r>
      <w:r w:rsidR="000156EF" w:rsidRPr="006C49EF">
        <w:rPr>
          <w:rFonts w:asciiTheme="minorHAnsi" w:hAnsiTheme="minorHAnsi" w:cstheme="minorHAnsi"/>
          <w:lang w:val="es-ES"/>
        </w:rPr>
        <w:t>26</w:t>
      </w:r>
      <w:r w:rsidRPr="006C49EF">
        <w:rPr>
          <w:rFonts w:asciiTheme="minorHAnsi" w:hAnsiTheme="minorHAnsi" w:cstheme="minorHAnsi"/>
          <w:lang w:val="es-ES"/>
        </w:rPr>
        <w:t xml:space="preserve"> </w:t>
      </w:r>
      <w:r w:rsidR="000156EF" w:rsidRPr="006C49EF">
        <w:rPr>
          <w:rFonts w:asciiTheme="minorHAnsi" w:hAnsiTheme="minorHAnsi" w:cstheme="minorHAnsi"/>
          <w:lang w:val="es-ES"/>
        </w:rPr>
        <w:t xml:space="preserve">% </w:t>
      </w:r>
      <w:r w:rsidRPr="006C49EF">
        <w:rPr>
          <w:rFonts w:asciiTheme="minorHAnsi" w:hAnsiTheme="minorHAnsi" w:cstheme="minorHAnsi"/>
          <w:lang w:val="es-ES"/>
        </w:rPr>
        <w:t xml:space="preserve">de las </w:t>
      </w:r>
      <w:r w:rsidR="000156EF" w:rsidRPr="006C49EF">
        <w:rPr>
          <w:rFonts w:asciiTheme="minorHAnsi" w:hAnsiTheme="minorHAnsi" w:cstheme="minorHAnsi"/>
          <w:lang w:val="es-ES"/>
        </w:rPr>
        <w:t xml:space="preserve">122 </w:t>
      </w:r>
      <w:r w:rsidRPr="006C49EF">
        <w:rPr>
          <w:rFonts w:asciiTheme="minorHAnsi" w:hAnsiTheme="minorHAnsi" w:cstheme="minorHAnsi"/>
          <w:lang w:val="es-ES"/>
        </w:rPr>
        <w:t xml:space="preserve">Partes que presentaron informes a la </w:t>
      </w:r>
      <w:r w:rsidR="000156EF" w:rsidRPr="006C49EF">
        <w:rPr>
          <w:rFonts w:asciiTheme="minorHAnsi" w:hAnsiTheme="minorHAnsi" w:cstheme="minorHAnsi"/>
          <w:lang w:val="es-ES"/>
        </w:rPr>
        <w:t xml:space="preserve">COP14 </w:t>
      </w:r>
      <w:r w:rsidRPr="006C49EF">
        <w:rPr>
          <w:rFonts w:asciiTheme="minorHAnsi" w:hAnsiTheme="minorHAnsi" w:cstheme="minorHAnsi"/>
          <w:lang w:val="es-ES"/>
        </w:rPr>
        <w:t>no habían comenzado un INH o solamente lo habían planificado</w:t>
      </w:r>
      <w:r w:rsidR="0086416E">
        <w:rPr>
          <w:rFonts w:asciiTheme="minorHAnsi" w:hAnsiTheme="minorHAnsi" w:cstheme="minorHAnsi"/>
          <w:lang w:val="es-ES"/>
        </w:rPr>
        <w:t>;</w:t>
      </w:r>
      <w:r w:rsidRPr="006C49EF">
        <w:rPr>
          <w:rFonts w:asciiTheme="minorHAnsi" w:hAnsiTheme="minorHAnsi" w:cstheme="minorHAnsi"/>
          <w:lang w:val="es-ES"/>
        </w:rPr>
        <w:t xml:space="preserve"> véase el documento </w:t>
      </w:r>
      <w:r w:rsidR="009B6F49" w:rsidRPr="006C49EF">
        <w:rPr>
          <w:lang w:val="es-ES"/>
        </w:rPr>
        <w:t>COP14 Doc.9.1</w:t>
      </w:r>
      <w:r w:rsidR="000156EF" w:rsidRPr="006C49EF">
        <w:rPr>
          <w:rFonts w:asciiTheme="minorHAnsi" w:hAnsiTheme="minorHAnsi" w:cstheme="minorHAnsi"/>
          <w:lang w:val="es-ES"/>
        </w:rPr>
        <w:t>).</w:t>
      </w:r>
      <w:r w:rsidR="008F2144" w:rsidRPr="006C49EF">
        <w:rPr>
          <w:rFonts w:asciiTheme="minorHAnsi" w:hAnsiTheme="minorHAnsi" w:cstheme="minorHAnsi"/>
          <w:lang w:val="es-ES"/>
        </w:rPr>
        <w:t xml:space="preserve"> </w:t>
      </w:r>
      <w:r w:rsidRPr="006C49EF">
        <w:rPr>
          <w:rFonts w:asciiTheme="minorHAnsi" w:hAnsiTheme="minorHAnsi" w:cstheme="minorHAnsi"/>
          <w:lang w:val="es-ES"/>
        </w:rPr>
        <w:t xml:space="preserve">El objetivo es ayudar a los países a </w:t>
      </w:r>
      <w:r w:rsidR="00101AE7" w:rsidRPr="006C49EF">
        <w:rPr>
          <w:rFonts w:asciiTheme="minorHAnsi" w:hAnsiTheme="minorHAnsi" w:cstheme="minorHAnsi"/>
          <w:lang w:val="es-ES"/>
        </w:rPr>
        <w:t>obtener</w:t>
      </w:r>
      <w:r w:rsidRPr="006C49EF">
        <w:rPr>
          <w:rFonts w:asciiTheme="minorHAnsi" w:hAnsiTheme="minorHAnsi" w:cstheme="minorHAnsi"/>
          <w:lang w:val="es-ES"/>
        </w:rPr>
        <w:t xml:space="preserve"> </w:t>
      </w:r>
      <w:r w:rsidR="00101AE7" w:rsidRPr="006C49EF">
        <w:rPr>
          <w:rFonts w:asciiTheme="minorHAnsi" w:hAnsiTheme="minorHAnsi" w:cstheme="minorHAnsi"/>
          <w:lang w:val="es-ES"/>
        </w:rPr>
        <w:t>conocimientos</w:t>
      </w:r>
      <w:r w:rsidRPr="006C49EF">
        <w:rPr>
          <w:rFonts w:asciiTheme="minorHAnsi" w:hAnsiTheme="minorHAnsi" w:cstheme="minorHAnsi"/>
          <w:lang w:val="es-ES"/>
        </w:rPr>
        <w:t xml:space="preserve"> y </w:t>
      </w:r>
      <w:r w:rsidR="00AB6F3A" w:rsidRPr="006C49EF">
        <w:rPr>
          <w:rFonts w:asciiTheme="minorHAnsi" w:hAnsiTheme="minorHAnsi" w:cstheme="minorHAnsi"/>
          <w:lang w:val="es-ES"/>
        </w:rPr>
        <w:t xml:space="preserve">experiencia en materia de realización </w:t>
      </w:r>
      <w:r w:rsidRPr="006C49EF">
        <w:rPr>
          <w:rFonts w:asciiTheme="minorHAnsi" w:hAnsiTheme="minorHAnsi" w:cstheme="minorHAnsi"/>
          <w:lang w:val="es-ES"/>
        </w:rPr>
        <w:t>un INH dentro de un marco normativo, científico y técnico</w:t>
      </w:r>
      <w:r w:rsidR="00AB6F3A" w:rsidRPr="006C49EF">
        <w:rPr>
          <w:rFonts w:asciiTheme="minorHAnsi" w:hAnsiTheme="minorHAnsi" w:cstheme="minorHAnsi"/>
          <w:lang w:val="es-ES"/>
        </w:rPr>
        <w:t xml:space="preserve"> apropiado</w:t>
      </w:r>
      <w:r w:rsidR="008F2144" w:rsidRPr="006C49EF">
        <w:rPr>
          <w:rFonts w:asciiTheme="minorHAnsi" w:hAnsiTheme="minorHAnsi" w:cstheme="minorBidi"/>
          <w:lang w:val="es-ES"/>
        </w:rPr>
        <w:t xml:space="preserve">. </w:t>
      </w:r>
      <w:r w:rsidR="00AB6F3A" w:rsidRPr="006C49EF">
        <w:rPr>
          <w:rFonts w:asciiTheme="minorHAnsi" w:hAnsiTheme="minorHAnsi" w:cstheme="minorBidi"/>
          <w:lang w:val="es-ES"/>
        </w:rPr>
        <w:t>Esto a su vez</w:t>
      </w:r>
      <w:r w:rsidRPr="006C49EF">
        <w:rPr>
          <w:rFonts w:asciiTheme="minorHAnsi" w:hAnsiTheme="minorHAnsi" w:cstheme="minorBidi"/>
          <w:lang w:val="es-ES"/>
        </w:rPr>
        <w:t xml:space="preserve"> contribuirá a una mejor capacidad para aplicar la Agenda 2030 y concretamente </w:t>
      </w:r>
      <w:r w:rsidR="00AB6F3A" w:rsidRPr="006C49EF">
        <w:rPr>
          <w:rFonts w:asciiTheme="minorHAnsi" w:hAnsiTheme="minorHAnsi" w:cstheme="minorBidi"/>
          <w:lang w:val="es-ES"/>
        </w:rPr>
        <w:t>al</w:t>
      </w:r>
      <w:r w:rsidRPr="006C49EF">
        <w:rPr>
          <w:rFonts w:asciiTheme="minorHAnsi" w:hAnsiTheme="minorHAnsi" w:cstheme="minorBidi"/>
          <w:lang w:val="es-ES"/>
        </w:rPr>
        <w:t xml:space="preserve"> logro del ODS 6 y </w:t>
      </w:r>
      <w:r w:rsidR="00AB6F3A" w:rsidRPr="006C49EF">
        <w:rPr>
          <w:rFonts w:asciiTheme="minorHAnsi" w:hAnsiTheme="minorHAnsi" w:cstheme="minorBidi"/>
          <w:lang w:val="es-ES"/>
        </w:rPr>
        <w:t>al</w:t>
      </w:r>
      <w:r w:rsidRPr="006C49EF">
        <w:rPr>
          <w:rFonts w:asciiTheme="minorHAnsi" w:hAnsiTheme="minorHAnsi" w:cstheme="minorBidi"/>
          <w:lang w:val="es-ES"/>
        </w:rPr>
        <w:t xml:space="preserve"> </w:t>
      </w:r>
      <w:r w:rsidR="00101AE7" w:rsidRPr="006C49EF">
        <w:rPr>
          <w:rFonts w:asciiTheme="minorHAnsi" w:hAnsiTheme="minorHAnsi" w:cstheme="minorBidi"/>
          <w:lang w:val="es-ES"/>
        </w:rPr>
        <w:t>seguimiento</w:t>
      </w:r>
      <w:r w:rsidRPr="006C49EF">
        <w:rPr>
          <w:rFonts w:asciiTheme="minorHAnsi" w:hAnsiTheme="minorHAnsi" w:cstheme="minorBidi"/>
          <w:lang w:val="es-ES"/>
        </w:rPr>
        <w:t xml:space="preserve"> del </w:t>
      </w:r>
      <w:r w:rsidR="00101AE7" w:rsidRPr="006C49EF">
        <w:rPr>
          <w:rFonts w:asciiTheme="minorHAnsi" w:hAnsiTheme="minorHAnsi" w:cstheme="minorBidi"/>
          <w:lang w:val="es-ES"/>
        </w:rPr>
        <w:t>indicador</w:t>
      </w:r>
      <w:r w:rsidRPr="006C49EF">
        <w:rPr>
          <w:rFonts w:asciiTheme="minorHAnsi" w:hAnsiTheme="minorHAnsi" w:cstheme="minorBidi"/>
          <w:lang w:val="es-ES"/>
        </w:rPr>
        <w:t xml:space="preserve"> 6.6.1 de los ODS</w:t>
      </w:r>
      <w:r w:rsidR="0086416E">
        <w:rPr>
          <w:rFonts w:asciiTheme="minorHAnsi" w:hAnsiTheme="minorHAnsi" w:cstheme="minorBidi"/>
          <w:lang w:val="es-ES"/>
        </w:rPr>
        <w:t xml:space="preserve">; además, </w:t>
      </w:r>
      <w:r w:rsidR="00AB6F3A" w:rsidRPr="006C49EF">
        <w:rPr>
          <w:rFonts w:asciiTheme="minorHAnsi" w:hAnsiTheme="minorHAnsi" w:cstheme="minorBidi"/>
          <w:lang w:val="es-ES"/>
        </w:rPr>
        <w:t>favorecerá</w:t>
      </w:r>
      <w:r w:rsidRPr="006C49EF">
        <w:rPr>
          <w:rFonts w:asciiTheme="minorHAnsi" w:hAnsiTheme="minorHAnsi" w:cstheme="minorBidi"/>
          <w:lang w:val="es-ES"/>
        </w:rPr>
        <w:t xml:space="preserve"> una gestión </w:t>
      </w:r>
      <w:r w:rsidR="00AB6F3A" w:rsidRPr="006C49EF">
        <w:rPr>
          <w:rFonts w:asciiTheme="minorHAnsi" w:hAnsiTheme="minorHAnsi" w:cstheme="minorBidi"/>
          <w:lang w:val="es-ES"/>
        </w:rPr>
        <w:t xml:space="preserve">eficaz </w:t>
      </w:r>
      <w:r w:rsidRPr="006C49EF">
        <w:rPr>
          <w:rFonts w:asciiTheme="minorHAnsi" w:hAnsiTheme="minorHAnsi" w:cstheme="minorBidi"/>
          <w:lang w:val="es-ES"/>
        </w:rPr>
        <w:t xml:space="preserve">de los </w:t>
      </w:r>
      <w:r w:rsidR="00101AE7" w:rsidRPr="006C49EF">
        <w:rPr>
          <w:rFonts w:asciiTheme="minorHAnsi" w:hAnsiTheme="minorHAnsi" w:cstheme="minorBidi"/>
          <w:lang w:val="es-ES"/>
        </w:rPr>
        <w:t>humedales</w:t>
      </w:r>
      <w:r w:rsidRPr="006C49EF">
        <w:rPr>
          <w:rFonts w:asciiTheme="minorHAnsi" w:hAnsiTheme="minorHAnsi" w:cstheme="minorBidi"/>
          <w:lang w:val="es-ES"/>
        </w:rPr>
        <w:t xml:space="preserve"> para </w:t>
      </w:r>
      <w:r w:rsidR="00101AE7" w:rsidRPr="006C49EF">
        <w:rPr>
          <w:rFonts w:asciiTheme="minorHAnsi" w:hAnsiTheme="minorHAnsi" w:cstheme="minorBidi"/>
          <w:lang w:val="es-ES"/>
        </w:rPr>
        <w:t>cumplir</w:t>
      </w:r>
      <w:r w:rsidRPr="006C49EF">
        <w:rPr>
          <w:rFonts w:asciiTheme="minorHAnsi" w:hAnsiTheme="minorHAnsi" w:cstheme="minorBidi"/>
          <w:lang w:val="es-ES"/>
        </w:rPr>
        <w:t xml:space="preserve"> </w:t>
      </w:r>
      <w:r w:rsidR="00AB6F3A" w:rsidRPr="006C49EF">
        <w:rPr>
          <w:rFonts w:asciiTheme="minorHAnsi" w:hAnsiTheme="minorHAnsi" w:cstheme="minorBidi"/>
          <w:lang w:val="es-ES"/>
        </w:rPr>
        <w:t xml:space="preserve">los </w:t>
      </w:r>
      <w:r w:rsidRPr="006C49EF">
        <w:rPr>
          <w:rFonts w:asciiTheme="minorHAnsi" w:hAnsiTheme="minorHAnsi" w:cstheme="minorBidi"/>
          <w:lang w:val="es-ES"/>
        </w:rPr>
        <w:t xml:space="preserve">compromisos </w:t>
      </w:r>
      <w:r w:rsidR="00AB6F3A" w:rsidRPr="006C49EF">
        <w:rPr>
          <w:rFonts w:asciiTheme="minorHAnsi" w:hAnsiTheme="minorHAnsi" w:cstheme="minorBidi"/>
          <w:lang w:val="es-ES"/>
        </w:rPr>
        <w:t xml:space="preserve">de los países </w:t>
      </w:r>
      <w:r w:rsidRPr="006C49EF">
        <w:rPr>
          <w:rFonts w:asciiTheme="minorHAnsi" w:hAnsiTheme="minorHAnsi" w:cstheme="minorBidi"/>
          <w:lang w:val="es-ES"/>
        </w:rPr>
        <w:t xml:space="preserve">en el marco de la </w:t>
      </w:r>
      <w:r w:rsidR="00101AE7" w:rsidRPr="006C49EF">
        <w:rPr>
          <w:rFonts w:asciiTheme="minorHAnsi" w:hAnsiTheme="minorHAnsi" w:cstheme="minorBidi"/>
          <w:lang w:val="es-ES"/>
        </w:rPr>
        <w:t>Convención</w:t>
      </w:r>
      <w:r w:rsidRPr="006C49EF">
        <w:rPr>
          <w:rFonts w:asciiTheme="minorHAnsi" w:hAnsiTheme="minorHAnsi" w:cstheme="minorBidi"/>
          <w:lang w:val="es-ES"/>
        </w:rPr>
        <w:t xml:space="preserve"> y de otros objetivos mundiales (biodiversidad, clima, neutralidad en la degradación </w:t>
      </w:r>
      <w:r w:rsidRPr="006C49EF">
        <w:rPr>
          <w:rFonts w:asciiTheme="minorHAnsi" w:hAnsiTheme="minorHAnsi" w:cstheme="minorBidi"/>
          <w:color w:val="000000" w:themeColor="text1"/>
          <w:lang w:val="es-ES"/>
        </w:rPr>
        <w:t>de la tierra, etc.)</w:t>
      </w:r>
      <w:r w:rsidR="008F2144" w:rsidRPr="006C49EF">
        <w:rPr>
          <w:rFonts w:asciiTheme="minorHAnsi" w:hAnsiTheme="minorHAnsi" w:cstheme="minorBidi"/>
          <w:color w:val="000000" w:themeColor="text1"/>
          <w:lang w:val="es-ES"/>
        </w:rPr>
        <w:t>.</w:t>
      </w:r>
    </w:p>
    <w:p w14:paraId="700B36FB" w14:textId="77777777" w:rsidR="00862BF1" w:rsidRPr="006C49EF" w:rsidRDefault="00862BF1" w:rsidP="00CD6968">
      <w:pPr>
        <w:pStyle w:val="ListParagraph"/>
        <w:autoSpaceDE w:val="0"/>
        <w:autoSpaceDN w:val="0"/>
        <w:adjustRightInd w:val="0"/>
        <w:ind w:left="426" w:firstLine="0"/>
        <w:rPr>
          <w:rFonts w:asciiTheme="minorHAnsi" w:hAnsiTheme="minorHAnsi" w:cstheme="minorHAnsi"/>
          <w:lang w:val="es-ES"/>
        </w:rPr>
      </w:pPr>
    </w:p>
    <w:p w14:paraId="79493F34" w14:textId="60FF6699" w:rsidR="007824D4" w:rsidRPr="006C49EF" w:rsidRDefault="00993EFD">
      <w:pPr>
        <w:pStyle w:val="ListParagraph"/>
        <w:numPr>
          <w:ilvl w:val="0"/>
          <w:numId w:val="30"/>
        </w:numPr>
        <w:autoSpaceDE w:val="0"/>
        <w:autoSpaceDN w:val="0"/>
        <w:adjustRightInd w:val="0"/>
        <w:ind w:left="426" w:hanging="426"/>
        <w:rPr>
          <w:rFonts w:asciiTheme="minorHAnsi" w:hAnsiTheme="minorHAnsi" w:cstheme="minorHAnsi"/>
          <w:lang w:val="es-ES"/>
        </w:rPr>
      </w:pPr>
      <w:r w:rsidRPr="006C49EF">
        <w:rPr>
          <w:rFonts w:asciiTheme="minorHAnsi" w:hAnsiTheme="minorHAnsi" w:cstheme="minorBidi"/>
          <w:lang w:val="es-ES"/>
        </w:rPr>
        <w:t xml:space="preserve">Se está </w:t>
      </w:r>
      <w:r w:rsidR="00AB6F3A" w:rsidRPr="006C49EF">
        <w:rPr>
          <w:rFonts w:asciiTheme="minorHAnsi" w:hAnsiTheme="minorHAnsi" w:cstheme="minorBidi"/>
          <w:lang w:val="es-ES"/>
        </w:rPr>
        <w:t>preparando</w:t>
      </w:r>
      <w:r w:rsidRPr="006C49EF">
        <w:rPr>
          <w:rFonts w:asciiTheme="minorHAnsi" w:hAnsiTheme="minorHAnsi" w:cstheme="minorBidi"/>
          <w:lang w:val="es-ES"/>
        </w:rPr>
        <w:t xml:space="preserve"> un programa </w:t>
      </w:r>
      <w:r w:rsidR="00AB6F3A" w:rsidRPr="006C49EF">
        <w:rPr>
          <w:rFonts w:asciiTheme="minorHAnsi" w:hAnsiTheme="minorHAnsi" w:cstheme="minorBidi"/>
          <w:lang w:val="es-ES"/>
        </w:rPr>
        <w:t xml:space="preserve">de formación </w:t>
      </w:r>
      <w:r w:rsidRPr="006C49EF">
        <w:rPr>
          <w:rFonts w:asciiTheme="minorHAnsi" w:hAnsiTheme="minorHAnsi" w:cstheme="minorBidi"/>
          <w:lang w:val="es-ES"/>
        </w:rPr>
        <w:t xml:space="preserve">de tres años que consiste en cursos de </w:t>
      </w:r>
      <w:r w:rsidR="00101AE7" w:rsidRPr="006C49EF">
        <w:rPr>
          <w:rFonts w:asciiTheme="minorHAnsi" w:hAnsiTheme="minorHAnsi" w:cstheme="minorBidi"/>
          <w:lang w:val="es-ES"/>
        </w:rPr>
        <w:t>formación</w:t>
      </w:r>
      <w:r w:rsidRPr="006C49EF">
        <w:rPr>
          <w:rFonts w:asciiTheme="minorHAnsi" w:hAnsiTheme="minorHAnsi" w:cstheme="minorBidi"/>
          <w:lang w:val="es-ES"/>
        </w:rPr>
        <w:t xml:space="preserve"> anuales y materiales de </w:t>
      </w:r>
      <w:r w:rsidR="00101AE7" w:rsidRPr="006C49EF">
        <w:rPr>
          <w:rFonts w:asciiTheme="minorHAnsi" w:hAnsiTheme="minorHAnsi" w:cstheme="minorBidi"/>
          <w:lang w:val="es-ES"/>
        </w:rPr>
        <w:t>formación</w:t>
      </w:r>
      <w:r w:rsidRPr="006C49EF">
        <w:rPr>
          <w:rFonts w:asciiTheme="minorHAnsi" w:hAnsiTheme="minorHAnsi" w:cstheme="minorBidi"/>
          <w:lang w:val="es-ES"/>
        </w:rPr>
        <w:t xml:space="preserve"> </w:t>
      </w:r>
      <w:r w:rsidR="0086416E">
        <w:rPr>
          <w:rFonts w:asciiTheme="minorHAnsi" w:hAnsiTheme="minorHAnsi" w:cstheme="minorBidi"/>
          <w:lang w:val="es-ES"/>
        </w:rPr>
        <w:t>conexos</w:t>
      </w:r>
      <w:r w:rsidRPr="006C49EF">
        <w:rPr>
          <w:rFonts w:asciiTheme="minorHAnsi" w:hAnsiTheme="minorHAnsi" w:cstheme="minorBidi"/>
          <w:lang w:val="es-ES"/>
        </w:rPr>
        <w:t xml:space="preserve"> en los tres idiomas oficiales de la Convención. Se organizarán tres </w:t>
      </w:r>
      <w:r w:rsidR="00101AE7" w:rsidRPr="006C49EF">
        <w:rPr>
          <w:rFonts w:asciiTheme="minorHAnsi" w:hAnsiTheme="minorHAnsi" w:cstheme="minorBidi"/>
          <w:lang w:val="es-ES"/>
        </w:rPr>
        <w:t>módulos</w:t>
      </w:r>
      <w:r w:rsidRPr="006C49EF">
        <w:rPr>
          <w:rFonts w:asciiTheme="minorHAnsi" w:hAnsiTheme="minorHAnsi" w:cstheme="minorBidi"/>
          <w:lang w:val="es-ES"/>
        </w:rPr>
        <w:t xml:space="preserve"> de formación entre </w:t>
      </w:r>
      <w:r w:rsidR="007824D4" w:rsidRPr="006C49EF">
        <w:rPr>
          <w:lang w:val="es-ES"/>
        </w:rPr>
        <w:t>2024</w:t>
      </w:r>
      <w:r w:rsidR="006A62DC" w:rsidRPr="006C49EF">
        <w:rPr>
          <w:lang w:val="es-ES"/>
        </w:rPr>
        <w:t xml:space="preserve"> </w:t>
      </w:r>
      <w:r w:rsidRPr="006C49EF">
        <w:rPr>
          <w:lang w:val="es-ES"/>
        </w:rPr>
        <w:t>y</w:t>
      </w:r>
      <w:r w:rsidR="006A62DC" w:rsidRPr="006C49EF">
        <w:rPr>
          <w:lang w:val="es-ES"/>
        </w:rPr>
        <w:t xml:space="preserve"> </w:t>
      </w:r>
      <w:r w:rsidR="007824D4" w:rsidRPr="006C49EF">
        <w:rPr>
          <w:lang w:val="es-ES"/>
        </w:rPr>
        <w:t xml:space="preserve">2026, </w:t>
      </w:r>
      <w:r w:rsidR="00101AE7" w:rsidRPr="006C49EF">
        <w:rPr>
          <w:lang w:val="es-ES"/>
        </w:rPr>
        <w:t>centrados</w:t>
      </w:r>
      <w:r w:rsidRPr="006C49EF">
        <w:rPr>
          <w:lang w:val="es-ES"/>
        </w:rPr>
        <w:t xml:space="preserve"> en lo </w:t>
      </w:r>
      <w:r w:rsidR="00101AE7" w:rsidRPr="006C49EF">
        <w:rPr>
          <w:lang w:val="es-ES"/>
        </w:rPr>
        <w:t>siguiente</w:t>
      </w:r>
      <w:r w:rsidRPr="006C49EF">
        <w:rPr>
          <w:lang w:val="es-ES"/>
        </w:rPr>
        <w:t>:</w:t>
      </w:r>
    </w:p>
    <w:p w14:paraId="0A0AB032" w14:textId="126D18F1" w:rsidR="007824D4" w:rsidRPr="006C49EF" w:rsidRDefault="007824D4" w:rsidP="004C35D9">
      <w:pPr>
        <w:pStyle w:val="ListParagraph"/>
        <w:numPr>
          <w:ilvl w:val="0"/>
          <w:numId w:val="35"/>
        </w:numPr>
        <w:ind w:left="851" w:hanging="425"/>
        <w:rPr>
          <w:iCs/>
          <w:lang w:val="es-ES"/>
        </w:rPr>
      </w:pPr>
      <w:r w:rsidRPr="006C49EF">
        <w:rPr>
          <w:iCs/>
          <w:lang w:val="es-ES"/>
        </w:rPr>
        <w:t>M</w:t>
      </w:r>
      <w:r w:rsidR="00993EFD" w:rsidRPr="006C49EF">
        <w:rPr>
          <w:iCs/>
          <w:lang w:val="es-ES"/>
        </w:rPr>
        <w:t>ódulo</w:t>
      </w:r>
      <w:r w:rsidRPr="006C49EF">
        <w:rPr>
          <w:iCs/>
          <w:lang w:val="es-ES"/>
        </w:rPr>
        <w:t xml:space="preserve"> 1</w:t>
      </w:r>
      <w:r w:rsidR="006A62DC" w:rsidRPr="006C49EF">
        <w:rPr>
          <w:iCs/>
          <w:lang w:val="es-ES"/>
        </w:rPr>
        <w:t>:</w:t>
      </w:r>
      <w:r w:rsidRPr="006C49EF">
        <w:rPr>
          <w:iCs/>
          <w:lang w:val="es-ES"/>
        </w:rPr>
        <w:t xml:space="preserve"> Introduc</w:t>
      </w:r>
      <w:r w:rsidR="00993EFD" w:rsidRPr="006C49EF">
        <w:rPr>
          <w:iCs/>
          <w:lang w:val="es-ES"/>
        </w:rPr>
        <w:t>ción a los inventarios nacionales de humedales;</w:t>
      </w:r>
    </w:p>
    <w:p w14:paraId="57161CD8" w14:textId="1A278321" w:rsidR="007824D4" w:rsidRPr="006C49EF" w:rsidRDefault="00993EFD" w:rsidP="004C35D9">
      <w:pPr>
        <w:pStyle w:val="ListParagraph"/>
        <w:numPr>
          <w:ilvl w:val="0"/>
          <w:numId w:val="35"/>
        </w:numPr>
        <w:ind w:left="851" w:hanging="425"/>
        <w:rPr>
          <w:iCs/>
          <w:lang w:val="es-ES"/>
        </w:rPr>
      </w:pPr>
      <w:r w:rsidRPr="006C49EF">
        <w:rPr>
          <w:iCs/>
          <w:lang w:val="es-ES"/>
        </w:rPr>
        <w:t>Módulo</w:t>
      </w:r>
      <w:r w:rsidR="007824D4" w:rsidRPr="006C49EF">
        <w:rPr>
          <w:iCs/>
          <w:lang w:val="es-ES"/>
        </w:rPr>
        <w:t xml:space="preserve"> 2</w:t>
      </w:r>
      <w:r w:rsidR="006A62DC" w:rsidRPr="006C49EF">
        <w:rPr>
          <w:iCs/>
          <w:lang w:val="es-ES"/>
        </w:rPr>
        <w:t>:</w:t>
      </w:r>
      <w:r w:rsidR="007824D4" w:rsidRPr="006C49EF">
        <w:rPr>
          <w:iCs/>
          <w:lang w:val="es-ES"/>
        </w:rPr>
        <w:t xml:space="preserve"> </w:t>
      </w:r>
      <w:r w:rsidRPr="006C49EF">
        <w:rPr>
          <w:iCs/>
          <w:lang w:val="es-ES"/>
        </w:rPr>
        <w:t xml:space="preserve">Técnicas de observación de la Tierra y </w:t>
      </w:r>
      <w:r w:rsidR="00101AE7" w:rsidRPr="006C49EF">
        <w:rPr>
          <w:iCs/>
          <w:lang w:val="es-ES"/>
        </w:rPr>
        <w:t>conocimientos</w:t>
      </w:r>
      <w:r w:rsidR="00AB6F3A" w:rsidRPr="006C49EF">
        <w:rPr>
          <w:iCs/>
          <w:lang w:val="es-ES"/>
        </w:rPr>
        <w:t xml:space="preserve"> asociados</w:t>
      </w:r>
      <w:r w:rsidRPr="006C49EF">
        <w:rPr>
          <w:iCs/>
          <w:lang w:val="es-ES"/>
        </w:rPr>
        <w:t xml:space="preserve">: </w:t>
      </w:r>
      <w:r w:rsidR="0086416E">
        <w:rPr>
          <w:iCs/>
          <w:lang w:val="es-ES"/>
        </w:rPr>
        <w:t>b</w:t>
      </w:r>
      <w:r w:rsidRPr="006C49EF">
        <w:rPr>
          <w:iCs/>
          <w:lang w:val="es-ES"/>
        </w:rPr>
        <w:t xml:space="preserve">uenas prácticas para contribuir a los </w:t>
      </w:r>
      <w:r w:rsidR="00101AE7" w:rsidRPr="006C49EF">
        <w:rPr>
          <w:iCs/>
          <w:lang w:val="es-ES"/>
        </w:rPr>
        <w:t>inventarios</w:t>
      </w:r>
      <w:r w:rsidRPr="006C49EF">
        <w:rPr>
          <w:iCs/>
          <w:lang w:val="es-ES"/>
        </w:rPr>
        <w:t xml:space="preserve"> </w:t>
      </w:r>
      <w:r w:rsidR="00101AE7" w:rsidRPr="006C49EF">
        <w:rPr>
          <w:iCs/>
          <w:lang w:val="es-ES"/>
        </w:rPr>
        <w:t>nacionales</w:t>
      </w:r>
      <w:r w:rsidRPr="006C49EF">
        <w:rPr>
          <w:iCs/>
          <w:lang w:val="es-ES"/>
        </w:rPr>
        <w:t xml:space="preserve"> de humedales; y</w:t>
      </w:r>
    </w:p>
    <w:p w14:paraId="065D6A88" w14:textId="032F56F9" w:rsidR="007824D4" w:rsidRPr="006C49EF" w:rsidRDefault="00993EFD" w:rsidP="004C35D9">
      <w:pPr>
        <w:pStyle w:val="ListParagraph"/>
        <w:numPr>
          <w:ilvl w:val="0"/>
          <w:numId w:val="35"/>
        </w:numPr>
        <w:ind w:left="851" w:hanging="425"/>
        <w:rPr>
          <w:iCs/>
          <w:lang w:val="es-ES"/>
        </w:rPr>
      </w:pPr>
      <w:r w:rsidRPr="006C49EF">
        <w:rPr>
          <w:iCs/>
          <w:lang w:val="es-ES"/>
        </w:rPr>
        <w:t>Módulo</w:t>
      </w:r>
      <w:r w:rsidR="007824D4" w:rsidRPr="006C49EF">
        <w:rPr>
          <w:iCs/>
          <w:lang w:val="es-ES"/>
        </w:rPr>
        <w:t xml:space="preserve"> 3</w:t>
      </w:r>
      <w:r w:rsidR="006A62DC" w:rsidRPr="006C49EF">
        <w:rPr>
          <w:iCs/>
          <w:lang w:val="es-ES"/>
        </w:rPr>
        <w:t>:</w:t>
      </w:r>
      <w:r w:rsidR="007824D4" w:rsidRPr="006C49EF">
        <w:rPr>
          <w:iCs/>
          <w:lang w:val="es-ES"/>
        </w:rPr>
        <w:t xml:space="preserve"> </w:t>
      </w:r>
      <w:r w:rsidRPr="006C49EF">
        <w:rPr>
          <w:iCs/>
          <w:lang w:val="es-ES"/>
        </w:rPr>
        <w:t xml:space="preserve">Conocimientos ecológicos a largo plazo: </w:t>
      </w:r>
      <w:r w:rsidR="0086416E">
        <w:rPr>
          <w:iCs/>
          <w:lang w:val="es-ES"/>
        </w:rPr>
        <w:t>g</w:t>
      </w:r>
      <w:r w:rsidRPr="006C49EF">
        <w:rPr>
          <w:iCs/>
          <w:lang w:val="es-ES"/>
        </w:rPr>
        <w:t xml:space="preserve">estión y </w:t>
      </w:r>
      <w:r w:rsidR="00101AE7" w:rsidRPr="006C49EF">
        <w:rPr>
          <w:iCs/>
          <w:lang w:val="es-ES"/>
        </w:rPr>
        <w:t>actualización</w:t>
      </w:r>
      <w:r w:rsidRPr="006C49EF">
        <w:rPr>
          <w:iCs/>
          <w:lang w:val="es-ES"/>
        </w:rPr>
        <w:t xml:space="preserve"> de los </w:t>
      </w:r>
      <w:r w:rsidR="00101AE7" w:rsidRPr="006C49EF">
        <w:rPr>
          <w:iCs/>
          <w:lang w:val="es-ES"/>
        </w:rPr>
        <w:t>inventarios</w:t>
      </w:r>
      <w:r w:rsidRPr="006C49EF">
        <w:rPr>
          <w:iCs/>
          <w:lang w:val="es-ES"/>
        </w:rPr>
        <w:t xml:space="preserve"> </w:t>
      </w:r>
      <w:r w:rsidR="00101AE7" w:rsidRPr="006C49EF">
        <w:rPr>
          <w:iCs/>
          <w:lang w:val="es-ES"/>
        </w:rPr>
        <w:t>nacionales</w:t>
      </w:r>
      <w:r w:rsidRPr="006C49EF">
        <w:rPr>
          <w:iCs/>
          <w:lang w:val="es-ES"/>
        </w:rPr>
        <w:t xml:space="preserve"> de humedales</w:t>
      </w:r>
      <w:r w:rsidR="007824D4" w:rsidRPr="006C49EF">
        <w:rPr>
          <w:iCs/>
          <w:lang w:val="es-ES"/>
        </w:rPr>
        <w:t>.</w:t>
      </w:r>
      <w:r w:rsidR="00442CF9" w:rsidRPr="006C49EF">
        <w:rPr>
          <w:iCs/>
          <w:lang w:val="es-ES"/>
        </w:rPr>
        <w:t xml:space="preserve"> </w:t>
      </w:r>
    </w:p>
    <w:p w14:paraId="48CC91A3" w14:textId="77777777" w:rsidR="00016314" w:rsidRPr="006C49EF" w:rsidRDefault="00016314" w:rsidP="00CD6968">
      <w:pPr>
        <w:pStyle w:val="ListParagraph"/>
        <w:autoSpaceDE w:val="0"/>
        <w:autoSpaceDN w:val="0"/>
        <w:adjustRightInd w:val="0"/>
        <w:ind w:left="426" w:firstLine="0"/>
        <w:rPr>
          <w:rFonts w:asciiTheme="minorHAnsi" w:hAnsiTheme="minorHAnsi" w:cstheme="minorHAnsi"/>
          <w:lang w:val="es-ES"/>
        </w:rPr>
      </w:pPr>
    </w:p>
    <w:p w14:paraId="6AFBF6D3" w14:textId="470306D2" w:rsidR="00C90623" w:rsidRPr="006C49EF" w:rsidRDefault="00D33218" w:rsidP="00862BF1">
      <w:pPr>
        <w:pStyle w:val="ListParagraph"/>
        <w:numPr>
          <w:ilvl w:val="0"/>
          <w:numId w:val="30"/>
        </w:numPr>
        <w:autoSpaceDE w:val="0"/>
        <w:autoSpaceDN w:val="0"/>
        <w:adjustRightInd w:val="0"/>
        <w:ind w:left="426" w:hanging="426"/>
        <w:rPr>
          <w:rFonts w:asciiTheme="minorHAnsi" w:hAnsiTheme="minorHAnsi" w:cstheme="minorHAnsi"/>
          <w:lang w:val="es-ES"/>
        </w:rPr>
      </w:pPr>
      <w:r w:rsidRPr="006C49EF">
        <w:rPr>
          <w:rFonts w:asciiTheme="minorHAnsi" w:hAnsiTheme="minorHAnsi" w:cstheme="minorBidi"/>
          <w:lang w:val="es-ES"/>
        </w:rPr>
        <w:t xml:space="preserve">La Secretaría </w:t>
      </w:r>
      <w:r w:rsidR="00857624" w:rsidRPr="006C49EF">
        <w:rPr>
          <w:rFonts w:asciiTheme="minorHAnsi" w:hAnsiTheme="minorHAnsi" w:cstheme="minorBidi"/>
          <w:lang w:val="es-ES"/>
        </w:rPr>
        <w:t xml:space="preserve">se ha asociado con la </w:t>
      </w:r>
      <w:r w:rsidR="00AB6F3A" w:rsidRPr="006C49EF">
        <w:rPr>
          <w:rFonts w:asciiTheme="minorHAnsi" w:hAnsiTheme="minorHAnsi" w:cstheme="minorBidi"/>
          <w:lang w:val="es-ES"/>
        </w:rPr>
        <w:t xml:space="preserve">Oficina de las Naciones Unidas para el Desarrollo Sostenible </w:t>
      </w:r>
      <w:r w:rsidR="006A2AA3" w:rsidRPr="006C49EF">
        <w:rPr>
          <w:rFonts w:asciiTheme="minorHAnsi" w:hAnsiTheme="minorHAnsi" w:cstheme="minorBidi"/>
          <w:lang w:val="es-ES"/>
        </w:rPr>
        <w:t xml:space="preserve">(UNOSD) </w:t>
      </w:r>
      <w:r w:rsidR="00AB6F3A" w:rsidRPr="006C49EF">
        <w:rPr>
          <w:rFonts w:asciiTheme="minorHAnsi" w:hAnsiTheme="minorHAnsi" w:cstheme="minorBidi"/>
          <w:lang w:val="es-ES"/>
        </w:rPr>
        <w:t>con miras a</w:t>
      </w:r>
      <w:r w:rsidR="00E61CD8" w:rsidRPr="006C49EF">
        <w:rPr>
          <w:rFonts w:asciiTheme="minorHAnsi" w:hAnsiTheme="minorHAnsi" w:cstheme="minorBidi"/>
          <w:lang w:val="es-ES"/>
        </w:rPr>
        <w:t xml:space="preserve"> </w:t>
      </w:r>
      <w:r w:rsidR="00AB6F3A" w:rsidRPr="006C49EF">
        <w:rPr>
          <w:rFonts w:asciiTheme="minorHAnsi" w:hAnsiTheme="minorHAnsi" w:cstheme="minorBidi"/>
          <w:lang w:val="es-ES"/>
        </w:rPr>
        <w:t xml:space="preserve">impartir </w:t>
      </w:r>
      <w:r w:rsidR="00E61CD8" w:rsidRPr="006C49EF">
        <w:rPr>
          <w:rFonts w:asciiTheme="minorHAnsi" w:hAnsiTheme="minorHAnsi" w:cstheme="minorBidi"/>
          <w:lang w:val="es-ES"/>
        </w:rPr>
        <w:t xml:space="preserve">el programa de formación en inglés para diez Partes </w:t>
      </w:r>
      <w:r w:rsidR="00E61CD8" w:rsidRPr="006C49EF">
        <w:rPr>
          <w:rFonts w:asciiTheme="minorHAnsi" w:hAnsiTheme="minorHAnsi" w:cstheme="minorBidi"/>
          <w:lang w:val="es-ES"/>
        </w:rPr>
        <w:lastRenderedPageBreak/>
        <w:t>Con</w:t>
      </w:r>
      <w:r w:rsidR="00AB6F3A" w:rsidRPr="006C49EF">
        <w:rPr>
          <w:rFonts w:asciiTheme="minorHAnsi" w:hAnsiTheme="minorHAnsi" w:cstheme="minorBidi"/>
          <w:lang w:val="es-ES"/>
        </w:rPr>
        <w:t>t</w:t>
      </w:r>
      <w:r w:rsidR="00E61CD8" w:rsidRPr="006C49EF">
        <w:rPr>
          <w:rFonts w:asciiTheme="minorHAnsi" w:hAnsiTheme="minorHAnsi" w:cstheme="minorBidi"/>
          <w:lang w:val="es-ES"/>
        </w:rPr>
        <w:t xml:space="preserve">ratantes. El primer curso </w:t>
      </w:r>
      <w:r w:rsidR="008C1A48" w:rsidRPr="006C49EF">
        <w:rPr>
          <w:lang w:val="es-ES"/>
        </w:rPr>
        <w:t>(</w:t>
      </w:r>
      <w:r w:rsidR="00993EFD" w:rsidRPr="006C49EF">
        <w:rPr>
          <w:lang w:val="es-ES"/>
        </w:rPr>
        <w:t>Módulo</w:t>
      </w:r>
      <w:r w:rsidR="008C1A48" w:rsidRPr="006C49EF">
        <w:rPr>
          <w:lang w:val="es-ES"/>
        </w:rPr>
        <w:t xml:space="preserve"> 1) </w:t>
      </w:r>
      <w:r w:rsidR="00E61CD8" w:rsidRPr="006C49EF">
        <w:rPr>
          <w:lang w:val="es-ES"/>
        </w:rPr>
        <w:t xml:space="preserve">tendrá lugar en el </w:t>
      </w:r>
      <w:r w:rsidR="005376D8" w:rsidRPr="006C49EF">
        <w:rPr>
          <w:lang w:val="es-ES"/>
        </w:rPr>
        <w:t xml:space="preserve">National Institute of Ecology </w:t>
      </w:r>
      <w:r w:rsidR="00E61CD8" w:rsidRPr="006C49EF">
        <w:rPr>
          <w:lang w:val="es-ES"/>
        </w:rPr>
        <w:t>en</w:t>
      </w:r>
      <w:r w:rsidR="008C1A48" w:rsidRPr="006C49EF">
        <w:rPr>
          <w:lang w:val="es-ES"/>
        </w:rPr>
        <w:t xml:space="preserve"> Seocheon</w:t>
      </w:r>
      <w:r w:rsidR="00AB6F3A" w:rsidRPr="006C49EF">
        <w:rPr>
          <w:lang w:val="es-ES"/>
        </w:rPr>
        <w:t xml:space="preserve"> (</w:t>
      </w:r>
      <w:r w:rsidR="008C1A48" w:rsidRPr="006C49EF">
        <w:rPr>
          <w:lang w:val="es-ES"/>
        </w:rPr>
        <w:t>Rep</w:t>
      </w:r>
      <w:r w:rsidR="00E61CD8" w:rsidRPr="006C49EF">
        <w:rPr>
          <w:lang w:val="es-ES"/>
        </w:rPr>
        <w:t>ública de Corea</w:t>
      </w:r>
      <w:r w:rsidR="00AB6F3A" w:rsidRPr="006C49EF">
        <w:rPr>
          <w:lang w:val="es-ES"/>
        </w:rPr>
        <w:t>)</w:t>
      </w:r>
      <w:r w:rsidR="00E61CD8" w:rsidRPr="006C49EF">
        <w:rPr>
          <w:lang w:val="es-ES"/>
        </w:rPr>
        <w:t xml:space="preserve"> del </w:t>
      </w:r>
      <w:r w:rsidR="008C1A48" w:rsidRPr="006C49EF">
        <w:rPr>
          <w:lang w:val="es-ES"/>
        </w:rPr>
        <w:t xml:space="preserve">9 </w:t>
      </w:r>
      <w:r w:rsidR="00E61CD8" w:rsidRPr="006C49EF">
        <w:rPr>
          <w:lang w:val="es-ES"/>
        </w:rPr>
        <w:t xml:space="preserve">al </w:t>
      </w:r>
      <w:r w:rsidR="008C1A48" w:rsidRPr="006C49EF">
        <w:rPr>
          <w:lang w:val="es-ES"/>
        </w:rPr>
        <w:t xml:space="preserve">13 </w:t>
      </w:r>
      <w:r w:rsidR="00E61CD8" w:rsidRPr="006C49EF">
        <w:rPr>
          <w:lang w:val="es-ES"/>
        </w:rPr>
        <w:t xml:space="preserve">de septiembre de </w:t>
      </w:r>
      <w:r w:rsidR="008C1A48" w:rsidRPr="006C49EF">
        <w:rPr>
          <w:lang w:val="es-ES"/>
        </w:rPr>
        <w:t xml:space="preserve">2024. </w:t>
      </w:r>
      <w:r w:rsidR="00E61CD8" w:rsidRPr="006C49EF">
        <w:rPr>
          <w:lang w:val="es-ES"/>
        </w:rPr>
        <w:t xml:space="preserve">El objetivo del </w:t>
      </w:r>
      <w:r w:rsidR="00993EFD" w:rsidRPr="006C49EF">
        <w:rPr>
          <w:rFonts w:asciiTheme="minorHAnsi" w:hAnsiTheme="minorHAnsi" w:cstheme="minorBidi"/>
          <w:lang w:val="es-ES"/>
        </w:rPr>
        <w:t>Módulo</w:t>
      </w:r>
      <w:r w:rsidR="007B455E" w:rsidRPr="006C49EF">
        <w:rPr>
          <w:rFonts w:asciiTheme="minorHAnsi" w:hAnsiTheme="minorHAnsi" w:cstheme="minorBidi"/>
          <w:lang w:val="es-ES"/>
        </w:rPr>
        <w:t xml:space="preserve"> 1 </w:t>
      </w:r>
      <w:r w:rsidR="00E61CD8" w:rsidRPr="006C49EF">
        <w:rPr>
          <w:rFonts w:asciiTheme="minorHAnsi" w:hAnsiTheme="minorHAnsi" w:cstheme="minorBidi"/>
          <w:lang w:val="es-ES"/>
        </w:rPr>
        <w:t>es</w:t>
      </w:r>
      <w:r w:rsidR="00AB6F3A" w:rsidRPr="006C49EF">
        <w:rPr>
          <w:rFonts w:asciiTheme="minorHAnsi" w:hAnsiTheme="minorHAnsi" w:cstheme="minorBidi"/>
          <w:lang w:val="es-ES"/>
        </w:rPr>
        <w:t xml:space="preserve"> </w:t>
      </w:r>
      <w:r w:rsidR="00654F16" w:rsidRPr="006C49EF">
        <w:rPr>
          <w:rFonts w:asciiTheme="minorHAnsi" w:hAnsiTheme="minorHAnsi" w:cstheme="minorBidi"/>
          <w:lang w:val="es-ES"/>
        </w:rPr>
        <w:t>orientar</w:t>
      </w:r>
      <w:r w:rsidR="00E61CD8" w:rsidRPr="006C49EF">
        <w:rPr>
          <w:rFonts w:asciiTheme="minorHAnsi" w:hAnsiTheme="minorHAnsi" w:cstheme="minorBidi"/>
          <w:lang w:val="es-ES"/>
        </w:rPr>
        <w:t xml:space="preserve"> a las autoridades nacionales </w:t>
      </w:r>
      <w:r w:rsidR="00654F16" w:rsidRPr="006C49EF">
        <w:rPr>
          <w:rFonts w:asciiTheme="minorHAnsi" w:hAnsiTheme="minorHAnsi" w:cstheme="minorBidi"/>
          <w:lang w:val="es-ES"/>
        </w:rPr>
        <w:t xml:space="preserve">en la planificación de </w:t>
      </w:r>
      <w:r w:rsidR="00E61CD8" w:rsidRPr="006C49EF">
        <w:rPr>
          <w:rFonts w:asciiTheme="minorHAnsi" w:hAnsiTheme="minorHAnsi" w:cstheme="minorBidi"/>
          <w:lang w:val="es-ES"/>
        </w:rPr>
        <w:t>un proceso</w:t>
      </w:r>
      <w:r w:rsidR="00AB6F3A" w:rsidRPr="006C49EF">
        <w:rPr>
          <w:rFonts w:asciiTheme="minorHAnsi" w:hAnsiTheme="minorHAnsi" w:cstheme="minorBidi"/>
          <w:lang w:val="es-ES"/>
        </w:rPr>
        <w:t xml:space="preserve"> sólido</w:t>
      </w:r>
      <w:r w:rsidR="00E61CD8" w:rsidRPr="006C49EF">
        <w:rPr>
          <w:rFonts w:asciiTheme="minorHAnsi" w:hAnsiTheme="minorHAnsi" w:cstheme="minorBidi"/>
          <w:lang w:val="es-ES"/>
        </w:rPr>
        <w:t xml:space="preserve"> de elaboración de los INH, incluida la recolección y gestión de datos</w:t>
      </w:r>
      <w:r w:rsidR="00B52B84" w:rsidRPr="006C49EF">
        <w:rPr>
          <w:rFonts w:asciiTheme="minorHAnsi" w:hAnsiTheme="minorHAnsi" w:cstheme="minorBidi"/>
          <w:lang w:val="es-ES"/>
        </w:rPr>
        <w:t>, y un método para generar flujos de datos orientado a la acción con nexos a las políticas pertinentes, por ejemplo, a los objetivos mundiales de otros AMMA</w:t>
      </w:r>
      <w:r w:rsidR="007B455E" w:rsidRPr="006C49EF">
        <w:rPr>
          <w:rFonts w:asciiTheme="minorHAnsi" w:hAnsiTheme="minorHAnsi" w:cstheme="minorBidi"/>
          <w:lang w:val="es-ES"/>
        </w:rPr>
        <w:t xml:space="preserve">. </w:t>
      </w:r>
    </w:p>
    <w:p w14:paraId="5F38E9F9" w14:textId="77777777" w:rsidR="00C90623" w:rsidRPr="006C49EF" w:rsidRDefault="00C90623" w:rsidP="00CD6968">
      <w:pPr>
        <w:pStyle w:val="ListParagraph"/>
        <w:autoSpaceDE w:val="0"/>
        <w:autoSpaceDN w:val="0"/>
        <w:adjustRightInd w:val="0"/>
        <w:ind w:left="426" w:firstLine="0"/>
        <w:rPr>
          <w:rFonts w:asciiTheme="minorHAnsi" w:hAnsiTheme="minorHAnsi" w:cstheme="minorHAnsi"/>
          <w:lang w:val="es-ES"/>
        </w:rPr>
      </w:pPr>
    </w:p>
    <w:p w14:paraId="2574CFE6" w14:textId="37B755DA" w:rsidR="00862BF1" w:rsidRPr="006C49EF" w:rsidRDefault="00E61CD8" w:rsidP="00CD6968">
      <w:pPr>
        <w:pStyle w:val="ListParagraph"/>
        <w:numPr>
          <w:ilvl w:val="0"/>
          <w:numId w:val="30"/>
        </w:numPr>
        <w:autoSpaceDE w:val="0"/>
        <w:autoSpaceDN w:val="0"/>
        <w:adjustRightInd w:val="0"/>
        <w:ind w:left="426" w:hanging="426"/>
        <w:rPr>
          <w:rFonts w:asciiTheme="minorHAnsi" w:hAnsiTheme="minorHAnsi" w:cstheme="minorHAnsi"/>
          <w:lang w:val="es-ES"/>
        </w:rPr>
      </w:pPr>
      <w:r w:rsidRPr="006C49EF">
        <w:rPr>
          <w:rFonts w:asciiTheme="minorHAnsi" w:hAnsiTheme="minorHAnsi" w:cstheme="minorHAnsi"/>
          <w:lang w:val="es-ES"/>
        </w:rPr>
        <w:t xml:space="preserve">El Módulo </w:t>
      </w:r>
      <w:r w:rsidR="00862BF1" w:rsidRPr="006C49EF">
        <w:rPr>
          <w:rFonts w:asciiTheme="minorHAnsi" w:hAnsiTheme="minorHAnsi" w:cstheme="minorHAnsi"/>
          <w:lang w:val="es-ES"/>
        </w:rPr>
        <w:t xml:space="preserve">1 </w:t>
      </w:r>
      <w:r w:rsidRPr="006C49EF">
        <w:rPr>
          <w:rFonts w:asciiTheme="minorHAnsi" w:hAnsiTheme="minorHAnsi" w:cstheme="minorHAnsi"/>
          <w:lang w:val="es-ES"/>
        </w:rPr>
        <w:t xml:space="preserve">se impartirá de forma presencial en francés y español en </w:t>
      </w:r>
      <w:r w:rsidR="00862BF1" w:rsidRPr="006C49EF">
        <w:rPr>
          <w:rFonts w:asciiTheme="minorHAnsi" w:hAnsiTheme="minorHAnsi" w:cstheme="minorHAnsi"/>
          <w:lang w:val="es-ES"/>
        </w:rPr>
        <w:t xml:space="preserve">2024 o 2025, </w:t>
      </w:r>
      <w:r w:rsidR="00A94E36" w:rsidRPr="006C49EF">
        <w:rPr>
          <w:rFonts w:asciiTheme="minorHAnsi" w:hAnsiTheme="minorHAnsi" w:cstheme="minorHAnsi"/>
          <w:lang w:val="es-ES"/>
        </w:rPr>
        <w:t xml:space="preserve">gracias al apoyo financiero brindado por el Gobierno de Noruega. </w:t>
      </w:r>
      <w:r w:rsidR="00B52B84" w:rsidRPr="006C49EF">
        <w:rPr>
          <w:rFonts w:asciiTheme="minorHAnsi" w:hAnsiTheme="minorHAnsi" w:cstheme="minorHAnsi"/>
          <w:lang w:val="es-ES"/>
        </w:rPr>
        <w:t>Está por determinar el lugar donde se impartirá</w:t>
      </w:r>
      <w:r w:rsidR="00A94E36" w:rsidRPr="006C49EF">
        <w:rPr>
          <w:rFonts w:asciiTheme="minorHAnsi" w:hAnsiTheme="minorHAnsi" w:cstheme="minorHAnsi"/>
          <w:lang w:val="es-ES"/>
        </w:rPr>
        <w:t xml:space="preserve">. Se </w:t>
      </w:r>
      <w:r w:rsidR="00101AE7" w:rsidRPr="006C49EF">
        <w:rPr>
          <w:rFonts w:asciiTheme="minorHAnsi" w:hAnsiTheme="minorHAnsi" w:cstheme="minorHAnsi"/>
          <w:lang w:val="es-ES"/>
        </w:rPr>
        <w:t>necesitan</w:t>
      </w:r>
      <w:r w:rsidR="00A94E36" w:rsidRPr="006C49EF">
        <w:rPr>
          <w:rFonts w:asciiTheme="minorHAnsi" w:hAnsiTheme="minorHAnsi" w:cstheme="minorHAnsi"/>
          <w:lang w:val="es-ES"/>
        </w:rPr>
        <w:t xml:space="preserve"> recursos financieros </w:t>
      </w:r>
      <w:r w:rsidR="00101AE7" w:rsidRPr="006C49EF">
        <w:rPr>
          <w:rFonts w:asciiTheme="minorHAnsi" w:hAnsiTheme="minorHAnsi" w:cstheme="minorHAnsi"/>
          <w:lang w:val="es-ES"/>
        </w:rPr>
        <w:t>adicionales</w:t>
      </w:r>
      <w:r w:rsidR="00A94E36" w:rsidRPr="006C49EF">
        <w:rPr>
          <w:rFonts w:asciiTheme="minorHAnsi" w:hAnsiTheme="minorHAnsi" w:cstheme="minorHAnsi"/>
          <w:lang w:val="es-ES"/>
        </w:rPr>
        <w:t xml:space="preserve"> para </w:t>
      </w:r>
      <w:r w:rsidR="00B52B84" w:rsidRPr="006C49EF">
        <w:rPr>
          <w:rFonts w:asciiTheme="minorHAnsi" w:hAnsiTheme="minorHAnsi" w:cstheme="minorHAnsi"/>
          <w:lang w:val="es-ES"/>
        </w:rPr>
        <w:t>impartir el</w:t>
      </w:r>
      <w:r w:rsidR="00A94E36" w:rsidRPr="006C49EF">
        <w:rPr>
          <w:rFonts w:asciiTheme="minorHAnsi" w:hAnsiTheme="minorHAnsi" w:cstheme="minorHAnsi"/>
          <w:lang w:val="es-ES"/>
        </w:rPr>
        <w:t xml:space="preserve"> programa de </w:t>
      </w:r>
      <w:r w:rsidR="00101AE7" w:rsidRPr="006C49EF">
        <w:rPr>
          <w:rFonts w:asciiTheme="minorHAnsi" w:hAnsiTheme="minorHAnsi" w:cstheme="minorHAnsi"/>
          <w:lang w:val="es-ES"/>
        </w:rPr>
        <w:t>formación</w:t>
      </w:r>
      <w:r w:rsidR="00A94E36" w:rsidRPr="006C49EF">
        <w:rPr>
          <w:rFonts w:asciiTheme="minorHAnsi" w:hAnsiTheme="minorHAnsi" w:cstheme="minorHAnsi"/>
          <w:lang w:val="es-ES"/>
        </w:rPr>
        <w:t xml:space="preserve"> completo en español y francés y para incrementar el número de </w:t>
      </w:r>
      <w:r w:rsidR="00101AE7" w:rsidRPr="006C49EF">
        <w:rPr>
          <w:rFonts w:asciiTheme="minorHAnsi" w:hAnsiTheme="minorHAnsi" w:cstheme="minorHAnsi"/>
          <w:lang w:val="es-ES"/>
        </w:rPr>
        <w:t>participantes</w:t>
      </w:r>
      <w:r w:rsidR="00C90623" w:rsidRPr="006C49EF">
        <w:rPr>
          <w:rFonts w:asciiTheme="minorHAnsi" w:hAnsiTheme="minorHAnsi" w:cstheme="minorHAnsi"/>
          <w:lang w:val="es-ES"/>
        </w:rPr>
        <w:t xml:space="preserve">. </w:t>
      </w:r>
    </w:p>
    <w:p w14:paraId="0D586740" w14:textId="77777777" w:rsidR="00862BF1" w:rsidRPr="006C49EF" w:rsidRDefault="00862BF1" w:rsidP="00CD6968">
      <w:pPr>
        <w:pStyle w:val="ListParagraph"/>
        <w:rPr>
          <w:rFonts w:asciiTheme="minorHAnsi" w:hAnsiTheme="minorHAnsi" w:cstheme="minorBidi"/>
          <w:lang w:val="es-ES"/>
        </w:rPr>
      </w:pPr>
    </w:p>
    <w:p w14:paraId="137DBAAD" w14:textId="79C3372F" w:rsidR="001D0F83" w:rsidRPr="006C49EF" w:rsidRDefault="00A94E36" w:rsidP="001D0F83">
      <w:pPr>
        <w:pStyle w:val="ListParagraph"/>
        <w:numPr>
          <w:ilvl w:val="0"/>
          <w:numId w:val="30"/>
        </w:numPr>
        <w:autoSpaceDE w:val="0"/>
        <w:autoSpaceDN w:val="0"/>
        <w:adjustRightInd w:val="0"/>
        <w:ind w:left="426" w:hanging="426"/>
        <w:rPr>
          <w:rFonts w:asciiTheme="minorHAnsi" w:hAnsiTheme="minorHAnsi" w:cstheme="minorHAnsi"/>
          <w:lang w:val="es-ES"/>
        </w:rPr>
      </w:pPr>
      <w:r w:rsidRPr="006C49EF">
        <w:rPr>
          <w:rFonts w:asciiTheme="minorHAnsi" w:hAnsiTheme="minorHAnsi" w:cstheme="minorBidi"/>
          <w:lang w:val="es-ES"/>
        </w:rPr>
        <w:t xml:space="preserve">La Secretaría </w:t>
      </w:r>
      <w:r w:rsidR="00B52B84" w:rsidRPr="006C49EF">
        <w:rPr>
          <w:rFonts w:asciiTheme="minorHAnsi" w:hAnsiTheme="minorHAnsi" w:cstheme="minorBidi"/>
          <w:lang w:val="es-ES"/>
        </w:rPr>
        <w:t xml:space="preserve">publicará </w:t>
      </w:r>
      <w:r w:rsidRPr="006C49EF">
        <w:rPr>
          <w:rFonts w:asciiTheme="minorHAnsi" w:hAnsiTheme="minorHAnsi" w:cstheme="minorBidi"/>
          <w:lang w:val="es-ES"/>
        </w:rPr>
        <w:t xml:space="preserve">una convocatoria de solicitudes para participar durante la primavera de </w:t>
      </w:r>
      <w:r w:rsidR="001D0F83" w:rsidRPr="006C49EF">
        <w:rPr>
          <w:rFonts w:asciiTheme="minorHAnsi" w:hAnsiTheme="minorHAnsi" w:cstheme="minorBidi"/>
          <w:lang w:val="es-ES"/>
        </w:rPr>
        <w:t>2024</w:t>
      </w:r>
      <w:r w:rsidR="000921EE" w:rsidRPr="006C49EF">
        <w:rPr>
          <w:rFonts w:asciiTheme="minorHAnsi" w:hAnsiTheme="minorHAnsi" w:cstheme="minorBidi"/>
          <w:lang w:val="es-ES"/>
        </w:rPr>
        <w:t>,</w:t>
      </w:r>
      <w:r w:rsidR="001D0F83" w:rsidRPr="006C49EF">
        <w:rPr>
          <w:rFonts w:asciiTheme="minorHAnsi" w:hAnsiTheme="minorHAnsi" w:cstheme="minorBidi"/>
          <w:lang w:val="es-ES"/>
        </w:rPr>
        <w:t xml:space="preserve"> </w:t>
      </w:r>
      <w:r w:rsidRPr="006C49EF">
        <w:rPr>
          <w:rFonts w:asciiTheme="minorHAnsi" w:hAnsiTheme="minorHAnsi" w:cstheme="minorBidi"/>
          <w:lang w:val="es-ES"/>
        </w:rPr>
        <w:t xml:space="preserve">con criterios de selección. Los participantes deberán inscribirse a tres módulos de formación presencial durante tres años. Esto les </w:t>
      </w:r>
      <w:r w:rsidR="00101AE7" w:rsidRPr="006C49EF">
        <w:rPr>
          <w:rFonts w:asciiTheme="minorHAnsi" w:hAnsiTheme="minorHAnsi" w:cstheme="minorBidi"/>
          <w:lang w:val="es-ES"/>
        </w:rPr>
        <w:t>permitirá</w:t>
      </w:r>
      <w:r w:rsidRPr="006C49EF">
        <w:rPr>
          <w:rFonts w:asciiTheme="minorHAnsi" w:hAnsiTheme="minorHAnsi" w:cstheme="minorBidi"/>
          <w:lang w:val="es-ES"/>
        </w:rPr>
        <w:t xml:space="preserve"> incrementar progresivamente sus conocimientos y acciones sobre los INH. Se </w:t>
      </w:r>
      <w:r w:rsidR="00B52B84" w:rsidRPr="006C49EF">
        <w:rPr>
          <w:rFonts w:asciiTheme="minorHAnsi" w:hAnsiTheme="minorHAnsi" w:cstheme="minorBidi"/>
          <w:lang w:val="es-ES"/>
        </w:rPr>
        <w:t>asignarán</w:t>
      </w:r>
      <w:r w:rsidRPr="006C49EF">
        <w:rPr>
          <w:rFonts w:asciiTheme="minorHAnsi" w:hAnsiTheme="minorHAnsi" w:cstheme="minorBidi"/>
          <w:lang w:val="es-ES"/>
        </w:rPr>
        <w:t xml:space="preserve"> </w:t>
      </w:r>
      <w:r w:rsidR="00B52B84" w:rsidRPr="006C49EF">
        <w:rPr>
          <w:rFonts w:asciiTheme="minorHAnsi" w:hAnsiTheme="minorHAnsi" w:cstheme="minorBidi"/>
          <w:lang w:val="es-ES"/>
        </w:rPr>
        <w:t xml:space="preserve">tareas </w:t>
      </w:r>
      <w:r w:rsidRPr="006C49EF">
        <w:rPr>
          <w:rFonts w:asciiTheme="minorHAnsi" w:hAnsiTheme="minorHAnsi" w:cstheme="minorBidi"/>
          <w:lang w:val="es-ES"/>
        </w:rPr>
        <w:t xml:space="preserve">a los participantes entre las sesiones presenciales para garantizar su participación </w:t>
      </w:r>
      <w:r w:rsidR="009D495A" w:rsidRPr="006C49EF">
        <w:rPr>
          <w:rFonts w:asciiTheme="minorHAnsi" w:hAnsiTheme="minorHAnsi" w:cstheme="minorBidi"/>
          <w:lang w:val="es-ES"/>
        </w:rPr>
        <w:t>durante todo este tiempo</w:t>
      </w:r>
      <w:r w:rsidR="001D0F83" w:rsidRPr="006C49EF">
        <w:rPr>
          <w:rFonts w:asciiTheme="minorHAnsi" w:hAnsiTheme="minorHAnsi" w:cstheme="minorBidi"/>
          <w:lang w:val="es-ES"/>
        </w:rPr>
        <w:t>.</w:t>
      </w:r>
      <w:r w:rsidR="00861F5C" w:rsidRPr="006C49EF">
        <w:rPr>
          <w:rFonts w:asciiTheme="minorHAnsi" w:hAnsiTheme="minorHAnsi" w:cstheme="minorBidi"/>
          <w:lang w:val="es-ES"/>
        </w:rPr>
        <w:t xml:space="preserve"> </w:t>
      </w:r>
    </w:p>
    <w:p w14:paraId="596F29B5" w14:textId="77777777" w:rsidR="001D0F83" w:rsidRPr="006C49EF" w:rsidRDefault="001D0F83" w:rsidP="00CD6968">
      <w:pPr>
        <w:pStyle w:val="ListParagraph"/>
        <w:autoSpaceDE w:val="0"/>
        <w:autoSpaceDN w:val="0"/>
        <w:adjustRightInd w:val="0"/>
        <w:ind w:left="426" w:firstLine="0"/>
        <w:rPr>
          <w:rFonts w:asciiTheme="minorHAnsi" w:hAnsiTheme="minorHAnsi" w:cstheme="minorHAnsi"/>
          <w:lang w:val="es-ES"/>
        </w:rPr>
      </w:pPr>
    </w:p>
    <w:p w14:paraId="189FDAB3" w14:textId="4D8500F3" w:rsidR="0035716A" w:rsidRPr="006C49EF" w:rsidRDefault="001C4B83" w:rsidP="0035716A">
      <w:pPr>
        <w:pStyle w:val="ListParagraph"/>
        <w:numPr>
          <w:ilvl w:val="0"/>
          <w:numId w:val="30"/>
        </w:numPr>
        <w:autoSpaceDE w:val="0"/>
        <w:autoSpaceDN w:val="0"/>
        <w:adjustRightInd w:val="0"/>
        <w:ind w:left="426" w:hanging="426"/>
        <w:rPr>
          <w:lang w:val="es-ES"/>
        </w:rPr>
      </w:pPr>
      <w:r w:rsidRPr="006C49EF">
        <w:rPr>
          <w:lang w:val="es-ES"/>
        </w:rPr>
        <w:t xml:space="preserve">La Secretaría tiene previsto buscar expertos </w:t>
      </w:r>
      <w:r w:rsidR="00101AE7" w:rsidRPr="006C49EF">
        <w:rPr>
          <w:lang w:val="es-ES"/>
        </w:rPr>
        <w:t>nacionales</w:t>
      </w:r>
      <w:r w:rsidRPr="006C49EF">
        <w:rPr>
          <w:lang w:val="es-ES"/>
        </w:rPr>
        <w:t xml:space="preserve"> y </w:t>
      </w:r>
      <w:r w:rsidR="00101AE7" w:rsidRPr="006C49EF">
        <w:rPr>
          <w:lang w:val="es-ES"/>
        </w:rPr>
        <w:t>miembros</w:t>
      </w:r>
      <w:r w:rsidRPr="006C49EF">
        <w:rPr>
          <w:lang w:val="es-ES"/>
        </w:rPr>
        <w:t xml:space="preserve"> y observadores del GECT para ser profesores en esos tres módulos. También </w:t>
      </w:r>
      <w:r w:rsidR="009D495A" w:rsidRPr="006C49EF">
        <w:rPr>
          <w:lang w:val="es-ES"/>
        </w:rPr>
        <w:t>aprovechará los</w:t>
      </w:r>
      <w:r w:rsidRPr="006C49EF">
        <w:rPr>
          <w:lang w:val="es-ES"/>
        </w:rPr>
        <w:t xml:space="preserve"> recursos </w:t>
      </w:r>
      <w:r w:rsidR="00101AE7" w:rsidRPr="006C49EF">
        <w:rPr>
          <w:lang w:val="es-ES"/>
        </w:rPr>
        <w:t>nacionales</w:t>
      </w:r>
      <w:r w:rsidRPr="006C49EF">
        <w:rPr>
          <w:lang w:val="es-ES"/>
        </w:rPr>
        <w:t xml:space="preserve"> o regionales existentes, como los que se movilizaron para los </w:t>
      </w:r>
      <w:r w:rsidR="00101AE7" w:rsidRPr="006C49EF">
        <w:rPr>
          <w:lang w:val="es-ES"/>
        </w:rPr>
        <w:t>inventarios</w:t>
      </w:r>
      <w:r w:rsidRPr="006C49EF">
        <w:rPr>
          <w:lang w:val="es-ES"/>
        </w:rPr>
        <w:t xml:space="preserve"> </w:t>
      </w:r>
      <w:r w:rsidR="009D495A" w:rsidRPr="006C49EF">
        <w:rPr>
          <w:lang w:val="es-ES"/>
        </w:rPr>
        <w:t>de humedales de bajo cost</w:t>
      </w:r>
      <w:r w:rsidR="00D70C38">
        <w:rPr>
          <w:lang w:val="es-ES"/>
        </w:rPr>
        <w:t>o</w:t>
      </w:r>
      <w:r w:rsidR="009D495A" w:rsidRPr="006C49EF">
        <w:rPr>
          <w:lang w:val="es-ES"/>
        </w:rPr>
        <w:t xml:space="preserve"> basados en SIG </w:t>
      </w:r>
      <w:r w:rsidRPr="006C49EF">
        <w:rPr>
          <w:lang w:val="es-ES"/>
        </w:rPr>
        <w:t xml:space="preserve">en </w:t>
      </w:r>
      <w:r w:rsidR="0035716A" w:rsidRPr="006C49EF">
        <w:rPr>
          <w:lang w:val="es-ES"/>
        </w:rPr>
        <w:t>Myanmar o Bhut</w:t>
      </w:r>
      <w:r w:rsidRPr="006C49EF">
        <w:rPr>
          <w:lang w:val="es-ES"/>
        </w:rPr>
        <w:t>án</w:t>
      </w:r>
      <w:r w:rsidR="0035716A" w:rsidRPr="006C49EF">
        <w:rPr>
          <w:lang w:val="es-ES"/>
        </w:rPr>
        <w:t xml:space="preserve"> (</w:t>
      </w:r>
      <w:r w:rsidRPr="006C49EF">
        <w:rPr>
          <w:lang w:val="es-ES"/>
        </w:rPr>
        <w:t>véase</w:t>
      </w:r>
      <w:r w:rsidR="0035716A" w:rsidRPr="006C49EF">
        <w:rPr>
          <w:lang w:val="es-ES"/>
        </w:rPr>
        <w:t xml:space="preserve"> </w:t>
      </w:r>
      <w:r w:rsidR="0035716A" w:rsidRPr="006C49EF">
        <w:rPr>
          <w:rFonts w:asciiTheme="minorHAnsi" w:hAnsiTheme="minorHAnsi" w:cstheme="minorBidi"/>
          <w:lang w:val="es-ES"/>
        </w:rPr>
        <w:t xml:space="preserve">2020 </w:t>
      </w:r>
      <w:r w:rsidR="0035716A" w:rsidRPr="006C49EF">
        <w:rPr>
          <w:rFonts w:asciiTheme="minorHAnsi" w:hAnsiTheme="minorHAnsi" w:cstheme="minorBidi"/>
          <w:i/>
          <w:iCs/>
          <w:color w:val="000000" w:themeColor="text1"/>
          <w:lang w:val="es-ES"/>
        </w:rPr>
        <w:t>N</w:t>
      </w:r>
      <w:r w:rsidR="0035716A" w:rsidRPr="006C49EF">
        <w:rPr>
          <w:i/>
          <w:iCs/>
          <w:color w:val="000000" w:themeColor="text1"/>
          <w:lang w:val="es-ES"/>
        </w:rPr>
        <w:t xml:space="preserve">ew </w:t>
      </w:r>
      <w:r w:rsidR="0035716A" w:rsidRPr="006C49EF">
        <w:rPr>
          <w:i/>
          <w:iCs/>
          <w:lang w:val="es-ES"/>
        </w:rPr>
        <w:t>Toolkit for National Wetlands Inventories</w:t>
      </w:r>
      <w:r w:rsidR="009D495A" w:rsidRPr="006C49EF">
        <w:rPr>
          <w:i/>
          <w:iCs/>
          <w:lang w:val="es-ES"/>
        </w:rPr>
        <w:t xml:space="preserve"> </w:t>
      </w:r>
      <w:r w:rsidR="009D495A" w:rsidRPr="006C49EF">
        <w:rPr>
          <w:lang w:val="es-ES"/>
        </w:rPr>
        <w:t>[Nuevo juego de herramientas para los inventarios nacionales de humedales]</w:t>
      </w:r>
      <w:r w:rsidR="0035716A" w:rsidRPr="006C49EF">
        <w:rPr>
          <w:lang w:val="es-ES"/>
        </w:rPr>
        <w:t xml:space="preserve">) </w:t>
      </w:r>
      <w:r w:rsidRPr="006C49EF">
        <w:rPr>
          <w:lang w:val="es-ES"/>
        </w:rPr>
        <w:t>o en Áfric</w:t>
      </w:r>
      <w:r w:rsidR="0035716A" w:rsidRPr="006C49EF">
        <w:rPr>
          <w:lang w:val="es-ES"/>
        </w:rPr>
        <w:t>a (</w:t>
      </w:r>
      <w:r w:rsidR="0035716A" w:rsidRPr="006C49EF">
        <w:rPr>
          <w:color w:val="000000" w:themeColor="text1"/>
          <w:lang w:val="es-ES"/>
        </w:rPr>
        <w:t xml:space="preserve">Global </w:t>
      </w:r>
      <w:r w:rsidR="0035716A" w:rsidRPr="006C49EF">
        <w:rPr>
          <w:lang w:val="es-ES"/>
        </w:rPr>
        <w:t xml:space="preserve">Wetland Africa Toolbox). </w:t>
      </w:r>
    </w:p>
    <w:p w14:paraId="4795C59E" w14:textId="77777777" w:rsidR="00267D8F" w:rsidRPr="006C49EF" w:rsidRDefault="00267D8F" w:rsidP="00267D8F">
      <w:pPr>
        <w:pStyle w:val="ListParagraph"/>
        <w:autoSpaceDE w:val="0"/>
        <w:autoSpaceDN w:val="0"/>
        <w:adjustRightInd w:val="0"/>
        <w:ind w:left="426" w:firstLine="0"/>
        <w:rPr>
          <w:rFonts w:asciiTheme="minorHAnsi" w:hAnsiTheme="minorHAnsi" w:cstheme="minorHAnsi"/>
          <w:lang w:val="es-ES"/>
        </w:rPr>
      </w:pPr>
    </w:p>
    <w:p w14:paraId="57CB07E7" w14:textId="644A5447" w:rsidR="00CA5DD5" w:rsidRPr="006C49EF" w:rsidRDefault="001C4B83" w:rsidP="00CA5DD5">
      <w:pPr>
        <w:pStyle w:val="ListParagraph"/>
        <w:numPr>
          <w:ilvl w:val="0"/>
          <w:numId w:val="30"/>
        </w:numPr>
        <w:autoSpaceDE w:val="0"/>
        <w:autoSpaceDN w:val="0"/>
        <w:adjustRightInd w:val="0"/>
        <w:ind w:left="426" w:hanging="426"/>
        <w:rPr>
          <w:rFonts w:asciiTheme="minorHAnsi" w:hAnsiTheme="minorHAnsi" w:cstheme="minorHAnsi"/>
          <w:lang w:val="es-ES"/>
        </w:rPr>
      </w:pPr>
      <w:r w:rsidRPr="006C49EF">
        <w:rPr>
          <w:lang w:val="es-ES"/>
        </w:rPr>
        <w:t xml:space="preserve">Se prepararán materiales de formación en línea a partir del programa de formación </w:t>
      </w:r>
      <w:r w:rsidR="00124326" w:rsidRPr="006C49EF">
        <w:rPr>
          <w:lang w:val="es-ES"/>
        </w:rPr>
        <w:t xml:space="preserve">mencionado </w:t>
      </w:r>
      <w:r w:rsidRPr="006C49EF">
        <w:rPr>
          <w:lang w:val="es-ES"/>
        </w:rPr>
        <w:t xml:space="preserve">para que estén </w:t>
      </w:r>
      <w:r w:rsidR="00101AE7" w:rsidRPr="006C49EF">
        <w:rPr>
          <w:lang w:val="es-ES"/>
        </w:rPr>
        <w:t>disponibles</w:t>
      </w:r>
      <w:r w:rsidRPr="006C49EF">
        <w:rPr>
          <w:lang w:val="es-ES"/>
        </w:rPr>
        <w:t xml:space="preserve"> públicamente en el sitio web de la Convención. </w:t>
      </w:r>
      <w:r w:rsidR="00D70C38">
        <w:rPr>
          <w:lang w:val="es-ES"/>
        </w:rPr>
        <w:t>Así, t</w:t>
      </w:r>
      <w:r w:rsidRPr="006C49EF">
        <w:rPr>
          <w:lang w:val="es-ES"/>
        </w:rPr>
        <w:t xml:space="preserve">odas las Partes en la Convención </w:t>
      </w:r>
      <w:r w:rsidR="00D70C38">
        <w:rPr>
          <w:lang w:val="es-ES"/>
        </w:rPr>
        <w:t>podrán</w:t>
      </w:r>
      <w:r w:rsidRPr="006C49EF">
        <w:rPr>
          <w:lang w:val="es-ES"/>
        </w:rPr>
        <w:t xml:space="preserve"> acceder a </w:t>
      </w:r>
      <w:r w:rsidR="00124326" w:rsidRPr="006C49EF">
        <w:rPr>
          <w:lang w:val="es-ES"/>
        </w:rPr>
        <w:t>los contenidos principales</w:t>
      </w:r>
      <w:r w:rsidRPr="006C49EF">
        <w:rPr>
          <w:lang w:val="es-ES"/>
        </w:rPr>
        <w:t xml:space="preserve"> del programa de </w:t>
      </w:r>
      <w:r w:rsidR="00101AE7" w:rsidRPr="006C49EF">
        <w:rPr>
          <w:lang w:val="es-ES"/>
        </w:rPr>
        <w:t>formación</w:t>
      </w:r>
      <w:r w:rsidRPr="006C49EF">
        <w:rPr>
          <w:lang w:val="es-ES"/>
        </w:rPr>
        <w:t>.</w:t>
      </w:r>
    </w:p>
    <w:p w14:paraId="22FB0A07" w14:textId="77777777" w:rsidR="00CA5DD5" w:rsidRPr="006C49EF" w:rsidRDefault="00CA5DD5" w:rsidP="00CA5DD5">
      <w:pPr>
        <w:pStyle w:val="ListParagraph"/>
        <w:autoSpaceDE w:val="0"/>
        <w:autoSpaceDN w:val="0"/>
        <w:adjustRightInd w:val="0"/>
        <w:ind w:left="426" w:firstLine="0"/>
        <w:rPr>
          <w:rFonts w:asciiTheme="minorHAnsi" w:hAnsiTheme="minorHAnsi" w:cstheme="minorHAnsi"/>
          <w:lang w:val="es-ES"/>
        </w:rPr>
      </w:pPr>
    </w:p>
    <w:p w14:paraId="3F5F1097" w14:textId="4F5317B6" w:rsidR="00465892" w:rsidRPr="006C49EF" w:rsidRDefault="001C4B83" w:rsidP="00DA36E1">
      <w:pPr>
        <w:keepNext/>
        <w:autoSpaceDE w:val="0"/>
        <w:autoSpaceDN w:val="0"/>
        <w:adjustRightInd w:val="0"/>
        <w:ind w:left="0" w:firstLine="0"/>
        <w:rPr>
          <w:bCs/>
          <w:u w:val="single"/>
          <w:lang w:val="es-ES"/>
        </w:rPr>
      </w:pPr>
      <w:r w:rsidRPr="006C49EF">
        <w:rPr>
          <w:bCs/>
          <w:u w:val="single"/>
          <w:lang w:val="es-ES"/>
        </w:rPr>
        <w:t>Informe sobre la aplicación</w:t>
      </w:r>
    </w:p>
    <w:p w14:paraId="3D0C3D0F" w14:textId="77777777" w:rsidR="00442CF9" w:rsidRPr="006C49EF" w:rsidRDefault="00442CF9" w:rsidP="00DA36E1">
      <w:pPr>
        <w:keepNext/>
        <w:autoSpaceDE w:val="0"/>
        <w:autoSpaceDN w:val="0"/>
        <w:adjustRightInd w:val="0"/>
        <w:ind w:left="0" w:firstLine="0"/>
        <w:rPr>
          <w:lang w:val="es-ES"/>
        </w:rPr>
      </w:pPr>
    </w:p>
    <w:p w14:paraId="198F37E0" w14:textId="78BCFF76" w:rsidR="00863E88" w:rsidRPr="006C49EF" w:rsidRDefault="00FC4EFF" w:rsidP="00465892">
      <w:pPr>
        <w:pStyle w:val="ListParagraph"/>
        <w:numPr>
          <w:ilvl w:val="0"/>
          <w:numId w:val="30"/>
        </w:numPr>
        <w:autoSpaceDE w:val="0"/>
        <w:autoSpaceDN w:val="0"/>
        <w:adjustRightInd w:val="0"/>
        <w:ind w:left="426" w:hanging="426"/>
        <w:rPr>
          <w:lang w:val="es-ES"/>
        </w:rPr>
      </w:pPr>
      <w:r w:rsidRPr="006C49EF">
        <w:rPr>
          <w:lang w:val="es-ES"/>
        </w:rPr>
        <w:t xml:space="preserve">Se puede hacer frente a varias limitaciones y necesidades importantes en la elaboración de los INH y su utilización en el seguimiento, la evaluación y la presentación de informes mediante la creación de una iniciativa encaminada a </w:t>
      </w:r>
      <w:r w:rsidR="00D70C38">
        <w:rPr>
          <w:lang w:val="es-ES"/>
        </w:rPr>
        <w:t>prestar apoyo mediante</w:t>
      </w:r>
      <w:r w:rsidRPr="006C49EF">
        <w:rPr>
          <w:lang w:val="es-ES"/>
        </w:rPr>
        <w:t xml:space="preserve"> la observación de la Tierra</w:t>
      </w:r>
      <w:r w:rsidR="004F265B" w:rsidRPr="006C49EF">
        <w:rPr>
          <w:lang w:val="es-ES"/>
        </w:rPr>
        <w:t>.</w:t>
      </w:r>
    </w:p>
    <w:p w14:paraId="265F5488" w14:textId="77777777" w:rsidR="00863E88" w:rsidRPr="006C49EF" w:rsidRDefault="00863E88" w:rsidP="00CD6968">
      <w:pPr>
        <w:pStyle w:val="ListParagraph"/>
        <w:autoSpaceDE w:val="0"/>
        <w:autoSpaceDN w:val="0"/>
        <w:adjustRightInd w:val="0"/>
        <w:ind w:left="426" w:firstLine="0"/>
        <w:rPr>
          <w:lang w:val="es-ES"/>
        </w:rPr>
      </w:pPr>
    </w:p>
    <w:p w14:paraId="716275B7" w14:textId="6EA6114B" w:rsidR="00052219" w:rsidRPr="006C49EF" w:rsidRDefault="00FC4EFF" w:rsidP="00052219">
      <w:pPr>
        <w:pStyle w:val="ListParagraph"/>
        <w:numPr>
          <w:ilvl w:val="0"/>
          <w:numId w:val="30"/>
        </w:numPr>
        <w:autoSpaceDE w:val="0"/>
        <w:autoSpaceDN w:val="0"/>
        <w:adjustRightInd w:val="0"/>
        <w:ind w:left="426" w:hanging="426"/>
        <w:rPr>
          <w:lang w:val="es-ES"/>
        </w:rPr>
      </w:pPr>
      <w:r w:rsidRPr="006C49EF">
        <w:rPr>
          <w:lang w:val="es-ES"/>
        </w:rPr>
        <w:t xml:space="preserve">La Secretaría sigue colaborando con la Secretaría del Group on Earth Observations (GEO) </w:t>
      </w:r>
      <w:r w:rsidR="00F40E73">
        <w:rPr>
          <w:lang w:val="es-ES"/>
        </w:rPr>
        <w:t>en</w:t>
      </w:r>
      <w:r w:rsidRPr="006C49EF">
        <w:rPr>
          <w:lang w:val="es-ES"/>
        </w:rPr>
        <w:t xml:space="preserve"> la creación de un “Atlas de los Ecosistemas del Mundo” (</w:t>
      </w:r>
      <w:r w:rsidR="007029AB" w:rsidRPr="006C49EF">
        <w:rPr>
          <w:i/>
          <w:iCs/>
          <w:lang w:val="es-ES"/>
        </w:rPr>
        <w:t>Global Ecosystem Atlas</w:t>
      </w:r>
      <w:r w:rsidRPr="006C49EF">
        <w:rPr>
          <w:lang w:val="es-ES"/>
        </w:rPr>
        <w:t>) basado en la Tipología Mundial de Ecosistemas de la UICN</w:t>
      </w:r>
      <w:r w:rsidR="007029AB" w:rsidRPr="006C49EF">
        <w:rPr>
          <w:lang w:val="es-ES"/>
        </w:rPr>
        <w:t>.</w:t>
      </w:r>
      <w:r w:rsidRPr="006C49EF">
        <w:rPr>
          <w:lang w:val="es-ES"/>
        </w:rPr>
        <w:t xml:space="preserve"> Se está planteando la posibilidad de presentar una prueba de concepto en la</w:t>
      </w:r>
      <w:r w:rsidR="007029AB" w:rsidRPr="006C49EF">
        <w:rPr>
          <w:lang w:val="es-ES"/>
        </w:rPr>
        <w:t xml:space="preserve"> COP16</w:t>
      </w:r>
      <w:r w:rsidR="009A1D84" w:rsidRPr="006C49EF">
        <w:rPr>
          <w:lang w:val="es-ES"/>
        </w:rPr>
        <w:t xml:space="preserve"> </w:t>
      </w:r>
      <w:r w:rsidRPr="006C49EF">
        <w:rPr>
          <w:lang w:val="es-ES"/>
        </w:rPr>
        <w:t>del Convenio sobre la Diversidad Biológica (CDB) en C</w:t>
      </w:r>
      <w:r w:rsidR="007029AB" w:rsidRPr="006C49EF">
        <w:rPr>
          <w:lang w:val="es-ES"/>
        </w:rPr>
        <w:t>ali</w:t>
      </w:r>
      <w:r w:rsidRPr="006C49EF">
        <w:rPr>
          <w:lang w:val="es-ES"/>
        </w:rPr>
        <w:t xml:space="preserve"> (</w:t>
      </w:r>
      <w:r w:rsidR="007029AB" w:rsidRPr="006C49EF">
        <w:rPr>
          <w:lang w:val="es-ES"/>
        </w:rPr>
        <w:t>Colombia</w:t>
      </w:r>
      <w:r w:rsidRPr="006C49EF">
        <w:rPr>
          <w:lang w:val="es-ES"/>
        </w:rPr>
        <w:t xml:space="preserve">) del </w:t>
      </w:r>
      <w:r w:rsidR="007029AB" w:rsidRPr="006C49EF">
        <w:rPr>
          <w:lang w:val="es-ES"/>
        </w:rPr>
        <w:t xml:space="preserve">21 </w:t>
      </w:r>
      <w:r w:rsidRPr="006C49EF">
        <w:rPr>
          <w:lang w:val="es-ES"/>
        </w:rPr>
        <w:t>de octubre al 1 de noviembre de</w:t>
      </w:r>
      <w:r w:rsidR="007029AB" w:rsidRPr="006C49EF">
        <w:rPr>
          <w:lang w:val="es-ES"/>
        </w:rPr>
        <w:t xml:space="preserve"> 2024.</w:t>
      </w:r>
    </w:p>
    <w:p w14:paraId="785C9D76" w14:textId="77777777" w:rsidR="00052219" w:rsidRPr="006C49EF" w:rsidRDefault="00052219" w:rsidP="00052219">
      <w:pPr>
        <w:pStyle w:val="ListParagraph"/>
        <w:autoSpaceDE w:val="0"/>
        <w:autoSpaceDN w:val="0"/>
        <w:adjustRightInd w:val="0"/>
        <w:ind w:left="426" w:firstLine="0"/>
        <w:rPr>
          <w:lang w:val="es-ES"/>
        </w:rPr>
      </w:pPr>
    </w:p>
    <w:p w14:paraId="0D023419" w14:textId="72C53E08" w:rsidR="008237C3" w:rsidRPr="006C49EF" w:rsidRDefault="006170FD" w:rsidP="008237C3">
      <w:pPr>
        <w:pStyle w:val="ListParagraph"/>
        <w:numPr>
          <w:ilvl w:val="0"/>
          <w:numId w:val="30"/>
        </w:numPr>
        <w:autoSpaceDE w:val="0"/>
        <w:autoSpaceDN w:val="0"/>
        <w:adjustRightInd w:val="0"/>
        <w:ind w:left="426" w:hanging="426"/>
        <w:rPr>
          <w:lang w:val="es-ES"/>
        </w:rPr>
      </w:pPr>
      <w:r w:rsidRPr="006C49EF">
        <w:rPr>
          <w:rStyle w:val="xapple-tab-span"/>
          <w:rFonts w:eastAsia="Times New Roman"/>
          <w:lang w:val="es-ES"/>
        </w:rPr>
        <w:t xml:space="preserve">Además de ello, la Secretaría </w:t>
      </w:r>
      <w:r w:rsidR="00F40E73">
        <w:rPr>
          <w:rStyle w:val="xapple-tab-span"/>
          <w:rFonts w:eastAsia="Times New Roman"/>
          <w:lang w:val="es-ES"/>
        </w:rPr>
        <w:t>señaló</w:t>
      </w:r>
      <w:r w:rsidRPr="006C49EF">
        <w:rPr>
          <w:rStyle w:val="xapple-tab-span"/>
          <w:rFonts w:eastAsia="Times New Roman"/>
          <w:lang w:val="es-ES"/>
        </w:rPr>
        <w:t xml:space="preserve"> la posibilidad de crear un</w:t>
      </w:r>
      <w:r w:rsidR="00286016" w:rsidRPr="006C49EF">
        <w:rPr>
          <w:rStyle w:val="xapple-tab-span"/>
          <w:rFonts w:eastAsia="Times New Roman"/>
          <w:lang w:val="es-ES"/>
        </w:rPr>
        <w:t xml:space="preserve">a iniciativa </w:t>
      </w:r>
      <w:r w:rsidRPr="006C49EF">
        <w:rPr>
          <w:rStyle w:val="xapple-tab-span"/>
          <w:rFonts w:eastAsia="Times New Roman"/>
          <w:lang w:val="es-ES"/>
        </w:rPr>
        <w:t xml:space="preserve">basada en los modelos proporcionados por </w:t>
      </w:r>
      <w:r w:rsidR="00286016" w:rsidRPr="006C49EF">
        <w:rPr>
          <w:rStyle w:val="xapple-tab-span"/>
          <w:rFonts w:eastAsia="Times New Roman"/>
          <w:lang w:val="es-ES"/>
        </w:rPr>
        <w:t xml:space="preserve">las iniciativas </w:t>
      </w:r>
      <w:r w:rsidRPr="006C49EF">
        <w:rPr>
          <w:rStyle w:val="xapple-tab-span"/>
          <w:rFonts w:eastAsia="Times New Roman"/>
          <w:lang w:val="es-ES"/>
        </w:rPr>
        <w:t xml:space="preserve">GEO </w:t>
      </w:r>
      <w:r w:rsidRPr="00F40E73">
        <w:rPr>
          <w:rStyle w:val="xapple-tab-span"/>
          <w:rFonts w:eastAsia="Times New Roman"/>
          <w:lang w:val="es-ES"/>
        </w:rPr>
        <w:t>F</w:t>
      </w:r>
      <w:r w:rsidR="00052219" w:rsidRPr="00F40E73">
        <w:rPr>
          <w:rFonts w:eastAsia="Times New Roman"/>
          <w:lang w:val="es-ES"/>
        </w:rPr>
        <w:t>lagships</w:t>
      </w:r>
      <w:r w:rsidRPr="006C49EF">
        <w:rPr>
          <w:rFonts w:eastAsia="Times New Roman"/>
          <w:lang w:val="es-ES"/>
        </w:rPr>
        <w:t xml:space="preserve"> existentes</w:t>
      </w:r>
      <w:r w:rsidR="00052219" w:rsidRPr="006C49EF">
        <w:rPr>
          <w:rFonts w:eastAsia="Times New Roman"/>
          <w:lang w:val="es-ES"/>
        </w:rPr>
        <w:t xml:space="preserve"> (</w:t>
      </w:r>
      <w:r w:rsidR="00286016" w:rsidRPr="006C49EF">
        <w:rPr>
          <w:rFonts w:eastAsia="Times New Roman"/>
          <w:lang w:val="es-ES"/>
        </w:rPr>
        <w:t xml:space="preserve">p. ej., </w:t>
      </w:r>
      <w:r w:rsidR="00052219" w:rsidRPr="006C49EF">
        <w:rPr>
          <w:rFonts w:eastAsia="Times New Roman"/>
          <w:lang w:val="es-ES"/>
        </w:rPr>
        <w:t>GEO Land Degradation Neutrality Flagship</w:t>
      </w:r>
      <w:r w:rsidR="00286016" w:rsidRPr="006C49EF">
        <w:rPr>
          <w:rFonts w:eastAsia="Times New Roman"/>
          <w:lang w:val="es-ES"/>
        </w:rPr>
        <w:t xml:space="preserve">, </w:t>
      </w:r>
      <w:r w:rsidR="00052219" w:rsidRPr="006C49EF">
        <w:rPr>
          <w:rFonts w:eastAsia="Times New Roman"/>
          <w:lang w:val="es-ES"/>
        </w:rPr>
        <w:t>GEO-LDN</w:t>
      </w:r>
      <w:r w:rsidR="00286016" w:rsidRPr="006C49EF">
        <w:rPr>
          <w:rFonts w:eastAsia="Times New Roman"/>
          <w:lang w:val="es-ES"/>
        </w:rPr>
        <w:t>, sobre la neutralidad en la degradación de la tierra</w:t>
      </w:r>
      <w:r w:rsidR="00052219" w:rsidRPr="006C49EF">
        <w:rPr>
          <w:rFonts w:eastAsia="Times New Roman"/>
          <w:lang w:val="es-ES"/>
        </w:rPr>
        <w:t xml:space="preserve">). </w:t>
      </w:r>
      <w:r w:rsidR="00286016" w:rsidRPr="006C49EF">
        <w:rPr>
          <w:rFonts w:eastAsia="Times New Roman"/>
          <w:lang w:val="es-ES"/>
        </w:rPr>
        <w:t xml:space="preserve">Esto podría, por ejemplo, brindar acceso a datos mundiales conservados sobre la extensión de los ecosistemas y los cambios en estos que las Partes Contratantes </w:t>
      </w:r>
      <w:r w:rsidR="00F40E73">
        <w:rPr>
          <w:rFonts w:eastAsia="Times New Roman"/>
          <w:lang w:val="es-ES"/>
        </w:rPr>
        <w:t>podrían</w:t>
      </w:r>
      <w:r w:rsidR="00286016" w:rsidRPr="006C49EF">
        <w:rPr>
          <w:rFonts w:eastAsia="Times New Roman"/>
          <w:lang w:val="es-ES"/>
        </w:rPr>
        <w:t xml:space="preserve"> utilizar para sus inventarios nacionales; reforzar el inventario de los tipos de humedales cuyo inventario sigue siendo limitado o difícil; elaborar herramientas y orientaciones técnicas, metodológicas y de otro tipo; y brindar una comunidad de práctica. La Secretaría estudiará esa iniciativa en consulta </w:t>
      </w:r>
      <w:r w:rsidR="00286016" w:rsidRPr="006C49EF">
        <w:rPr>
          <w:rFonts w:eastAsia="Times New Roman"/>
          <w:lang w:val="es-ES"/>
        </w:rPr>
        <w:lastRenderedPageBreak/>
        <w:t>con el GECT y en colaboración con los asociados pertinentes, entre otras cosas a través de un estudio de viabilidad.</w:t>
      </w:r>
    </w:p>
    <w:p w14:paraId="0523723F" w14:textId="77777777" w:rsidR="008237C3" w:rsidRPr="006C49EF" w:rsidRDefault="008237C3" w:rsidP="008237C3">
      <w:pPr>
        <w:pStyle w:val="ListParagraph"/>
        <w:autoSpaceDE w:val="0"/>
        <w:autoSpaceDN w:val="0"/>
        <w:adjustRightInd w:val="0"/>
        <w:ind w:left="426" w:firstLine="0"/>
        <w:rPr>
          <w:lang w:val="es-ES"/>
        </w:rPr>
      </w:pPr>
    </w:p>
    <w:p w14:paraId="285B1F11" w14:textId="5DEAA141" w:rsidR="009E2B6D" w:rsidRPr="006C49EF" w:rsidRDefault="00286016" w:rsidP="008237C3">
      <w:pPr>
        <w:pStyle w:val="ListParagraph"/>
        <w:numPr>
          <w:ilvl w:val="0"/>
          <w:numId w:val="30"/>
        </w:numPr>
        <w:autoSpaceDE w:val="0"/>
        <w:autoSpaceDN w:val="0"/>
        <w:adjustRightInd w:val="0"/>
        <w:ind w:left="426" w:hanging="426"/>
        <w:rPr>
          <w:rFonts w:eastAsia="Times New Roman"/>
          <w:lang w:val="es-ES"/>
        </w:rPr>
      </w:pPr>
      <w:r w:rsidRPr="006C49EF">
        <w:rPr>
          <w:rFonts w:eastAsia="Times New Roman"/>
          <w:lang w:val="es-ES"/>
        </w:rPr>
        <w:t>Además, algunas Partes Contratantes de África se beneficiarán del apoyo técnico directo que se prestará durante el período de 3 años del curso de formación sobre los INH, entre dos COP. Las actividades de apoyo técnico serán acordes a los programas de orientación y creación de capacidad y se centrarán en el grupo de Partes de África seleccionadas para el curso de formación. El objetivo es que estas Partes reciban</w:t>
      </w:r>
      <w:r w:rsidR="00505ED9" w:rsidRPr="006C49EF">
        <w:rPr>
          <w:rFonts w:eastAsia="Times New Roman"/>
          <w:lang w:val="es-ES"/>
        </w:rPr>
        <w:t xml:space="preserve"> apoyo concreto para ejecutar el proceso estructurado de los INH que se presentará en el </w:t>
      </w:r>
      <w:r w:rsidR="00993EFD" w:rsidRPr="006C49EF">
        <w:rPr>
          <w:rFonts w:eastAsia="Times New Roman"/>
          <w:lang w:val="es-ES"/>
        </w:rPr>
        <w:t>Módulo</w:t>
      </w:r>
      <w:r w:rsidR="008237C3" w:rsidRPr="006C49EF">
        <w:rPr>
          <w:rFonts w:eastAsia="Times New Roman"/>
          <w:lang w:val="es-ES"/>
        </w:rPr>
        <w:t xml:space="preserve"> 1 </w:t>
      </w:r>
      <w:r w:rsidR="00505ED9" w:rsidRPr="006C49EF">
        <w:rPr>
          <w:rFonts w:eastAsia="Times New Roman"/>
          <w:lang w:val="es-ES"/>
        </w:rPr>
        <w:t xml:space="preserve">del curso de formación, y utilizar los elementos comunes de los INH (conjuntos de datos esenciales) y los protocolos de </w:t>
      </w:r>
      <w:r w:rsidR="006C49EF" w:rsidRPr="006C49EF">
        <w:rPr>
          <w:rFonts w:eastAsia="Times New Roman"/>
          <w:lang w:val="es-ES"/>
        </w:rPr>
        <w:t>gestión</w:t>
      </w:r>
      <w:r w:rsidR="00505ED9" w:rsidRPr="006C49EF">
        <w:rPr>
          <w:rFonts w:eastAsia="Times New Roman"/>
          <w:lang w:val="es-ES"/>
        </w:rPr>
        <w:t xml:space="preserve"> de datos que se definirán en el nuevo material de orientación (véase la sección sobre las orientaciones adicionales más arriba). Este apoyo específico para la realización de los INH se prestará </w:t>
      </w:r>
      <w:r w:rsidR="00505ED9" w:rsidRPr="00425F1D">
        <w:rPr>
          <w:rFonts w:eastAsia="Times New Roman"/>
          <w:lang w:val="es-ES"/>
        </w:rPr>
        <w:t>movilizando</w:t>
      </w:r>
      <w:r w:rsidR="00505ED9" w:rsidRPr="006C49EF">
        <w:rPr>
          <w:rFonts w:eastAsia="Times New Roman"/>
          <w:lang w:val="es-ES"/>
        </w:rPr>
        <w:t xml:space="preserve"> los recursos disponibles en los ministerios, organismos y universidades definidos por las Partes seleccionadas de forma que haya una apropiación local del proceso de los INH. Se consultarán adecuadamente las iniciativas y los recursos regionales existentes y se firmarán otros acuerdos institucionales, por ejemplo, con </w:t>
      </w:r>
      <w:r w:rsidR="008237C3" w:rsidRPr="006C49EF">
        <w:rPr>
          <w:rFonts w:eastAsia="Times New Roman"/>
          <w:lang w:val="es-ES"/>
        </w:rPr>
        <w:t xml:space="preserve">Digital Earth Africa. </w:t>
      </w:r>
      <w:r w:rsidR="00505ED9" w:rsidRPr="006C49EF">
        <w:rPr>
          <w:rFonts w:eastAsia="Times New Roman"/>
          <w:lang w:val="es-ES"/>
        </w:rPr>
        <w:t>Esta actividad de apoyo técnico se llevará a cabo gracias al apoyo financiero brindado por la región de Flandes en Bélgica</w:t>
      </w:r>
      <w:r w:rsidR="008237C3" w:rsidRPr="006C49EF">
        <w:rPr>
          <w:rFonts w:eastAsia="Times New Roman"/>
          <w:lang w:val="es-ES"/>
        </w:rPr>
        <w:t>.</w:t>
      </w:r>
    </w:p>
    <w:p w14:paraId="4AC39CBA" w14:textId="77777777" w:rsidR="00536368" w:rsidRPr="006C49EF" w:rsidRDefault="00536368" w:rsidP="00536368">
      <w:pPr>
        <w:pStyle w:val="ListParagraph"/>
        <w:autoSpaceDE w:val="0"/>
        <w:autoSpaceDN w:val="0"/>
        <w:adjustRightInd w:val="0"/>
        <w:ind w:left="426" w:firstLine="0"/>
        <w:rPr>
          <w:bCs/>
          <w:u w:val="single"/>
          <w:lang w:val="es-ES"/>
        </w:rPr>
      </w:pPr>
    </w:p>
    <w:p w14:paraId="061C5EF3" w14:textId="726F7D94" w:rsidR="00892E8C" w:rsidRPr="006C49EF" w:rsidRDefault="00505ED9" w:rsidP="00892E8C">
      <w:pPr>
        <w:rPr>
          <w:bCs/>
          <w:u w:val="single"/>
          <w:lang w:val="es-ES"/>
        </w:rPr>
      </w:pPr>
      <w:r w:rsidRPr="006C49EF">
        <w:rPr>
          <w:bCs/>
          <w:u w:val="single"/>
          <w:lang w:val="es-ES"/>
        </w:rPr>
        <w:t>Movilización de recursos</w:t>
      </w:r>
    </w:p>
    <w:p w14:paraId="0973476E" w14:textId="77777777" w:rsidR="007259FB" w:rsidRPr="006C49EF" w:rsidRDefault="007259FB" w:rsidP="00892E8C">
      <w:pPr>
        <w:rPr>
          <w:bCs/>
          <w:u w:val="single"/>
          <w:lang w:val="es-ES"/>
        </w:rPr>
      </w:pPr>
    </w:p>
    <w:p w14:paraId="1B474F26" w14:textId="7DA52247" w:rsidR="00845E6F" w:rsidRPr="00845E6F" w:rsidRDefault="00505ED9" w:rsidP="00E55CB6">
      <w:pPr>
        <w:pStyle w:val="ListParagraph"/>
        <w:numPr>
          <w:ilvl w:val="0"/>
          <w:numId w:val="30"/>
        </w:numPr>
        <w:autoSpaceDE w:val="0"/>
        <w:autoSpaceDN w:val="0"/>
        <w:adjustRightInd w:val="0"/>
        <w:ind w:left="426" w:hanging="426"/>
        <w:rPr>
          <w:rFonts w:asciiTheme="minorHAnsi" w:hAnsiTheme="minorHAnsi" w:cstheme="minorHAnsi"/>
          <w:lang w:val="es-ES"/>
        </w:rPr>
      </w:pPr>
      <w:r w:rsidRPr="00845E6F">
        <w:rPr>
          <w:rFonts w:asciiTheme="minorHAnsi" w:hAnsiTheme="minorHAnsi" w:cstheme="minorBidi"/>
          <w:lang w:val="es-ES"/>
        </w:rPr>
        <w:t xml:space="preserve">Gracias a los recursos financieros ya obtenidos, la Secretaría podrá realizar varias actividades del mecanismo de apoyo a los INH durante los próximos años (véase el Cuadro 1 a continuación). Para que la Secretaría pueda </w:t>
      </w:r>
      <w:r w:rsidR="00845E6F" w:rsidRPr="00845E6F">
        <w:rPr>
          <w:rFonts w:asciiTheme="minorHAnsi" w:hAnsiTheme="minorHAnsi" w:cstheme="minorBidi"/>
          <w:lang w:val="es-ES"/>
        </w:rPr>
        <w:t xml:space="preserve">aportar a las </w:t>
      </w:r>
      <w:r w:rsidRPr="00845E6F">
        <w:rPr>
          <w:rFonts w:asciiTheme="minorHAnsi" w:hAnsiTheme="minorHAnsi" w:cstheme="minorBidi"/>
          <w:lang w:val="es-ES"/>
        </w:rPr>
        <w:t xml:space="preserve">Partes Contratantes un mayor apoyo en la elaboración de los INH, serán necesarios recursos financieros </w:t>
      </w:r>
      <w:r w:rsidR="006C49EF" w:rsidRPr="00845E6F">
        <w:rPr>
          <w:rFonts w:asciiTheme="minorHAnsi" w:hAnsiTheme="minorHAnsi" w:cstheme="minorBidi"/>
          <w:lang w:val="es-ES"/>
        </w:rPr>
        <w:t>adicionales</w:t>
      </w:r>
      <w:r w:rsidRPr="00845E6F">
        <w:rPr>
          <w:rFonts w:asciiTheme="minorHAnsi" w:hAnsiTheme="minorHAnsi" w:cstheme="minorBidi"/>
          <w:lang w:val="es-ES"/>
        </w:rPr>
        <w:t xml:space="preserve">, por ejemplo, </w:t>
      </w:r>
      <w:r w:rsidR="00845E6F" w:rsidRPr="00845E6F">
        <w:rPr>
          <w:rFonts w:asciiTheme="minorHAnsi" w:hAnsiTheme="minorHAnsi" w:cstheme="minorBidi"/>
          <w:lang w:val="es-ES"/>
        </w:rPr>
        <w:t xml:space="preserve">para elaborar </w:t>
      </w:r>
      <w:r w:rsidRPr="00845E6F">
        <w:rPr>
          <w:rFonts w:asciiTheme="minorHAnsi" w:hAnsiTheme="minorHAnsi" w:cstheme="minorBidi"/>
          <w:lang w:val="es-ES"/>
        </w:rPr>
        <w:t xml:space="preserve">materiales de orientación y formación, para ampliar el número de Partes Contratantes a las que se puede impartir </w:t>
      </w:r>
      <w:r w:rsidR="006C49EF" w:rsidRPr="00845E6F">
        <w:rPr>
          <w:rFonts w:asciiTheme="minorHAnsi" w:hAnsiTheme="minorHAnsi" w:cstheme="minorBidi"/>
          <w:lang w:val="es-ES"/>
        </w:rPr>
        <w:t>formación</w:t>
      </w:r>
      <w:r w:rsidRPr="00845E6F">
        <w:rPr>
          <w:rFonts w:asciiTheme="minorHAnsi" w:hAnsiTheme="minorHAnsi" w:cstheme="minorBidi"/>
          <w:lang w:val="es-ES"/>
        </w:rPr>
        <w:t xml:space="preserve"> presencial, y para ofrecer el apoyo en los </w:t>
      </w:r>
      <w:r w:rsidR="006C49EF" w:rsidRPr="00845E6F">
        <w:rPr>
          <w:rFonts w:asciiTheme="minorHAnsi" w:hAnsiTheme="minorHAnsi" w:cstheme="minorBidi"/>
          <w:lang w:val="es-ES"/>
        </w:rPr>
        <w:t>tres</w:t>
      </w:r>
      <w:r w:rsidRPr="00845E6F">
        <w:rPr>
          <w:rFonts w:asciiTheme="minorHAnsi" w:hAnsiTheme="minorHAnsi" w:cstheme="minorBidi"/>
          <w:lang w:val="es-ES"/>
        </w:rPr>
        <w:t xml:space="preserve"> idiomas de la Convención. En el cuadro siguiente se indican los requisitos financieros para el período </w:t>
      </w:r>
      <w:r w:rsidR="000A7209" w:rsidRPr="00845E6F">
        <w:rPr>
          <w:rFonts w:asciiTheme="minorHAnsi" w:hAnsiTheme="minorHAnsi" w:cstheme="minorBidi"/>
          <w:lang w:val="es-ES"/>
        </w:rPr>
        <w:t>2025</w:t>
      </w:r>
      <w:r w:rsidRPr="00845E6F">
        <w:rPr>
          <w:rFonts w:asciiTheme="minorHAnsi" w:hAnsiTheme="minorHAnsi" w:cstheme="minorBidi"/>
          <w:lang w:val="es-ES"/>
        </w:rPr>
        <w:t>-</w:t>
      </w:r>
      <w:r w:rsidR="000A7209" w:rsidRPr="00845E6F">
        <w:rPr>
          <w:rFonts w:asciiTheme="minorHAnsi" w:hAnsiTheme="minorHAnsi" w:cstheme="minorBidi"/>
          <w:lang w:val="es-ES"/>
        </w:rPr>
        <w:t>2029</w:t>
      </w:r>
      <w:r w:rsidR="00F00D2F" w:rsidRPr="00845E6F">
        <w:rPr>
          <w:rFonts w:asciiTheme="minorHAnsi" w:hAnsiTheme="minorHAnsi" w:cstheme="minorBidi"/>
          <w:lang w:val="es-ES"/>
        </w:rPr>
        <w:t xml:space="preserve">. </w:t>
      </w:r>
      <w:r w:rsidRPr="00845E6F">
        <w:rPr>
          <w:rFonts w:asciiTheme="minorHAnsi" w:hAnsiTheme="minorHAnsi" w:cstheme="minorBidi"/>
          <w:lang w:val="es-ES"/>
        </w:rPr>
        <w:t xml:space="preserve">Por el momento, estos requisitos financieros son estimaciones aproximadas que habrá que </w:t>
      </w:r>
      <w:r w:rsidR="00845E6F" w:rsidRPr="00845E6F">
        <w:rPr>
          <w:rFonts w:asciiTheme="minorHAnsi" w:hAnsiTheme="minorHAnsi" w:cstheme="minorBidi"/>
          <w:lang w:val="es-ES"/>
        </w:rPr>
        <w:t>ajustar.</w:t>
      </w:r>
    </w:p>
    <w:p w14:paraId="61476DA1" w14:textId="77777777" w:rsidR="00845E6F" w:rsidRPr="00845E6F" w:rsidRDefault="00845E6F" w:rsidP="00845E6F">
      <w:pPr>
        <w:pStyle w:val="ListParagraph"/>
        <w:autoSpaceDE w:val="0"/>
        <w:autoSpaceDN w:val="0"/>
        <w:adjustRightInd w:val="0"/>
        <w:ind w:left="426" w:firstLine="0"/>
        <w:rPr>
          <w:rFonts w:asciiTheme="minorHAnsi" w:hAnsiTheme="minorHAnsi" w:cstheme="minorHAnsi"/>
          <w:lang w:val="es-ES"/>
        </w:rPr>
      </w:pPr>
    </w:p>
    <w:p w14:paraId="180AB04F" w14:textId="7AD10BFD" w:rsidR="00F00D2F" w:rsidRPr="006C49EF" w:rsidRDefault="00505ED9" w:rsidP="00DA36E1">
      <w:pPr>
        <w:keepNext/>
        <w:ind w:left="0" w:firstLine="0"/>
        <w:rPr>
          <w:i/>
          <w:lang w:val="es-ES"/>
        </w:rPr>
      </w:pPr>
      <w:r w:rsidRPr="006C49EF">
        <w:rPr>
          <w:i/>
          <w:lang w:val="es-ES"/>
        </w:rPr>
        <w:t xml:space="preserve">Cuadro </w:t>
      </w:r>
      <w:r w:rsidR="00F00D2F" w:rsidRPr="006C49EF">
        <w:rPr>
          <w:i/>
          <w:lang w:val="es-ES"/>
        </w:rPr>
        <w:t>1</w:t>
      </w:r>
      <w:r w:rsidR="00AC6DAA" w:rsidRPr="006C49EF">
        <w:rPr>
          <w:i/>
          <w:lang w:val="es-ES"/>
        </w:rPr>
        <w:t>:</w:t>
      </w:r>
      <w:r w:rsidR="00F00D2F" w:rsidRPr="006C49EF">
        <w:rPr>
          <w:i/>
          <w:lang w:val="es-ES"/>
        </w:rPr>
        <w:t xml:space="preserve"> </w:t>
      </w:r>
      <w:r w:rsidRPr="006C49EF">
        <w:rPr>
          <w:i/>
          <w:lang w:val="es-ES"/>
        </w:rPr>
        <w:t xml:space="preserve">Mecanismo de apoyo a los INH </w:t>
      </w:r>
      <w:r w:rsidR="000B10E8" w:rsidRPr="006C49EF">
        <w:rPr>
          <w:i/>
          <w:lang w:val="es-ES"/>
        </w:rPr>
        <w:t>– e</w:t>
      </w:r>
      <w:r w:rsidR="000F684B" w:rsidRPr="006C49EF">
        <w:rPr>
          <w:i/>
          <w:lang w:val="es-ES"/>
        </w:rPr>
        <w:t>stima</w:t>
      </w:r>
      <w:r w:rsidRPr="006C49EF">
        <w:rPr>
          <w:i/>
          <w:lang w:val="es-ES"/>
        </w:rPr>
        <w:t>ción de los requisitos financieros para</w:t>
      </w:r>
      <w:r w:rsidR="000B10E8" w:rsidRPr="006C49EF">
        <w:rPr>
          <w:i/>
          <w:lang w:val="es-ES"/>
        </w:rPr>
        <w:t xml:space="preserve"> 2025</w:t>
      </w:r>
      <w:r w:rsidRPr="006C49EF">
        <w:rPr>
          <w:i/>
          <w:lang w:val="es-ES"/>
        </w:rPr>
        <w:t>-</w:t>
      </w:r>
      <w:r w:rsidR="000B10E8" w:rsidRPr="006C49EF">
        <w:rPr>
          <w:i/>
          <w:lang w:val="es-ES"/>
        </w:rPr>
        <w:t>2029</w:t>
      </w:r>
    </w:p>
    <w:tbl>
      <w:tblPr>
        <w:tblStyle w:val="TableGrid"/>
        <w:tblW w:w="9214" w:type="dxa"/>
        <w:tblInd w:w="-5" w:type="dxa"/>
        <w:tblLayout w:type="fixed"/>
        <w:tblCellMar>
          <w:top w:w="28" w:type="dxa"/>
          <w:left w:w="85" w:type="dxa"/>
          <w:bottom w:w="28" w:type="dxa"/>
          <w:right w:w="85" w:type="dxa"/>
        </w:tblCellMar>
        <w:tblLook w:val="04A0" w:firstRow="1" w:lastRow="0" w:firstColumn="1" w:lastColumn="0" w:noHBand="0" w:noVBand="1"/>
      </w:tblPr>
      <w:tblGrid>
        <w:gridCol w:w="1701"/>
        <w:gridCol w:w="2127"/>
        <w:gridCol w:w="1795"/>
        <w:gridCol w:w="1795"/>
        <w:gridCol w:w="1796"/>
      </w:tblGrid>
      <w:tr w:rsidR="00DF3F5C" w:rsidRPr="006C49EF" w14:paraId="5F4728AA" w14:textId="77777777" w:rsidTr="007961DB">
        <w:trPr>
          <w:tblHeader/>
        </w:trPr>
        <w:tc>
          <w:tcPr>
            <w:tcW w:w="1701" w:type="dxa"/>
            <w:shd w:val="clear" w:color="auto" w:fill="DBE5F1" w:themeFill="accent1" w:themeFillTint="33"/>
            <w:vAlign w:val="center"/>
          </w:tcPr>
          <w:p w14:paraId="2C943919" w14:textId="77777777" w:rsidR="00854B30" w:rsidRPr="006C49EF" w:rsidRDefault="00854B30" w:rsidP="00DA36E1">
            <w:pPr>
              <w:keepNext/>
              <w:ind w:left="0" w:firstLine="0"/>
              <w:jc w:val="center"/>
              <w:rPr>
                <w:b/>
                <w:lang w:val="es-ES"/>
              </w:rPr>
            </w:pPr>
          </w:p>
        </w:tc>
        <w:tc>
          <w:tcPr>
            <w:tcW w:w="2127" w:type="dxa"/>
            <w:shd w:val="clear" w:color="auto" w:fill="DBE5F1" w:themeFill="accent1" w:themeFillTint="33"/>
            <w:vAlign w:val="center"/>
          </w:tcPr>
          <w:p w14:paraId="4D5F3DBC" w14:textId="2EF79F3B" w:rsidR="00854B30" w:rsidRPr="006C49EF" w:rsidRDefault="00505ED9" w:rsidP="00DA36E1">
            <w:pPr>
              <w:keepNext/>
              <w:ind w:left="0" w:firstLine="0"/>
              <w:jc w:val="center"/>
              <w:rPr>
                <w:b/>
                <w:lang w:val="es-ES"/>
              </w:rPr>
            </w:pPr>
            <w:r w:rsidRPr="006C49EF">
              <w:rPr>
                <w:b/>
                <w:lang w:val="es-ES"/>
              </w:rPr>
              <w:t>Objetivo</w:t>
            </w:r>
          </w:p>
        </w:tc>
        <w:tc>
          <w:tcPr>
            <w:tcW w:w="1795" w:type="dxa"/>
            <w:shd w:val="clear" w:color="auto" w:fill="DBE5F1" w:themeFill="accent1" w:themeFillTint="33"/>
            <w:vAlign w:val="center"/>
          </w:tcPr>
          <w:p w14:paraId="59D04457" w14:textId="0C45A709" w:rsidR="00854B30" w:rsidRPr="006C49EF" w:rsidRDefault="00505ED9" w:rsidP="00DA36E1">
            <w:pPr>
              <w:keepNext/>
              <w:ind w:left="0" w:firstLine="0"/>
              <w:jc w:val="center"/>
              <w:rPr>
                <w:b/>
                <w:lang w:val="es-ES"/>
              </w:rPr>
            </w:pPr>
            <w:r w:rsidRPr="006C49EF">
              <w:rPr>
                <w:b/>
                <w:lang w:val="es-ES"/>
              </w:rPr>
              <w:t>Resultado</w:t>
            </w:r>
            <w:r w:rsidR="00845E6F">
              <w:rPr>
                <w:b/>
                <w:lang w:val="es-ES"/>
              </w:rPr>
              <w:t>s</w:t>
            </w:r>
          </w:p>
        </w:tc>
        <w:tc>
          <w:tcPr>
            <w:tcW w:w="1795" w:type="dxa"/>
            <w:shd w:val="clear" w:color="auto" w:fill="DBE5F1" w:themeFill="accent1" w:themeFillTint="33"/>
            <w:vAlign w:val="center"/>
          </w:tcPr>
          <w:p w14:paraId="25DA9ECA" w14:textId="55B6C62E" w:rsidR="00854B30" w:rsidRPr="006C49EF" w:rsidRDefault="00505ED9" w:rsidP="00DA36E1">
            <w:pPr>
              <w:keepNext/>
              <w:ind w:left="0" w:firstLine="0"/>
              <w:jc w:val="center"/>
              <w:rPr>
                <w:b/>
                <w:lang w:val="es-ES"/>
              </w:rPr>
            </w:pPr>
            <w:r w:rsidRPr="006C49EF">
              <w:rPr>
                <w:b/>
                <w:lang w:val="es-ES"/>
              </w:rPr>
              <w:t>Financiación obtenida</w:t>
            </w:r>
            <w:r w:rsidR="008867BA" w:rsidRPr="006C49EF">
              <w:rPr>
                <w:b/>
                <w:lang w:val="es-ES"/>
              </w:rPr>
              <w:t xml:space="preserve"> (</w:t>
            </w:r>
            <w:r w:rsidRPr="006C49EF">
              <w:rPr>
                <w:b/>
                <w:lang w:val="es-ES"/>
              </w:rPr>
              <w:t>en francos suizos, CHF)</w:t>
            </w:r>
          </w:p>
        </w:tc>
        <w:tc>
          <w:tcPr>
            <w:tcW w:w="1796" w:type="dxa"/>
            <w:shd w:val="clear" w:color="auto" w:fill="DBE5F1" w:themeFill="accent1" w:themeFillTint="33"/>
            <w:vAlign w:val="center"/>
          </w:tcPr>
          <w:p w14:paraId="4F0A7569" w14:textId="01C48840" w:rsidR="00854B30" w:rsidRPr="006C49EF" w:rsidRDefault="00505ED9" w:rsidP="00DA36E1">
            <w:pPr>
              <w:keepNext/>
              <w:ind w:left="0" w:firstLine="0"/>
              <w:jc w:val="center"/>
              <w:rPr>
                <w:b/>
                <w:lang w:val="es-ES"/>
              </w:rPr>
            </w:pPr>
            <w:r w:rsidRPr="006C49EF">
              <w:rPr>
                <w:b/>
                <w:lang w:val="es-ES"/>
              </w:rPr>
              <w:t xml:space="preserve">Requisitos financieros para </w:t>
            </w:r>
            <w:r w:rsidR="00264968" w:rsidRPr="006C49EF">
              <w:rPr>
                <w:b/>
                <w:lang w:val="es-ES"/>
              </w:rPr>
              <w:t>2025-2029</w:t>
            </w:r>
            <w:r w:rsidR="008867BA" w:rsidRPr="006C49EF">
              <w:rPr>
                <w:b/>
                <w:lang w:val="es-ES"/>
              </w:rPr>
              <w:t xml:space="preserve"> (CHF)</w:t>
            </w:r>
          </w:p>
        </w:tc>
      </w:tr>
      <w:tr w:rsidR="00763DA6" w:rsidRPr="006C49EF" w14:paraId="747E2B4E" w14:textId="77777777" w:rsidTr="00DA36E1">
        <w:tc>
          <w:tcPr>
            <w:tcW w:w="1701" w:type="dxa"/>
            <w:vMerge w:val="restart"/>
          </w:tcPr>
          <w:p w14:paraId="47EFF4B3" w14:textId="6FF8A563" w:rsidR="00763DA6" w:rsidRPr="006C49EF" w:rsidRDefault="00505ED9" w:rsidP="00763DA6">
            <w:pPr>
              <w:ind w:left="0" w:firstLine="0"/>
              <w:rPr>
                <w:lang w:val="es-ES"/>
              </w:rPr>
            </w:pPr>
            <w:r w:rsidRPr="006C49EF">
              <w:rPr>
                <w:lang w:val="es-ES"/>
              </w:rPr>
              <w:t>Materiales de orientación</w:t>
            </w:r>
          </w:p>
        </w:tc>
        <w:tc>
          <w:tcPr>
            <w:tcW w:w="2127" w:type="dxa"/>
          </w:tcPr>
          <w:p w14:paraId="5B8B42EE" w14:textId="664B64EE" w:rsidR="00763DA6" w:rsidRPr="006C49EF" w:rsidRDefault="005A2438" w:rsidP="00763DA6">
            <w:pPr>
              <w:ind w:left="0" w:firstLine="0"/>
              <w:rPr>
                <w:lang w:val="es-ES"/>
              </w:rPr>
            </w:pPr>
            <w:r w:rsidRPr="006C49EF">
              <w:rPr>
                <w:rFonts w:asciiTheme="minorHAnsi" w:hAnsiTheme="minorHAnsi" w:cstheme="minorBidi"/>
                <w:lang w:val="es-ES"/>
              </w:rPr>
              <w:t>Incre</w:t>
            </w:r>
            <w:r w:rsidR="00505ED9" w:rsidRPr="006C49EF">
              <w:rPr>
                <w:rFonts w:asciiTheme="minorHAnsi" w:hAnsiTheme="minorHAnsi" w:cstheme="minorBidi"/>
                <w:lang w:val="es-ES"/>
              </w:rPr>
              <w:t xml:space="preserve">mentar la </w:t>
            </w:r>
            <w:r w:rsidR="00845E6F">
              <w:rPr>
                <w:rFonts w:asciiTheme="minorHAnsi" w:hAnsiTheme="minorHAnsi" w:cstheme="minorBidi"/>
                <w:lang w:val="es-ES"/>
              </w:rPr>
              <w:t>relevancia</w:t>
            </w:r>
            <w:r w:rsidR="00505ED9" w:rsidRPr="006C49EF">
              <w:rPr>
                <w:rFonts w:asciiTheme="minorHAnsi" w:hAnsiTheme="minorHAnsi" w:cstheme="minorBidi"/>
                <w:lang w:val="es-ES"/>
              </w:rPr>
              <w:t xml:space="preserve"> normativa e institucional del proceso de los INH</w:t>
            </w:r>
            <w:r w:rsidRPr="006C49EF">
              <w:rPr>
                <w:rFonts w:asciiTheme="minorHAnsi" w:hAnsiTheme="minorHAnsi" w:cstheme="minorBidi"/>
                <w:lang w:val="es-ES"/>
              </w:rPr>
              <w:t xml:space="preserve"> </w:t>
            </w:r>
          </w:p>
        </w:tc>
        <w:tc>
          <w:tcPr>
            <w:tcW w:w="1795" w:type="dxa"/>
          </w:tcPr>
          <w:p w14:paraId="08937E61" w14:textId="4A0A3D75" w:rsidR="005A2438" w:rsidRPr="006C49EF" w:rsidRDefault="005A2438" w:rsidP="00763DA6">
            <w:pPr>
              <w:ind w:left="0" w:firstLine="0"/>
              <w:rPr>
                <w:rFonts w:asciiTheme="minorHAnsi" w:hAnsiTheme="minorHAnsi" w:cstheme="minorBidi"/>
                <w:lang w:val="es-ES"/>
              </w:rPr>
            </w:pPr>
            <w:r w:rsidRPr="006C49EF">
              <w:rPr>
                <w:rFonts w:asciiTheme="minorHAnsi" w:hAnsiTheme="minorHAnsi" w:cstheme="minorBidi"/>
                <w:lang w:val="es-ES"/>
              </w:rPr>
              <w:t>Defini</w:t>
            </w:r>
            <w:r w:rsidR="00505ED9" w:rsidRPr="006C49EF">
              <w:rPr>
                <w:rFonts w:asciiTheme="minorHAnsi" w:hAnsiTheme="minorHAnsi" w:cstheme="minorBidi"/>
                <w:lang w:val="es-ES"/>
              </w:rPr>
              <w:t xml:space="preserve">ción de elementos comunes de los INH, incluidos los </w:t>
            </w:r>
            <w:r w:rsidR="00505ED9" w:rsidRPr="00845E6F">
              <w:rPr>
                <w:rFonts w:asciiTheme="minorHAnsi" w:hAnsiTheme="minorHAnsi" w:cstheme="minorBidi"/>
                <w:lang w:val="es-ES"/>
              </w:rPr>
              <w:t xml:space="preserve">datos </w:t>
            </w:r>
            <w:r w:rsidR="00845E6F" w:rsidRPr="00845E6F">
              <w:rPr>
                <w:rFonts w:asciiTheme="minorHAnsi" w:hAnsiTheme="minorHAnsi" w:cstheme="minorBidi"/>
                <w:lang w:val="es-ES"/>
              </w:rPr>
              <w:t>o</w:t>
            </w:r>
            <w:r w:rsidR="00505ED9" w:rsidRPr="00845E6F">
              <w:rPr>
                <w:rFonts w:asciiTheme="minorHAnsi" w:hAnsiTheme="minorHAnsi" w:cstheme="minorBidi"/>
                <w:lang w:val="es-ES"/>
              </w:rPr>
              <w:t xml:space="preserve"> indicadores</w:t>
            </w:r>
            <w:r w:rsidR="00505ED9" w:rsidRPr="006C49EF">
              <w:rPr>
                <w:rFonts w:asciiTheme="minorHAnsi" w:hAnsiTheme="minorHAnsi" w:cstheme="minorBidi"/>
                <w:lang w:val="es-ES"/>
              </w:rPr>
              <w:t xml:space="preserve"> principales</w:t>
            </w:r>
          </w:p>
        </w:tc>
        <w:tc>
          <w:tcPr>
            <w:tcW w:w="1795" w:type="dxa"/>
          </w:tcPr>
          <w:p w14:paraId="1D640185" w14:textId="1F4CA5B6" w:rsidR="00763DA6" w:rsidRPr="006C49EF" w:rsidRDefault="00763DA6" w:rsidP="00763DA6">
            <w:pPr>
              <w:ind w:left="0" w:firstLine="0"/>
              <w:rPr>
                <w:lang w:val="es-ES"/>
              </w:rPr>
            </w:pPr>
            <w:r w:rsidRPr="006C49EF">
              <w:rPr>
                <w:lang w:val="es-ES"/>
              </w:rPr>
              <w:t>40</w:t>
            </w:r>
            <w:r w:rsidR="00505ED9" w:rsidRPr="006C49EF">
              <w:rPr>
                <w:lang w:val="es-ES"/>
              </w:rPr>
              <w:t xml:space="preserve"> </w:t>
            </w:r>
            <w:r w:rsidRPr="006C49EF">
              <w:rPr>
                <w:lang w:val="es-ES"/>
              </w:rPr>
              <w:t>000</w:t>
            </w:r>
          </w:p>
        </w:tc>
        <w:tc>
          <w:tcPr>
            <w:tcW w:w="1796" w:type="dxa"/>
          </w:tcPr>
          <w:p w14:paraId="209AFA39" w14:textId="77777777" w:rsidR="00763DA6" w:rsidRPr="006C49EF" w:rsidRDefault="00763DA6" w:rsidP="00763DA6">
            <w:pPr>
              <w:ind w:left="0" w:firstLine="0"/>
              <w:rPr>
                <w:lang w:val="es-ES"/>
              </w:rPr>
            </w:pPr>
          </w:p>
        </w:tc>
      </w:tr>
      <w:tr w:rsidR="00763DA6" w:rsidRPr="006C49EF" w14:paraId="610B84BF" w14:textId="77777777" w:rsidTr="00DA36E1">
        <w:tc>
          <w:tcPr>
            <w:tcW w:w="1701" w:type="dxa"/>
            <w:vMerge/>
          </w:tcPr>
          <w:p w14:paraId="27503DEF" w14:textId="77777777" w:rsidR="00763DA6" w:rsidRPr="006C49EF" w:rsidRDefault="00763DA6" w:rsidP="00763DA6">
            <w:pPr>
              <w:ind w:left="0" w:firstLine="0"/>
              <w:rPr>
                <w:lang w:val="es-ES"/>
              </w:rPr>
            </w:pPr>
          </w:p>
        </w:tc>
        <w:tc>
          <w:tcPr>
            <w:tcW w:w="2127" w:type="dxa"/>
          </w:tcPr>
          <w:p w14:paraId="4C64B132" w14:textId="1AD57D5C" w:rsidR="00763DA6" w:rsidRPr="006C49EF" w:rsidRDefault="005A2438" w:rsidP="00763DA6">
            <w:pPr>
              <w:autoSpaceDE w:val="0"/>
              <w:autoSpaceDN w:val="0"/>
              <w:adjustRightInd w:val="0"/>
              <w:ind w:left="0" w:firstLine="0"/>
              <w:rPr>
                <w:rFonts w:asciiTheme="minorHAnsi" w:hAnsiTheme="minorHAnsi" w:cstheme="minorBidi"/>
                <w:lang w:val="es-ES"/>
              </w:rPr>
            </w:pPr>
            <w:r w:rsidRPr="006C49EF">
              <w:rPr>
                <w:rFonts w:asciiTheme="minorHAnsi" w:hAnsiTheme="minorHAnsi" w:cstheme="minorBidi"/>
                <w:lang w:val="es-ES"/>
              </w:rPr>
              <w:t>Incr</w:t>
            </w:r>
            <w:r w:rsidR="00505ED9" w:rsidRPr="006C49EF">
              <w:rPr>
                <w:rFonts w:asciiTheme="minorHAnsi" w:hAnsiTheme="minorHAnsi" w:cstheme="minorBidi"/>
                <w:lang w:val="es-ES"/>
              </w:rPr>
              <w:t xml:space="preserve">ementar la calidad, coherencia y </w:t>
            </w:r>
            <w:r w:rsidR="00505ED9" w:rsidRPr="00845E6F">
              <w:rPr>
                <w:rFonts w:asciiTheme="minorHAnsi" w:hAnsiTheme="minorHAnsi" w:cstheme="minorBidi"/>
                <w:lang w:val="es-ES"/>
              </w:rPr>
              <w:t>comparabilidad</w:t>
            </w:r>
            <w:r w:rsidR="00505ED9" w:rsidRPr="006C49EF">
              <w:rPr>
                <w:rFonts w:asciiTheme="minorHAnsi" w:hAnsiTheme="minorHAnsi" w:cstheme="minorBidi"/>
                <w:lang w:val="es-ES"/>
              </w:rPr>
              <w:t xml:space="preserve"> de los datos de los INH</w:t>
            </w:r>
          </w:p>
        </w:tc>
        <w:tc>
          <w:tcPr>
            <w:tcW w:w="1795" w:type="dxa"/>
          </w:tcPr>
          <w:p w14:paraId="4DEEADEB" w14:textId="5509F061" w:rsidR="005A2438" w:rsidRPr="006C49EF" w:rsidRDefault="00505ED9" w:rsidP="00763DA6">
            <w:pPr>
              <w:ind w:left="0" w:firstLine="0"/>
              <w:rPr>
                <w:lang w:val="es-ES"/>
              </w:rPr>
            </w:pPr>
            <w:r w:rsidRPr="006C49EF">
              <w:rPr>
                <w:rFonts w:asciiTheme="minorHAnsi" w:hAnsiTheme="minorHAnsi" w:cstheme="minorBidi"/>
                <w:lang w:val="es-ES"/>
              </w:rPr>
              <w:t xml:space="preserve">Orientaciones sobre los protocolos de gestión de datos de </w:t>
            </w:r>
            <w:r w:rsidRPr="00845E6F">
              <w:rPr>
                <w:rFonts w:asciiTheme="minorHAnsi" w:hAnsiTheme="minorHAnsi" w:cstheme="minorBidi"/>
                <w:lang w:val="es-ES"/>
              </w:rPr>
              <w:t>los</w:t>
            </w:r>
            <w:r w:rsidRPr="006C49EF">
              <w:rPr>
                <w:rFonts w:asciiTheme="minorHAnsi" w:hAnsiTheme="minorHAnsi" w:cstheme="minorBidi"/>
                <w:lang w:val="es-ES"/>
              </w:rPr>
              <w:t xml:space="preserve"> INH</w:t>
            </w:r>
          </w:p>
        </w:tc>
        <w:tc>
          <w:tcPr>
            <w:tcW w:w="1795" w:type="dxa"/>
          </w:tcPr>
          <w:p w14:paraId="5892F9A5" w14:textId="3161648A" w:rsidR="00763DA6" w:rsidRPr="006C49EF" w:rsidRDefault="00763DA6" w:rsidP="00763DA6">
            <w:pPr>
              <w:ind w:left="0" w:firstLine="0"/>
              <w:rPr>
                <w:lang w:val="es-ES"/>
              </w:rPr>
            </w:pPr>
            <w:r w:rsidRPr="006C49EF">
              <w:rPr>
                <w:lang w:val="es-ES"/>
              </w:rPr>
              <w:t>40</w:t>
            </w:r>
            <w:r w:rsidR="00505ED9" w:rsidRPr="006C49EF">
              <w:rPr>
                <w:lang w:val="es-ES"/>
              </w:rPr>
              <w:t xml:space="preserve"> </w:t>
            </w:r>
            <w:r w:rsidRPr="006C49EF">
              <w:rPr>
                <w:lang w:val="es-ES"/>
              </w:rPr>
              <w:t>000</w:t>
            </w:r>
          </w:p>
        </w:tc>
        <w:tc>
          <w:tcPr>
            <w:tcW w:w="1796" w:type="dxa"/>
          </w:tcPr>
          <w:p w14:paraId="198010A7" w14:textId="77777777" w:rsidR="00763DA6" w:rsidRPr="006C49EF" w:rsidRDefault="00763DA6" w:rsidP="00763DA6">
            <w:pPr>
              <w:ind w:left="0" w:firstLine="0"/>
              <w:rPr>
                <w:lang w:val="es-ES"/>
              </w:rPr>
            </w:pPr>
          </w:p>
        </w:tc>
      </w:tr>
      <w:tr w:rsidR="00763DA6" w:rsidRPr="006C49EF" w14:paraId="29948AE4" w14:textId="77777777" w:rsidTr="00DA36E1">
        <w:tc>
          <w:tcPr>
            <w:tcW w:w="1701" w:type="dxa"/>
            <w:vMerge/>
          </w:tcPr>
          <w:p w14:paraId="11F0886E" w14:textId="77777777" w:rsidR="00763DA6" w:rsidRPr="006C49EF" w:rsidRDefault="00763DA6" w:rsidP="00763DA6">
            <w:pPr>
              <w:ind w:left="0" w:firstLine="0"/>
              <w:rPr>
                <w:lang w:val="es-ES"/>
              </w:rPr>
            </w:pPr>
          </w:p>
        </w:tc>
        <w:tc>
          <w:tcPr>
            <w:tcW w:w="2127" w:type="dxa"/>
          </w:tcPr>
          <w:p w14:paraId="53AE8CCC" w14:textId="687348F0" w:rsidR="00763DA6" w:rsidRPr="006C49EF" w:rsidRDefault="00505ED9" w:rsidP="00763DA6">
            <w:pPr>
              <w:ind w:left="0" w:firstLine="0"/>
              <w:rPr>
                <w:lang w:val="es-ES"/>
              </w:rPr>
            </w:pPr>
            <w:r w:rsidRPr="006C49EF">
              <w:rPr>
                <w:lang w:val="es-ES"/>
              </w:rPr>
              <w:t xml:space="preserve">Reforzar las funciones y </w:t>
            </w:r>
            <w:r w:rsidRPr="006C49EF">
              <w:rPr>
                <w:lang w:val="es-ES"/>
              </w:rPr>
              <w:lastRenderedPageBreak/>
              <w:t>responsabilidades en el proceso de los INH</w:t>
            </w:r>
          </w:p>
        </w:tc>
        <w:tc>
          <w:tcPr>
            <w:tcW w:w="1795" w:type="dxa"/>
          </w:tcPr>
          <w:p w14:paraId="6A5C47B9" w14:textId="3023084F" w:rsidR="00763DA6" w:rsidRPr="006C49EF" w:rsidRDefault="00505ED9" w:rsidP="00763DA6">
            <w:pPr>
              <w:ind w:left="0" w:firstLine="0"/>
              <w:rPr>
                <w:lang w:val="es-ES"/>
              </w:rPr>
            </w:pPr>
            <w:r w:rsidRPr="006C49EF">
              <w:rPr>
                <w:rFonts w:asciiTheme="minorHAnsi" w:hAnsiTheme="minorHAnsi" w:cstheme="minorBidi"/>
                <w:lang w:val="es-ES"/>
              </w:rPr>
              <w:lastRenderedPageBreak/>
              <w:t xml:space="preserve">Orientaciones estructuradas </w:t>
            </w:r>
            <w:r w:rsidRPr="006C49EF">
              <w:rPr>
                <w:rFonts w:asciiTheme="minorHAnsi" w:hAnsiTheme="minorHAnsi" w:cstheme="minorBidi"/>
                <w:lang w:val="es-ES"/>
              </w:rPr>
              <w:lastRenderedPageBreak/>
              <w:t>sobre el proceso de los INH</w:t>
            </w:r>
          </w:p>
        </w:tc>
        <w:tc>
          <w:tcPr>
            <w:tcW w:w="1795" w:type="dxa"/>
          </w:tcPr>
          <w:p w14:paraId="71386756" w14:textId="77777777" w:rsidR="00763DA6" w:rsidRPr="006C49EF" w:rsidRDefault="00763DA6" w:rsidP="00763DA6">
            <w:pPr>
              <w:ind w:left="0" w:firstLine="0"/>
              <w:rPr>
                <w:lang w:val="es-ES"/>
              </w:rPr>
            </w:pPr>
          </w:p>
        </w:tc>
        <w:tc>
          <w:tcPr>
            <w:tcW w:w="1796" w:type="dxa"/>
          </w:tcPr>
          <w:p w14:paraId="1BE133FF" w14:textId="3DED7471" w:rsidR="00763DA6" w:rsidRPr="006C49EF" w:rsidRDefault="005801A1" w:rsidP="00763DA6">
            <w:pPr>
              <w:ind w:left="0" w:firstLine="0"/>
              <w:rPr>
                <w:lang w:val="es-ES"/>
              </w:rPr>
            </w:pPr>
            <w:r w:rsidRPr="006C49EF">
              <w:rPr>
                <w:lang w:val="es-ES"/>
              </w:rPr>
              <w:t>5</w:t>
            </w:r>
            <w:r w:rsidR="00763DA6" w:rsidRPr="006C49EF">
              <w:rPr>
                <w:lang w:val="es-ES"/>
              </w:rPr>
              <w:t>0</w:t>
            </w:r>
            <w:r w:rsidR="00505ED9" w:rsidRPr="006C49EF">
              <w:rPr>
                <w:lang w:val="es-ES"/>
              </w:rPr>
              <w:t xml:space="preserve"> </w:t>
            </w:r>
            <w:r w:rsidR="00763DA6" w:rsidRPr="006C49EF">
              <w:rPr>
                <w:lang w:val="es-ES"/>
              </w:rPr>
              <w:t>000</w:t>
            </w:r>
          </w:p>
        </w:tc>
      </w:tr>
      <w:tr w:rsidR="00763DA6" w:rsidRPr="007A5CE3" w14:paraId="2295C556" w14:textId="77777777" w:rsidTr="00DA36E1">
        <w:tc>
          <w:tcPr>
            <w:tcW w:w="1701" w:type="dxa"/>
            <w:vMerge w:val="restart"/>
          </w:tcPr>
          <w:p w14:paraId="42A10AB8" w14:textId="33D8D1E7" w:rsidR="00763DA6" w:rsidRPr="006C49EF" w:rsidRDefault="006C49EF" w:rsidP="00763DA6">
            <w:pPr>
              <w:ind w:left="0" w:firstLine="0"/>
              <w:rPr>
                <w:lang w:val="es-ES"/>
              </w:rPr>
            </w:pPr>
            <w:r w:rsidRPr="006C49EF">
              <w:rPr>
                <w:lang w:val="es-ES"/>
              </w:rPr>
              <w:t>Creación</w:t>
            </w:r>
            <w:r w:rsidR="00505ED9" w:rsidRPr="006C49EF">
              <w:rPr>
                <w:lang w:val="es-ES"/>
              </w:rPr>
              <w:t xml:space="preserve"> </w:t>
            </w:r>
            <w:r>
              <w:rPr>
                <w:lang w:val="es-ES"/>
              </w:rPr>
              <w:t>de c</w:t>
            </w:r>
            <w:r w:rsidR="00505ED9" w:rsidRPr="006C49EF">
              <w:rPr>
                <w:lang w:val="es-ES"/>
              </w:rPr>
              <w:t>apacidad</w:t>
            </w:r>
          </w:p>
        </w:tc>
        <w:tc>
          <w:tcPr>
            <w:tcW w:w="2127" w:type="dxa"/>
          </w:tcPr>
          <w:p w14:paraId="37251008" w14:textId="030FDF7C" w:rsidR="00763DA6" w:rsidRPr="006C49EF" w:rsidRDefault="00505ED9" w:rsidP="00763DA6">
            <w:pPr>
              <w:ind w:left="0" w:firstLine="0"/>
              <w:rPr>
                <w:lang w:val="es-ES"/>
              </w:rPr>
            </w:pPr>
            <w:r w:rsidRPr="006C49EF">
              <w:rPr>
                <w:lang w:val="es-ES"/>
              </w:rPr>
              <w:t>Reforzar las capacidades para elaborar un proceso completo para los INH</w:t>
            </w:r>
          </w:p>
        </w:tc>
        <w:tc>
          <w:tcPr>
            <w:tcW w:w="1795" w:type="dxa"/>
          </w:tcPr>
          <w:p w14:paraId="7D18FC4F" w14:textId="77777777" w:rsidR="00505ED9" w:rsidRPr="006C49EF" w:rsidRDefault="00993EFD" w:rsidP="00763DA6">
            <w:pPr>
              <w:ind w:left="0" w:firstLine="0"/>
              <w:rPr>
                <w:lang w:val="es-ES"/>
              </w:rPr>
            </w:pPr>
            <w:r w:rsidRPr="006C49EF">
              <w:rPr>
                <w:lang w:val="es-ES"/>
              </w:rPr>
              <w:t>Módulo</w:t>
            </w:r>
            <w:r w:rsidR="00763DA6" w:rsidRPr="006C49EF">
              <w:rPr>
                <w:lang w:val="es-ES"/>
              </w:rPr>
              <w:t xml:space="preserve"> 1 </w:t>
            </w:r>
          </w:p>
          <w:p w14:paraId="23E4DEEC" w14:textId="57F5B706" w:rsidR="00763DA6" w:rsidRPr="006C49EF" w:rsidRDefault="00505ED9" w:rsidP="00763DA6">
            <w:pPr>
              <w:ind w:left="0" w:firstLine="0"/>
              <w:rPr>
                <w:lang w:val="es-ES"/>
              </w:rPr>
            </w:pPr>
            <w:r w:rsidRPr="006C49EF">
              <w:rPr>
                <w:lang w:val="es-ES"/>
              </w:rPr>
              <w:t>del curso de formación presencial</w:t>
            </w:r>
          </w:p>
        </w:tc>
        <w:tc>
          <w:tcPr>
            <w:tcW w:w="1795" w:type="dxa"/>
          </w:tcPr>
          <w:p w14:paraId="66F9E0AA" w14:textId="12AB14F9" w:rsidR="00763DA6" w:rsidRPr="006C49EF" w:rsidRDefault="00763DA6" w:rsidP="00505ED9">
            <w:pPr>
              <w:ind w:left="0" w:firstLine="0"/>
              <w:rPr>
                <w:lang w:val="es-ES"/>
              </w:rPr>
            </w:pPr>
            <w:r w:rsidRPr="006C49EF">
              <w:rPr>
                <w:lang w:val="es-ES"/>
              </w:rPr>
              <w:t>60</w:t>
            </w:r>
            <w:r w:rsidR="00505ED9" w:rsidRPr="006C49EF">
              <w:rPr>
                <w:lang w:val="es-ES"/>
              </w:rPr>
              <w:t xml:space="preserve"> </w:t>
            </w:r>
            <w:r w:rsidRPr="006C49EF">
              <w:rPr>
                <w:lang w:val="es-ES"/>
              </w:rPr>
              <w:t xml:space="preserve">000 </w:t>
            </w:r>
            <w:r w:rsidR="00505ED9" w:rsidRPr="006C49EF">
              <w:rPr>
                <w:lang w:val="es-ES"/>
              </w:rPr>
              <w:t xml:space="preserve">para la sesión en inglés </w:t>
            </w:r>
            <w:r w:rsidRPr="006C49EF">
              <w:rPr>
                <w:lang w:val="es-ES"/>
              </w:rPr>
              <w:t>120</w:t>
            </w:r>
            <w:r w:rsidR="00505ED9" w:rsidRPr="006C49EF">
              <w:rPr>
                <w:lang w:val="es-ES"/>
              </w:rPr>
              <w:t xml:space="preserve"> </w:t>
            </w:r>
            <w:r w:rsidRPr="006C49EF">
              <w:rPr>
                <w:lang w:val="es-ES"/>
              </w:rPr>
              <w:t xml:space="preserve">000 </w:t>
            </w:r>
            <w:r w:rsidR="00505ED9" w:rsidRPr="006C49EF">
              <w:rPr>
                <w:lang w:val="es-ES"/>
              </w:rPr>
              <w:t>para las sesiones en español y francés</w:t>
            </w:r>
          </w:p>
        </w:tc>
        <w:tc>
          <w:tcPr>
            <w:tcW w:w="1796" w:type="dxa"/>
          </w:tcPr>
          <w:p w14:paraId="1B2CD937" w14:textId="77777777" w:rsidR="00763DA6" w:rsidRPr="006C49EF" w:rsidRDefault="00763DA6" w:rsidP="00763DA6">
            <w:pPr>
              <w:ind w:left="0" w:firstLine="0"/>
              <w:rPr>
                <w:lang w:val="es-ES"/>
              </w:rPr>
            </w:pPr>
          </w:p>
        </w:tc>
      </w:tr>
      <w:tr w:rsidR="00763DA6" w:rsidRPr="007A5CE3" w14:paraId="7D58BE5B" w14:textId="77777777" w:rsidTr="00DA36E1">
        <w:tc>
          <w:tcPr>
            <w:tcW w:w="1701" w:type="dxa"/>
            <w:vMerge/>
          </w:tcPr>
          <w:p w14:paraId="66C02A1D" w14:textId="77777777" w:rsidR="00763DA6" w:rsidRPr="006C49EF" w:rsidRDefault="00763DA6" w:rsidP="00763DA6">
            <w:pPr>
              <w:ind w:left="0" w:firstLine="0"/>
              <w:rPr>
                <w:lang w:val="es-ES"/>
              </w:rPr>
            </w:pPr>
          </w:p>
        </w:tc>
        <w:tc>
          <w:tcPr>
            <w:tcW w:w="2127" w:type="dxa"/>
          </w:tcPr>
          <w:p w14:paraId="751C8B60" w14:textId="13ACB44E" w:rsidR="00763DA6" w:rsidRPr="006C49EF" w:rsidRDefault="00763DA6" w:rsidP="00763DA6">
            <w:pPr>
              <w:ind w:left="0" w:firstLine="0"/>
              <w:rPr>
                <w:lang w:val="es-ES"/>
              </w:rPr>
            </w:pPr>
            <w:r w:rsidRPr="006C49EF">
              <w:rPr>
                <w:lang w:val="es-ES"/>
              </w:rPr>
              <w:t>Incre</w:t>
            </w:r>
            <w:r w:rsidR="00505ED9" w:rsidRPr="006C49EF">
              <w:rPr>
                <w:lang w:val="es-ES"/>
              </w:rPr>
              <w:t>mentar el uso adecuado de las técnicas de observación de la Tierra</w:t>
            </w:r>
          </w:p>
        </w:tc>
        <w:tc>
          <w:tcPr>
            <w:tcW w:w="1795" w:type="dxa"/>
          </w:tcPr>
          <w:p w14:paraId="631BD0D8" w14:textId="62B3B267" w:rsidR="00763DA6" w:rsidRPr="006C49EF" w:rsidRDefault="00993EFD" w:rsidP="00763DA6">
            <w:pPr>
              <w:ind w:left="0" w:firstLine="0"/>
              <w:rPr>
                <w:lang w:val="es-ES"/>
              </w:rPr>
            </w:pPr>
            <w:r w:rsidRPr="006C49EF">
              <w:rPr>
                <w:lang w:val="es-ES"/>
              </w:rPr>
              <w:t>Módulo</w:t>
            </w:r>
            <w:r w:rsidR="00763DA6" w:rsidRPr="006C49EF">
              <w:rPr>
                <w:lang w:val="es-ES"/>
              </w:rPr>
              <w:t xml:space="preserve"> 2 </w:t>
            </w:r>
            <w:r w:rsidR="00AC6DAA" w:rsidRPr="006C49EF">
              <w:rPr>
                <w:lang w:val="es-ES"/>
              </w:rPr>
              <w:br/>
            </w:r>
            <w:r w:rsidR="00505ED9" w:rsidRPr="006C49EF">
              <w:rPr>
                <w:lang w:val="es-ES"/>
              </w:rPr>
              <w:t>del curso de formación presencial</w:t>
            </w:r>
          </w:p>
        </w:tc>
        <w:tc>
          <w:tcPr>
            <w:tcW w:w="1795" w:type="dxa"/>
          </w:tcPr>
          <w:p w14:paraId="3D27C8C2" w14:textId="2437CF8D" w:rsidR="00763DA6" w:rsidRPr="006C49EF" w:rsidRDefault="00763DA6" w:rsidP="00763DA6">
            <w:pPr>
              <w:ind w:left="0" w:firstLine="0"/>
              <w:rPr>
                <w:lang w:val="es-ES"/>
              </w:rPr>
            </w:pPr>
            <w:r w:rsidRPr="006C49EF">
              <w:rPr>
                <w:lang w:val="es-ES"/>
              </w:rPr>
              <w:t>60</w:t>
            </w:r>
            <w:r w:rsidR="00505ED9" w:rsidRPr="006C49EF">
              <w:rPr>
                <w:lang w:val="es-ES"/>
              </w:rPr>
              <w:t xml:space="preserve"> 0</w:t>
            </w:r>
            <w:r w:rsidRPr="006C49EF">
              <w:rPr>
                <w:lang w:val="es-ES"/>
              </w:rPr>
              <w:t xml:space="preserve">00 </w:t>
            </w:r>
            <w:r w:rsidR="00505ED9" w:rsidRPr="006C49EF">
              <w:rPr>
                <w:lang w:val="es-ES"/>
              </w:rPr>
              <w:t>para la sesión en inglés</w:t>
            </w:r>
          </w:p>
          <w:p w14:paraId="3A4D8F99" w14:textId="77777777" w:rsidR="00763DA6" w:rsidRPr="006C49EF" w:rsidRDefault="00763DA6" w:rsidP="00763DA6">
            <w:pPr>
              <w:ind w:left="0" w:firstLine="0"/>
              <w:rPr>
                <w:lang w:val="es-ES"/>
              </w:rPr>
            </w:pPr>
          </w:p>
        </w:tc>
        <w:tc>
          <w:tcPr>
            <w:tcW w:w="1796" w:type="dxa"/>
          </w:tcPr>
          <w:p w14:paraId="4C8AA13F" w14:textId="2FA88D9E" w:rsidR="00763DA6" w:rsidRPr="006C49EF" w:rsidRDefault="00505ED9" w:rsidP="00763DA6">
            <w:pPr>
              <w:ind w:left="0" w:firstLine="0"/>
              <w:rPr>
                <w:lang w:val="es-ES"/>
              </w:rPr>
            </w:pPr>
            <w:r w:rsidRPr="006C49EF">
              <w:rPr>
                <w:lang w:val="es-ES"/>
              </w:rPr>
              <w:t>120 000 para las sesiones en español y francés</w:t>
            </w:r>
          </w:p>
        </w:tc>
      </w:tr>
      <w:tr w:rsidR="00763DA6" w:rsidRPr="007A5CE3" w14:paraId="74E6AD78" w14:textId="77777777" w:rsidTr="00DA36E1">
        <w:tc>
          <w:tcPr>
            <w:tcW w:w="1701" w:type="dxa"/>
            <w:vMerge/>
          </w:tcPr>
          <w:p w14:paraId="508BAC68" w14:textId="77777777" w:rsidR="00763DA6" w:rsidRPr="006C49EF" w:rsidRDefault="00763DA6" w:rsidP="00763DA6">
            <w:pPr>
              <w:ind w:left="0" w:firstLine="0"/>
              <w:rPr>
                <w:lang w:val="es-ES"/>
              </w:rPr>
            </w:pPr>
          </w:p>
        </w:tc>
        <w:tc>
          <w:tcPr>
            <w:tcW w:w="2127" w:type="dxa"/>
          </w:tcPr>
          <w:p w14:paraId="1961FBA8" w14:textId="0643EA63" w:rsidR="00763DA6" w:rsidRPr="006C49EF" w:rsidRDefault="006C49EF" w:rsidP="00763DA6">
            <w:pPr>
              <w:ind w:left="0" w:firstLine="0"/>
              <w:rPr>
                <w:lang w:val="es-ES"/>
              </w:rPr>
            </w:pPr>
            <w:r>
              <w:rPr>
                <w:lang w:val="es-ES"/>
              </w:rPr>
              <w:t>Mejorar las actualizaciones de los INH</w:t>
            </w:r>
          </w:p>
        </w:tc>
        <w:tc>
          <w:tcPr>
            <w:tcW w:w="1795" w:type="dxa"/>
          </w:tcPr>
          <w:p w14:paraId="5F0028C2" w14:textId="1F019929" w:rsidR="00763DA6" w:rsidRPr="006C49EF" w:rsidRDefault="00993EFD" w:rsidP="00763DA6">
            <w:pPr>
              <w:ind w:left="0" w:firstLine="0"/>
              <w:rPr>
                <w:lang w:val="es-ES"/>
              </w:rPr>
            </w:pPr>
            <w:r w:rsidRPr="006C49EF">
              <w:rPr>
                <w:lang w:val="es-ES"/>
              </w:rPr>
              <w:t>Módulo</w:t>
            </w:r>
            <w:r w:rsidR="00763DA6" w:rsidRPr="006C49EF">
              <w:rPr>
                <w:lang w:val="es-ES"/>
              </w:rPr>
              <w:t xml:space="preserve"> 3</w:t>
            </w:r>
            <w:r w:rsidR="00AC6DAA" w:rsidRPr="006C49EF">
              <w:rPr>
                <w:lang w:val="es-ES"/>
              </w:rPr>
              <w:br/>
            </w:r>
            <w:r w:rsidR="00505ED9" w:rsidRPr="006C49EF">
              <w:rPr>
                <w:lang w:val="es-ES"/>
              </w:rPr>
              <w:t>del curso de formación presencial</w:t>
            </w:r>
          </w:p>
        </w:tc>
        <w:tc>
          <w:tcPr>
            <w:tcW w:w="1795" w:type="dxa"/>
          </w:tcPr>
          <w:p w14:paraId="24287451" w14:textId="0101DB6F" w:rsidR="00763DA6" w:rsidRPr="006C49EF" w:rsidRDefault="00763DA6" w:rsidP="00763DA6">
            <w:pPr>
              <w:ind w:left="0" w:firstLine="0"/>
              <w:rPr>
                <w:lang w:val="es-ES"/>
              </w:rPr>
            </w:pPr>
            <w:r w:rsidRPr="006C49EF">
              <w:rPr>
                <w:lang w:val="es-ES"/>
              </w:rPr>
              <w:t>60</w:t>
            </w:r>
            <w:r w:rsidR="00505ED9" w:rsidRPr="006C49EF">
              <w:rPr>
                <w:lang w:val="es-ES"/>
              </w:rPr>
              <w:t xml:space="preserve"> </w:t>
            </w:r>
            <w:r w:rsidRPr="006C49EF">
              <w:rPr>
                <w:lang w:val="es-ES"/>
              </w:rPr>
              <w:t xml:space="preserve">000 </w:t>
            </w:r>
            <w:r w:rsidR="00505ED9" w:rsidRPr="006C49EF">
              <w:rPr>
                <w:lang w:val="es-ES"/>
              </w:rPr>
              <w:t>para la sesión en inglés</w:t>
            </w:r>
          </w:p>
        </w:tc>
        <w:tc>
          <w:tcPr>
            <w:tcW w:w="1796" w:type="dxa"/>
          </w:tcPr>
          <w:p w14:paraId="3F031919" w14:textId="72339190" w:rsidR="00763DA6" w:rsidRPr="006C49EF" w:rsidRDefault="00505ED9" w:rsidP="00763DA6">
            <w:pPr>
              <w:ind w:left="0" w:firstLine="0"/>
              <w:rPr>
                <w:lang w:val="es-ES"/>
              </w:rPr>
            </w:pPr>
            <w:r w:rsidRPr="006C49EF">
              <w:rPr>
                <w:lang w:val="es-ES"/>
              </w:rPr>
              <w:t>120 000 para las sesiones en español y francés</w:t>
            </w:r>
          </w:p>
        </w:tc>
      </w:tr>
      <w:tr w:rsidR="00763DA6" w:rsidRPr="006C49EF" w14:paraId="0CC9435F" w14:textId="77777777" w:rsidTr="00DA36E1">
        <w:tc>
          <w:tcPr>
            <w:tcW w:w="1701" w:type="dxa"/>
            <w:vMerge/>
          </w:tcPr>
          <w:p w14:paraId="5099C92E" w14:textId="77777777" w:rsidR="00763DA6" w:rsidRPr="006C49EF" w:rsidRDefault="00763DA6" w:rsidP="00763DA6">
            <w:pPr>
              <w:ind w:left="0" w:firstLine="0"/>
              <w:rPr>
                <w:lang w:val="es-ES"/>
              </w:rPr>
            </w:pPr>
          </w:p>
        </w:tc>
        <w:tc>
          <w:tcPr>
            <w:tcW w:w="2127" w:type="dxa"/>
          </w:tcPr>
          <w:p w14:paraId="36C7DBD4" w14:textId="1EE5293E" w:rsidR="00763DA6" w:rsidRPr="006C49EF" w:rsidRDefault="00763DA6" w:rsidP="00763DA6">
            <w:pPr>
              <w:ind w:left="0" w:firstLine="0"/>
              <w:rPr>
                <w:lang w:val="es-ES"/>
              </w:rPr>
            </w:pPr>
            <w:r w:rsidRPr="006C49EF">
              <w:rPr>
                <w:lang w:val="es-ES"/>
              </w:rPr>
              <w:t>De</w:t>
            </w:r>
            <w:r w:rsidR="00025ABD" w:rsidRPr="006C49EF">
              <w:rPr>
                <w:lang w:val="es-ES"/>
              </w:rPr>
              <w:t xml:space="preserve">sarrollar conocimientos sobre </w:t>
            </w:r>
            <w:r w:rsidR="00845E6F">
              <w:rPr>
                <w:lang w:val="es-ES"/>
              </w:rPr>
              <w:t xml:space="preserve">la realización </w:t>
            </w:r>
            <w:r w:rsidR="00025ABD" w:rsidRPr="006C49EF">
              <w:rPr>
                <w:lang w:val="es-ES"/>
              </w:rPr>
              <w:t>del proceso de los INH</w:t>
            </w:r>
          </w:p>
        </w:tc>
        <w:tc>
          <w:tcPr>
            <w:tcW w:w="1795" w:type="dxa"/>
          </w:tcPr>
          <w:p w14:paraId="2C491FFF" w14:textId="29BEBD28" w:rsidR="00763DA6" w:rsidRPr="006C49EF" w:rsidRDefault="00025ABD" w:rsidP="00763DA6">
            <w:pPr>
              <w:ind w:left="0" w:firstLine="0"/>
              <w:rPr>
                <w:lang w:val="es-ES"/>
              </w:rPr>
            </w:pPr>
            <w:r w:rsidRPr="006C49EF">
              <w:rPr>
                <w:lang w:val="es-ES"/>
              </w:rPr>
              <w:t>Material de formación en línea</w:t>
            </w:r>
          </w:p>
        </w:tc>
        <w:tc>
          <w:tcPr>
            <w:tcW w:w="1795" w:type="dxa"/>
          </w:tcPr>
          <w:p w14:paraId="0C5D3429" w14:textId="5640E2D9" w:rsidR="00763DA6" w:rsidRPr="006C49EF" w:rsidRDefault="00790671" w:rsidP="00763DA6">
            <w:pPr>
              <w:ind w:left="0" w:firstLine="0"/>
              <w:rPr>
                <w:lang w:val="es-ES"/>
              </w:rPr>
            </w:pPr>
            <w:r w:rsidRPr="006C49EF">
              <w:rPr>
                <w:lang w:val="es-ES"/>
              </w:rPr>
              <w:t>20</w:t>
            </w:r>
            <w:r w:rsidR="00025ABD" w:rsidRPr="006C49EF">
              <w:rPr>
                <w:lang w:val="es-ES"/>
              </w:rPr>
              <w:t xml:space="preserve"> </w:t>
            </w:r>
            <w:r w:rsidR="00763DA6" w:rsidRPr="006C49EF">
              <w:rPr>
                <w:lang w:val="es-ES"/>
              </w:rPr>
              <w:t xml:space="preserve">000 </w:t>
            </w:r>
          </w:p>
        </w:tc>
        <w:tc>
          <w:tcPr>
            <w:tcW w:w="1796" w:type="dxa"/>
          </w:tcPr>
          <w:p w14:paraId="6EA6B70C" w14:textId="7818A559" w:rsidR="00763DA6" w:rsidRPr="006C49EF" w:rsidRDefault="00790671" w:rsidP="00763DA6">
            <w:pPr>
              <w:ind w:left="0" w:firstLine="0"/>
              <w:rPr>
                <w:lang w:val="es-ES"/>
              </w:rPr>
            </w:pPr>
            <w:r w:rsidRPr="006C49EF">
              <w:rPr>
                <w:lang w:val="es-ES"/>
              </w:rPr>
              <w:t>2</w:t>
            </w:r>
            <w:r w:rsidR="00FF5B21" w:rsidRPr="006C49EF">
              <w:rPr>
                <w:lang w:val="es-ES"/>
              </w:rPr>
              <w:t>0</w:t>
            </w:r>
            <w:r w:rsidR="00025ABD" w:rsidRPr="006C49EF">
              <w:rPr>
                <w:lang w:val="es-ES"/>
              </w:rPr>
              <w:t xml:space="preserve"> </w:t>
            </w:r>
            <w:r w:rsidR="00763DA6" w:rsidRPr="006C49EF">
              <w:rPr>
                <w:lang w:val="es-ES"/>
              </w:rPr>
              <w:t>000</w:t>
            </w:r>
          </w:p>
        </w:tc>
      </w:tr>
      <w:tr w:rsidR="00763DA6" w:rsidRPr="006C49EF" w14:paraId="3F4C3F91" w14:textId="77777777" w:rsidTr="00DA36E1">
        <w:tc>
          <w:tcPr>
            <w:tcW w:w="1701" w:type="dxa"/>
            <w:vMerge w:val="restart"/>
          </w:tcPr>
          <w:p w14:paraId="202A384E" w14:textId="38D7A28F" w:rsidR="00763DA6" w:rsidRPr="006C49EF" w:rsidRDefault="00025ABD" w:rsidP="00763DA6">
            <w:pPr>
              <w:ind w:left="0" w:firstLine="0"/>
              <w:rPr>
                <w:lang w:val="es-ES"/>
              </w:rPr>
            </w:pPr>
            <w:r w:rsidRPr="006C49EF">
              <w:rPr>
                <w:lang w:val="es-ES"/>
              </w:rPr>
              <w:t>Apoyo a la aplicación</w:t>
            </w:r>
          </w:p>
        </w:tc>
        <w:tc>
          <w:tcPr>
            <w:tcW w:w="2127" w:type="dxa"/>
          </w:tcPr>
          <w:p w14:paraId="0EBEC2EF" w14:textId="425715FA" w:rsidR="00763DA6" w:rsidRPr="006C49EF" w:rsidRDefault="00025ABD" w:rsidP="00763DA6">
            <w:pPr>
              <w:ind w:left="0" w:firstLine="0"/>
              <w:rPr>
                <w:lang w:val="es-ES"/>
              </w:rPr>
            </w:pPr>
            <w:r w:rsidRPr="006C49EF">
              <w:rPr>
                <w:lang w:val="es-ES"/>
              </w:rPr>
              <w:t xml:space="preserve">Ayudar a las </w:t>
            </w:r>
            <w:r w:rsidR="00845E6F">
              <w:rPr>
                <w:lang w:val="es-ES"/>
              </w:rPr>
              <w:t>P</w:t>
            </w:r>
            <w:r w:rsidRPr="006C49EF">
              <w:rPr>
                <w:lang w:val="es-ES"/>
              </w:rPr>
              <w:t>artes a recolectar datos para los INH</w:t>
            </w:r>
          </w:p>
        </w:tc>
        <w:tc>
          <w:tcPr>
            <w:tcW w:w="1795" w:type="dxa"/>
          </w:tcPr>
          <w:p w14:paraId="4748FFF3" w14:textId="2062F327" w:rsidR="00763DA6" w:rsidRPr="006C49EF" w:rsidRDefault="00025ABD" w:rsidP="00763DA6">
            <w:pPr>
              <w:ind w:left="0" w:firstLine="0"/>
              <w:rPr>
                <w:lang w:val="es-ES"/>
              </w:rPr>
            </w:pPr>
            <w:r w:rsidRPr="006C49EF">
              <w:rPr>
                <w:lang w:val="es-ES"/>
              </w:rPr>
              <w:t xml:space="preserve">Estudio de viabilidad y consulta para una iniciativa </w:t>
            </w:r>
            <w:r w:rsidRPr="00845E6F">
              <w:rPr>
                <w:lang w:val="es-ES"/>
              </w:rPr>
              <w:t xml:space="preserve">dedicada a prestar apoyo </w:t>
            </w:r>
            <w:r w:rsidR="00845E6F" w:rsidRPr="00845E6F">
              <w:rPr>
                <w:lang w:val="es-ES"/>
              </w:rPr>
              <w:t>mediante</w:t>
            </w:r>
            <w:r w:rsidRPr="00845E6F">
              <w:rPr>
                <w:lang w:val="es-ES"/>
              </w:rPr>
              <w:t xml:space="preserve"> la</w:t>
            </w:r>
            <w:r w:rsidRPr="006C49EF">
              <w:rPr>
                <w:lang w:val="es-ES"/>
              </w:rPr>
              <w:t xml:space="preserve"> observación de la Tierra</w:t>
            </w:r>
          </w:p>
        </w:tc>
        <w:tc>
          <w:tcPr>
            <w:tcW w:w="1795" w:type="dxa"/>
          </w:tcPr>
          <w:p w14:paraId="568FDECC" w14:textId="77777777" w:rsidR="00763DA6" w:rsidRPr="006C49EF" w:rsidRDefault="00763DA6" w:rsidP="00763DA6">
            <w:pPr>
              <w:ind w:left="0" w:firstLine="0"/>
              <w:rPr>
                <w:lang w:val="es-ES"/>
              </w:rPr>
            </w:pPr>
          </w:p>
        </w:tc>
        <w:tc>
          <w:tcPr>
            <w:tcW w:w="1796" w:type="dxa"/>
          </w:tcPr>
          <w:p w14:paraId="686329EC" w14:textId="478DC597" w:rsidR="00763DA6" w:rsidRPr="006C49EF" w:rsidRDefault="00763DA6" w:rsidP="00763DA6">
            <w:pPr>
              <w:ind w:left="0" w:firstLine="0"/>
              <w:rPr>
                <w:lang w:val="es-ES"/>
              </w:rPr>
            </w:pPr>
            <w:r w:rsidRPr="006C49EF">
              <w:rPr>
                <w:lang w:val="es-ES"/>
              </w:rPr>
              <w:t>40</w:t>
            </w:r>
            <w:r w:rsidR="00676313" w:rsidRPr="006C49EF">
              <w:rPr>
                <w:lang w:val="es-ES"/>
              </w:rPr>
              <w:t xml:space="preserve"> </w:t>
            </w:r>
            <w:r w:rsidRPr="006C49EF">
              <w:rPr>
                <w:lang w:val="es-ES"/>
              </w:rPr>
              <w:t>000</w:t>
            </w:r>
          </w:p>
        </w:tc>
      </w:tr>
      <w:tr w:rsidR="00763DA6" w:rsidRPr="007A5CE3" w14:paraId="34B88A7A" w14:textId="77777777" w:rsidTr="00DA36E1">
        <w:tc>
          <w:tcPr>
            <w:tcW w:w="1701" w:type="dxa"/>
            <w:vMerge/>
          </w:tcPr>
          <w:p w14:paraId="6B2F68AD" w14:textId="77777777" w:rsidR="00763DA6" w:rsidRPr="006C49EF" w:rsidRDefault="00763DA6" w:rsidP="00763DA6">
            <w:pPr>
              <w:ind w:left="0" w:firstLine="0"/>
              <w:rPr>
                <w:u w:val="single"/>
                <w:lang w:val="es-ES"/>
              </w:rPr>
            </w:pPr>
          </w:p>
        </w:tc>
        <w:tc>
          <w:tcPr>
            <w:tcW w:w="2127" w:type="dxa"/>
          </w:tcPr>
          <w:p w14:paraId="14CFAE3C" w14:textId="3EA5AA5F" w:rsidR="00763DA6" w:rsidRPr="006C49EF" w:rsidRDefault="00763DA6" w:rsidP="00763DA6">
            <w:pPr>
              <w:ind w:left="0" w:firstLine="0"/>
              <w:rPr>
                <w:lang w:val="es-ES"/>
              </w:rPr>
            </w:pPr>
            <w:r w:rsidRPr="006C49EF">
              <w:rPr>
                <w:lang w:val="es-ES"/>
              </w:rPr>
              <w:t>A</w:t>
            </w:r>
            <w:r w:rsidR="00676313" w:rsidRPr="006C49EF">
              <w:rPr>
                <w:lang w:val="es-ES"/>
              </w:rPr>
              <w:t xml:space="preserve">yudar a las Partes de África a diseñar y </w:t>
            </w:r>
            <w:r w:rsidR="00845E6F">
              <w:rPr>
                <w:lang w:val="es-ES"/>
              </w:rPr>
              <w:t>llevar a cabo</w:t>
            </w:r>
            <w:r w:rsidR="00676313" w:rsidRPr="006C49EF">
              <w:rPr>
                <w:lang w:val="es-ES"/>
              </w:rPr>
              <w:t xml:space="preserve"> un proceso de INH</w:t>
            </w:r>
          </w:p>
        </w:tc>
        <w:tc>
          <w:tcPr>
            <w:tcW w:w="1795" w:type="dxa"/>
          </w:tcPr>
          <w:p w14:paraId="7E5BF129" w14:textId="32341F1C" w:rsidR="00763DA6" w:rsidRPr="006C49EF" w:rsidRDefault="00676313" w:rsidP="00763DA6">
            <w:pPr>
              <w:ind w:left="0" w:firstLine="0"/>
              <w:rPr>
                <w:lang w:val="es-ES"/>
              </w:rPr>
            </w:pPr>
            <w:r w:rsidRPr="006C49EF">
              <w:rPr>
                <w:lang w:val="es-ES"/>
              </w:rPr>
              <w:t xml:space="preserve">Apoyo técnico </w:t>
            </w:r>
            <w:r w:rsidR="006C49EF" w:rsidRPr="006C49EF">
              <w:rPr>
                <w:lang w:val="es-ES"/>
              </w:rPr>
              <w:t>al proceso de los INH en países africanos seleccionados</w:t>
            </w:r>
          </w:p>
        </w:tc>
        <w:tc>
          <w:tcPr>
            <w:tcW w:w="1795" w:type="dxa"/>
          </w:tcPr>
          <w:p w14:paraId="283FA908" w14:textId="21043ED6" w:rsidR="00763DA6" w:rsidRPr="006C49EF" w:rsidRDefault="00763DA6" w:rsidP="00763DA6">
            <w:pPr>
              <w:ind w:left="0" w:firstLine="0"/>
              <w:rPr>
                <w:lang w:val="es-ES"/>
              </w:rPr>
            </w:pPr>
            <w:r w:rsidRPr="006C49EF">
              <w:rPr>
                <w:lang w:val="es-ES"/>
              </w:rPr>
              <w:t>1</w:t>
            </w:r>
            <w:r w:rsidR="00960A93" w:rsidRPr="006C49EF">
              <w:rPr>
                <w:lang w:val="es-ES"/>
              </w:rPr>
              <w:t>3</w:t>
            </w:r>
            <w:r w:rsidR="00E7686B" w:rsidRPr="006C49EF">
              <w:rPr>
                <w:lang w:val="es-ES"/>
              </w:rPr>
              <w:t>5</w:t>
            </w:r>
            <w:r w:rsidR="006C49EF" w:rsidRPr="006C49EF">
              <w:rPr>
                <w:lang w:val="es-ES"/>
              </w:rPr>
              <w:t xml:space="preserve"> </w:t>
            </w:r>
            <w:r w:rsidRPr="006C49EF">
              <w:rPr>
                <w:lang w:val="es-ES"/>
              </w:rPr>
              <w:t>000</w:t>
            </w:r>
          </w:p>
        </w:tc>
        <w:tc>
          <w:tcPr>
            <w:tcW w:w="1796" w:type="dxa"/>
          </w:tcPr>
          <w:p w14:paraId="2D446A8E" w14:textId="4D410FAE" w:rsidR="00763DA6" w:rsidRPr="006C49EF" w:rsidRDefault="006C49EF" w:rsidP="00763DA6">
            <w:pPr>
              <w:ind w:left="0" w:firstLine="0"/>
              <w:rPr>
                <w:lang w:val="es-ES"/>
              </w:rPr>
            </w:pPr>
            <w:r w:rsidRPr="006C49EF">
              <w:rPr>
                <w:lang w:val="es-ES"/>
              </w:rPr>
              <w:t>Por determinar en función de las solicitudes nuevas de los países</w:t>
            </w:r>
          </w:p>
        </w:tc>
      </w:tr>
    </w:tbl>
    <w:p w14:paraId="31BA6FD0" w14:textId="3FBE310A" w:rsidR="00D95133" w:rsidRPr="006C49EF" w:rsidRDefault="00D95133">
      <w:pPr>
        <w:rPr>
          <w:bCs/>
          <w:lang w:val="es-ES"/>
        </w:rPr>
      </w:pPr>
    </w:p>
    <w:sectPr w:rsidR="00D95133" w:rsidRPr="006C49EF" w:rsidSect="00282591">
      <w:headerReference w:type="default" r:id="rId11"/>
      <w:footerReference w:type="default" r:id="rId12"/>
      <w:pgSz w:w="11906" w:h="16838"/>
      <w:pgMar w:top="1440" w:right="1440" w:bottom="1440" w:left="144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0B92AAB" w16cex:dateUtc="2024-04-03T06: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38FAF" w14:textId="77777777" w:rsidR="007E7D79" w:rsidRPr="00ED6A4F" w:rsidRDefault="007E7D79" w:rsidP="00DF2386">
      <w:r w:rsidRPr="00ED6A4F">
        <w:separator/>
      </w:r>
    </w:p>
  </w:endnote>
  <w:endnote w:type="continuationSeparator" w:id="0">
    <w:p w14:paraId="5E8E9776" w14:textId="77777777" w:rsidR="007E7D79" w:rsidRPr="00ED6A4F" w:rsidRDefault="007E7D79" w:rsidP="00DF2386">
      <w:r w:rsidRPr="00ED6A4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0D491" w14:textId="77777777" w:rsidR="00F73E71" w:rsidRPr="00ED6A4F" w:rsidRDefault="00E07553" w:rsidP="002137E0">
    <w:pPr>
      <w:pStyle w:val="Header"/>
    </w:pPr>
    <w:r w:rsidRPr="00ED6A4F">
      <w:rPr>
        <w:sz w:val="20"/>
        <w:szCs w:val="20"/>
      </w:rPr>
      <w:t>SC</w:t>
    </w:r>
    <w:r w:rsidR="00AA3C94" w:rsidRPr="00ED6A4F">
      <w:rPr>
        <w:sz w:val="20"/>
        <w:szCs w:val="20"/>
      </w:rPr>
      <w:t>63</w:t>
    </w:r>
    <w:r w:rsidRPr="00ED6A4F">
      <w:rPr>
        <w:sz w:val="20"/>
        <w:szCs w:val="20"/>
      </w:rPr>
      <w:t xml:space="preserve"> Doc.</w:t>
    </w:r>
    <w:r w:rsidR="003A0964">
      <w:rPr>
        <w:sz w:val="20"/>
        <w:szCs w:val="20"/>
      </w:rPr>
      <w:t>10</w:t>
    </w:r>
    <w:r w:rsidR="00F73E71" w:rsidRPr="00ED6A4F">
      <w:tab/>
    </w:r>
    <w:r w:rsidR="00F73E71" w:rsidRPr="00ED6A4F">
      <w:tab/>
    </w:r>
    <w:sdt>
      <w:sdtPr>
        <w:id w:val="-1790969534"/>
        <w:docPartObj>
          <w:docPartGallery w:val="Page Numbers (Top of Page)"/>
          <w:docPartUnique/>
        </w:docPartObj>
      </w:sdtPr>
      <w:sdtEndPr/>
      <w:sdtContent>
        <w:r w:rsidR="00F73E71" w:rsidRPr="00ED6A4F">
          <w:rPr>
            <w:sz w:val="20"/>
            <w:szCs w:val="20"/>
          </w:rPr>
          <w:fldChar w:fldCharType="begin"/>
        </w:r>
        <w:r w:rsidR="00F73E71" w:rsidRPr="00ED6A4F">
          <w:rPr>
            <w:sz w:val="20"/>
            <w:szCs w:val="20"/>
          </w:rPr>
          <w:instrText xml:space="preserve"> PAGE   \* MERGEFORMAT </w:instrText>
        </w:r>
        <w:r w:rsidR="00F73E71" w:rsidRPr="00ED6A4F">
          <w:rPr>
            <w:sz w:val="20"/>
            <w:szCs w:val="20"/>
          </w:rPr>
          <w:fldChar w:fldCharType="separate"/>
        </w:r>
        <w:r w:rsidR="007201C7" w:rsidRPr="00ED6A4F">
          <w:rPr>
            <w:sz w:val="20"/>
            <w:szCs w:val="20"/>
          </w:rPr>
          <w:t>4</w:t>
        </w:r>
        <w:r w:rsidR="00F73E71" w:rsidRPr="00ED6A4F">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C33BC" w14:textId="77777777" w:rsidR="007E7D79" w:rsidRPr="00ED6A4F" w:rsidRDefault="007E7D79" w:rsidP="00DF2386">
      <w:r w:rsidRPr="00ED6A4F">
        <w:separator/>
      </w:r>
    </w:p>
  </w:footnote>
  <w:footnote w:type="continuationSeparator" w:id="0">
    <w:p w14:paraId="47942424" w14:textId="77777777" w:rsidR="007E7D79" w:rsidRPr="00ED6A4F" w:rsidRDefault="007E7D79" w:rsidP="00DF2386">
      <w:r w:rsidRPr="00ED6A4F">
        <w:continuationSeparator/>
      </w:r>
    </w:p>
  </w:footnote>
  <w:footnote w:id="1">
    <w:p w14:paraId="43A0EB95" w14:textId="4E08E649" w:rsidR="0019088C" w:rsidRPr="006C49EF" w:rsidRDefault="0019088C" w:rsidP="00DA36E1">
      <w:pPr>
        <w:pStyle w:val="FootnoteText"/>
        <w:ind w:left="0" w:firstLine="0"/>
        <w:rPr>
          <w:lang w:val="es-ES"/>
        </w:rPr>
      </w:pPr>
      <w:r w:rsidRPr="00ED6A4F">
        <w:rPr>
          <w:rStyle w:val="FootnoteReference"/>
        </w:rPr>
        <w:footnoteRef/>
      </w:r>
      <w:r w:rsidRPr="007A5CE3">
        <w:rPr>
          <w:lang w:val="es-ES"/>
        </w:rPr>
        <w:t xml:space="preserve"> </w:t>
      </w:r>
      <w:r w:rsidR="004873C1" w:rsidRPr="006C49EF">
        <w:rPr>
          <w:lang w:val="es-ES"/>
        </w:rPr>
        <w:t xml:space="preserve">El PNUMA es cocustodio del indicador </w:t>
      </w:r>
      <w:r w:rsidRPr="006C49EF">
        <w:rPr>
          <w:color w:val="000000" w:themeColor="text1"/>
          <w:lang w:val="es-ES"/>
        </w:rPr>
        <w:t xml:space="preserve">6.6.1. </w:t>
      </w:r>
      <w:r w:rsidR="004873C1" w:rsidRPr="006C49EF">
        <w:rPr>
          <w:color w:val="000000" w:themeColor="text1"/>
          <w:lang w:val="es-ES"/>
        </w:rPr>
        <w:t xml:space="preserve">El PNUMA proporciona datos de observación de la Tierra sobre la extensión de la superficie de agua de lagos, ríos y embalses, la extensión de los manglares, la extensión y la calidad del agua de los humedales con vegetación </w:t>
      </w:r>
      <w:r w:rsidRPr="006C49EF">
        <w:rPr>
          <w:color w:val="000000" w:themeColor="text1"/>
          <w:lang w:val="es-ES"/>
        </w:rPr>
        <w:t>(u</w:t>
      </w:r>
      <w:r w:rsidR="004873C1" w:rsidRPr="006C49EF">
        <w:rPr>
          <w:color w:val="000000" w:themeColor="text1"/>
          <w:lang w:val="es-ES"/>
        </w:rPr>
        <w:t xml:space="preserve">tilizando la clorofila </w:t>
      </w:r>
      <w:r w:rsidRPr="006C49EF">
        <w:rPr>
          <w:color w:val="000000" w:themeColor="text1"/>
          <w:lang w:val="es-ES"/>
        </w:rPr>
        <w:t xml:space="preserve">a </w:t>
      </w:r>
      <w:r w:rsidR="004873C1" w:rsidRPr="006C49EF">
        <w:rPr>
          <w:color w:val="000000" w:themeColor="text1"/>
          <w:lang w:val="es-ES"/>
        </w:rPr>
        <w:t>y la turbidez como datos de sustitución) para cada uno de los Estados Miembros de l</w:t>
      </w:r>
      <w:hyperlink r:id="rId1" w:history="1">
        <w:r w:rsidR="004873C1" w:rsidRPr="004E6BDE">
          <w:rPr>
            <w:rStyle w:val="Hyperlink"/>
            <w:lang w:val="es-ES"/>
          </w:rPr>
          <w:t xml:space="preserve">as Naciones Unidas. Para obtener más información sobre la metodología, véase </w:t>
        </w:r>
        <w:r w:rsidRPr="004E6BDE">
          <w:rPr>
            <w:rStyle w:val="Hyperlink"/>
            <w:lang w:val="es-ES"/>
          </w:rPr>
          <w:t>Metadata-06-06-01a.pdf (un.org)</w:t>
        </w:r>
      </w:hyperlink>
      <w:r w:rsidR="006C49EF">
        <w:rPr>
          <w:lang w:val="es-ES"/>
        </w:rPr>
        <w:t>;</w:t>
      </w:r>
      <w:r w:rsidR="004873C1" w:rsidRPr="006C49EF">
        <w:rPr>
          <w:lang w:val="es-ES"/>
        </w:rPr>
        <w:t xml:space="preserve"> para acceder a los datos, véase </w:t>
      </w:r>
      <w:hyperlink r:id="rId2" w:history="1">
        <w:r w:rsidRPr="006C49EF">
          <w:rPr>
            <w:rStyle w:val="Hyperlink"/>
            <w:lang w:val="es-ES"/>
          </w:rPr>
          <w:t>SDG 6.6.1 (sdg661.app)</w:t>
        </w:r>
      </w:hyperlink>
      <w:r w:rsidRPr="006C49EF">
        <w:rPr>
          <w:lang w:val="es-ES"/>
        </w:rPr>
        <w:t>.</w:t>
      </w:r>
      <w:r w:rsidR="00256B9C" w:rsidRPr="006C49EF">
        <w:rPr>
          <w:lang w:val="es-ES"/>
        </w:rPr>
        <w:t xml:space="preserve"> </w:t>
      </w:r>
      <w:r w:rsidR="004873C1" w:rsidRPr="006C49EF">
        <w:rPr>
          <w:lang w:val="es-ES"/>
        </w:rPr>
        <w:t xml:space="preserve">Para obtener más información sobre la metodología de la Convención, véase </w:t>
      </w:r>
      <w:hyperlink r:id="rId3" w:history="1">
        <w:r w:rsidR="00161CC3" w:rsidRPr="006C49EF">
          <w:rPr>
            <w:rStyle w:val="Hyperlink"/>
            <w:lang w:val="es-ES"/>
          </w:rPr>
          <w:t>Metadata-06-06-01b.pdf (un.org)</w:t>
        </w:r>
      </w:hyperlink>
      <w:r w:rsidR="00CD6968" w:rsidRPr="006C49EF">
        <w:rPr>
          <w:lang w:val="es-ES"/>
        </w:rPr>
        <w:t>.</w:t>
      </w:r>
    </w:p>
  </w:footnote>
  <w:footnote w:id="2">
    <w:p w14:paraId="78BAC6BC" w14:textId="20F10EC9" w:rsidR="00943608" w:rsidRPr="007A5CE3" w:rsidRDefault="00943608" w:rsidP="00A71D09">
      <w:pPr>
        <w:pStyle w:val="FootnoteText"/>
        <w:ind w:left="0" w:firstLine="0"/>
        <w:rPr>
          <w:lang w:val="fr-FR"/>
        </w:rPr>
      </w:pPr>
      <w:r>
        <w:rPr>
          <w:rStyle w:val="FootnoteReference"/>
        </w:rPr>
        <w:footnoteRef/>
      </w:r>
      <w:r w:rsidRPr="007A5CE3">
        <w:rPr>
          <w:lang w:val="fr-FR"/>
        </w:rPr>
        <w:t xml:space="preserve"> </w:t>
      </w:r>
      <w:r w:rsidR="00D92996" w:rsidRPr="007A5CE3">
        <w:rPr>
          <w:lang w:val="fr-FR"/>
        </w:rPr>
        <w:t>Véase</w:t>
      </w:r>
      <w:r w:rsidRPr="007A5CE3">
        <w:rPr>
          <w:lang w:val="fr-FR"/>
        </w:rPr>
        <w:t xml:space="preserve"> </w:t>
      </w:r>
      <w:hyperlink r:id="rId4" w:history="1">
        <w:r w:rsidR="007A5CE3" w:rsidRPr="00863B70">
          <w:rPr>
            <w:rStyle w:val="Hyperlink"/>
            <w:lang w:val="fr-FR"/>
          </w:rPr>
          <w:t>https://www.ramsar.org/es/document/sc63-inf2-national-wetland-inventories-synthesis-13-depth-interviews-further</w:t>
        </w:r>
      </w:hyperlink>
      <w:r w:rsidRPr="007A5CE3">
        <w:rPr>
          <w:lang w:val="fr-FR"/>
        </w:rPr>
        <w:t>.</w:t>
      </w:r>
    </w:p>
  </w:footnote>
  <w:footnote w:id="3">
    <w:p w14:paraId="2B23F54E" w14:textId="422D5B8E" w:rsidR="0033234A" w:rsidRPr="006C49EF" w:rsidRDefault="0033234A" w:rsidP="00DA36E1">
      <w:pPr>
        <w:ind w:left="0" w:firstLine="0"/>
        <w:rPr>
          <w:sz w:val="20"/>
          <w:szCs w:val="20"/>
          <w:lang w:val="es-ES"/>
        </w:rPr>
      </w:pPr>
      <w:r w:rsidRPr="00DA36E1">
        <w:rPr>
          <w:rStyle w:val="FootnoteReference"/>
          <w:sz w:val="20"/>
          <w:szCs w:val="20"/>
        </w:rPr>
        <w:footnoteRef/>
      </w:r>
      <w:r w:rsidRPr="007A5CE3">
        <w:rPr>
          <w:sz w:val="20"/>
          <w:szCs w:val="20"/>
          <w:lang w:val="es-ES"/>
        </w:rPr>
        <w:t xml:space="preserve"> </w:t>
      </w:r>
      <w:r w:rsidR="00AB6F3A" w:rsidRPr="006C49EF">
        <w:rPr>
          <w:sz w:val="20"/>
          <w:szCs w:val="20"/>
          <w:lang w:val="es-ES"/>
        </w:rPr>
        <w:t>La comunidad internacional de investigadores elaboró los principios F</w:t>
      </w:r>
      <w:r w:rsidRPr="006C49EF">
        <w:rPr>
          <w:sz w:val="20"/>
          <w:szCs w:val="20"/>
          <w:lang w:val="es-ES"/>
        </w:rPr>
        <w:t>AIR</w:t>
      </w:r>
      <w:r w:rsidR="00AB6F3A" w:rsidRPr="006C49EF">
        <w:rPr>
          <w:sz w:val="20"/>
          <w:szCs w:val="20"/>
          <w:lang w:val="es-ES"/>
        </w:rPr>
        <w:t xml:space="preserve">, un conjunto de principios rectores </w:t>
      </w:r>
      <w:r w:rsidRPr="006C49EF">
        <w:rPr>
          <w:sz w:val="20"/>
          <w:szCs w:val="20"/>
          <w:lang w:val="es-ES"/>
        </w:rPr>
        <w:t xml:space="preserve"> </w:t>
      </w:r>
      <w:r w:rsidR="00AB6F3A" w:rsidRPr="006C49EF">
        <w:rPr>
          <w:sz w:val="20"/>
          <w:szCs w:val="20"/>
          <w:lang w:val="es-ES"/>
        </w:rPr>
        <w:t>para la gestión de los datos científicos de forma que los activos digitales sean fáciles de encontrar, accesibles, interoperables y reutilizables</w:t>
      </w:r>
      <w:r w:rsidR="0086416E">
        <w:rPr>
          <w:sz w:val="20"/>
          <w:szCs w:val="20"/>
          <w:lang w:val="es-ES"/>
        </w:rPr>
        <w:t xml:space="preserve"> (</w:t>
      </w:r>
      <w:r w:rsidRPr="006C49EF">
        <w:rPr>
          <w:sz w:val="20"/>
          <w:szCs w:val="20"/>
          <w:lang w:val="es-ES"/>
        </w:rPr>
        <w:fldChar w:fldCharType="begin"/>
      </w:r>
      <w:r w:rsidRPr="006C49EF">
        <w:rPr>
          <w:sz w:val="20"/>
          <w:szCs w:val="20"/>
          <w:lang w:val="es-ES"/>
        </w:rPr>
        <w:instrText xml:space="preserve"> ADDIN ZOTERO_ITEM CSL_CITATION {"citationID":"a5Tr2WUR","properties":{"formattedCitation":"(Wilkinson et al., 2016)","plainCitation":"(Wilkinson et al., 2016)","noteIndex":0},"citationItems":[{"id":2642,"uris":["http://zotero.org/users/11854005/items/V8B6XQND"],"itemData":{"id":2642,"type":"article-journal","abstract":"Abstract\n            There is an urgent need to improve the infrastructure supporting the reuse of scholarly data. A diverse set of stakeholders—representing academia, industry, funding agencies, and scholarly publishers—have come together to design and jointly endorse a concise and measureable set of principles that we refer to as the FAIR Data Principles. The intent is that these may act as a guideline for those wishing to enhance the reusability of their data holdings. Distinct from peer initiatives that focus on the human scholar, the FAIR Principles put specific emphasis on enhancing the ability of machines to automatically find and use the data, in addition to supporting its reuse by individuals. This Comment is the first formal publication of the FAIR Principles, and includes the rationale behind them, and some exemplar implementations in the community.","container-title":"Scientific Data","DOI":"10.1038/sdata.2016.18","ISSN":"2052-4463","issue":"1","journalAbbreviation":"Sci Data","language":"en","page":"160018","source":"DOI.org (Crossref)","title":"The FAIR Guiding Principles for scientific data management and stewardship","URL":"https://www.nature.com/articles/sdata201618","volume":"3","author":[{"family":"Wilkinson","given":"M.D."},{"family":"Dumontier","given":"Michel"},{"family":"Aalbersberg","given":"I."},{"family":"Appleton","given":"G."},{"family":"Axton","given":"M."},{"family":"Baak","given":"Arie"},{"family":"Blomberg","given":"Niklas"},{"family":"Boiten","given":"Jan-Willem"},{"family":"Da Silva Santos","given":"Luiz Bonino"},{"family":"Bourne","given":"Philip E."},{"family":"Bouwman","given":"Jildau"},{"family":"Brookes","given":"Anthony J."},{"family":"Clark","given":"Tim"},{"family":"Crosas","given":"Mercè"},{"family":"Dillo","given":"Ingrid"},{"family":"Dumon","given":"Olivier"},{"family":"Edmunds","given":"Scott"},{"family":"Evelo","given":"Chris T."},{"family":"Finkers","given":"Richard"},{"family":"Gonzalez-Beltran","given":"Alejandra"},{"family":"Gray","given":"Alasdair J.G."},{"family":"Groth","given":"Paul"},{"family":"Goble","given":"Carole"},{"family":"Grethe","given":"Jeffrey S."},{"family":"Heringa","given":"Jaap"},{"family":"’T Hoen","given":"Peter A.C"},{"family":"Hooft","given":"Rob"},{"family":"Kuhn","given":"Tobias"},{"family":"Kok","given":"Ruben"},{"family":"Kok","given":"Joost"},{"family":"Lusher","given":"Scott J."},{"family":"Martone","given":"Maryann E."},{"family":"Mons","given":"Albert"},{"family":"Packer","given":"Abel L."},{"family":"Persson","given":"Bengt"},{"family":"Rocca-Serra","given":"Philippe"},{"family":"Roos","given":"Marco"},{"family":"Van Schaik","given":"Rene"},{"family":"Sansone","given":"Susanna-Assunta"},{"family":"Schultes","given":"Erik"},{"family":"Sengstag","given":"Thierry"},{"family":"Slater","given":"Ted"},{"family":"Strawn","given":"George"},{"family":"Swertz","given":"Morris A."},{"family":"Thompson","given":"Mark"},{"family":"Van Der Lei","given":"Johan"},{"family":"Van Mulligen","given":"Erik"},{"family":"Velterop","given":"Jan"},{"family":"Waagmeester","given":"Andra"},{"family":"Wittenburg","given":"Peter"},{"family":"Wolstencroft","given":"Katherine"},{"family":"Zhao","given":"Jun"},{"family":"Mons","given":"Barend"}],"accessed":{"date-parts":[["2023",11,27]]},"issued":{"date-parts":[["2016",3,15]]}}}],"schema":"https://github.com/citation-style-language/schema/raw/master/csl-citation.json"} </w:instrText>
      </w:r>
      <w:r w:rsidRPr="006C49EF">
        <w:rPr>
          <w:sz w:val="20"/>
          <w:szCs w:val="20"/>
          <w:lang w:val="es-ES"/>
        </w:rPr>
        <w:fldChar w:fldCharType="separate"/>
      </w:r>
      <w:hyperlink r:id="rId5" w:history="1">
        <w:r w:rsidR="007F09CD" w:rsidRPr="006C49EF">
          <w:rPr>
            <w:rStyle w:val="Hyperlink"/>
            <w:sz w:val="20"/>
            <w:szCs w:val="20"/>
            <w:lang w:val="es-ES"/>
          </w:rPr>
          <w:t>https://www.nature.com/articles/sdata201618</w:t>
        </w:r>
      </w:hyperlink>
      <w:r w:rsidRPr="006C49EF">
        <w:rPr>
          <w:sz w:val="20"/>
          <w:szCs w:val="20"/>
          <w:lang w:val="es-ES"/>
        </w:rPr>
        <w:t>)</w:t>
      </w:r>
      <w:r w:rsidRPr="006C49EF">
        <w:rPr>
          <w:sz w:val="20"/>
          <w:szCs w:val="20"/>
          <w:lang w:val="es-ES"/>
        </w:rPr>
        <w:fldChar w:fldCharType="end"/>
      </w:r>
      <w:r w:rsidRPr="006C49EF">
        <w:rPr>
          <w:sz w:val="20"/>
          <w:szCs w:val="20"/>
          <w:lang w:val="es-ES"/>
        </w:rPr>
        <w:t xml:space="preserve">. </w:t>
      </w:r>
      <w:r w:rsidR="00AB6F3A" w:rsidRPr="006C49EF">
        <w:rPr>
          <w:sz w:val="20"/>
          <w:szCs w:val="20"/>
          <w:lang w:val="es-ES"/>
        </w:rPr>
        <w:t>Los principios</w:t>
      </w:r>
      <w:r w:rsidRPr="006C49EF">
        <w:rPr>
          <w:sz w:val="20"/>
          <w:szCs w:val="20"/>
          <w:lang w:val="es-ES"/>
        </w:rPr>
        <w:t xml:space="preserve"> TRUST </w:t>
      </w:r>
      <w:r w:rsidR="00AB6F3A" w:rsidRPr="006C49EF">
        <w:rPr>
          <w:sz w:val="20"/>
          <w:szCs w:val="20"/>
          <w:lang w:val="es-ES"/>
        </w:rPr>
        <w:t>proporcionan un marco para facilitar la aplicación de buenas prácticas en cuanto a la preservación digital en lo que respecta a la Transparencia, la Responsabilidad, el Foco en el Usuario, la Sostenibilidad y la Tecnología</w:t>
      </w:r>
      <w:r w:rsidRPr="006C49EF">
        <w:rPr>
          <w:sz w:val="20"/>
          <w:szCs w:val="20"/>
          <w:lang w:val="es-ES"/>
        </w:rPr>
        <w:t xml:space="preserve">. </w:t>
      </w:r>
      <w:r w:rsidR="00AB6F3A" w:rsidRPr="006C49EF">
        <w:rPr>
          <w:sz w:val="20"/>
          <w:szCs w:val="20"/>
          <w:lang w:val="es-ES"/>
        </w:rPr>
        <w:t xml:space="preserve">Mientras que los principios </w:t>
      </w:r>
      <w:r w:rsidRPr="006C49EF">
        <w:rPr>
          <w:sz w:val="20"/>
          <w:szCs w:val="20"/>
          <w:lang w:val="es-ES"/>
        </w:rPr>
        <w:t xml:space="preserve">FAIR </w:t>
      </w:r>
      <w:r w:rsidR="00AB6F3A" w:rsidRPr="006C49EF">
        <w:rPr>
          <w:sz w:val="20"/>
          <w:szCs w:val="20"/>
          <w:lang w:val="es-ES"/>
        </w:rPr>
        <w:t xml:space="preserve">se centran sobre todo en aspectos de los metadatos, por ejemplo, los identificadores persistentes, los principios TRUST se centran en la conservación y preservación de los datos y recursos conexos </w:t>
      </w:r>
      <w:r w:rsidRPr="006C49EF">
        <w:rPr>
          <w:sz w:val="20"/>
          <w:szCs w:val="20"/>
          <w:lang w:val="es-ES"/>
        </w:rPr>
        <w:fldChar w:fldCharType="begin"/>
      </w:r>
      <w:r w:rsidRPr="006C49EF">
        <w:rPr>
          <w:sz w:val="20"/>
          <w:szCs w:val="20"/>
          <w:lang w:val="es-ES"/>
        </w:rPr>
        <w:instrText xml:space="preserve"> ADDIN ZOTERO_ITEM CSL_CITATION {"citationID":"hXyVaDUH","properties":{"formattedCitation":"(Lin et al., 2020)","plainCitation":"(Lin et al., 2020)","noteIndex":0},"citationItems":[{"id":2645,"uris":["http://zotero.org/users/11854005/items/HZMTLREB"],"itemData":{"id":2645,"type":"article-journal","container-title":"Scientific Data","DOI":"10.1038/s41597-020-0486-7","ISSN":"2052-4463","issue":"1","journalAbbreviation":"Sci Data","language":"en","page":"144","source":"DOI.org (Crossref)","title":"The TRUST Principles for digital repositories","URL":"https://www.nature.com/articles/s41597-020-0486-7","volume":"7","author":[{"family":"Lin","given":"D."},{"family":"Crabtree","given":"J."},{"family":"Dillo","given":"I."},{"family":"Downs","given":"Robert R."},{"family":"Edmunds","given":"R."},{"family":"Giaretta","given":"David"},{"family":"De Giusti","given":"Marisa"},{"family":"L’Hours","given":"Hervé"},{"family":"Hugo","given":"Wim"},{"family":"Jenkyns","given":"Reyna"},{"family":"Khodiyar","given":"Varsha"},{"family":"Martone","given":"Maryann E."},{"family":"Mokrane","given":"Mustapha"},{"family":"Navale","given":"Vivek"},{"family":"Petters","given":"Jonathan"},{"family":"Sierman","given":"Barbara"},{"family":"Sokolova","given":"Dina V."},{"family":"Stockhause","given":"Martina"},{"family":"Westbrook","given":"John"}],"accessed":{"date-parts":[["2023",11,27]]},"issued":{"date-parts":[["2020",5,14]]}}}],"schema":"https://github.com/citation-style-language/schema/raw/master/csl-citation.json"} </w:instrText>
      </w:r>
      <w:r w:rsidRPr="006C49EF">
        <w:rPr>
          <w:sz w:val="20"/>
          <w:szCs w:val="20"/>
          <w:lang w:val="es-ES"/>
        </w:rPr>
        <w:fldChar w:fldCharType="separate"/>
      </w:r>
      <w:r w:rsidRPr="006C49EF">
        <w:rPr>
          <w:sz w:val="20"/>
          <w:szCs w:val="20"/>
          <w:lang w:val="es-ES"/>
        </w:rPr>
        <w:t>(Lin et al., 2020</w:t>
      </w:r>
      <w:r w:rsidR="00161CC3" w:rsidRPr="006C49EF">
        <w:rPr>
          <w:sz w:val="20"/>
          <w:szCs w:val="20"/>
          <w:lang w:val="es-ES"/>
        </w:rPr>
        <w:t xml:space="preserve">, </w:t>
      </w:r>
      <w:hyperlink r:id="rId6" w:history="1">
        <w:r w:rsidR="007F09CD" w:rsidRPr="006C49EF">
          <w:rPr>
            <w:rStyle w:val="Hyperlink"/>
            <w:sz w:val="20"/>
            <w:szCs w:val="20"/>
            <w:lang w:val="es-ES"/>
          </w:rPr>
          <w:t>https://www.nature.com/articles/s41597-020-0486-7</w:t>
        </w:r>
      </w:hyperlink>
      <w:r w:rsidRPr="006C49EF">
        <w:rPr>
          <w:sz w:val="20"/>
          <w:szCs w:val="20"/>
          <w:lang w:val="es-ES"/>
        </w:rPr>
        <w:t>)</w:t>
      </w:r>
      <w:r w:rsidRPr="006C49EF">
        <w:rPr>
          <w:sz w:val="20"/>
          <w:szCs w:val="20"/>
          <w:lang w:val="es-ES"/>
        </w:rPr>
        <w:fldChar w:fldCharType="end"/>
      </w:r>
      <w:r w:rsidRPr="006C49EF">
        <w:rPr>
          <w:sz w:val="20"/>
          <w:szCs w:val="20"/>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05F93" w14:textId="77777777" w:rsidR="00F73E71" w:rsidRPr="00ED6A4F" w:rsidRDefault="00F73E71">
    <w:pPr>
      <w:pStyle w:val="Header"/>
    </w:pPr>
  </w:p>
  <w:p w14:paraId="7DAF5075" w14:textId="77777777" w:rsidR="00F73E71" w:rsidRPr="00ED6A4F" w:rsidRDefault="00F73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DB50F1"/>
    <w:multiLevelType w:val="multilevel"/>
    <w:tmpl w:val="D4D6D2B2"/>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6"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2950C2"/>
    <w:multiLevelType w:val="hybridMultilevel"/>
    <w:tmpl w:val="E2EACEF4"/>
    <w:lvl w:ilvl="0" w:tplc="6F62616E">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2"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3"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94039DE"/>
    <w:multiLevelType w:val="hybridMultilevel"/>
    <w:tmpl w:val="74B23C2E"/>
    <w:lvl w:ilvl="0" w:tplc="61EE56CE">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0C768A"/>
    <w:multiLevelType w:val="hybridMultilevel"/>
    <w:tmpl w:val="D4961A06"/>
    <w:lvl w:ilvl="0" w:tplc="0409000F">
      <w:start w:val="1"/>
      <w:numFmt w:val="decimal"/>
      <w:lvlText w:val="%1."/>
      <w:lvlJc w:val="left"/>
      <w:pPr>
        <w:ind w:left="720" w:hanging="360"/>
      </w:pPr>
      <w:rPr>
        <w:rFonts w:hint="default"/>
      </w:rPr>
    </w:lvl>
    <w:lvl w:ilvl="1" w:tplc="CFE067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A6E1EBC"/>
    <w:multiLevelType w:val="hybridMultilevel"/>
    <w:tmpl w:val="9440C1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2E2664"/>
    <w:multiLevelType w:val="multilevel"/>
    <w:tmpl w:val="02E41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7"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9"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1" w15:restartNumberingAfterBreak="0">
    <w:nsid w:val="6CB4095A"/>
    <w:multiLevelType w:val="hybridMultilevel"/>
    <w:tmpl w:val="47AE4A62"/>
    <w:lvl w:ilvl="0" w:tplc="1D689D7A">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122E67"/>
    <w:multiLevelType w:val="multilevel"/>
    <w:tmpl w:val="BD865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9"/>
  </w:num>
  <w:num w:numId="7">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5"/>
  </w:num>
  <w:num w:numId="13">
    <w:abstractNumId w:val="19"/>
  </w:num>
  <w:num w:numId="14">
    <w:abstractNumId w:val="13"/>
  </w:num>
  <w:num w:numId="15">
    <w:abstractNumId w:val="2"/>
  </w:num>
  <w:num w:numId="16">
    <w:abstractNumId w:val="16"/>
  </w:num>
  <w:num w:numId="17">
    <w:abstractNumId w:val="23"/>
  </w:num>
  <w:num w:numId="18">
    <w:abstractNumId w:val="34"/>
  </w:num>
  <w:num w:numId="19">
    <w:abstractNumId w:val="32"/>
  </w:num>
  <w:num w:numId="20">
    <w:abstractNumId w:val="26"/>
  </w:num>
  <w:num w:numId="21">
    <w:abstractNumId w:val="28"/>
  </w:num>
  <w:num w:numId="22">
    <w:abstractNumId w:val="17"/>
  </w:num>
  <w:num w:numId="23">
    <w:abstractNumId w:val="25"/>
  </w:num>
  <w:num w:numId="24">
    <w:abstractNumId w:val="21"/>
  </w:num>
  <w:num w:numId="25">
    <w:abstractNumId w:val="30"/>
  </w:num>
  <w:num w:numId="26">
    <w:abstractNumId w:val="9"/>
  </w:num>
  <w:num w:numId="27">
    <w:abstractNumId w:val="0"/>
  </w:num>
  <w:num w:numId="28">
    <w:abstractNumId w:val="12"/>
  </w:num>
  <w:num w:numId="29">
    <w:abstractNumId w:val="4"/>
  </w:num>
  <w:num w:numId="30">
    <w:abstractNumId w:val="31"/>
  </w:num>
  <w:num w:numId="31">
    <w:abstractNumId w:val="20"/>
  </w:num>
  <w:num w:numId="32">
    <w:abstractNumId w:val="14"/>
  </w:num>
  <w:num w:numId="33">
    <w:abstractNumId w:val="10"/>
  </w:num>
  <w:num w:numId="34">
    <w:abstractNumId w:val="3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33"/>
  </w:num>
  <w:num w:numId="37">
    <w:abstractNumId w:val="24"/>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86"/>
    <w:rsid w:val="0000258F"/>
    <w:rsid w:val="00002D31"/>
    <w:rsid w:val="0000572F"/>
    <w:rsid w:val="00006949"/>
    <w:rsid w:val="00006BAF"/>
    <w:rsid w:val="00010BDF"/>
    <w:rsid w:val="00010F04"/>
    <w:rsid w:val="00012C9D"/>
    <w:rsid w:val="00014168"/>
    <w:rsid w:val="0001423E"/>
    <w:rsid w:val="00014B1D"/>
    <w:rsid w:val="000156EF"/>
    <w:rsid w:val="000160C8"/>
    <w:rsid w:val="00016314"/>
    <w:rsid w:val="00017A16"/>
    <w:rsid w:val="00023A8D"/>
    <w:rsid w:val="000244CB"/>
    <w:rsid w:val="00025ABD"/>
    <w:rsid w:val="000269CA"/>
    <w:rsid w:val="00026E09"/>
    <w:rsid w:val="0002765E"/>
    <w:rsid w:val="000314B6"/>
    <w:rsid w:val="00033D74"/>
    <w:rsid w:val="0003404E"/>
    <w:rsid w:val="000364F2"/>
    <w:rsid w:val="00037CE0"/>
    <w:rsid w:val="00041A66"/>
    <w:rsid w:val="00041E47"/>
    <w:rsid w:val="00042C65"/>
    <w:rsid w:val="00042CCC"/>
    <w:rsid w:val="0005008D"/>
    <w:rsid w:val="00052219"/>
    <w:rsid w:val="00053929"/>
    <w:rsid w:val="00054679"/>
    <w:rsid w:val="0005522B"/>
    <w:rsid w:val="00056244"/>
    <w:rsid w:val="000605F9"/>
    <w:rsid w:val="000641D8"/>
    <w:rsid w:val="0006702D"/>
    <w:rsid w:val="0006790D"/>
    <w:rsid w:val="00070E9E"/>
    <w:rsid w:val="00072AE8"/>
    <w:rsid w:val="00074DE8"/>
    <w:rsid w:val="00075856"/>
    <w:rsid w:val="00076C43"/>
    <w:rsid w:val="00077419"/>
    <w:rsid w:val="0008163D"/>
    <w:rsid w:val="000832D0"/>
    <w:rsid w:val="00085890"/>
    <w:rsid w:val="000921EE"/>
    <w:rsid w:val="00094035"/>
    <w:rsid w:val="000944EB"/>
    <w:rsid w:val="00096EC3"/>
    <w:rsid w:val="000A3E3E"/>
    <w:rsid w:val="000A5BB5"/>
    <w:rsid w:val="000A7209"/>
    <w:rsid w:val="000A77B8"/>
    <w:rsid w:val="000B09CF"/>
    <w:rsid w:val="000B0DF9"/>
    <w:rsid w:val="000B10E8"/>
    <w:rsid w:val="000B1119"/>
    <w:rsid w:val="000C0EA8"/>
    <w:rsid w:val="000C1FB9"/>
    <w:rsid w:val="000C2489"/>
    <w:rsid w:val="000C7AA8"/>
    <w:rsid w:val="000D2C9D"/>
    <w:rsid w:val="000D32B6"/>
    <w:rsid w:val="000D5C76"/>
    <w:rsid w:val="000E0504"/>
    <w:rsid w:val="000E2FA0"/>
    <w:rsid w:val="000E47E9"/>
    <w:rsid w:val="000E4FA6"/>
    <w:rsid w:val="000E5E9E"/>
    <w:rsid w:val="000E6887"/>
    <w:rsid w:val="000F071D"/>
    <w:rsid w:val="000F2409"/>
    <w:rsid w:val="000F39DC"/>
    <w:rsid w:val="000F3EDC"/>
    <w:rsid w:val="000F684B"/>
    <w:rsid w:val="00100571"/>
    <w:rsid w:val="001009A8"/>
    <w:rsid w:val="00101AE7"/>
    <w:rsid w:val="001022C5"/>
    <w:rsid w:val="00103503"/>
    <w:rsid w:val="00105BCD"/>
    <w:rsid w:val="00106B6E"/>
    <w:rsid w:val="00107857"/>
    <w:rsid w:val="00110DBF"/>
    <w:rsid w:val="001163FB"/>
    <w:rsid w:val="00116427"/>
    <w:rsid w:val="0012096C"/>
    <w:rsid w:val="00124326"/>
    <w:rsid w:val="00125217"/>
    <w:rsid w:val="00125D49"/>
    <w:rsid w:val="001267AF"/>
    <w:rsid w:val="00127828"/>
    <w:rsid w:val="00132539"/>
    <w:rsid w:val="00133470"/>
    <w:rsid w:val="001338FC"/>
    <w:rsid w:val="00136976"/>
    <w:rsid w:val="00136E3B"/>
    <w:rsid w:val="0014028B"/>
    <w:rsid w:val="00142621"/>
    <w:rsid w:val="00142A19"/>
    <w:rsid w:val="001452DC"/>
    <w:rsid w:val="00150021"/>
    <w:rsid w:val="00155D36"/>
    <w:rsid w:val="00157844"/>
    <w:rsid w:val="0016013A"/>
    <w:rsid w:val="00161BDA"/>
    <w:rsid w:val="00161CC3"/>
    <w:rsid w:val="00165451"/>
    <w:rsid w:val="00171618"/>
    <w:rsid w:val="0017308B"/>
    <w:rsid w:val="00175AC8"/>
    <w:rsid w:val="00176BE9"/>
    <w:rsid w:val="001819B1"/>
    <w:rsid w:val="001820B7"/>
    <w:rsid w:val="001829C0"/>
    <w:rsid w:val="0019088C"/>
    <w:rsid w:val="00190C96"/>
    <w:rsid w:val="00191207"/>
    <w:rsid w:val="00191719"/>
    <w:rsid w:val="00191D0C"/>
    <w:rsid w:val="0019524F"/>
    <w:rsid w:val="00196961"/>
    <w:rsid w:val="001A2350"/>
    <w:rsid w:val="001A2D10"/>
    <w:rsid w:val="001A33D6"/>
    <w:rsid w:val="001A3492"/>
    <w:rsid w:val="001A3B00"/>
    <w:rsid w:val="001B1E4D"/>
    <w:rsid w:val="001B26F2"/>
    <w:rsid w:val="001C3E3F"/>
    <w:rsid w:val="001C4803"/>
    <w:rsid w:val="001C4B83"/>
    <w:rsid w:val="001C4D78"/>
    <w:rsid w:val="001C5E41"/>
    <w:rsid w:val="001C6294"/>
    <w:rsid w:val="001C77BC"/>
    <w:rsid w:val="001D0207"/>
    <w:rsid w:val="001D0F83"/>
    <w:rsid w:val="001D344C"/>
    <w:rsid w:val="001D48BB"/>
    <w:rsid w:val="001E00E3"/>
    <w:rsid w:val="001E067F"/>
    <w:rsid w:val="001E76B4"/>
    <w:rsid w:val="001F2349"/>
    <w:rsid w:val="001F52A2"/>
    <w:rsid w:val="001F785F"/>
    <w:rsid w:val="002005D2"/>
    <w:rsid w:val="002008CB"/>
    <w:rsid w:val="00200B6A"/>
    <w:rsid w:val="0020298B"/>
    <w:rsid w:val="00202DEA"/>
    <w:rsid w:val="00205321"/>
    <w:rsid w:val="00206111"/>
    <w:rsid w:val="002066B8"/>
    <w:rsid w:val="002119AA"/>
    <w:rsid w:val="00212F28"/>
    <w:rsid w:val="002137E0"/>
    <w:rsid w:val="0021625B"/>
    <w:rsid w:val="002216E2"/>
    <w:rsid w:val="002225F7"/>
    <w:rsid w:val="00222AF5"/>
    <w:rsid w:val="00223702"/>
    <w:rsid w:val="00225F65"/>
    <w:rsid w:val="00226F15"/>
    <w:rsid w:val="00233883"/>
    <w:rsid w:val="00242839"/>
    <w:rsid w:val="00242D0A"/>
    <w:rsid w:val="00245E7B"/>
    <w:rsid w:val="0024722E"/>
    <w:rsid w:val="0025605B"/>
    <w:rsid w:val="0025630F"/>
    <w:rsid w:val="00256477"/>
    <w:rsid w:val="00256B9C"/>
    <w:rsid w:val="002572C8"/>
    <w:rsid w:val="00264968"/>
    <w:rsid w:val="00267D8F"/>
    <w:rsid w:val="002741AC"/>
    <w:rsid w:val="00274EB1"/>
    <w:rsid w:val="00275F13"/>
    <w:rsid w:val="00280168"/>
    <w:rsid w:val="002802A0"/>
    <w:rsid w:val="002809C6"/>
    <w:rsid w:val="002819C0"/>
    <w:rsid w:val="00282591"/>
    <w:rsid w:val="00286016"/>
    <w:rsid w:val="00287016"/>
    <w:rsid w:val="00287A23"/>
    <w:rsid w:val="00287DA4"/>
    <w:rsid w:val="00290795"/>
    <w:rsid w:val="00295556"/>
    <w:rsid w:val="00295BB5"/>
    <w:rsid w:val="00295D42"/>
    <w:rsid w:val="00295F1E"/>
    <w:rsid w:val="00296E98"/>
    <w:rsid w:val="002A01BD"/>
    <w:rsid w:val="002A3389"/>
    <w:rsid w:val="002A4B0C"/>
    <w:rsid w:val="002A5A4D"/>
    <w:rsid w:val="002A5D44"/>
    <w:rsid w:val="002A62D8"/>
    <w:rsid w:val="002A733D"/>
    <w:rsid w:val="002B1F21"/>
    <w:rsid w:val="002B3D13"/>
    <w:rsid w:val="002B4262"/>
    <w:rsid w:val="002C1B5D"/>
    <w:rsid w:val="002C49C8"/>
    <w:rsid w:val="002C73B8"/>
    <w:rsid w:val="002D0952"/>
    <w:rsid w:val="002D0AC0"/>
    <w:rsid w:val="002D5A4D"/>
    <w:rsid w:val="002D609D"/>
    <w:rsid w:val="002D628E"/>
    <w:rsid w:val="002E0577"/>
    <w:rsid w:val="002E22AF"/>
    <w:rsid w:val="002E4597"/>
    <w:rsid w:val="002E540D"/>
    <w:rsid w:val="002E60BF"/>
    <w:rsid w:val="002E7C5C"/>
    <w:rsid w:val="002F0AAC"/>
    <w:rsid w:val="002F17AD"/>
    <w:rsid w:val="002F1F4C"/>
    <w:rsid w:val="002F5169"/>
    <w:rsid w:val="002F5942"/>
    <w:rsid w:val="002F6155"/>
    <w:rsid w:val="002F6C82"/>
    <w:rsid w:val="002F6E3B"/>
    <w:rsid w:val="002F7266"/>
    <w:rsid w:val="003004CE"/>
    <w:rsid w:val="00300A9C"/>
    <w:rsid w:val="0030160F"/>
    <w:rsid w:val="003030D4"/>
    <w:rsid w:val="00306C3D"/>
    <w:rsid w:val="00313CD7"/>
    <w:rsid w:val="00321B16"/>
    <w:rsid w:val="00324398"/>
    <w:rsid w:val="0033234A"/>
    <w:rsid w:val="00335270"/>
    <w:rsid w:val="00337BCD"/>
    <w:rsid w:val="00343186"/>
    <w:rsid w:val="0034532C"/>
    <w:rsid w:val="0034638E"/>
    <w:rsid w:val="00346855"/>
    <w:rsid w:val="0035716A"/>
    <w:rsid w:val="00360F0D"/>
    <w:rsid w:val="0036114A"/>
    <w:rsid w:val="00367EB2"/>
    <w:rsid w:val="00370AF7"/>
    <w:rsid w:val="003731CD"/>
    <w:rsid w:val="003742E6"/>
    <w:rsid w:val="00374D15"/>
    <w:rsid w:val="003752D3"/>
    <w:rsid w:val="0037668C"/>
    <w:rsid w:val="00376B01"/>
    <w:rsid w:val="00376ED0"/>
    <w:rsid w:val="003846F8"/>
    <w:rsid w:val="00384FC3"/>
    <w:rsid w:val="00386A65"/>
    <w:rsid w:val="00386AE8"/>
    <w:rsid w:val="00386E31"/>
    <w:rsid w:val="00386EC6"/>
    <w:rsid w:val="00395D52"/>
    <w:rsid w:val="00397561"/>
    <w:rsid w:val="003A0964"/>
    <w:rsid w:val="003A15B7"/>
    <w:rsid w:val="003A236D"/>
    <w:rsid w:val="003A35C4"/>
    <w:rsid w:val="003A3804"/>
    <w:rsid w:val="003A4B8D"/>
    <w:rsid w:val="003A52BE"/>
    <w:rsid w:val="003A5866"/>
    <w:rsid w:val="003A5E1C"/>
    <w:rsid w:val="003A6E9F"/>
    <w:rsid w:val="003B1DD7"/>
    <w:rsid w:val="003B4166"/>
    <w:rsid w:val="003B418D"/>
    <w:rsid w:val="003B4930"/>
    <w:rsid w:val="003B5405"/>
    <w:rsid w:val="003B5624"/>
    <w:rsid w:val="003B7DAD"/>
    <w:rsid w:val="003C0965"/>
    <w:rsid w:val="003C25FF"/>
    <w:rsid w:val="003C2BE1"/>
    <w:rsid w:val="003C2D9F"/>
    <w:rsid w:val="003C3625"/>
    <w:rsid w:val="003C5E2F"/>
    <w:rsid w:val="003D448D"/>
    <w:rsid w:val="003D44FC"/>
    <w:rsid w:val="003D4CD6"/>
    <w:rsid w:val="003D75A4"/>
    <w:rsid w:val="003E008D"/>
    <w:rsid w:val="003E0E0B"/>
    <w:rsid w:val="003E2DCD"/>
    <w:rsid w:val="003E3E2D"/>
    <w:rsid w:val="003F00E3"/>
    <w:rsid w:val="003F39D3"/>
    <w:rsid w:val="003F6F06"/>
    <w:rsid w:val="003F6FCD"/>
    <w:rsid w:val="004023C9"/>
    <w:rsid w:val="00407E8A"/>
    <w:rsid w:val="0041214A"/>
    <w:rsid w:val="004174BC"/>
    <w:rsid w:val="00421C5A"/>
    <w:rsid w:val="00422309"/>
    <w:rsid w:val="004228C7"/>
    <w:rsid w:val="00424E44"/>
    <w:rsid w:val="00425F1D"/>
    <w:rsid w:val="00426E36"/>
    <w:rsid w:val="00427189"/>
    <w:rsid w:val="0042798B"/>
    <w:rsid w:val="004322A8"/>
    <w:rsid w:val="00432F84"/>
    <w:rsid w:val="0043309C"/>
    <w:rsid w:val="00434913"/>
    <w:rsid w:val="00441415"/>
    <w:rsid w:val="004428E9"/>
    <w:rsid w:val="00442CF9"/>
    <w:rsid w:val="004450C0"/>
    <w:rsid w:val="004453A4"/>
    <w:rsid w:val="00445EAD"/>
    <w:rsid w:val="004461EB"/>
    <w:rsid w:val="004474F8"/>
    <w:rsid w:val="004503F5"/>
    <w:rsid w:val="00451745"/>
    <w:rsid w:val="004535B0"/>
    <w:rsid w:val="00462276"/>
    <w:rsid w:val="004626C1"/>
    <w:rsid w:val="00463725"/>
    <w:rsid w:val="00464F02"/>
    <w:rsid w:val="00465892"/>
    <w:rsid w:val="004712D4"/>
    <w:rsid w:val="00473246"/>
    <w:rsid w:val="0047444E"/>
    <w:rsid w:val="00477550"/>
    <w:rsid w:val="00480C5D"/>
    <w:rsid w:val="0048131C"/>
    <w:rsid w:val="004844A8"/>
    <w:rsid w:val="004855B5"/>
    <w:rsid w:val="00485DF1"/>
    <w:rsid w:val="004873C1"/>
    <w:rsid w:val="00491D2A"/>
    <w:rsid w:val="00493013"/>
    <w:rsid w:val="004936DE"/>
    <w:rsid w:val="004967D2"/>
    <w:rsid w:val="00496803"/>
    <w:rsid w:val="004971FD"/>
    <w:rsid w:val="00497A87"/>
    <w:rsid w:val="004A3E68"/>
    <w:rsid w:val="004A66FA"/>
    <w:rsid w:val="004A70F7"/>
    <w:rsid w:val="004A7368"/>
    <w:rsid w:val="004B134C"/>
    <w:rsid w:val="004B2438"/>
    <w:rsid w:val="004B6688"/>
    <w:rsid w:val="004B6DF7"/>
    <w:rsid w:val="004C2F99"/>
    <w:rsid w:val="004C35D9"/>
    <w:rsid w:val="004C368F"/>
    <w:rsid w:val="004C701B"/>
    <w:rsid w:val="004C7C64"/>
    <w:rsid w:val="004D2F18"/>
    <w:rsid w:val="004D4595"/>
    <w:rsid w:val="004D6C86"/>
    <w:rsid w:val="004D7EA5"/>
    <w:rsid w:val="004E1148"/>
    <w:rsid w:val="004E1E55"/>
    <w:rsid w:val="004E51B8"/>
    <w:rsid w:val="004E6BDE"/>
    <w:rsid w:val="004F078E"/>
    <w:rsid w:val="004F0B36"/>
    <w:rsid w:val="004F1FE9"/>
    <w:rsid w:val="004F265B"/>
    <w:rsid w:val="004F2997"/>
    <w:rsid w:val="00502302"/>
    <w:rsid w:val="00504D3F"/>
    <w:rsid w:val="00505ED9"/>
    <w:rsid w:val="00507667"/>
    <w:rsid w:val="00507F28"/>
    <w:rsid w:val="00511DB6"/>
    <w:rsid w:val="00512ABE"/>
    <w:rsid w:val="00514C76"/>
    <w:rsid w:val="0052114B"/>
    <w:rsid w:val="00523C6E"/>
    <w:rsid w:val="005244A4"/>
    <w:rsid w:val="005273F4"/>
    <w:rsid w:val="00527783"/>
    <w:rsid w:val="00536368"/>
    <w:rsid w:val="005371DF"/>
    <w:rsid w:val="005376D8"/>
    <w:rsid w:val="00541D94"/>
    <w:rsid w:val="0054258F"/>
    <w:rsid w:val="00546409"/>
    <w:rsid w:val="00546F81"/>
    <w:rsid w:val="005500DC"/>
    <w:rsid w:val="00552BDA"/>
    <w:rsid w:val="0055706D"/>
    <w:rsid w:val="00564D17"/>
    <w:rsid w:val="005672A5"/>
    <w:rsid w:val="005801A1"/>
    <w:rsid w:val="005814B5"/>
    <w:rsid w:val="00582D15"/>
    <w:rsid w:val="00582EA0"/>
    <w:rsid w:val="00582F89"/>
    <w:rsid w:val="00585648"/>
    <w:rsid w:val="00585E2F"/>
    <w:rsid w:val="005875A2"/>
    <w:rsid w:val="00591F76"/>
    <w:rsid w:val="00592B57"/>
    <w:rsid w:val="0059469A"/>
    <w:rsid w:val="00595F93"/>
    <w:rsid w:val="005A1342"/>
    <w:rsid w:val="005A2438"/>
    <w:rsid w:val="005A40DE"/>
    <w:rsid w:val="005A47D2"/>
    <w:rsid w:val="005A4DF3"/>
    <w:rsid w:val="005A587C"/>
    <w:rsid w:val="005B09CE"/>
    <w:rsid w:val="005B0FB2"/>
    <w:rsid w:val="005C0940"/>
    <w:rsid w:val="005C1CF1"/>
    <w:rsid w:val="005C56A9"/>
    <w:rsid w:val="005D2C6C"/>
    <w:rsid w:val="005D3E9D"/>
    <w:rsid w:val="005D5B0A"/>
    <w:rsid w:val="005D7026"/>
    <w:rsid w:val="005E05A3"/>
    <w:rsid w:val="005E1BE1"/>
    <w:rsid w:val="005E7B2A"/>
    <w:rsid w:val="005F17B4"/>
    <w:rsid w:val="005F1AE6"/>
    <w:rsid w:val="005F1C86"/>
    <w:rsid w:val="005F2319"/>
    <w:rsid w:val="005F4706"/>
    <w:rsid w:val="005F6257"/>
    <w:rsid w:val="005F645F"/>
    <w:rsid w:val="006045E9"/>
    <w:rsid w:val="00605F9A"/>
    <w:rsid w:val="00606D7E"/>
    <w:rsid w:val="0060733B"/>
    <w:rsid w:val="00616033"/>
    <w:rsid w:val="00617010"/>
    <w:rsid w:val="006170FD"/>
    <w:rsid w:val="006256D3"/>
    <w:rsid w:val="00627BB7"/>
    <w:rsid w:val="00631D08"/>
    <w:rsid w:val="00637801"/>
    <w:rsid w:val="006418AE"/>
    <w:rsid w:val="0064198A"/>
    <w:rsid w:val="00643BE9"/>
    <w:rsid w:val="00643D54"/>
    <w:rsid w:val="00644A13"/>
    <w:rsid w:val="0064723E"/>
    <w:rsid w:val="00647BAF"/>
    <w:rsid w:val="0065136E"/>
    <w:rsid w:val="00654F16"/>
    <w:rsid w:val="006651BB"/>
    <w:rsid w:val="00670D71"/>
    <w:rsid w:val="006717CA"/>
    <w:rsid w:val="00671F85"/>
    <w:rsid w:val="006735DB"/>
    <w:rsid w:val="00673989"/>
    <w:rsid w:val="00676313"/>
    <w:rsid w:val="00676EA9"/>
    <w:rsid w:val="0067731A"/>
    <w:rsid w:val="00680409"/>
    <w:rsid w:val="00681BE9"/>
    <w:rsid w:val="00684656"/>
    <w:rsid w:val="00686247"/>
    <w:rsid w:val="00692A41"/>
    <w:rsid w:val="0069382D"/>
    <w:rsid w:val="006942B2"/>
    <w:rsid w:val="006953D7"/>
    <w:rsid w:val="00695E77"/>
    <w:rsid w:val="00696BBE"/>
    <w:rsid w:val="006A05AC"/>
    <w:rsid w:val="006A18AE"/>
    <w:rsid w:val="006A20F3"/>
    <w:rsid w:val="006A21A2"/>
    <w:rsid w:val="006A241E"/>
    <w:rsid w:val="006A2AA3"/>
    <w:rsid w:val="006A3C50"/>
    <w:rsid w:val="006A62DC"/>
    <w:rsid w:val="006A7BD7"/>
    <w:rsid w:val="006C0DFB"/>
    <w:rsid w:val="006C0FE8"/>
    <w:rsid w:val="006C2001"/>
    <w:rsid w:val="006C383A"/>
    <w:rsid w:val="006C49EF"/>
    <w:rsid w:val="006C6EBD"/>
    <w:rsid w:val="006C7D6F"/>
    <w:rsid w:val="006D3B9E"/>
    <w:rsid w:val="006D6B86"/>
    <w:rsid w:val="006D7479"/>
    <w:rsid w:val="006D75AF"/>
    <w:rsid w:val="006E2176"/>
    <w:rsid w:val="006E49C8"/>
    <w:rsid w:val="006E5A00"/>
    <w:rsid w:val="006E7DCE"/>
    <w:rsid w:val="006F630C"/>
    <w:rsid w:val="007029AB"/>
    <w:rsid w:val="00702FBA"/>
    <w:rsid w:val="007050FF"/>
    <w:rsid w:val="0070532B"/>
    <w:rsid w:val="00710A12"/>
    <w:rsid w:val="00711670"/>
    <w:rsid w:val="007129E2"/>
    <w:rsid w:val="00713613"/>
    <w:rsid w:val="007160D4"/>
    <w:rsid w:val="00716A75"/>
    <w:rsid w:val="007201C7"/>
    <w:rsid w:val="007203CA"/>
    <w:rsid w:val="00722C9C"/>
    <w:rsid w:val="007259FB"/>
    <w:rsid w:val="00743AD6"/>
    <w:rsid w:val="00744E7F"/>
    <w:rsid w:val="0074514D"/>
    <w:rsid w:val="0074783C"/>
    <w:rsid w:val="00747CC6"/>
    <w:rsid w:val="00752764"/>
    <w:rsid w:val="00754A19"/>
    <w:rsid w:val="00754A96"/>
    <w:rsid w:val="007555F8"/>
    <w:rsid w:val="007571CF"/>
    <w:rsid w:val="00757FF7"/>
    <w:rsid w:val="00762912"/>
    <w:rsid w:val="00762EA8"/>
    <w:rsid w:val="00763DA6"/>
    <w:rsid w:val="0076549F"/>
    <w:rsid w:val="00766962"/>
    <w:rsid w:val="00767FCB"/>
    <w:rsid w:val="00770F3E"/>
    <w:rsid w:val="00772576"/>
    <w:rsid w:val="007748D6"/>
    <w:rsid w:val="00775174"/>
    <w:rsid w:val="00775287"/>
    <w:rsid w:val="00776CCB"/>
    <w:rsid w:val="007809F8"/>
    <w:rsid w:val="007824D4"/>
    <w:rsid w:val="00790671"/>
    <w:rsid w:val="00790A6C"/>
    <w:rsid w:val="00792BA5"/>
    <w:rsid w:val="00793EA5"/>
    <w:rsid w:val="007961DB"/>
    <w:rsid w:val="00797222"/>
    <w:rsid w:val="007975FE"/>
    <w:rsid w:val="007A5CE3"/>
    <w:rsid w:val="007A61EC"/>
    <w:rsid w:val="007A6AA5"/>
    <w:rsid w:val="007B455E"/>
    <w:rsid w:val="007B5504"/>
    <w:rsid w:val="007B5F8E"/>
    <w:rsid w:val="007C0044"/>
    <w:rsid w:val="007C022F"/>
    <w:rsid w:val="007C7665"/>
    <w:rsid w:val="007D0298"/>
    <w:rsid w:val="007D1C5A"/>
    <w:rsid w:val="007D2101"/>
    <w:rsid w:val="007D33F4"/>
    <w:rsid w:val="007D3EE3"/>
    <w:rsid w:val="007D4773"/>
    <w:rsid w:val="007D6776"/>
    <w:rsid w:val="007E4F76"/>
    <w:rsid w:val="007E7D79"/>
    <w:rsid w:val="007F09CD"/>
    <w:rsid w:val="007F3ABE"/>
    <w:rsid w:val="007F3B95"/>
    <w:rsid w:val="007F7F39"/>
    <w:rsid w:val="00800606"/>
    <w:rsid w:val="008027C0"/>
    <w:rsid w:val="00802C56"/>
    <w:rsid w:val="00810A24"/>
    <w:rsid w:val="0081119C"/>
    <w:rsid w:val="00811CA2"/>
    <w:rsid w:val="00811E60"/>
    <w:rsid w:val="0081249F"/>
    <w:rsid w:val="00815A20"/>
    <w:rsid w:val="00815D8F"/>
    <w:rsid w:val="00816BF7"/>
    <w:rsid w:val="00817615"/>
    <w:rsid w:val="008237C3"/>
    <w:rsid w:val="00824535"/>
    <w:rsid w:val="008265DF"/>
    <w:rsid w:val="00827142"/>
    <w:rsid w:val="008328E9"/>
    <w:rsid w:val="008343DF"/>
    <w:rsid w:val="0083595D"/>
    <w:rsid w:val="00835BCB"/>
    <w:rsid w:val="00835CDC"/>
    <w:rsid w:val="00836CB6"/>
    <w:rsid w:val="00836D4E"/>
    <w:rsid w:val="008378CD"/>
    <w:rsid w:val="0084226A"/>
    <w:rsid w:val="00843405"/>
    <w:rsid w:val="00844407"/>
    <w:rsid w:val="008446B7"/>
    <w:rsid w:val="00845E6F"/>
    <w:rsid w:val="00850B09"/>
    <w:rsid w:val="00853201"/>
    <w:rsid w:val="00853287"/>
    <w:rsid w:val="008536B0"/>
    <w:rsid w:val="00854B30"/>
    <w:rsid w:val="00854B56"/>
    <w:rsid w:val="00855CE0"/>
    <w:rsid w:val="00855FDC"/>
    <w:rsid w:val="0085724E"/>
    <w:rsid w:val="00857624"/>
    <w:rsid w:val="00861F29"/>
    <w:rsid w:val="00861F5C"/>
    <w:rsid w:val="00862BF1"/>
    <w:rsid w:val="00863B9D"/>
    <w:rsid w:val="00863BE6"/>
    <w:rsid w:val="00863E88"/>
    <w:rsid w:val="00863EF0"/>
    <w:rsid w:val="0086416E"/>
    <w:rsid w:val="00866DD4"/>
    <w:rsid w:val="00871119"/>
    <w:rsid w:val="008725A0"/>
    <w:rsid w:val="0087679E"/>
    <w:rsid w:val="008775BC"/>
    <w:rsid w:val="00882F1B"/>
    <w:rsid w:val="00885E33"/>
    <w:rsid w:val="008867BA"/>
    <w:rsid w:val="00891AEA"/>
    <w:rsid w:val="00892E8C"/>
    <w:rsid w:val="00892F49"/>
    <w:rsid w:val="008946AA"/>
    <w:rsid w:val="008A000D"/>
    <w:rsid w:val="008A0594"/>
    <w:rsid w:val="008A1892"/>
    <w:rsid w:val="008A5E35"/>
    <w:rsid w:val="008A70CE"/>
    <w:rsid w:val="008B1122"/>
    <w:rsid w:val="008B13AB"/>
    <w:rsid w:val="008B74BA"/>
    <w:rsid w:val="008C0E75"/>
    <w:rsid w:val="008C14DB"/>
    <w:rsid w:val="008C1A48"/>
    <w:rsid w:val="008C1DBC"/>
    <w:rsid w:val="008C25E4"/>
    <w:rsid w:val="008C2DAE"/>
    <w:rsid w:val="008C3E63"/>
    <w:rsid w:val="008C5C09"/>
    <w:rsid w:val="008D1012"/>
    <w:rsid w:val="008D2090"/>
    <w:rsid w:val="008D4DDF"/>
    <w:rsid w:val="008E1E2A"/>
    <w:rsid w:val="008E5C4F"/>
    <w:rsid w:val="008F1181"/>
    <w:rsid w:val="008F2144"/>
    <w:rsid w:val="008F3785"/>
    <w:rsid w:val="008F55B2"/>
    <w:rsid w:val="008F655E"/>
    <w:rsid w:val="008F6D3F"/>
    <w:rsid w:val="008F75D1"/>
    <w:rsid w:val="008F79CE"/>
    <w:rsid w:val="00900ECB"/>
    <w:rsid w:val="009021B9"/>
    <w:rsid w:val="009037AA"/>
    <w:rsid w:val="009059A9"/>
    <w:rsid w:val="00906157"/>
    <w:rsid w:val="00906AA0"/>
    <w:rsid w:val="00907958"/>
    <w:rsid w:val="00910830"/>
    <w:rsid w:val="00913EA8"/>
    <w:rsid w:val="00913F95"/>
    <w:rsid w:val="00915160"/>
    <w:rsid w:val="009159A8"/>
    <w:rsid w:val="00915CA9"/>
    <w:rsid w:val="009171B4"/>
    <w:rsid w:val="00923141"/>
    <w:rsid w:val="00923D8F"/>
    <w:rsid w:val="0092421E"/>
    <w:rsid w:val="0092515E"/>
    <w:rsid w:val="00926588"/>
    <w:rsid w:val="009300C5"/>
    <w:rsid w:val="0093195D"/>
    <w:rsid w:val="00931AE7"/>
    <w:rsid w:val="00935D97"/>
    <w:rsid w:val="00937FC9"/>
    <w:rsid w:val="0094098E"/>
    <w:rsid w:val="00942FBD"/>
    <w:rsid w:val="00943608"/>
    <w:rsid w:val="00944ADD"/>
    <w:rsid w:val="009458D1"/>
    <w:rsid w:val="0094770B"/>
    <w:rsid w:val="0095099D"/>
    <w:rsid w:val="00950D96"/>
    <w:rsid w:val="00952179"/>
    <w:rsid w:val="00953A52"/>
    <w:rsid w:val="00954457"/>
    <w:rsid w:val="00954D1C"/>
    <w:rsid w:val="00956139"/>
    <w:rsid w:val="00960A93"/>
    <w:rsid w:val="00962435"/>
    <w:rsid w:val="009632C7"/>
    <w:rsid w:val="00971F82"/>
    <w:rsid w:val="00973340"/>
    <w:rsid w:val="00973EC1"/>
    <w:rsid w:val="009776B6"/>
    <w:rsid w:val="00980492"/>
    <w:rsid w:val="0098123A"/>
    <w:rsid w:val="00982729"/>
    <w:rsid w:val="00982CDA"/>
    <w:rsid w:val="00983B0A"/>
    <w:rsid w:val="009840DC"/>
    <w:rsid w:val="00985764"/>
    <w:rsid w:val="0098771D"/>
    <w:rsid w:val="009910EA"/>
    <w:rsid w:val="00992387"/>
    <w:rsid w:val="00992493"/>
    <w:rsid w:val="00992DC6"/>
    <w:rsid w:val="00993EFD"/>
    <w:rsid w:val="00993FC8"/>
    <w:rsid w:val="00994718"/>
    <w:rsid w:val="00996121"/>
    <w:rsid w:val="009A0CC6"/>
    <w:rsid w:val="009A1D84"/>
    <w:rsid w:val="009A29AA"/>
    <w:rsid w:val="009A29BB"/>
    <w:rsid w:val="009A4263"/>
    <w:rsid w:val="009A5D78"/>
    <w:rsid w:val="009A71FE"/>
    <w:rsid w:val="009A7D34"/>
    <w:rsid w:val="009B2267"/>
    <w:rsid w:val="009B6931"/>
    <w:rsid w:val="009B6A8A"/>
    <w:rsid w:val="009B6F49"/>
    <w:rsid w:val="009C249D"/>
    <w:rsid w:val="009C2F34"/>
    <w:rsid w:val="009C371B"/>
    <w:rsid w:val="009D495A"/>
    <w:rsid w:val="009D4FFD"/>
    <w:rsid w:val="009E0AE8"/>
    <w:rsid w:val="009E1242"/>
    <w:rsid w:val="009E19F2"/>
    <w:rsid w:val="009E2B6D"/>
    <w:rsid w:val="009E5374"/>
    <w:rsid w:val="009E57DE"/>
    <w:rsid w:val="009E5832"/>
    <w:rsid w:val="009E6206"/>
    <w:rsid w:val="009F0F6C"/>
    <w:rsid w:val="009F21D1"/>
    <w:rsid w:val="009F24C4"/>
    <w:rsid w:val="009F2C44"/>
    <w:rsid w:val="009F2DBE"/>
    <w:rsid w:val="009F345D"/>
    <w:rsid w:val="009F37A8"/>
    <w:rsid w:val="009F6F8E"/>
    <w:rsid w:val="00A048E2"/>
    <w:rsid w:val="00A06D74"/>
    <w:rsid w:val="00A07AD8"/>
    <w:rsid w:val="00A110C3"/>
    <w:rsid w:val="00A13218"/>
    <w:rsid w:val="00A20604"/>
    <w:rsid w:val="00A227A3"/>
    <w:rsid w:val="00A22A3F"/>
    <w:rsid w:val="00A22C13"/>
    <w:rsid w:val="00A250E8"/>
    <w:rsid w:val="00A301B0"/>
    <w:rsid w:val="00A337D7"/>
    <w:rsid w:val="00A341FB"/>
    <w:rsid w:val="00A34A6E"/>
    <w:rsid w:val="00A35E4A"/>
    <w:rsid w:val="00A373BD"/>
    <w:rsid w:val="00A46B4C"/>
    <w:rsid w:val="00A46DC1"/>
    <w:rsid w:val="00A5191C"/>
    <w:rsid w:val="00A52E68"/>
    <w:rsid w:val="00A54E54"/>
    <w:rsid w:val="00A56B4D"/>
    <w:rsid w:val="00A60B73"/>
    <w:rsid w:val="00A61C58"/>
    <w:rsid w:val="00A62CDE"/>
    <w:rsid w:val="00A64150"/>
    <w:rsid w:val="00A653C8"/>
    <w:rsid w:val="00A71D09"/>
    <w:rsid w:val="00A742A5"/>
    <w:rsid w:val="00A76021"/>
    <w:rsid w:val="00A7720D"/>
    <w:rsid w:val="00A80080"/>
    <w:rsid w:val="00A8027C"/>
    <w:rsid w:val="00A85B9C"/>
    <w:rsid w:val="00A93013"/>
    <w:rsid w:val="00A94E36"/>
    <w:rsid w:val="00A95AB2"/>
    <w:rsid w:val="00A95ABF"/>
    <w:rsid w:val="00A97363"/>
    <w:rsid w:val="00AA08BF"/>
    <w:rsid w:val="00AA2D8F"/>
    <w:rsid w:val="00AA3C94"/>
    <w:rsid w:val="00AA4352"/>
    <w:rsid w:val="00AA48DF"/>
    <w:rsid w:val="00AB4511"/>
    <w:rsid w:val="00AB4951"/>
    <w:rsid w:val="00AB6F3A"/>
    <w:rsid w:val="00AC042C"/>
    <w:rsid w:val="00AC2463"/>
    <w:rsid w:val="00AC2567"/>
    <w:rsid w:val="00AC25C6"/>
    <w:rsid w:val="00AC6727"/>
    <w:rsid w:val="00AC6DAA"/>
    <w:rsid w:val="00AD18B7"/>
    <w:rsid w:val="00AD4E9D"/>
    <w:rsid w:val="00AD61E7"/>
    <w:rsid w:val="00AE142D"/>
    <w:rsid w:val="00AE3A87"/>
    <w:rsid w:val="00AE3CF6"/>
    <w:rsid w:val="00AF0286"/>
    <w:rsid w:val="00AF2133"/>
    <w:rsid w:val="00AF3AB2"/>
    <w:rsid w:val="00AF5C81"/>
    <w:rsid w:val="00B0069A"/>
    <w:rsid w:val="00B0321E"/>
    <w:rsid w:val="00B04129"/>
    <w:rsid w:val="00B045DC"/>
    <w:rsid w:val="00B05B70"/>
    <w:rsid w:val="00B10CDD"/>
    <w:rsid w:val="00B11AD7"/>
    <w:rsid w:val="00B13FE0"/>
    <w:rsid w:val="00B17063"/>
    <w:rsid w:val="00B2439B"/>
    <w:rsid w:val="00B25C57"/>
    <w:rsid w:val="00B262D4"/>
    <w:rsid w:val="00B2702D"/>
    <w:rsid w:val="00B27275"/>
    <w:rsid w:val="00B315A0"/>
    <w:rsid w:val="00B32084"/>
    <w:rsid w:val="00B34A18"/>
    <w:rsid w:val="00B368F8"/>
    <w:rsid w:val="00B37912"/>
    <w:rsid w:val="00B40E55"/>
    <w:rsid w:val="00B468CE"/>
    <w:rsid w:val="00B472B9"/>
    <w:rsid w:val="00B52B84"/>
    <w:rsid w:val="00B559BD"/>
    <w:rsid w:val="00B5719B"/>
    <w:rsid w:val="00B578A2"/>
    <w:rsid w:val="00B579CB"/>
    <w:rsid w:val="00B57A3B"/>
    <w:rsid w:val="00B624B0"/>
    <w:rsid w:val="00B626CD"/>
    <w:rsid w:val="00B70083"/>
    <w:rsid w:val="00B70B04"/>
    <w:rsid w:val="00B72D23"/>
    <w:rsid w:val="00B7359B"/>
    <w:rsid w:val="00B739E2"/>
    <w:rsid w:val="00B7572E"/>
    <w:rsid w:val="00B81095"/>
    <w:rsid w:val="00B83EF9"/>
    <w:rsid w:val="00B85178"/>
    <w:rsid w:val="00B852E5"/>
    <w:rsid w:val="00B915B9"/>
    <w:rsid w:val="00B91A40"/>
    <w:rsid w:val="00B9629F"/>
    <w:rsid w:val="00B96D24"/>
    <w:rsid w:val="00BA0374"/>
    <w:rsid w:val="00BA093D"/>
    <w:rsid w:val="00BA0DE3"/>
    <w:rsid w:val="00BA1CFC"/>
    <w:rsid w:val="00BA285A"/>
    <w:rsid w:val="00BA64EF"/>
    <w:rsid w:val="00BA6F75"/>
    <w:rsid w:val="00BB0E97"/>
    <w:rsid w:val="00BB28F6"/>
    <w:rsid w:val="00BB4E2C"/>
    <w:rsid w:val="00BB598E"/>
    <w:rsid w:val="00BB5D7E"/>
    <w:rsid w:val="00BB61B4"/>
    <w:rsid w:val="00BC2609"/>
    <w:rsid w:val="00BC3E70"/>
    <w:rsid w:val="00BD08E3"/>
    <w:rsid w:val="00BD4859"/>
    <w:rsid w:val="00BD7228"/>
    <w:rsid w:val="00BE01AF"/>
    <w:rsid w:val="00BE0378"/>
    <w:rsid w:val="00BE48FE"/>
    <w:rsid w:val="00BE5B03"/>
    <w:rsid w:val="00BE75F3"/>
    <w:rsid w:val="00BF0DB0"/>
    <w:rsid w:val="00BF1D68"/>
    <w:rsid w:val="00BF1DC4"/>
    <w:rsid w:val="00BF29DE"/>
    <w:rsid w:val="00BF3EF6"/>
    <w:rsid w:val="00BF7EC3"/>
    <w:rsid w:val="00C031BF"/>
    <w:rsid w:val="00C042F8"/>
    <w:rsid w:val="00C0528F"/>
    <w:rsid w:val="00C05F8B"/>
    <w:rsid w:val="00C11235"/>
    <w:rsid w:val="00C13145"/>
    <w:rsid w:val="00C24BD7"/>
    <w:rsid w:val="00C30957"/>
    <w:rsid w:val="00C34D18"/>
    <w:rsid w:val="00C351F3"/>
    <w:rsid w:val="00C43C4D"/>
    <w:rsid w:val="00C47C76"/>
    <w:rsid w:val="00C51BDD"/>
    <w:rsid w:val="00C51EB5"/>
    <w:rsid w:val="00C5408B"/>
    <w:rsid w:val="00C54D94"/>
    <w:rsid w:val="00C54FB4"/>
    <w:rsid w:val="00C564D9"/>
    <w:rsid w:val="00C57ED8"/>
    <w:rsid w:val="00C606A8"/>
    <w:rsid w:val="00C62251"/>
    <w:rsid w:val="00C676B8"/>
    <w:rsid w:val="00C70702"/>
    <w:rsid w:val="00C74D3A"/>
    <w:rsid w:val="00C7717B"/>
    <w:rsid w:val="00C773CE"/>
    <w:rsid w:val="00C80E2A"/>
    <w:rsid w:val="00C839DC"/>
    <w:rsid w:val="00C84B18"/>
    <w:rsid w:val="00C87630"/>
    <w:rsid w:val="00C90623"/>
    <w:rsid w:val="00C91725"/>
    <w:rsid w:val="00C939BF"/>
    <w:rsid w:val="00C939EF"/>
    <w:rsid w:val="00C948F0"/>
    <w:rsid w:val="00C956A3"/>
    <w:rsid w:val="00C9758E"/>
    <w:rsid w:val="00C9764E"/>
    <w:rsid w:val="00CA03FB"/>
    <w:rsid w:val="00CA07DD"/>
    <w:rsid w:val="00CA0D09"/>
    <w:rsid w:val="00CA5225"/>
    <w:rsid w:val="00CA55A9"/>
    <w:rsid w:val="00CA5DD5"/>
    <w:rsid w:val="00CA71DE"/>
    <w:rsid w:val="00CB1132"/>
    <w:rsid w:val="00CB6582"/>
    <w:rsid w:val="00CB66EB"/>
    <w:rsid w:val="00CB6A16"/>
    <w:rsid w:val="00CB73A3"/>
    <w:rsid w:val="00CB7AF8"/>
    <w:rsid w:val="00CC18C4"/>
    <w:rsid w:val="00CC1C27"/>
    <w:rsid w:val="00CC30AD"/>
    <w:rsid w:val="00CC46AA"/>
    <w:rsid w:val="00CC570C"/>
    <w:rsid w:val="00CD000B"/>
    <w:rsid w:val="00CD0CCA"/>
    <w:rsid w:val="00CD39CE"/>
    <w:rsid w:val="00CD6968"/>
    <w:rsid w:val="00CE3173"/>
    <w:rsid w:val="00CE371F"/>
    <w:rsid w:val="00CE750F"/>
    <w:rsid w:val="00CF4AA1"/>
    <w:rsid w:val="00D01F87"/>
    <w:rsid w:val="00D02C42"/>
    <w:rsid w:val="00D07153"/>
    <w:rsid w:val="00D07971"/>
    <w:rsid w:val="00D12C47"/>
    <w:rsid w:val="00D13269"/>
    <w:rsid w:val="00D146DA"/>
    <w:rsid w:val="00D152D6"/>
    <w:rsid w:val="00D160CB"/>
    <w:rsid w:val="00D1748A"/>
    <w:rsid w:val="00D209DD"/>
    <w:rsid w:val="00D2249D"/>
    <w:rsid w:val="00D245A1"/>
    <w:rsid w:val="00D31FC5"/>
    <w:rsid w:val="00D33218"/>
    <w:rsid w:val="00D3474A"/>
    <w:rsid w:val="00D34DF0"/>
    <w:rsid w:val="00D35AFB"/>
    <w:rsid w:val="00D37D36"/>
    <w:rsid w:val="00D415E2"/>
    <w:rsid w:val="00D42055"/>
    <w:rsid w:val="00D57F2F"/>
    <w:rsid w:val="00D61EFE"/>
    <w:rsid w:val="00D63535"/>
    <w:rsid w:val="00D647C3"/>
    <w:rsid w:val="00D70C38"/>
    <w:rsid w:val="00D714E7"/>
    <w:rsid w:val="00D72E41"/>
    <w:rsid w:val="00D80F57"/>
    <w:rsid w:val="00D81D48"/>
    <w:rsid w:val="00D81FB2"/>
    <w:rsid w:val="00D826D3"/>
    <w:rsid w:val="00D842B5"/>
    <w:rsid w:val="00D87099"/>
    <w:rsid w:val="00D87F45"/>
    <w:rsid w:val="00D90104"/>
    <w:rsid w:val="00D913C3"/>
    <w:rsid w:val="00D92996"/>
    <w:rsid w:val="00D95133"/>
    <w:rsid w:val="00D9633A"/>
    <w:rsid w:val="00D96E32"/>
    <w:rsid w:val="00DA0955"/>
    <w:rsid w:val="00DA16D2"/>
    <w:rsid w:val="00DA182F"/>
    <w:rsid w:val="00DA2130"/>
    <w:rsid w:val="00DA28C7"/>
    <w:rsid w:val="00DA36E1"/>
    <w:rsid w:val="00DA7C00"/>
    <w:rsid w:val="00DB1CBE"/>
    <w:rsid w:val="00DB593C"/>
    <w:rsid w:val="00DB659A"/>
    <w:rsid w:val="00DC4351"/>
    <w:rsid w:val="00DC6A9D"/>
    <w:rsid w:val="00DC6BC0"/>
    <w:rsid w:val="00DD150C"/>
    <w:rsid w:val="00DD6577"/>
    <w:rsid w:val="00DD7D81"/>
    <w:rsid w:val="00DE151B"/>
    <w:rsid w:val="00DE1A71"/>
    <w:rsid w:val="00DE6353"/>
    <w:rsid w:val="00DF2386"/>
    <w:rsid w:val="00DF3187"/>
    <w:rsid w:val="00DF3F5C"/>
    <w:rsid w:val="00DF4B2A"/>
    <w:rsid w:val="00DF51DF"/>
    <w:rsid w:val="00DF5306"/>
    <w:rsid w:val="00DF5A30"/>
    <w:rsid w:val="00DF7FE7"/>
    <w:rsid w:val="00E01949"/>
    <w:rsid w:val="00E0241A"/>
    <w:rsid w:val="00E03CEA"/>
    <w:rsid w:val="00E073CD"/>
    <w:rsid w:val="00E07553"/>
    <w:rsid w:val="00E10151"/>
    <w:rsid w:val="00E10D9F"/>
    <w:rsid w:val="00E11618"/>
    <w:rsid w:val="00E125E5"/>
    <w:rsid w:val="00E13022"/>
    <w:rsid w:val="00E13FB9"/>
    <w:rsid w:val="00E17E83"/>
    <w:rsid w:val="00E217C6"/>
    <w:rsid w:val="00E302EB"/>
    <w:rsid w:val="00E31BEA"/>
    <w:rsid w:val="00E34BF1"/>
    <w:rsid w:val="00E34EAB"/>
    <w:rsid w:val="00E40449"/>
    <w:rsid w:val="00E41C27"/>
    <w:rsid w:val="00E42F6A"/>
    <w:rsid w:val="00E46367"/>
    <w:rsid w:val="00E50A6F"/>
    <w:rsid w:val="00E51095"/>
    <w:rsid w:val="00E5196D"/>
    <w:rsid w:val="00E52412"/>
    <w:rsid w:val="00E5268C"/>
    <w:rsid w:val="00E52F38"/>
    <w:rsid w:val="00E54DDD"/>
    <w:rsid w:val="00E55207"/>
    <w:rsid w:val="00E55849"/>
    <w:rsid w:val="00E560E3"/>
    <w:rsid w:val="00E56C9F"/>
    <w:rsid w:val="00E61CD8"/>
    <w:rsid w:val="00E635BA"/>
    <w:rsid w:val="00E63F0B"/>
    <w:rsid w:val="00E65F2F"/>
    <w:rsid w:val="00E66D25"/>
    <w:rsid w:val="00E7686B"/>
    <w:rsid w:val="00E8459A"/>
    <w:rsid w:val="00E85DE5"/>
    <w:rsid w:val="00E90EE1"/>
    <w:rsid w:val="00E91E9E"/>
    <w:rsid w:val="00E95AEC"/>
    <w:rsid w:val="00EA3A7F"/>
    <w:rsid w:val="00EA6022"/>
    <w:rsid w:val="00EA7F15"/>
    <w:rsid w:val="00EB2187"/>
    <w:rsid w:val="00EB4CEF"/>
    <w:rsid w:val="00EB5154"/>
    <w:rsid w:val="00EB5ABB"/>
    <w:rsid w:val="00EB5D0C"/>
    <w:rsid w:val="00EB6B98"/>
    <w:rsid w:val="00EB6BA7"/>
    <w:rsid w:val="00EB7BC7"/>
    <w:rsid w:val="00EC08E3"/>
    <w:rsid w:val="00EC6E85"/>
    <w:rsid w:val="00EC7A15"/>
    <w:rsid w:val="00EC7C8E"/>
    <w:rsid w:val="00ED0D08"/>
    <w:rsid w:val="00ED4B3D"/>
    <w:rsid w:val="00ED554C"/>
    <w:rsid w:val="00ED5B91"/>
    <w:rsid w:val="00ED6A4F"/>
    <w:rsid w:val="00EE0F6C"/>
    <w:rsid w:val="00EE1940"/>
    <w:rsid w:val="00EE2F80"/>
    <w:rsid w:val="00EE4EDF"/>
    <w:rsid w:val="00EE64F5"/>
    <w:rsid w:val="00EE72B3"/>
    <w:rsid w:val="00EF1559"/>
    <w:rsid w:val="00EF2A39"/>
    <w:rsid w:val="00EF38E3"/>
    <w:rsid w:val="00EF559E"/>
    <w:rsid w:val="00F00D2F"/>
    <w:rsid w:val="00F04C6A"/>
    <w:rsid w:val="00F078F1"/>
    <w:rsid w:val="00F109CF"/>
    <w:rsid w:val="00F1221F"/>
    <w:rsid w:val="00F15B71"/>
    <w:rsid w:val="00F15F51"/>
    <w:rsid w:val="00F15FCC"/>
    <w:rsid w:val="00F17CF6"/>
    <w:rsid w:val="00F21612"/>
    <w:rsid w:val="00F25B36"/>
    <w:rsid w:val="00F32D03"/>
    <w:rsid w:val="00F344DE"/>
    <w:rsid w:val="00F37750"/>
    <w:rsid w:val="00F40934"/>
    <w:rsid w:val="00F40E73"/>
    <w:rsid w:val="00F43BD9"/>
    <w:rsid w:val="00F446DC"/>
    <w:rsid w:val="00F44B3F"/>
    <w:rsid w:val="00F50C1D"/>
    <w:rsid w:val="00F52322"/>
    <w:rsid w:val="00F54F2B"/>
    <w:rsid w:val="00F56914"/>
    <w:rsid w:val="00F60B89"/>
    <w:rsid w:val="00F6171B"/>
    <w:rsid w:val="00F61F24"/>
    <w:rsid w:val="00F62E18"/>
    <w:rsid w:val="00F719E6"/>
    <w:rsid w:val="00F73E71"/>
    <w:rsid w:val="00F74CF4"/>
    <w:rsid w:val="00F7724E"/>
    <w:rsid w:val="00F80702"/>
    <w:rsid w:val="00F80AC4"/>
    <w:rsid w:val="00F85161"/>
    <w:rsid w:val="00F900CA"/>
    <w:rsid w:val="00F93AAD"/>
    <w:rsid w:val="00FB040E"/>
    <w:rsid w:val="00FB1FDC"/>
    <w:rsid w:val="00FB22B4"/>
    <w:rsid w:val="00FB22E0"/>
    <w:rsid w:val="00FC02EF"/>
    <w:rsid w:val="00FC1ADA"/>
    <w:rsid w:val="00FC4EFF"/>
    <w:rsid w:val="00FC7D55"/>
    <w:rsid w:val="00FD295D"/>
    <w:rsid w:val="00FD2C2D"/>
    <w:rsid w:val="00FE196C"/>
    <w:rsid w:val="00FE5DA0"/>
    <w:rsid w:val="00FE6B34"/>
    <w:rsid w:val="00FE7B4F"/>
    <w:rsid w:val="00FF00EE"/>
    <w:rsid w:val="00FF28EE"/>
    <w:rsid w:val="00FF4E24"/>
    <w:rsid w:val="00FF5058"/>
    <w:rsid w:val="00FF5B21"/>
    <w:rsid w:val="00FF5CC0"/>
    <w:rsid w:val="038F3BC9"/>
    <w:rsid w:val="4C4A08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F44614"/>
  <w15:docId w15:val="{D8149972-07E2-4F31-9665-3190775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3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Default">
    <w:name w:val="Default"/>
    <w:rsid w:val="003752D3"/>
    <w:pPr>
      <w:autoSpaceDE w:val="0"/>
      <w:autoSpaceDN w:val="0"/>
      <w:adjustRightInd w:val="0"/>
      <w:ind w:left="357" w:hanging="357"/>
      <w:jc w:val="both"/>
    </w:pPr>
    <w:rPr>
      <w:rFonts w:ascii="Palatino Linotype" w:hAnsi="Palatino Linotype" w:cs="Palatino Linotype"/>
      <w:color w:val="000000"/>
      <w:sz w:val="24"/>
      <w:szCs w:val="24"/>
    </w:rPr>
  </w:style>
  <w:style w:type="character" w:customStyle="1" w:styleId="cf01">
    <w:name w:val="cf01"/>
    <w:basedOn w:val="DefaultParagraphFont"/>
    <w:rsid w:val="003752D3"/>
    <w:rPr>
      <w:rFonts w:ascii="Segoe UI" w:hAnsi="Segoe UI" w:cs="Segoe UI" w:hint="default"/>
      <w:sz w:val="18"/>
      <w:szCs w:val="18"/>
    </w:rPr>
  </w:style>
  <w:style w:type="paragraph" w:customStyle="1" w:styleId="pf0">
    <w:name w:val="pf0"/>
    <w:basedOn w:val="Normal"/>
    <w:rsid w:val="0016013A"/>
    <w:pPr>
      <w:spacing w:before="100" w:beforeAutospacing="1" w:after="100" w:afterAutospacing="1"/>
      <w:ind w:left="420" w:firstLine="0"/>
    </w:pPr>
    <w:rPr>
      <w:rFonts w:ascii="Times New Roman" w:eastAsia="Times New Roman" w:hAnsi="Times New Roman"/>
      <w:sz w:val="24"/>
      <w:szCs w:val="24"/>
      <w:lang w:eastAsia="en-GB"/>
    </w:rPr>
  </w:style>
  <w:style w:type="character" w:customStyle="1" w:styleId="xapple-tab-span">
    <w:name w:val="x_apple-tab-span"/>
    <w:basedOn w:val="DefaultParagraphFont"/>
    <w:rsid w:val="00052219"/>
  </w:style>
  <w:style w:type="character" w:styleId="UnresolvedMention">
    <w:name w:val="Unresolved Mention"/>
    <w:basedOn w:val="DefaultParagraphFont"/>
    <w:uiPriority w:val="99"/>
    <w:semiHidden/>
    <w:unhideWhenUsed/>
    <w:rsid w:val="007F09CD"/>
    <w:rPr>
      <w:color w:val="605E5C"/>
      <w:shd w:val="clear" w:color="auto" w:fill="E1DFDD"/>
    </w:rPr>
  </w:style>
  <w:style w:type="character" w:styleId="FollowedHyperlink">
    <w:name w:val="FollowedHyperlink"/>
    <w:basedOn w:val="DefaultParagraphFont"/>
    <w:uiPriority w:val="99"/>
    <w:semiHidden/>
    <w:unhideWhenUsed/>
    <w:rsid w:val="00E55207"/>
    <w:rPr>
      <w:color w:val="800080" w:themeColor="followedHyperlink"/>
      <w:u w:val="single"/>
    </w:rPr>
  </w:style>
  <w:style w:type="paragraph" w:styleId="NormalWeb">
    <w:name w:val="Normal (Web)"/>
    <w:basedOn w:val="Normal"/>
    <w:uiPriority w:val="99"/>
    <w:unhideWhenUsed/>
    <w:rsid w:val="0005008D"/>
    <w:pPr>
      <w:spacing w:before="100" w:beforeAutospacing="1" w:after="100" w:afterAutospacing="1"/>
      <w:ind w:left="0" w:firstLine="0"/>
    </w:pPr>
    <w:rPr>
      <w:rFonts w:ascii="Times New Roman" w:eastAsia="Times New Roman" w:hAnsi="Times New Roman"/>
      <w:sz w:val="24"/>
      <w:szCs w:val="24"/>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82555">
      <w:bodyDiv w:val="1"/>
      <w:marLeft w:val="0"/>
      <w:marRight w:val="0"/>
      <w:marTop w:val="0"/>
      <w:marBottom w:val="0"/>
      <w:divBdr>
        <w:top w:val="none" w:sz="0" w:space="0" w:color="auto"/>
        <w:left w:val="none" w:sz="0" w:space="0" w:color="auto"/>
        <w:bottom w:val="none" w:sz="0" w:space="0" w:color="auto"/>
        <w:right w:val="none" w:sz="0" w:space="0" w:color="auto"/>
      </w:divBdr>
    </w:div>
    <w:div w:id="111438023">
      <w:bodyDiv w:val="1"/>
      <w:marLeft w:val="0"/>
      <w:marRight w:val="0"/>
      <w:marTop w:val="0"/>
      <w:marBottom w:val="0"/>
      <w:divBdr>
        <w:top w:val="none" w:sz="0" w:space="0" w:color="auto"/>
        <w:left w:val="none" w:sz="0" w:space="0" w:color="auto"/>
        <w:bottom w:val="none" w:sz="0" w:space="0" w:color="auto"/>
        <w:right w:val="none" w:sz="0" w:space="0" w:color="auto"/>
      </w:divBdr>
      <w:divsChild>
        <w:div w:id="1755124297">
          <w:marLeft w:val="0"/>
          <w:marRight w:val="0"/>
          <w:marTop w:val="0"/>
          <w:marBottom w:val="0"/>
          <w:divBdr>
            <w:top w:val="none" w:sz="0" w:space="0" w:color="auto"/>
            <w:left w:val="none" w:sz="0" w:space="0" w:color="auto"/>
            <w:bottom w:val="none" w:sz="0" w:space="0" w:color="auto"/>
            <w:right w:val="none" w:sz="0" w:space="0" w:color="auto"/>
          </w:divBdr>
          <w:divsChild>
            <w:div w:id="1904638710">
              <w:marLeft w:val="0"/>
              <w:marRight w:val="0"/>
              <w:marTop w:val="0"/>
              <w:marBottom w:val="0"/>
              <w:divBdr>
                <w:top w:val="none" w:sz="0" w:space="0" w:color="auto"/>
                <w:left w:val="none" w:sz="0" w:space="0" w:color="auto"/>
                <w:bottom w:val="none" w:sz="0" w:space="0" w:color="auto"/>
                <w:right w:val="none" w:sz="0" w:space="0" w:color="auto"/>
              </w:divBdr>
              <w:divsChild>
                <w:div w:id="185919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790800">
      <w:bodyDiv w:val="1"/>
      <w:marLeft w:val="0"/>
      <w:marRight w:val="0"/>
      <w:marTop w:val="0"/>
      <w:marBottom w:val="0"/>
      <w:divBdr>
        <w:top w:val="none" w:sz="0" w:space="0" w:color="auto"/>
        <w:left w:val="none" w:sz="0" w:space="0" w:color="auto"/>
        <w:bottom w:val="none" w:sz="0" w:space="0" w:color="auto"/>
        <w:right w:val="none" w:sz="0" w:space="0" w:color="auto"/>
      </w:divBdr>
    </w:div>
    <w:div w:id="246426679">
      <w:bodyDiv w:val="1"/>
      <w:marLeft w:val="0"/>
      <w:marRight w:val="0"/>
      <w:marTop w:val="0"/>
      <w:marBottom w:val="0"/>
      <w:divBdr>
        <w:top w:val="none" w:sz="0" w:space="0" w:color="auto"/>
        <w:left w:val="none" w:sz="0" w:space="0" w:color="auto"/>
        <w:bottom w:val="none" w:sz="0" w:space="0" w:color="auto"/>
        <w:right w:val="none" w:sz="0" w:space="0" w:color="auto"/>
      </w:divBdr>
      <w:divsChild>
        <w:div w:id="868951957">
          <w:marLeft w:val="0"/>
          <w:marRight w:val="0"/>
          <w:marTop w:val="0"/>
          <w:marBottom w:val="0"/>
          <w:divBdr>
            <w:top w:val="none" w:sz="0" w:space="0" w:color="auto"/>
            <w:left w:val="none" w:sz="0" w:space="0" w:color="auto"/>
            <w:bottom w:val="none" w:sz="0" w:space="0" w:color="auto"/>
            <w:right w:val="none" w:sz="0" w:space="0" w:color="auto"/>
          </w:divBdr>
          <w:divsChild>
            <w:div w:id="1720279775">
              <w:marLeft w:val="0"/>
              <w:marRight w:val="0"/>
              <w:marTop w:val="0"/>
              <w:marBottom w:val="0"/>
              <w:divBdr>
                <w:top w:val="none" w:sz="0" w:space="0" w:color="auto"/>
                <w:left w:val="none" w:sz="0" w:space="0" w:color="auto"/>
                <w:bottom w:val="none" w:sz="0" w:space="0" w:color="auto"/>
                <w:right w:val="none" w:sz="0" w:space="0" w:color="auto"/>
              </w:divBdr>
              <w:divsChild>
                <w:div w:id="13526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268005516">
      <w:bodyDiv w:val="1"/>
      <w:marLeft w:val="0"/>
      <w:marRight w:val="0"/>
      <w:marTop w:val="0"/>
      <w:marBottom w:val="0"/>
      <w:divBdr>
        <w:top w:val="none" w:sz="0" w:space="0" w:color="auto"/>
        <w:left w:val="none" w:sz="0" w:space="0" w:color="auto"/>
        <w:bottom w:val="none" w:sz="0" w:space="0" w:color="auto"/>
        <w:right w:val="none" w:sz="0" w:space="0" w:color="auto"/>
      </w:divBdr>
    </w:div>
    <w:div w:id="346837503">
      <w:bodyDiv w:val="1"/>
      <w:marLeft w:val="0"/>
      <w:marRight w:val="0"/>
      <w:marTop w:val="0"/>
      <w:marBottom w:val="0"/>
      <w:divBdr>
        <w:top w:val="none" w:sz="0" w:space="0" w:color="auto"/>
        <w:left w:val="none" w:sz="0" w:space="0" w:color="auto"/>
        <w:bottom w:val="none" w:sz="0" w:space="0" w:color="auto"/>
        <w:right w:val="none" w:sz="0" w:space="0" w:color="auto"/>
      </w:divBdr>
    </w:div>
    <w:div w:id="418647656">
      <w:bodyDiv w:val="1"/>
      <w:marLeft w:val="0"/>
      <w:marRight w:val="0"/>
      <w:marTop w:val="0"/>
      <w:marBottom w:val="0"/>
      <w:divBdr>
        <w:top w:val="none" w:sz="0" w:space="0" w:color="auto"/>
        <w:left w:val="none" w:sz="0" w:space="0" w:color="auto"/>
        <w:bottom w:val="none" w:sz="0" w:space="0" w:color="auto"/>
        <w:right w:val="none" w:sz="0" w:space="0" w:color="auto"/>
      </w:divBdr>
    </w:div>
    <w:div w:id="474297232">
      <w:bodyDiv w:val="1"/>
      <w:marLeft w:val="0"/>
      <w:marRight w:val="0"/>
      <w:marTop w:val="0"/>
      <w:marBottom w:val="0"/>
      <w:divBdr>
        <w:top w:val="none" w:sz="0" w:space="0" w:color="auto"/>
        <w:left w:val="none" w:sz="0" w:space="0" w:color="auto"/>
        <w:bottom w:val="none" w:sz="0" w:space="0" w:color="auto"/>
        <w:right w:val="none" w:sz="0" w:space="0" w:color="auto"/>
      </w:divBdr>
    </w:div>
    <w:div w:id="635111655">
      <w:bodyDiv w:val="1"/>
      <w:marLeft w:val="0"/>
      <w:marRight w:val="0"/>
      <w:marTop w:val="0"/>
      <w:marBottom w:val="0"/>
      <w:divBdr>
        <w:top w:val="none" w:sz="0" w:space="0" w:color="auto"/>
        <w:left w:val="none" w:sz="0" w:space="0" w:color="auto"/>
        <w:bottom w:val="none" w:sz="0" w:space="0" w:color="auto"/>
        <w:right w:val="none" w:sz="0" w:space="0" w:color="auto"/>
      </w:divBdr>
    </w:div>
    <w:div w:id="641808147">
      <w:bodyDiv w:val="1"/>
      <w:marLeft w:val="0"/>
      <w:marRight w:val="0"/>
      <w:marTop w:val="0"/>
      <w:marBottom w:val="0"/>
      <w:divBdr>
        <w:top w:val="none" w:sz="0" w:space="0" w:color="auto"/>
        <w:left w:val="none" w:sz="0" w:space="0" w:color="auto"/>
        <w:bottom w:val="none" w:sz="0" w:space="0" w:color="auto"/>
        <w:right w:val="none" w:sz="0" w:space="0" w:color="auto"/>
      </w:divBdr>
      <w:divsChild>
        <w:div w:id="500512559">
          <w:marLeft w:val="0"/>
          <w:marRight w:val="0"/>
          <w:marTop w:val="0"/>
          <w:marBottom w:val="0"/>
          <w:divBdr>
            <w:top w:val="none" w:sz="0" w:space="0" w:color="auto"/>
            <w:left w:val="none" w:sz="0" w:space="0" w:color="auto"/>
            <w:bottom w:val="none" w:sz="0" w:space="0" w:color="auto"/>
            <w:right w:val="none" w:sz="0" w:space="0" w:color="auto"/>
          </w:divBdr>
          <w:divsChild>
            <w:div w:id="1458599084">
              <w:marLeft w:val="0"/>
              <w:marRight w:val="0"/>
              <w:marTop w:val="0"/>
              <w:marBottom w:val="0"/>
              <w:divBdr>
                <w:top w:val="none" w:sz="0" w:space="0" w:color="auto"/>
                <w:left w:val="none" w:sz="0" w:space="0" w:color="auto"/>
                <w:bottom w:val="none" w:sz="0" w:space="0" w:color="auto"/>
                <w:right w:val="none" w:sz="0" w:space="0" w:color="auto"/>
              </w:divBdr>
              <w:divsChild>
                <w:div w:id="57856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4835">
      <w:bodyDiv w:val="1"/>
      <w:marLeft w:val="0"/>
      <w:marRight w:val="0"/>
      <w:marTop w:val="0"/>
      <w:marBottom w:val="0"/>
      <w:divBdr>
        <w:top w:val="none" w:sz="0" w:space="0" w:color="auto"/>
        <w:left w:val="none" w:sz="0" w:space="0" w:color="auto"/>
        <w:bottom w:val="none" w:sz="0" w:space="0" w:color="auto"/>
        <w:right w:val="none" w:sz="0" w:space="0" w:color="auto"/>
      </w:divBdr>
      <w:divsChild>
        <w:div w:id="80570804">
          <w:marLeft w:val="0"/>
          <w:marRight w:val="0"/>
          <w:marTop w:val="0"/>
          <w:marBottom w:val="0"/>
          <w:divBdr>
            <w:top w:val="none" w:sz="0" w:space="0" w:color="auto"/>
            <w:left w:val="none" w:sz="0" w:space="0" w:color="auto"/>
            <w:bottom w:val="none" w:sz="0" w:space="0" w:color="auto"/>
            <w:right w:val="none" w:sz="0" w:space="0" w:color="auto"/>
          </w:divBdr>
          <w:divsChild>
            <w:div w:id="1087731634">
              <w:marLeft w:val="0"/>
              <w:marRight w:val="0"/>
              <w:marTop w:val="0"/>
              <w:marBottom w:val="0"/>
              <w:divBdr>
                <w:top w:val="none" w:sz="0" w:space="0" w:color="auto"/>
                <w:left w:val="none" w:sz="0" w:space="0" w:color="auto"/>
                <w:bottom w:val="none" w:sz="0" w:space="0" w:color="auto"/>
                <w:right w:val="none" w:sz="0" w:space="0" w:color="auto"/>
              </w:divBdr>
              <w:divsChild>
                <w:div w:id="201372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77620">
      <w:bodyDiv w:val="1"/>
      <w:marLeft w:val="0"/>
      <w:marRight w:val="0"/>
      <w:marTop w:val="0"/>
      <w:marBottom w:val="0"/>
      <w:divBdr>
        <w:top w:val="none" w:sz="0" w:space="0" w:color="auto"/>
        <w:left w:val="none" w:sz="0" w:space="0" w:color="auto"/>
        <w:bottom w:val="none" w:sz="0" w:space="0" w:color="auto"/>
        <w:right w:val="none" w:sz="0" w:space="0" w:color="auto"/>
      </w:divBdr>
    </w:div>
    <w:div w:id="1140150004">
      <w:bodyDiv w:val="1"/>
      <w:marLeft w:val="0"/>
      <w:marRight w:val="0"/>
      <w:marTop w:val="0"/>
      <w:marBottom w:val="0"/>
      <w:divBdr>
        <w:top w:val="none" w:sz="0" w:space="0" w:color="auto"/>
        <w:left w:val="none" w:sz="0" w:space="0" w:color="auto"/>
        <w:bottom w:val="none" w:sz="0" w:space="0" w:color="auto"/>
        <w:right w:val="none" w:sz="0" w:space="0" w:color="auto"/>
      </w:divBdr>
      <w:divsChild>
        <w:div w:id="1942299979">
          <w:marLeft w:val="0"/>
          <w:marRight w:val="0"/>
          <w:marTop w:val="0"/>
          <w:marBottom w:val="0"/>
          <w:divBdr>
            <w:top w:val="none" w:sz="0" w:space="0" w:color="auto"/>
            <w:left w:val="none" w:sz="0" w:space="0" w:color="auto"/>
            <w:bottom w:val="none" w:sz="0" w:space="0" w:color="auto"/>
            <w:right w:val="none" w:sz="0" w:space="0" w:color="auto"/>
          </w:divBdr>
          <w:divsChild>
            <w:div w:id="1981301961">
              <w:marLeft w:val="0"/>
              <w:marRight w:val="0"/>
              <w:marTop w:val="0"/>
              <w:marBottom w:val="0"/>
              <w:divBdr>
                <w:top w:val="none" w:sz="0" w:space="0" w:color="auto"/>
                <w:left w:val="none" w:sz="0" w:space="0" w:color="auto"/>
                <w:bottom w:val="none" w:sz="0" w:space="0" w:color="auto"/>
                <w:right w:val="none" w:sz="0" w:space="0" w:color="auto"/>
              </w:divBdr>
              <w:divsChild>
                <w:div w:id="2524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4714">
      <w:bodyDiv w:val="1"/>
      <w:marLeft w:val="0"/>
      <w:marRight w:val="0"/>
      <w:marTop w:val="0"/>
      <w:marBottom w:val="0"/>
      <w:divBdr>
        <w:top w:val="none" w:sz="0" w:space="0" w:color="auto"/>
        <w:left w:val="none" w:sz="0" w:space="0" w:color="auto"/>
        <w:bottom w:val="none" w:sz="0" w:space="0" w:color="auto"/>
        <w:right w:val="none" w:sz="0" w:space="0" w:color="auto"/>
      </w:divBdr>
      <w:divsChild>
        <w:div w:id="1857767144">
          <w:marLeft w:val="0"/>
          <w:marRight w:val="0"/>
          <w:marTop w:val="0"/>
          <w:marBottom w:val="0"/>
          <w:divBdr>
            <w:top w:val="none" w:sz="0" w:space="0" w:color="auto"/>
            <w:left w:val="none" w:sz="0" w:space="0" w:color="auto"/>
            <w:bottom w:val="none" w:sz="0" w:space="0" w:color="auto"/>
            <w:right w:val="none" w:sz="0" w:space="0" w:color="auto"/>
          </w:divBdr>
          <w:divsChild>
            <w:div w:id="106970886">
              <w:marLeft w:val="0"/>
              <w:marRight w:val="0"/>
              <w:marTop w:val="0"/>
              <w:marBottom w:val="0"/>
              <w:divBdr>
                <w:top w:val="none" w:sz="0" w:space="0" w:color="auto"/>
                <w:left w:val="none" w:sz="0" w:space="0" w:color="auto"/>
                <w:bottom w:val="none" w:sz="0" w:space="0" w:color="auto"/>
                <w:right w:val="none" w:sz="0" w:space="0" w:color="auto"/>
              </w:divBdr>
              <w:divsChild>
                <w:div w:id="12074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88198">
      <w:bodyDiv w:val="1"/>
      <w:marLeft w:val="0"/>
      <w:marRight w:val="0"/>
      <w:marTop w:val="0"/>
      <w:marBottom w:val="0"/>
      <w:divBdr>
        <w:top w:val="none" w:sz="0" w:space="0" w:color="auto"/>
        <w:left w:val="none" w:sz="0" w:space="0" w:color="auto"/>
        <w:bottom w:val="none" w:sz="0" w:space="0" w:color="auto"/>
        <w:right w:val="none" w:sz="0" w:space="0" w:color="auto"/>
      </w:divBdr>
    </w:div>
    <w:div w:id="1729065270">
      <w:bodyDiv w:val="1"/>
      <w:marLeft w:val="0"/>
      <w:marRight w:val="0"/>
      <w:marTop w:val="0"/>
      <w:marBottom w:val="0"/>
      <w:divBdr>
        <w:top w:val="none" w:sz="0" w:space="0" w:color="auto"/>
        <w:left w:val="none" w:sz="0" w:space="0" w:color="auto"/>
        <w:bottom w:val="none" w:sz="0" w:space="0" w:color="auto"/>
        <w:right w:val="none" w:sz="0" w:space="0" w:color="auto"/>
      </w:divBdr>
    </w:div>
    <w:div w:id="1796096136">
      <w:bodyDiv w:val="1"/>
      <w:marLeft w:val="0"/>
      <w:marRight w:val="0"/>
      <w:marTop w:val="0"/>
      <w:marBottom w:val="0"/>
      <w:divBdr>
        <w:top w:val="none" w:sz="0" w:space="0" w:color="auto"/>
        <w:left w:val="none" w:sz="0" w:space="0" w:color="auto"/>
        <w:bottom w:val="none" w:sz="0" w:space="0" w:color="auto"/>
        <w:right w:val="none" w:sz="0" w:space="0" w:color="auto"/>
      </w:divBdr>
      <w:divsChild>
        <w:div w:id="1353608986">
          <w:marLeft w:val="0"/>
          <w:marRight w:val="0"/>
          <w:marTop w:val="0"/>
          <w:marBottom w:val="0"/>
          <w:divBdr>
            <w:top w:val="none" w:sz="0" w:space="0" w:color="auto"/>
            <w:left w:val="none" w:sz="0" w:space="0" w:color="auto"/>
            <w:bottom w:val="none" w:sz="0" w:space="0" w:color="auto"/>
            <w:right w:val="none" w:sz="0" w:space="0" w:color="auto"/>
          </w:divBdr>
          <w:divsChild>
            <w:div w:id="1055197490">
              <w:marLeft w:val="0"/>
              <w:marRight w:val="0"/>
              <w:marTop w:val="0"/>
              <w:marBottom w:val="0"/>
              <w:divBdr>
                <w:top w:val="none" w:sz="0" w:space="0" w:color="auto"/>
                <w:left w:val="none" w:sz="0" w:space="0" w:color="auto"/>
                <w:bottom w:val="none" w:sz="0" w:space="0" w:color="auto"/>
                <w:right w:val="none" w:sz="0" w:space="0" w:color="auto"/>
              </w:divBdr>
              <w:divsChild>
                <w:div w:id="174505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unstats.un.org/sdgs/metadata/files/Metadata-06-06-01b.pdf" TargetMode="External"/><Relationship Id="rId2" Type="http://schemas.openxmlformats.org/officeDocument/2006/relationships/hyperlink" Target="https://www.sdg661.app/" TargetMode="External"/><Relationship Id="rId1" Type="http://schemas.openxmlformats.org/officeDocument/2006/relationships/hyperlink" Target="https://unstats.un.org/sdgs/metadata/files/Metadata-06-06-01a.pdf" TargetMode="External"/><Relationship Id="rId6" Type="http://schemas.openxmlformats.org/officeDocument/2006/relationships/hyperlink" Target="https://www.nature.com/articles/s41597-020-0486-7" TargetMode="External"/><Relationship Id="rId5" Type="http://schemas.openxmlformats.org/officeDocument/2006/relationships/hyperlink" Target="https://www.nature.com/articles/sdata201618" TargetMode="External"/><Relationship Id="rId4" Type="http://schemas.openxmlformats.org/officeDocument/2006/relationships/hyperlink" Target="https://www.ramsar.org/es/document/sc63-inf2-national-wetland-inventories-synthesis-13-depth-interviews-furt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7" ma:contentTypeDescription="Create a new document." ma:contentTypeScope="" ma:versionID="3f65ae92b7e3b848dc6f2345e788c42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82e223424e79a703944e5cd941972b21"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D8BB8-6588-4BB8-B217-3D43AC5EF2A6}">
  <ds:schemaRefs>
    <ds:schemaRef ds:uri="http://schemas.microsoft.com/sharepoint/v3/contenttype/forms"/>
  </ds:schemaRefs>
</ds:datastoreItem>
</file>

<file path=customXml/itemProps2.xml><?xml version="1.0" encoding="utf-8"?>
<ds:datastoreItem xmlns:ds="http://schemas.openxmlformats.org/officeDocument/2006/customXml" ds:itemID="{CAC6AF51-C134-4C82-BBB9-9C1BC84B9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A6C104-9E3F-42D7-A978-021CE9F6B2E5}">
  <ds:schemaRefs>
    <ds:schemaRef ds:uri="http://purl.org/dc/terms/"/>
    <ds:schemaRef ds:uri="aedd258d-19a7-41ba-8260-b0918f25313d"/>
    <ds:schemaRef ds:uri="http://purl.org/dc/elements/1.1/"/>
    <ds:schemaRef ds:uri="http://schemas.microsoft.com/office/2006/documentManagement/types"/>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 ds:uri="8c0b6b05-eb82-4bda-97e8-cd82d0d6b453"/>
  </ds:schemaRefs>
</ds:datastoreItem>
</file>

<file path=customXml/itemProps4.xml><?xml version="1.0" encoding="utf-8"?>
<ds:datastoreItem xmlns:ds="http://schemas.openxmlformats.org/officeDocument/2006/customXml" ds:itemID="{FD079FD9-E943-43FE-B2B9-E44A54E0F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2837</Words>
  <Characters>16176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Convention on Wetlands</dc:creator>
  <cp:lastModifiedBy>JENNINGS Edmund</cp:lastModifiedBy>
  <cp:revision>3</cp:revision>
  <cp:lastPrinted>2024-04-04T08:35:00Z</cp:lastPrinted>
  <dcterms:created xsi:type="dcterms:W3CDTF">2024-04-04T08:35:00Z</dcterms:created>
  <dcterms:modified xsi:type="dcterms:W3CDTF">2024-04-04T08:39:00Z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