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9C1D" w14:textId="172303F8" w:rsidR="00D70939" w:rsidRPr="00ED6A4F" w:rsidRDefault="00D70939" w:rsidP="00531EC8">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THE CONVENTION ON WETLANDS</w:t>
      </w:r>
    </w:p>
    <w:p w14:paraId="3C52D263" w14:textId="77777777" w:rsidR="00D70939" w:rsidRPr="00ED6A4F" w:rsidRDefault="00D70939" w:rsidP="00531EC8">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63rd meeting of the Standing Committee</w:t>
      </w:r>
    </w:p>
    <w:p w14:paraId="505DEF3D" w14:textId="77777777" w:rsidR="00D70939" w:rsidRPr="00ED6A4F" w:rsidRDefault="00D70939" w:rsidP="00531EC8">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rsidRPr="00ED6A4F">
        <w:rPr>
          <w:bCs/>
        </w:rPr>
        <w:t xml:space="preserve">Gland, Switzerland, </w:t>
      </w:r>
      <w:r w:rsidRPr="00ED6A4F">
        <w:t>3-7 June 2024</w:t>
      </w:r>
    </w:p>
    <w:p w14:paraId="3EAFD7BE" w14:textId="77777777" w:rsidR="00D70939" w:rsidRPr="00D70939" w:rsidRDefault="00D70939" w:rsidP="00531EC8">
      <w:pPr>
        <w:tabs>
          <w:tab w:val="left" w:pos="10650"/>
          <w:tab w:val="right" w:pos="13958"/>
        </w:tabs>
        <w:ind w:left="0" w:firstLine="0"/>
        <w:jc w:val="right"/>
        <w:rPr>
          <w:rFonts w:cs="Arial"/>
          <w:b/>
          <w:sz w:val="28"/>
          <w:szCs w:val="28"/>
        </w:rPr>
      </w:pPr>
    </w:p>
    <w:p w14:paraId="7AF47307" w14:textId="77777777" w:rsidR="00D70939" w:rsidRPr="00D70939" w:rsidRDefault="00D70939" w:rsidP="00531EC8">
      <w:pPr>
        <w:tabs>
          <w:tab w:val="left" w:pos="10650"/>
          <w:tab w:val="right" w:pos="13958"/>
        </w:tabs>
        <w:ind w:left="0" w:firstLine="0"/>
        <w:jc w:val="right"/>
        <w:rPr>
          <w:rFonts w:asciiTheme="minorHAnsi" w:hAnsiTheme="minorHAnsi" w:cstheme="minorHAnsi"/>
          <w:sz w:val="28"/>
          <w:szCs w:val="28"/>
        </w:rPr>
      </w:pPr>
      <w:r w:rsidRPr="00D70939">
        <w:rPr>
          <w:rFonts w:cs="Arial"/>
          <w:b/>
          <w:sz w:val="28"/>
          <w:szCs w:val="28"/>
        </w:rPr>
        <w:t>SC63 Inf.2</w:t>
      </w:r>
    </w:p>
    <w:p w14:paraId="0EEDE009" w14:textId="77777777" w:rsidR="00D70939" w:rsidRPr="00D70939" w:rsidRDefault="00D70939" w:rsidP="00531EC8">
      <w:pPr>
        <w:ind w:left="0" w:firstLine="0"/>
        <w:jc w:val="right"/>
        <w:rPr>
          <w:rFonts w:asciiTheme="minorHAnsi" w:hAnsiTheme="minorHAnsi" w:cstheme="minorHAnsi"/>
          <w:b/>
          <w:sz w:val="28"/>
          <w:szCs w:val="28"/>
        </w:rPr>
      </w:pPr>
    </w:p>
    <w:p w14:paraId="56B882EC" w14:textId="380DCA1A" w:rsidR="00D70939" w:rsidRPr="00D70939" w:rsidRDefault="00D70939" w:rsidP="00531EC8">
      <w:pPr>
        <w:ind w:left="0" w:firstLine="0"/>
        <w:jc w:val="center"/>
        <w:rPr>
          <w:rFonts w:cs="Arial"/>
          <w:b/>
          <w:sz w:val="28"/>
          <w:szCs w:val="28"/>
        </w:rPr>
      </w:pPr>
      <w:r w:rsidRPr="00D70939">
        <w:rPr>
          <w:rFonts w:cs="Arial"/>
          <w:b/>
          <w:sz w:val="28"/>
          <w:szCs w:val="28"/>
        </w:rPr>
        <w:t xml:space="preserve">National wetland inventories: </w:t>
      </w:r>
      <w:r>
        <w:rPr>
          <w:rFonts w:cs="Arial"/>
          <w:b/>
          <w:sz w:val="28"/>
          <w:szCs w:val="28"/>
        </w:rPr>
        <w:t>S</w:t>
      </w:r>
      <w:r w:rsidRPr="00D70939">
        <w:rPr>
          <w:rFonts w:cs="Arial"/>
          <w:b/>
          <w:sz w:val="28"/>
          <w:szCs w:val="28"/>
        </w:rPr>
        <w:t xml:space="preserve">ynthesis </w:t>
      </w:r>
      <w:r>
        <w:rPr>
          <w:rFonts w:cs="Arial"/>
          <w:b/>
          <w:sz w:val="28"/>
          <w:szCs w:val="28"/>
        </w:rPr>
        <w:t>of</w:t>
      </w:r>
      <w:r w:rsidRPr="00D70939">
        <w:rPr>
          <w:rFonts w:cs="Arial"/>
          <w:b/>
          <w:sz w:val="28"/>
          <w:szCs w:val="28"/>
        </w:rPr>
        <w:t xml:space="preserve"> the </w:t>
      </w:r>
      <w:r>
        <w:rPr>
          <w:rFonts w:cs="Arial"/>
          <w:b/>
          <w:sz w:val="28"/>
          <w:szCs w:val="28"/>
        </w:rPr>
        <w:t xml:space="preserve">13 </w:t>
      </w:r>
      <w:r w:rsidRPr="00D70939">
        <w:rPr>
          <w:rFonts w:cs="Arial"/>
          <w:b/>
          <w:sz w:val="28"/>
          <w:szCs w:val="28"/>
        </w:rPr>
        <w:t xml:space="preserve">in-depth interviews </w:t>
      </w:r>
      <w:r w:rsidR="00603F80">
        <w:rPr>
          <w:rFonts w:cs="Arial"/>
          <w:b/>
          <w:sz w:val="28"/>
          <w:szCs w:val="28"/>
        </w:rPr>
        <w:br/>
      </w:r>
      <w:r w:rsidRPr="00D70939">
        <w:rPr>
          <w:rFonts w:cs="Arial"/>
          <w:b/>
          <w:sz w:val="28"/>
          <w:szCs w:val="28"/>
        </w:rPr>
        <w:t xml:space="preserve">for further identification of specific needs </w:t>
      </w:r>
      <w:bookmarkStart w:id="0" w:name="_GoBack"/>
      <w:r w:rsidR="000B307F">
        <w:rPr>
          <w:rFonts w:cs="Arial"/>
          <w:b/>
          <w:sz w:val="28"/>
          <w:szCs w:val="28"/>
        </w:rPr>
        <w:br/>
      </w:r>
      <w:bookmarkEnd w:id="0"/>
      <w:r w:rsidRPr="00D70939">
        <w:rPr>
          <w:rFonts w:cs="Arial"/>
          <w:b/>
          <w:sz w:val="28"/>
          <w:szCs w:val="28"/>
        </w:rPr>
        <w:t>and key constraints for Contracting Parties</w:t>
      </w:r>
    </w:p>
    <w:p w14:paraId="7F8386C6" w14:textId="77777777" w:rsidR="00D70939" w:rsidRPr="00D70939" w:rsidRDefault="00D70939" w:rsidP="00531EC8">
      <w:pPr>
        <w:autoSpaceDE w:val="0"/>
        <w:autoSpaceDN w:val="0"/>
        <w:adjustRightInd w:val="0"/>
        <w:ind w:left="0" w:firstLine="0"/>
        <w:jc w:val="center"/>
        <w:rPr>
          <w:rFonts w:cstheme="minorHAnsi"/>
          <w:sz w:val="28"/>
          <w:szCs w:val="28"/>
        </w:rPr>
      </w:pPr>
    </w:p>
    <w:p w14:paraId="73D66179" w14:textId="77777777" w:rsidR="00D70939" w:rsidRPr="00CA5225" w:rsidRDefault="00D70939" w:rsidP="00531EC8">
      <w:pPr>
        <w:autoSpaceDE w:val="0"/>
        <w:autoSpaceDN w:val="0"/>
        <w:adjustRightInd w:val="0"/>
        <w:ind w:left="0" w:firstLine="0"/>
        <w:rPr>
          <w:rFonts w:cstheme="minorHAnsi"/>
        </w:rPr>
      </w:pPr>
    </w:p>
    <w:p w14:paraId="02664F6E" w14:textId="7546473A" w:rsidR="00D70939" w:rsidRPr="00D70939" w:rsidRDefault="005D2326" w:rsidP="00531EC8">
      <w:pPr>
        <w:autoSpaceDE w:val="0"/>
        <w:autoSpaceDN w:val="0"/>
        <w:adjustRightInd w:val="0"/>
        <w:ind w:left="426" w:hanging="426"/>
        <w:rPr>
          <w:rFonts w:cstheme="minorHAnsi"/>
        </w:rPr>
      </w:pPr>
      <w:r>
        <w:rPr>
          <w:rFonts w:cstheme="minorHAnsi"/>
        </w:rPr>
        <w:t>1.</w:t>
      </w:r>
      <w:r>
        <w:rPr>
          <w:rFonts w:cstheme="minorHAnsi"/>
        </w:rPr>
        <w:tab/>
      </w:r>
      <w:r w:rsidR="00D70939" w:rsidRPr="00D70939">
        <w:rPr>
          <w:rFonts w:cstheme="minorHAnsi"/>
        </w:rPr>
        <w:t>This report consolidate</w:t>
      </w:r>
      <w:r w:rsidR="00A91E5F">
        <w:rPr>
          <w:rFonts w:cstheme="minorHAnsi"/>
        </w:rPr>
        <w:t>s</w:t>
      </w:r>
      <w:r w:rsidR="00D70939" w:rsidRPr="00D70939">
        <w:rPr>
          <w:rFonts w:cstheme="minorHAnsi"/>
        </w:rPr>
        <w:t xml:space="preserve"> the </w:t>
      </w:r>
      <w:r w:rsidR="00673590" w:rsidRPr="00D70939">
        <w:rPr>
          <w:rFonts w:cstheme="minorHAnsi"/>
        </w:rPr>
        <w:t xml:space="preserve">key </w:t>
      </w:r>
      <w:r w:rsidR="00D70939" w:rsidRPr="00D70939">
        <w:rPr>
          <w:rFonts w:cstheme="minorHAnsi"/>
        </w:rPr>
        <w:t xml:space="preserve">lessons learned from various experiences </w:t>
      </w:r>
      <w:r w:rsidR="00E12A54">
        <w:rPr>
          <w:rFonts w:cstheme="minorHAnsi"/>
        </w:rPr>
        <w:t>of the national wetland inventory (</w:t>
      </w:r>
      <w:r w:rsidR="00E12A54" w:rsidRPr="00A77C03">
        <w:rPr>
          <w:rFonts w:cstheme="minorHAnsi"/>
        </w:rPr>
        <w:t>NWI</w:t>
      </w:r>
      <w:r w:rsidR="00E12A54">
        <w:rPr>
          <w:rFonts w:cstheme="minorHAnsi"/>
        </w:rPr>
        <w:t>) process</w:t>
      </w:r>
      <w:r w:rsidR="00E12A54" w:rsidRPr="00A77C03">
        <w:rPr>
          <w:rFonts w:cstheme="minorHAnsi"/>
        </w:rPr>
        <w:t xml:space="preserve"> </w:t>
      </w:r>
      <w:r w:rsidR="00E12A54">
        <w:rPr>
          <w:rFonts w:cstheme="minorHAnsi"/>
        </w:rPr>
        <w:t>based on</w:t>
      </w:r>
      <w:r w:rsidR="00D70939" w:rsidRPr="00D70939">
        <w:rPr>
          <w:rFonts w:cstheme="minorHAnsi"/>
        </w:rPr>
        <w:t xml:space="preserve"> </w:t>
      </w:r>
      <w:r w:rsidR="00E12A54">
        <w:rPr>
          <w:rFonts w:cstheme="minorHAnsi"/>
        </w:rPr>
        <w:t>13</w:t>
      </w:r>
      <w:r w:rsidR="00E12A54" w:rsidRPr="00D70939">
        <w:rPr>
          <w:rFonts w:cstheme="minorHAnsi"/>
        </w:rPr>
        <w:t xml:space="preserve"> </w:t>
      </w:r>
      <w:r w:rsidR="00D70939" w:rsidRPr="00D70939">
        <w:rPr>
          <w:rFonts w:cstheme="minorHAnsi"/>
        </w:rPr>
        <w:t>in-depth interviews that were conducted from November to December 2023. The Secretariat expresses its gratitude to the National Focal Points and other national experts who agreed to share their time and experience in this regard.</w:t>
      </w:r>
    </w:p>
    <w:p w14:paraId="2A01D4CD" w14:textId="77777777" w:rsidR="00D70939" w:rsidRPr="00A77C03" w:rsidRDefault="00D70939" w:rsidP="00531EC8">
      <w:pPr>
        <w:pStyle w:val="ListParagraph"/>
        <w:autoSpaceDE w:val="0"/>
        <w:autoSpaceDN w:val="0"/>
        <w:adjustRightInd w:val="0"/>
        <w:ind w:left="426" w:hanging="426"/>
        <w:rPr>
          <w:rFonts w:cstheme="minorHAnsi"/>
        </w:rPr>
      </w:pPr>
    </w:p>
    <w:p w14:paraId="234D8BE7" w14:textId="2ADA5717" w:rsidR="00D70939" w:rsidRPr="00D70939" w:rsidRDefault="005D2326" w:rsidP="00531EC8">
      <w:pPr>
        <w:autoSpaceDE w:val="0"/>
        <w:autoSpaceDN w:val="0"/>
        <w:adjustRightInd w:val="0"/>
        <w:ind w:left="426" w:hanging="426"/>
        <w:rPr>
          <w:rFonts w:cstheme="minorHAnsi"/>
        </w:rPr>
      </w:pPr>
      <w:r>
        <w:rPr>
          <w:rFonts w:cstheme="minorHAnsi"/>
        </w:rPr>
        <w:t>2.</w:t>
      </w:r>
      <w:r>
        <w:rPr>
          <w:rFonts w:cstheme="minorHAnsi"/>
        </w:rPr>
        <w:tab/>
      </w:r>
      <w:r w:rsidR="00D70939" w:rsidRPr="00D70939">
        <w:rPr>
          <w:rFonts w:cstheme="minorHAnsi"/>
        </w:rPr>
        <w:t xml:space="preserve">The first section of this report summarizes these lessons. It mainly draws on the range of obstacles and supporting factors that the interviewed countries reported. It identifies key </w:t>
      </w:r>
      <w:r w:rsidR="00E12A54">
        <w:rPr>
          <w:rFonts w:cstheme="minorHAnsi"/>
        </w:rPr>
        <w:t>directions</w:t>
      </w:r>
      <w:r w:rsidR="00E12A54" w:rsidRPr="00D70939">
        <w:rPr>
          <w:rFonts w:cstheme="minorHAnsi"/>
        </w:rPr>
        <w:t xml:space="preserve"> </w:t>
      </w:r>
      <w:r w:rsidR="00D70939" w:rsidRPr="00D70939">
        <w:rPr>
          <w:rFonts w:cstheme="minorHAnsi"/>
        </w:rPr>
        <w:t>for future actions</w:t>
      </w:r>
      <w:r w:rsidR="00E12A54" w:rsidRPr="00E12A54">
        <w:rPr>
          <w:rFonts w:cstheme="minorHAnsi"/>
        </w:rPr>
        <w:t xml:space="preserve"> </w:t>
      </w:r>
      <w:r w:rsidR="00E12A54">
        <w:rPr>
          <w:rFonts w:cstheme="minorHAnsi"/>
        </w:rPr>
        <w:t xml:space="preserve">of the </w:t>
      </w:r>
      <w:r w:rsidR="00E12A54" w:rsidRPr="00D70939">
        <w:rPr>
          <w:rFonts w:cstheme="minorHAnsi"/>
        </w:rPr>
        <w:t>Secretariat</w:t>
      </w:r>
      <w:r w:rsidR="00D70939" w:rsidRPr="00D70939">
        <w:rPr>
          <w:rFonts w:cstheme="minorHAnsi"/>
        </w:rPr>
        <w:t>, particularly for NWI training courses and guidance material.</w:t>
      </w:r>
    </w:p>
    <w:p w14:paraId="70FCD5B6" w14:textId="77777777" w:rsidR="00D70939" w:rsidRPr="00A77C03" w:rsidRDefault="00D70939" w:rsidP="00531EC8">
      <w:pPr>
        <w:pStyle w:val="ListParagraph"/>
        <w:autoSpaceDE w:val="0"/>
        <w:autoSpaceDN w:val="0"/>
        <w:adjustRightInd w:val="0"/>
        <w:ind w:left="426" w:hanging="426"/>
        <w:rPr>
          <w:rFonts w:cstheme="minorHAnsi"/>
        </w:rPr>
      </w:pPr>
    </w:p>
    <w:p w14:paraId="2E9F9B2F" w14:textId="1895C182" w:rsidR="00D70939" w:rsidRPr="00D70939" w:rsidRDefault="005D2326" w:rsidP="00531EC8">
      <w:pPr>
        <w:autoSpaceDE w:val="0"/>
        <w:autoSpaceDN w:val="0"/>
        <w:adjustRightInd w:val="0"/>
        <w:ind w:left="426" w:hanging="426"/>
        <w:rPr>
          <w:rFonts w:cstheme="minorHAnsi"/>
        </w:rPr>
      </w:pPr>
      <w:r>
        <w:rPr>
          <w:rFonts w:cstheme="minorHAnsi"/>
        </w:rPr>
        <w:t>3.</w:t>
      </w:r>
      <w:r>
        <w:rPr>
          <w:rFonts w:cstheme="minorHAnsi"/>
        </w:rPr>
        <w:tab/>
      </w:r>
      <w:r w:rsidR="00D70939" w:rsidRPr="00D70939">
        <w:rPr>
          <w:rFonts w:cstheme="minorHAnsi"/>
        </w:rPr>
        <w:t xml:space="preserve">The second section presents tables that compile the full range of initial objectives for NWIs, as well as obstacles and supporting factors that the </w:t>
      </w:r>
      <w:r w:rsidR="00E12A54">
        <w:rPr>
          <w:rFonts w:cstheme="minorHAnsi"/>
        </w:rPr>
        <w:t>13</w:t>
      </w:r>
      <w:r w:rsidR="00E12A54" w:rsidRPr="00D70939">
        <w:rPr>
          <w:rFonts w:cstheme="minorHAnsi"/>
        </w:rPr>
        <w:t xml:space="preserve"> </w:t>
      </w:r>
      <w:r w:rsidR="00D70939" w:rsidRPr="00D70939">
        <w:rPr>
          <w:rFonts w:cstheme="minorHAnsi"/>
        </w:rPr>
        <w:t xml:space="preserve">countries have faced while developing NWIs, as collected through the interviews. Items in bold have been cited by more than one country. This illustrative information aims to familiarize other countries that have yet to start their own NWI process </w:t>
      </w:r>
      <w:r w:rsidR="00E12A54">
        <w:rPr>
          <w:rFonts w:cstheme="minorHAnsi"/>
        </w:rPr>
        <w:t>with the</w:t>
      </w:r>
      <w:r w:rsidR="00E12A54" w:rsidRPr="00D70939">
        <w:rPr>
          <w:rFonts w:cstheme="minorHAnsi"/>
        </w:rPr>
        <w:t xml:space="preserve"> </w:t>
      </w:r>
      <w:r w:rsidR="00D70939" w:rsidRPr="00D70939">
        <w:rPr>
          <w:rFonts w:cstheme="minorHAnsi"/>
        </w:rPr>
        <w:t>potential benefits, supports or pitfalls they may face. The synthesis report does not individualize country data.</w:t>
      </w:r>
    </w:p>
    <w:p w14:paraId="3C111B7D" w14:textId="77777777" w:rsidR="00D70939" w:rsidRDefault="00D70939" w:rsidP="00531EC8"/>
    <w:p w14:paraId="775853D6" w14:textId="77777777" w:rsidR="00D70939" w:rsidRDefault="00D70939" w:rsidP="00531EC8">
      <w:pPr>
        <w:rPr>
          <w:b/>
          <w:bCs/>
        </w:rPr>
      </w:pPr>
      <w:r w:rsidRPr="00D25AAB">
        <w:rPr>
          <w:b/>
          <w:bCs/>
        </w:rPr>
        <w:t>Key lessons learned to guide NWI process</w:t>
      </w:r>
    </w:p>
    <w:p w14:paraId="1295393F" w14:textId="77777777" w:rsidR="00D70939" w:rsidRPr="00C33B91" w:rsidRDefault="00D70939" w:rsidP="00531EC8">
      <w:pPr>
        <w:rPr>
          <w:b/>
          <w:bCs/>
        </w:rPr>
      </w:pPr>
    </w:p>
    <w:p w14:paraId="01C1ED26" w14:textId="4745387D" w:rsidR="00D70939" w:rsidRPr="00D70939" w:rsidRDefault="00E12A54" w:rsidP="00531EC8">
      <w:pPr>
        <w:autoSpaceDE w:val="0"/>
        <w:autoSpaceDN w:val="0"/>
        <w:adjustRightInd w:val="0"/>
        <w:ind w:left="426" w:hanging="426"/>
        <w:rPr>
          <w:rFonts w:cstheme="minorHAnsi"/>
        </w:rPr>
      </w:pPr>
      <w:r>
        <w:rPr>
          <w:rFonts w:cstheme="minorHAnsi"/>
        </w:rPr>
        <w:t>4.</w:t>
      </w:r>
      <w:r>
        <w:rPr>
          <w:rFonts w:cstheme="minorHAnsi"/>
        </w:rPr>
        <w:tab/>
      </w:r>
      <w:r w:rsidR="00D70939" w:rsidRPr="00D70939">
        <w:rPr>
          <w:rFonts w:cstheme="minorHAnsi"/>
        </w:rPr>
        <w:t xml:space="preserve">There are extensive potential demands for a unique </w:t>
      </w:r>
      <w:r>
        <w:rPr>
          <w:rFonts w:cstheme="minorHAnsi"/>
        </w:rPr>
        <w:t>“</w:t>
      </w:r>
      <w:r w:rsidR="00D70939" w:rsidRPr="00D70939">
        <w:rPr>
          <w:rFonts w:cstheme="minorHAnsi"/>
        </w:rPr>
        <w:t>NWI product</w:t>
      </w:r>
      <w:r>
        <w:rPr>
          <w:rFonts w:cstheme="minorHAnsi"/>
        </w:rPr>
        <w:t>”</w:t>
      </w:r>
      <w:r w:rsidR="00D70939" w:rsidRPr="00D70939">
        <w:rPr>
          <w:rFonts w:cstheme="minorHAnsi"/>
        </w:rPr>
        <w:t xml:space="preserve">. </w:t>
      </w:r>
      <w:r>
        <w:rPr>
          <w:rFonts w:cstheme="minorHAnsi"/>
        </w:rPr>
        <w:t>T</w:t>
      </w:r>
      <w:r w:rsidR="00D70939" w:rsidRPr="00D70939">
        <w:rPr>
          <w:rFonts w:cstheme="minorHAnsi"/>
        </w:rPr>
        <w:t>he interviews</w:t>
      </w:r>
      <w:r>
        <w:rPr>
          <w:rFonts w:cstheme="minorHAnsi"/>
        </w:rPr>
        <w:t xml:space="preserve"> suggest that</w:t>
      </w:r>
      <w:r w:rsidRPr="00D70939">
        <w:rPr>
          <w:rFonts w:cstheme="minorHAnsi"/>
        </w:rPr>
        <w:t xml:space="preserve"> </w:t>
      </w:r>
      <w:r>
        <w:rPr>
          <w:rFonts w:cstheme="minorHAnsi"/>
        </w:rPr>
        <w:t xml:space="preserve">the </w:t>
      </w:r>
      <w:r w:rsidR="00D70939" w:rsidRPr="00D70939">
        <w:rPr>
          <w:rFonts w:cstheme="minorHAnsi"/>
        </w:rPr>
        <w:t>initial objectives that triggered launch of NWIs are wide</w:t>
      </w:r>
      <w:r>
        <w:rPr>
          <w:rFonts w:cstheme="minorHAnsi"/>
        </w:rPr>
        <w:t>-</w:t>
      </w:r>
      <w:r w:rsidRPr="00D70939">
        <w:rPr>
          <w:rFonts w:cstheme="minorHAnsi"/>
        </w:rPr>
        <w:t>rang</w:t>
      </w:r>
      <w:r>
        <w:rPr>
          <w:rFonts w:cstheme="minorHAnsi"/>
        </w:rPr>
        <w:t>ing</w:t>
      </w:r>
      <w:r w:rsidR="00D70939" w:rsidRPr="00D70939">
        <w:rPr>
          <w:rFonts w:cstheme="minorHAnsi"/>
        </w:rPr>
        <w:t>: up to 20 different objectives</w:t>
      </w:r>
      <w:r w:rsidR="00DE25F4" w:rsidRPr="00DE25F4">
        <w:rPr>
          <w:rFonts w:cstheme="minorHAnsi"/>
        </w:rPr>
        <w:t xml:space="preserve"> </w:t>
      </w:r>
      <w:r w:rsidR="00DE25F4" w:rsidRPr="00D70939">
        <w:rPr>
          <w:rFonts w:cstheme="minorHAnsi"/>
        </w:rPr>
        <w:t xml:space="preserve">were </w:t>
      </w:r>
      <w:r w:rsidR="00DE25F4">
        <w:rPr>
          <w:rFonts w:cstheme="minorHAnsi"/>
        </w:rPr>
        <w:t>reported</w:t>
      </w:r>
      <w:r w:rsidR="00D70939" w:rsidRPr="00D70939">
        <w:rPr>
          <w:rFonts w:cstheme="minorHAnsi"/>
        </w:rPr>
        <w:t>, with 13 of them being mentioned by more than one country</w:t>
      </w:r>
      <w:r w:rsidR="00DE25F4">
        <w:rPr>
          <w:rFonts w:cstheme="minorHAnsi"/>
        </w:rPr>
        <w:t xml:space="preserve"> </w:t>
      </w:r>
      <w:r>
        <w:rPr>
          <w:rFonts w:cstheme="minorHAnsi"/>
        </w:rPr>
        <w:t>(</w:t>
      </w:r>
      <w:r w:rsidR="00D70939" w:rsidRPr="00D70939">
        <w:rPr>
          <w:rFonts w:cstheme="minorHAnsi"/>
        </w:rPr>
        <w:t>see Table 1</w:t>
      </w:r>
      <w:r>
        <w:rPr>
          <w:rFonts w:cstheme="minorHAnsi"/>
        </w:rPr>
        <w:t xml:space="preserve"> below)</w:t>
      </w:r>
      <w:r w:rsidR="00D70939" w:rsidRPr="00D70939">
        <w:rPr>
          <w:rFonts w:cstheme="minorHAnsi"/>
        </w:rPr>
        <w:t xml:space="preserve">. This illustrates a clear appropriation of the multiple benefits of a NWI at national level, beyond wetland conservation (see </w:t>
      </w:r>
      <w:r>
        <w:rPr>
          <w:rFonts w:cstheme="minorHAnsi"/>
        </w:rPr>
        <w:t xml:space="preserve">the </w:t>
      </w:r>
      <w:r w:rsidR="00D70939" w:rsidRPr="00D70939">
        <w:rPr>
          <w:rFonts w:cstheme="minorHAnsi"/>
        </w:rPr>
        <w:t xml:space="preserve">Secretariat-led guidance </w:t>
      </w:r>
      <w:r>
        <w:rPr>
          <w:rFonts w:cstheme="minorHAnsi"/>
        </w:rPr>
        <w:t>“</w:t>
      </w:r>
      <w:r w:rsidR="00D70939" w:rsidRPr="00D70939">
        <w:rPr>
          <w:rFonts w:cstheme="minorHAnsi"/>
        </w:rPr>
        <w:t>A New Toolkit for NWIs</w:t>
      </w:r>
      <w:r>
        <w:rPr>
          <w:rFonts w:cstheme="minorHAnsi"/>
        </w:rPr>
        <w:t>”</w:t>
      </w:r>
      <w:r w:rsidR="00B56C00">
        <w:rPr>
          <w:rStyle w:val="FootnoteReference"/>
          <w:rFonts w:cstheme="minorHAnsi"/>
        </w:rPr>
        <w:footnoteReference w:id="1"/>
      </w:r>
      <w:r w:rsidR="00D70939" w:rsidRPr="00D70939">
        <w:rPr>
          <w:rFonts w:cstheme="minorHAnsi"/>
        </w:rPr>
        <w:t>, 2020, p</w:t>
      </w:r>
      <w:r>
        <w:rPr>
          <w:rFonts w:cstheme="minorHAnsi"/>
        </w:rPr>
        <w:t xml:space="preserve">ages </w:t>
      </w:r>
      <w:r w:rsidR="00D70939" w:rsidRPr="00D70939">
        <w:rPr>
          <w:rFonts w:cstheme="minorHAnsi"/>
        </w:rPr>
        <w:t>12-13).</w:t>
      </w:r>
    </w:p>
    <w:p w14:paraId="07B37452" w14:textId="77777777" w:rsidR="00D70939" w:rsidRPr="00485841" w:rsidRDefault="00D70939" w:rsidP="00531EC8">
      <w:pPr>
        <w:pStyle w:val="ListParagraph"/>
        <w:autoSpaceDE w:val="0"/>
        <w:autoSpaceDN w:val="0"/>
        <w:adjustRightInd w:val="0"/>
        <w:ind w:left="426" w:hanging="426"/>
        <w:rPr>
          <w:rFonts w:cstheme="minorHAnsi"/>
        </w:rPr>
      </w:pPr>
    </w:p>
    <w:p w14:paraId="0A821309" w14:textId="695D727A" w:rsidR="00D70939" w:rsidRPr="00D70939" w:rsidRDefault="00E12A54" w:rsidP="00531EC8">
      <w:pPr>
        <w:autoSpaceDE w:val="0"/>
        <w:autoSpaceDN w:val="0"/>
        <w:adjustRightInd w:val="0"/>
        <w:ind w:left="426" w:hanging="426"/>
        <w:rPr>
          <w:rFonts w:cstheme="minorHAnsi"/>
        </w:rPr>
      </w:pPr>
      <w:r>
        <w:rPr>
          <w:rFonts w:cstheme="minorHAnsi"/>
        </w:rPr>
        <w:t>5.</w:t>
      </w:r>
      <w:r>
        <w:rPr>
          <w:rFonts w:cstheme="minorHAnsi"/>
        </w:rPr>
        <w:tab/>
      </w:r>
      <w:r w:rsidR="00D70939" w:rsidRPr="00D70939">
        <w:rPr>
          <w:rFonts w:cstheme="minorHAnsi"/>
        </w:rPr>
        <w:t>These multiple expectations may</w:t>
      </w:r>
      <w:r w:rsidR="00B56C00">
        <w:rPr>
          <w:rFonts w:cstheme="minorHAnsi"/>
        </w:rPr>
        <w:t>,</w:t>
      </w:r>
      <w:r w:rsidR="00D70939" w:rsidRPr="00D70939">
        <w:rPr>
          <w:rFonts w:cstheme="minorHAnsi"/>
        </w:rPr>
        <w:t xml:space="preserve"> however</w:t>
      </w:r>
      <w:r w:rsidR="00B56C00">
        <w:rPr>
          <w:rFonts w:cstheme="minorHAnsi"/>
        </w:rPr>
        <w:t>,</w:t>
      </w:r>
      <w:r w:rsidR="00D70939" w:rsidRPr="00D70939">
        <w:rPr>
          <w:rFonts w:cstheme="minorHAnsi"/>
        </w:rPr>
        <w:t xml:space="preserve"> lead to levels of complexity in developing NWIs that challenge or sometimes exceed countries’ capacities. This is reflected in the list of obstacles that </w:t>
      </w:r>
      <w:r w:rsidR="00B56C00">
        <w:rPr>
          <w:rFonts w:cstheme="minorHAnsi"/>
        </w:rPr>
        <w:t>have been</w:t>
      </w:r>
      <w:r w:rsidR="00B56C00" w:rsidRPr="00D70939">
        <w:rPr>
          <w:rFonts w:cstheme="minorHAnsi"/>
        </w:rPr>
        <w:t xml:space="preserve"> </w:t>
      </w:r>
      <w:r w:rsidR="00D70939" w:rsidRPr="00D70939">
        <w:rPr>
          <w:rFonts w:cstheme="minorHAnsi"/>
        </w:rPr>
        <w:t>collected and presented in Table 2</w:t>
      </w:r>
      <w:r w:rsidR="00B56C00">
        <w:rPr>
          <w:rFonts w:cstheme="minorHAnsi"/>
        </w:rPr>
        <w:t xml:space="preserve"> below</w:t>
      </w:r>
      <w:r w:rsidR="00D70939" w:rsidRPr="00D70939">
        <w:rPr>
          <w:rFonts w:cstheme="minorHAnsi"/>
        </w:rPr>
        <w:t xml:space="preserve">. It appears that the existing guidance is perhaps insufficient to help countries select their initial objectives, </w:t>
      </w:r>
      <w:r w:rsidR="0011696E">
        <w:rPr>
          <w:rFonts w:cstheme="minorHAnsi"/>
        </w:rPr>
        <w:t xml:space="preserve">or </w:t>
      </w:r>
      <w:r w:rsidR="00D70939" w:rsidRPr="00D70939">
        <w:rPr>
          <w:rFonts w:cstheme="minorHAnsi"/>
        </w:rPr>
        <w:t xml:space="preserve">fully adjust them to </w:t>
      </w:r>
      <w:r w:rsidR="0011696E">
        <w:rPr>
          <w:rFonts w:cstheme="minorHAnsi"/>
        </w:rPr>
        <w:t xml:space="preserve">the </w:t>
      </w:r>
      <w:r w:rsidR="00D70939" w:rsidRPr="00D70939">
        <w:rPr>
          <w:rFonts w:cstheme="minorHAnsi"/>
        </w:rPr>
        <w:t xml:space="preserve">level of trained resources (internal or external) and data volumes (that require computing power) that </w:t>
      </w:r>
      <w:r w:rsidR="00B56C00">
        <w:rPr>
          <w:rFonts w:cstheme="minorHAnsi"/>
        </w:rPr>
        <w:t>they</w:t>
      </w:r>
      <w:r w:rsidR="00B56C00" w:rsidRPr="00D70939">
        <w:rPr>
          <w:rFonts w:cstheme="minorHAnsi"/>
        </w:rPr>
        <w:t xml:space="preserve"> </w:t>
      </w:r>
      <w:r w:rsidR="00D70939" w:rsidRPr="00D70939">
        <w:rPr>
          <w:rFonts w:cstheme="minorHAnsi"/>
        </w:rPr>
        <w:t xml:space="preserve">would be able to provide and </w:t>
      </w:r>
      <w:r w:rsidR="00925BFC">
        <w:rPr>
          <w:rFonts w:cstheme="minorHAnsi"/>
        </w:rPr>
        <w:t>manage</w:t>
      </w:r>
      <w:r w:rsidR="00925BFC" w:rsidRPr="00D70939">
        <w:rPr>
          <w:rFonts w:cstheme="minorHAnsi"/>
        </w:rPr>
        <w:t xml:space="preserve"> </w:t>
      </w:r>
      <w:r w:rsidR="00D70939" w:rsidRPr="00D70939">
        <w:rPr>
          <w:rFonts w:cstheme="minorHAnsi"/>
        </w:rPr>
        <w:t xml:space="preserve">during the NWI process. </w:t>
      </w:r>
    </w:p>
    <w:p w14:paraId="3B20EEF1" w14:textId="77777777" w:rsidR="00D70939" w:rsidRPr="00410A60" w:rsidRDefault="00D70939" w:rsidP="00531EC8">
      <w:pPr>
        <w:pStyle w:val="ListParagraph"/>
        <w:autoSpaceDE w:val="0"/>
        <w:autoSpaceDN w:val="0"/>
        <w:adjustRightInd w:val="0"/>
        <w:ind w:left="426" w:hanging="426"/>
        <w:rPr>
          <w:rFonts w:cstheme="minorHAnsi"/>
        </w:rPr>
      </w:pPr>
    </w:p>
    <w:p w14:paraId="797B6459" w14:textId="7A306C39" w:rsidR="00D70939" w:rsidRPr="00D70939" w:rsidRDefault="00E12A54" w:rsidP="00531EC8">
      <w:pPr>
        <w:autoSpaceDE w:val="0"/>
        <w:autoSpaceDN w:val="0"/>
        <w:adjustRightInd w:val="0"/>
        <w:ind w:left="426" w:hanging="426"/>
        <w:rPr>
          <w:rFonts w:cstheme="minorHAnsi"/>
        </w:rPr>
      </w:pPr>
      <w:r>
        <w:rPr>
          <w:rFonts w:cstheme="minorHAnsi"/>
        </w:rPr>
        <w:t>6.</w:t>
      </w:r>
      <w:r>
        <w:rPr>
          <w:rFonts w:cstheme="minorHAnsi"/>
        </w:rPr>
        <w:tab/>
      </w:r>
      <w:r w:rsidR="00D70939" w:rsidRPr="00D70939">
        <w:rPr>
          <w:rFonts w:cstheme="minorHAnsi"/>
        </w:rPr>
        <w:t>Some countries paved the way for a NWI process that gradually raises ambitions</w:t>
      </w:r>
      <w:r w:rsidR="00925BFC">
        <w:rPr>
          <w:rFonts w:cstheme="minorHAnsi"/>
        </w:rPr>
        <w:t>, in order</w:t>
      </w:r>
      <w:r w:rsidR="00D70939" w:rsidRPr="00D70939">
        <w:rPr>
          <w:rFonts w:cstheme="minorHAnsi"/>
        </w:rPr>
        <w:t xml:space="preserve"> to limit NWI’s </w:t>
      </w:r>
      <w:r w:rsidR="00B56C00">
        <w:rPr>
          <w:rFonts w:cstheme="minorHAnsi"/>
        </w:rPr>
        <w:t xml:space="preserve">initial </w:t>
      </w:r>
      <w:r w:rsidR="00D70939" w:rsidRPr="00D70939">
        <w:rPr>
          <w:rFonts w:cstheme="minorHAnsi"/>
        </w:rPr>
        <w:t xml:space="preserve">complexity. </w:t>
      </w:r>
      <w:r w:rsidR="00B56C00">
        <w:rPr>
          <w:rFonts w:cstheme="minorHAnsi"/>
        </w:rPr>
        <w:t>They did this by</w:t>
      </w:r>
      <w:r w:rsidR="00D70939" w:rsidRPr="00D70939">
        <w:rPr>
          <w:rFonts w:cstheme="minorHAnsi"/>
        </w:rPr>
        <w:t xml:space="preserve"> </w:t>
      </w:r>
      <w:r w:rsidR="00A35A63">
        <w:rPr>
          <w:rFonts w:cstheme="minorHAnsi"/>
        </w:rPr>
        <w:t xml:space="preserve">gradually decreasing the </w:t>
      </w:r>
      <w:r w:rsidR="00647F1D" w:rsidRPr="00D70939">
        <w:rPr>
          <w:rFonts w:cstheme="minorHAnsi"/>
        </w:rPr>
        <w:t xml:space="preserve">minimum </w:t>
      </w:r>
      <w:r w:rsidR="00D70939" w:rsidRPr="00D70939">
        <w:rPr>
          <w:rFonts w:cstheme="minorHAnsi"/>
        </w:rPr>
        <w:t>wetland size for</w:t>
      </w:r>
      <w:r w:rsidR="00647F1D">
        <w:rPr>
          <w:rFonts w:cstheme="minorHAnsi"/>
        </w:rPr>
        <w:t xml:space="preserve"> inclusion in</w:t>
      </w:r>
      <w:r w:rsidR="00D70939" w:rsidRPr="00D70939">
        <w:rPr>
          <w:rFonts w:cstheme="minorHAnsi"/>
        </w:rPr>
        <w:t xml:space="preserve"> the inventory (</w:t>
      </w:r>
      <w:r w:rsidR="00B56C00">
        <w:rPr>
          <w:rFonts w:cstheme="minorHAnsi"/>
        </w:rPr>
        <w:t xml:space="preserve">for example, </w:t>
      </w:r>
      <w:r w:rsidR="00D70939" w:rsidRPr="00D70939">
        <w:rPr>
          <w:rFonts w:cstheme="minorHAnsi"/>
        </w:rPr>
        <w:t>from 100 h</w:t>
      </w:r>
      <w:r w:rsidR="00925BFC">
        <w:rPr>
          <w:rFonts w:cstheme="minorHAnsi"/>
        </w:rPr>
        <w:t>ectares</w:t>
      </w:r>
      <w:r w:rsidR="00D70939" w:rsidRPr="00D70939">
        <w:rPr>
          <w:rFonts w:cstheme="minorHAnsi"/>
        </w:rPr>
        <w:t xml:space="preserve"> to 10 ha, then to less than 1 ha) </w:t>
      </w:r>
      <w:r w:rsidR="00B56C00">
        <w:rPr>
          <w:rFonts w:cstheme="minorHAnsi"/>
        </w:rPr>
        <w:lastRenderedPageBreak/>
        <w:t>or by extending the</w:t>
      </w:r>
      <w:r w:rsidR="00D70939" w:rsidRPr="00D70939">
        <w:rPr>
          <w:rFonts w:cstheme="minorHAnsi"/>
        </w:rPr>
        <w:t xml:space="preserve"> information type to be collected (from wetland boundary GIS mapping to </w:t>
      </w:r>
      <w:r w:rsidR="00925BFC">
        <w:rPr>
          <w:rFonts w:cstheme="minorHAnsi"/>
        </w:rPr>
        <w:t>a</w:t>
      </w:r>
      <w:r w:rsidR="00925BFC" w:rsidRPr="00D70939">
        <w:rPr>
          <w:rFonts w:cstheme="minorHAnsi"/>
        </w:rPr>
        <w:t xml:space="preserve"> </w:t>
      </w:r>
      <w:r w:rsidR="00D70939" w:rsidRPr="00D70939">
        <w:rPr>
          <w:rFonts w:cstheme="minorHAnsi"/>
        </w:rPr>
        <w:t>database on wetland ecological character). Such an approach would operate with gradual refinements</w:t>
      </w:r>
      <w:r w:rsidR="00925BFC">
        <w:rPr>
          <w:rFonts w:cstheme="minorHAnsi"/>
        </w:rPr>
        <w:t xml:space="preserve"> of</w:t>
      </w:r>
      <w:r w:rsidR="00D70939" w:rsidRPr="00D70939">
        <w:rPr>
          <w:rFonts w:cstheme="minorHAnsi"/>
        </w:rPr>
        <w:t xml:space="preserve"> a more basic</w:t>
      </w:r>
      <w:r w:rsidR="00925BFC">
        <w:rPr>
          <w:rFonts w:cstheme="minorHAnsi"/>
        </w:rPr>
        <w:t xml:space="preserve"> starting </w:t>
      </w:r>
      <w:r w:rsidR="00D70939" w:rsidRPr="00D70939">
        <w:rPr>
          <w:rFonts w:cstheme="minorHAnsi"/>
        </w:rPr>
        <w:t xml:space="preserve">version. </w:t>
      </w:r>
      <w:r w:rsidR="00925BFC">
        <w:rPr>
          <w:rFonts w:cstheme="minorHAnsi"/>
        </w:rPr>
        <w:t>To support this approach</w:t>
      </w:r>
      <w:r w:rsidR="00D70939" w:rsidRPr="00D70939">
        <w:rPr>
          <w:rFonts w:cstheme="minorHAnsi"/>
        </w:rPr>
        <w:t xml:space="preserve">, </w:t>
      </w:r>
      <w:r w:rsidR="00925BFC">
        <w:rPr>
          <w:rFonts w:cstheme="minorHAnsi"/>
        </w:rPr>
        <w:t>“</w:t>
      </w:r>
      <w:r w:rsidR="00D70939" w:rsidRPr="00D70939">
        <w:rPr>
          <w:rFonts w:cstheme="minorHAnsi"/>
        </w:rPr>
        <w:t>minimum core requirements</w:t>
      </w:r>
      <w:r w:rsidR="00925BFC">
        <w:rPr>
          <w:rFonts w:cstheme="minorHAnsi"/>
        </w:rPr>
        <w:t>”</w:t>
      </w:r>
      <w:r w:rsidR="00D70939" w:rsidRPr="00D70939">
        <w:rPr>
          <w:rFonts w:cstheme="minorHAnsi"/>
        </w:rPr>
        <w:t xml:space="preserve"> for NWI could be identified. For instance, </w:t>
      </w:r>
      <w:r w:rsidR="007F7F0D">
        <w:rPr>
          <w:rFonts w:cstheme="minorHAnsi"/>
        </w:rPr>
        <w:t xml:space="preserve">an </w:t>
      </w:r>
      <w:r w:rsidR="00D70939" w:rsidRPr="00D70939">
        <w:rPr>
          <w:rFonts w:cstheme="minorHAnsi"/>
        </w:rPr>
        <w:t xml:space="preserve">NWI </w:t>
      </w:r>
      <w:r w:rsidR="007F7F0D">
        <w:rPr>
          <w:rFonts w:cstheme="minorHAnsi"/>
        </w:rPr>
        <w:t>“</w:t>
      </w:r>
      <w:r w:rsidR="00D70939" w:rsidRPr="00D70939">
        <w:rPr>
          <w:rFonts w:cstheme="minorHAnsi"/>
        </w:rPr>
        <w:t>first version</w:t>
      </w:r>
      <w:r w:rsidR="007F7F0D">
        <w:rPr>
          <w:rFonts w:cstheme="minorHAnsi"/>
        </w:rPr>
        <w:t>”</w:t>
      </w:r>
      <w:r w:rsidR="00D70939" w:rsidRPr="00D70939">
        <w:rPr>
          <w:rFonts w:cstheme="minorHAnsi"/>
        </w:rPr>
        <w:t xml:space="preserve"> should be mandated to assess and export wetland extent figures, for countries to report on the requested figures for</w:t>
      </w:r>
      <w:r w:rsidR="007F7F0D" w:rsidRPr="00D70939">
        <w:rPr>
          <w:rFonts w:cstheme="minorHAnsi"/>
        </w:rPr>
        <w:t xml:space="preserve"> </w:t>
      </w:r>
      <w:r w:rsidR="00D70939" w:rsidRPr="00D70939">
        <w:rPr>
          <w:rFonts w:cstheme="minorHAnsi"/>
        </w:rPr>
        <w:t xml:space="preserve">Sustainable Development Goal (SDG) </w:t>
      </w:r>
      <w:r w:rsidR="007F7F0D">
        <w:rPr>
          <w:rFonts w:cstheme="minorHAnsi"/>
        </w:rPr>
        <w:t>I</w:t>
      </w:r>
      <w:r w:rsidR="00D70939" w:rsidRPr="00D70939">
        <w:rPr>
          <w:rFonts w:cstheme="minorHAnsi"/>
        </w:rPr>
        <w:t xml:space="preserve">ndicator 6.6.1. </w:t>
      </w:r>
    </w:p>
    <w:p w14:paraId="0DC5AA9D" w14:textId="77777777" w:rsidR="00D70939" w:rsidRDefault="00D70939" w:rsidP="00531EC8">
      <w:pPr>
        <w:pStyle w:val="ListParagraph"/>
        <w:autoSpaceDE w:val="0"/>
        <w:autoSpaceDN w:val="0"/>
        <w:adjustRightInd w:val="0"/>
        <w:ind w:left="426" w:hanging="426"/>
        <w:rPr>
          <w:rFonts w:cstheme="minorHAnsi"/>
        </w:rPr>
      </w:pPr>
    </w:p>
    <w:p w14:paraId="732EFB4F" w14:textId="6D1470EE" w:rsidR="00D70939" w:rsidRPr="00D70939" w:rsidRDefault="00E12A54" w:rsidP="00531EC8">
      <w:pPr>
        <w:autoSpaceDE w:val="0"/>
        <w:autoSpaceDN w:val="0"/>
        <w:adjustRightInd w:val="0"/>
        <w:ind w:left="426" w:hanging="426"/>
        <w:rPr>
          <w:rFonts w:cstheme="minorHAnsi"/>
        </w:rPr>
      </w:pPr>
      <w:r>
        <w:rPr>
          <w:rFonts w:cstheme="minorHAnsi"/>
        </w:rPr>
        <w:t>7.</w:t>
      </w:r>
      <w:r>
        <w:rPr>
          <w:rFonts w:cstheme="minorHAnsi"/>
        </w:rPr>
        <w:tab/>
      </w:r>
      <w:r w:rsidR="007F7F0D">
        <w:rPr>
          <w:rFonts w:cstheme="minorHAnsi"/>
        </w:rPr>
        <w:t xml:space="preserve">The </w:t>
      </w:r>
      <w:r w:rsidR="00D70939" w:rsidRPr="00D70939">
        <w:rPr>
          <w:rFonts w:cstheme="minorHAnsi"/>
        </w:rPr>
        <w:t xml:space="preserve">NWI should </w:t>
      </w:r>
      <w:r w:rsidR="007F7F0D" w:rsidRPr="00D70939">
        <w:rPr>
          <w:rFonts w:cstheme="minorHAnsi"/>
        </w:rPr>
        <w:t xml:space="preserve">not </w:t>
      </w:r>
      <w:r w:rsidR="00D70939" w:rsidRPr="00D70939">
        <w:rPr>
          <w:rFonts w:cstheme="minorHAnsi"/>
        </w:rPr>
        <w:t xml:space="preserve">be seen </w:t>
      </w:r>
      <w:r w:rsidR="007F7F0D" w:rsidRPr="00D70939">
        <w:rPr>
          <w:rFonts w:cstheme="minorHAnsi"/>
        </w:rPr>
        <w:t xml:space="preserve">as </w:t>
      </w:r>
      <w:r w:rsidR="007F7F0D">
        <w:rPr>
          <w:rFonts w:cstheme="minorHAnsi"/>
        </w:rPr>
        <w:t>a</w:t>
      </w:r>
      <w:r w:rsidR="007F7F0D" w:rsidRPr="00D70939">
        <w:rPr>
          <w:rFonts w:cstheme="minorHAnsi"/>
        </w:rPr>
        <w:t xml:space="preserve"> product only</w:t>
      </w:r>
      <w:r w:rsidR="007F7F0D">
        <w:rPr>
          <w:rFonts w:cstheme="minorHAnsi"/>
        </w:rPr>
        <w:t>, but</w:t>
      </w:r>
      <w:r w:rsidR="007F7F0D" w:rsidRPr="00D70939">
        <w:rPr>
          <w:rFonts w:cstheme="minorHAnsi"/>
        </w:rPr>
        <w:t xml:space="preserve"> </w:t>
      </w:r>
      <w:r w:rsidR="00D70939" w:rsidRPr="00D70939">
        <w:rPr>
          <w:rFonts w:cstheme="minorHAnsi"/>
        </w:rPr>
        <w:t xml:space="preserve">as a process </w:t>
      </w:r>
      <w:r w:rsidR="007F7F0D">
        <w:rPr>
          <w:rFonts w:cstheme="minorHAnsi"/>
        </w:rPr>
        <w:t>which includes as phases</w:t>
      </w:r>
      <w:r w:rsidR="007F7F0D" w:rsidRPr="00D70939">
        <w:rPr>
          <w:rFonts w:cstheme="minorHAnsi"/>
        </w:rPr>
        <w:t xml:space="preserve"> </w:t>
      </w:r>
      <w:r w:rsidR="009121D0">
        <w:rPr>
          <w:rFonts w:cstheme="minorHAnsi"/>
        </w:rPr>
        <w:t>its</w:t>
      </w:r>
      <w:r w:rsidR="007F7F0D">
        <w:rPr>
          <w:rFonts w:cstheme="minorHAnsi"/>
        </w:rPr>
        <w:t xml:space="preserve"> </w:t>
      </w:r>
      <w:r w:rsidR="00D70939" w:rsidRPr="00D70939">
        <w:rPr>
          <w:rFonts w:cstheme="minorHAnsi"/>
        </w:rPr>
        <w:t>use and update. The production of NWI data should be user-oriented and not data supply-oriented to avoid the production and management of data that ends</w:t>
      </w:r>
      <w:r w:rsidR="00D322DB">
        <w:rPr>
          <w:rFonts w:cstheme="minorHAnsi"/>
        </w:rPr>
        <w:t xml:space="preserve"> up</w:t>
      </w:r>
      <w:r w:rsidR="00D70939" w:rsidRPr="00D70939">
        <w:rPr>
          <w:rFonts w:cstheme="minorHAnsi"/>
        </w:rPr>
        <w:t xml:space="preserve"> not being used – and that later presents the challenge of </w:t>
      </w:r>
      <w:r w:rsidR="00D322DB">
        <w:rPr>
          <w:rFonts w:cstheme="minorHAnsi"/>
        </w:rPr>
        <w:t xml:space="preserve">a </w:t>
      </w:r>
      <w:r w:rsidR="00D70939" w:rsidRPr="00D70939">
        <w:rPr>
          <w:rFonts w:cstheme="minorHAnsi"/>
        </w:rPr>
        <w:t xml:space="preserve">poor update. The interviews have shown that the launch of a NWI should be preceded by a clear assessment of the different national policies and international targets it relates with, and the identification and selection of the policy processes to which it would be immediately </w:t>
      </w:r>
      <w:r w:rsidR="00D322DB">
        <w:rPr>
          <w:rFonts w:cstheme="minorHAnsi"/>
        </w:rPr>
        <w:t>applicable</w:t>
      </w:r>
      <w:r w:rsidR="00D70939" w:rsidRPr="00D70939">
        <w:rPr>
          <w:rFonts w:cstheme="minorHAnsi"/>
        </w:rPr>
        <w:t xml:space="preserve"> once published (see also </w:t>
      </w:r>
      <w:r w:rsidR="00D322DB">
        <w:rPr>
          <w:rFonts w:cstheme="minorHAnsi"/>
        </w:rPr>
        <w:t>“</w:t>
      </w:r>
      <w:r w:rsidR="00D70939" w:rsidRPr="00D70939">
        <w:rPr>
          <w:rFonts w:cstheme="minorHAnsi"/>
        </w:rPr>
        <w:t>A New Toolkit for NWIs</w:t>
      </w:r>
      <w:r w:rsidR="00D322DB">
        <w:rPr>
          <w:rFonts w:cstheme="minorHAnsi"/>
        </w:rPr>
        <w:t>”</w:t>
      </w:r>
      <w:r w:rsidR="00D70939" w:rsidRPr="00D70939">
        <w:rPr>
          <w:rFonts w:cstheme="minorHAnsi"/>
        </w:rPr>
        <w:t xml:space="preserve">). </w:t>
      </w:r>
    </w:p>
    <w:p w14:paraId="6C6C0154" w14:textId="77777777" w:rsidR="00D70939" w:rsidRPr="00EA3605" w:rsidRDefault="00D70939" w:rsidP="00531EC8">
      <w:pPr>
        <w:pStyle w:val="ListParagraph"/>
        <w:autoSpaceDE w:val="0"/>
        <w:autoSpaceDN w:val="0"/>
        <w:adjustRightInd w:val="0"/>
        <w:ind w:left="426" w:hanging="426"/>
        <w:rPr>
          <w:rFonts w:cstheme="minorHAnsi"/>
        </w:rPr>
      </w:pPr>
    </w:p>
    <w:p w14:paraId="067BE8A2" w14:textId="13B511F2" w:rsidR="00D70939" w:rsidRPr="00D70939" w:rsidRDefault="00E12A54" w:rsidP="00531EC8">
      <w:pPr>
        <w:autoSpaceDE w:val="0"/>
        <w:autoSpaceDN w:val="0"/>
        <w:adjustRightInd w:val="0"/>
        <w:ind w:left="426" w:hanging="426"/>
        <w:rPr>
          <w:rFonts w:cstheme="minorHAnsi"/>
        </w:rPr>
      </w:pPr>
      <w:r>
        <w:rPr>
          <w:rFonts w:cstheme="minorHAnsi"/>
        </w:rPr>
        <w:t>8.</w:t>
      </w:r>
      <w:r>
        <w:rPr>
          <w:rFonts w:cstheme="minorHAnsi"/>
        </w:rPr>
        <w:tab/>
      </w:r>
      <w:r w:rsidR="00D70939" w:rsidRPr="00D70939">
        <w:rPr>
          <w:rFonts w:cstheme="minorHAnsi"/>
        </w:rPr>
        <w:t>A</w:t>
      </w:r>
      <w:r w:rsidR="00D322DB">
        <w:rPr>
          <w:rFonts w:cstheme="minorHAnsi"/>
        </w:rPr>
        <w:t>n</w:t>
      </w:r>
      <w:r w:rsidR="00D70939" w:rsidRPr="00D70939">
        <w:rPr>
          <w:rFonts w:cstheme="minorHAnsi"/>
        </w:rPr>
        <w:t xml:space="preserve"> NWI process should be developed along strong scientific and technical standards to ensure data quality. This would also ease data exchanges among different </w:t>
      </w:r>
      <w:r w:rsidR="00B56C00" w:rsidRPr="00D70939">
        <w:rPr>
          <w:rFonts w:cstheme="minorHAnsi"/>
        </w:rPr>
        <w:t xml:space="preserve">national </w:t>
      </w:r>
      <w:r w:rsidR="00D70939" w:rsidRPr="00D70939">
        <w:rPr>
          <w:rFonts w:cstheme="minorHAnsi"/>
        </w:rPr>
        <w:t xml:space="preserve">agencies, increasing the efficiency of </w:t>
      </w:r>
      <w:r w:rsidR="00D322DB">
        <w:rPr>
          <w:rFonts w:cstheme="minorHAnsi"/>
        </w:rPr>
        <w:t xml:space="preserve">the </w:t>
      </w:r>
      <w:r w:rsidR="00D70939" w:rsidRPr="00D70939">
        <w:rPr>
          <w:rFonts w:cstheme="minorHAnsi"/>
        </w:rPr>
        <w:t>NWI process. Existing guidance</w:t>
      </w:r>
      <w:r w:rsidR="00D70939" w:rsidRPr="00D322DB">
        <w:rPr>
          <w:vertAlign w:val="superscript"/>
        </w:rPr>
        <w:footnoteReference w:id="2"/>
      </w:r>
      <w:r w:rsidR="00D70939" w:rsidRPr="00D70939">
        <w:rPr>
          <w:rFonts w:cstheme="minorHAnsi"/>
        </w:rPr>
        <w:t xml:space="preserve"> could prove useful in this regard.</w:t>
      </w:r>
    </w:p>
    <w:p w14:paraId="5A983EBB" w14:textId="77777777" w:rsidR="00D70939" w:rsidRPr="004A1E15" w:rsidRDefault="00D70939" w:rsidP="00531EC8">
      <w:pPr>
        <w:pStyle w:val="ListParagraph"/>
        <w:autoSpaceDE w:val="0"/>
        <w:autoSpaceDN w:val="0"/>
        <w:adjustRightInd w:val="0"/>
        <w:ind w:left="426" w:hanging="426"/>
        <w:rPr>
          <w:rFonts w:cstheme="minorHAnsi"/>
        </w:rPr>
      </w:pPr>
    </w:p>
    <w:p w14:paraId="1DAB6866" w14:textId="247E1D80" w:rsidR="00D70939" w:rsidRPr="00D70939" w:rsidRDefault="00E12A54" w:rsidP="00531EC8">
      <w:pPr>
        <w:autoSpaceDE w:val="0"/>
        <w:autoSpaceDN w:val="0"/>
        <w:adjustRightInd w:val="0"/>
        <w:ind w:left="426" w:hanging="426"/>
        <w:rPr>
          <w:rFonts w:cstheme="minorHAnsi"/>
        </w:rPr>
      </w:pPr>
      <w:r>
        <w:rPr>
          <w:rFonts w:cstheme="minorHAnsi"/>
        </w:rPr>
        <w:t>9.</w:t>
      </w:r>
      <w:r>
        <w:rPr>
          <w:rFonts w:cstheme="minorHAnsi"/>
        </w:rPr>
        <w:tab/>
      </w:r>
      <w:r w:rsidR="00D70939" w:rsidRPr="00D70939">
        <w:rPr>
          <w:rFonts w:cstheme="minorHAnsi"/>
        </w:rPr>
        <w:t xml:space="preserve">Some structured approaches with appropriate initial planning </w:t>
      </w:r>
      <w:r w:rsidR="00822CF9">
        <w:rPr>
          <w:rFonts w:cstheme="minorHAnsi"/>
        </w:rPr>
        <w:t>have been</w:t>
      </w:r>
      <w:r w:rsidR="00822CF9" w:rsidRPr="00D70939">
        <w:rPr>
          <w:rFonts w:cstheme="minorHAnsi"/>
        </w:rPr>
        <w:t xml:space="preserve"> </w:t>
      </w:r>
      <w:r w:rsidR="00D70939" w:rsidRPr="00D70939">
        <w:rPr>
          <w:rFonts w:cstheme="minorHAnsi"/>
        </w:rPr>
        <w:t xml:space="preserve">successfully developed by some countries. Such a structured approach encompasses setting up standardized protocols for data collection and data management as well as metadata and data quality standards. It also comprises the development of survey workplans that precede field investigations and the setting up of technical support mechanisms to guide and advise actions over time, as per the needs. At national level, an advisory board should oversee the whole NWI process to provide additional guidance. </w:t>
      </w:r>
    </w:p>
    <w:p w14:paraId="53D0CA13" w14:textId="77777777" w:rsidR="00D70939" w:rsidRPr="00D80A15" w:rsidRDefault="00D70939" w:rsidP="00531EC8">
      <w:pPr>
        <w:pStyle w:val="ListParagraph"/>
        <w:autoSpaceDE w:val="0"/>
        <w:autoSpaceDN w:val="0"/>
        <w:adjustRightInd w:val="0"/>
        <w:ind w:left="426" w:hanging="426"/>
        <w:rPr>
          <w:rFonts w:cstheme="minorHAnsi"/>
        </w:rPr>
      </w:pPr>
    </w:p>
    <w:p w14:paraId="0BE51D83" w14:textId="170AE574" w:rsidR="00D70939" w:rsidRPr="00D70939" w:rsidRDefault="00E12A54" w:rsidP="00531EC8">
      <w:pPr>
        <w:autoSpaceDE w:val="0"/>
        <w:autoSpaceDN w:val="0"/>
        <w:adjustRightInd w:val="0"/>
        <w:ind w:left="426" w:hanging="426"/>
        <w:rPr>
          <w:rFonts w:cstheme="minorHAnsi"/>
        </w:rPr>
      </w:pPr>
      <w:r>
        <w:rPr>
          <w:rFonts w:cstheme="minorHAnsi"/>
        </w:rPr>
        <w:t>10.</w:t>
      </w:r>
      <w:r>
        <w:rPr>
          <w:rFonts w:cstheme="minorHAnsi"/>
        </w:rPr>
        <w:tab/>
      </w:r>
      <w:r w:rsidR="00D17EFB">
        <w:rPr>
          <w:rFonts w:cstheme="minorHAnsi"/>
        </w:rPr>
        <w:t xml:space="preserve">The </w:t>
      </w:r>
      <w:r w:rsidR="00D70939" w:rsidRPr="00D70939">
        <w:rPr>
          <w:rFonts w:cstheme="minorHAnsi"/>
        </w:rPr>
        <w:t>NWI process encompasses anticipation of NWI update phases. Planning of the NWI update modalities should be agreed even before launching the inventory,</w:t>
      </w:r>
      <w:r w:rsidR="00D17EFB">
        <w:rPr>
          <w:rFonts w:cstheme="minorHAnsi"/>
        </w:rPr>
        <w:t xml:space="preserve"> so</w:t>
      </w:r>
      <w:r w:rsidR="00D70939" w:rsidRPr="00D70939">
        <w:rPr>
          <w:rFonts w:cstheme="minorHAnsi"/>
        </w:rPr>
        <w:t xml:space="preserve"> as to respond </w:t>
      </w:r>
      <w:r w:rsidR="00D17EFB" w:rsidRPr="00D70939">
        <w:rPr>
          <w:rFonts w:cstheme="minorHAnsi"/>
        </w:rPr>
        <w:t xml:space="preserve">fully </w:t>
      </w:r>
      <w:r w:rsidR="00D70939" w:rsidRPr="00D70939">
        <w:rPr>
          <w:rFonts w:cstheme="minorHAnsi"/>
        </w:rPr>
        <w:t>to policy requirements over time.</w:t>
      </w:r>
    </w:p>
    <w:p w14:paraId="6FA9DF90" w14:textId="77777777" w:rsidR="00D70939" w:rsidRPr="002C582C" w:rsidRDefault="00D70939" w:rsidP="00531EC8">
      <w:pPr>
        <w:pStyle w:val="ListParagraph"/>
        <w:autoSpaceDE w:val="0"/>
        <w:autoSpaceDN w:val="0"/>
        <w:adjustRightInd w:val="0"/>
        <w:ind w:left="426" w:hanging="426"/>
        <w:rPr>
          <w:rFonts w:cstheme="minorHAnsi"/>
        </w:rPr>
      </w:pPr>
    </w:p>
    <w:p w14:paraId="62F28142" w14:textId="11D73E4B" w:rsidR="00D70939" w:rsidRPr="00D70939" w:rsidRDefault="00E12A54" w:rsidP="00531EC8">
      <w:pPr>
        <w:autoSpaceDE w:val="0"/>
        <w:autoSpaceDN w:val="0"/>
        <w:adjustRightInd w:val="0"/>
        <w:ind w:left="426" w:hanging="426"/>
        <w:rPr>
          <w:rFonts w:cstheme="minorHAnsi"/>
        </w:rPr>
      </w:pPr>
      <w:r>
        <w:rPr>
          <w:rFonts w:cstheme="minorHAnsi"/>
        </w:rPr>
        <w:t>11.</w:t>
      </w:r>
      <w:r>
        <w:rPr>
          <w:rFonts w:cstheme="minorHAnsi"/>
        </w:rPr>
        <w:tab/>
      </w:r>
      <w:r w:rsidR="00D70939" w:rsidRPr="00D70939">
        <w:rPr>
          <w:rFonts w:cstheme="minorHAnsi"/>
        </w:rPr>
        <w:t xml:space="preserve">Several national agencies and local experts supported the </w:t>
      </w:r>
      <w:r w:rsidR="001D5A34">
        <w:rPr>
          <w:rFonts w:cstheme="minorHAnsi"/>
        </w:rPr>
        <w:t xml:space="preserve">reporting </w:t>
      </w:r>
      <w:r w:rsidR="00D70939" w:rsidRPr="00D70939">
        <w:rPr>
          <w:rFonts w:cstheme="minorHAnsi"/>
        </w:rPr>
        <w:t>countries’ NWI process</w:t>
      </w:r>
      <w:r w:rsidR="001D5A34">
        <w:rPr>
          <w:rFonts w:cstheme="minorHAnsi"/>
        </w:rPr>
        <w:t>es</w:t>
      </w:r>
      <w:r w:rsidR="00D70939" w:rsidRPr="00D70939">
        <w:rPr>
          <w:rFonts w:cstheme="minorHAnsi"/>
        </w:rPr>
        <w:t xml:space="preserve">. Across the interviews, various structures were mentioned, such as national geographical institutes, national spatial studies/remote sensing institutes, national environmental agencies, sustainable development observatories, water agencies, integrated water resource management centres, universities, research institutes and </w:t>
      </w:r>
      <w:r w:rsidR="001D5A34">
        <w:rPr>
          <w:rFonts w:cstheme="minorHAnsi"/>
        </w:rPr>
        <w:t>I</w:t>
      </w:r>
      <w:r w:rsidR="00D70939" w:rsidRPr="00D70939">
        <w:rPr>
          <w:rFonts w:cstheme="minorHAnsi"/>
        </w:rPr>
        <w:t xml:space="preserve">ndigenous organisations. </w:t>
      </w:r>
      <w:r w:rsidR="001D5A34">
        <w:rPr>
          <w:rFonts w:cstheme="minorHAnsi"/>
        </w:rPr>
        <w:t>“</w:t>
      </w:r>
      <w:r w:rsidR="00D70939" w:rsidRPr="00D70939">
        <w:rPr>
          <w:rFonts w:cstheme="minorHAnsi"/>
        </w:rPr>
        <w:t>Subsidiary</w:t>
      </w:r>
      <w:r w:rsidR="001D5A34">
        <w:rPr>
          <w:rFonts w:cstheme="minorHAnsi"/>
        </w:rPr>
        <w:t>”</w:t>
      </w:r>
      <w:r w:rsidR="00D70939" w:rsidRPr="00D70939">
        <w:rPr>
          <w:rFonts w:cstheme="minorHAnsi"/>
        </w:rPr>
        <w:t xml:space="preserve"> approaches relying as </w:t>
      </w:r>
      <w:r w:rsidR="001D5A34">
        <w:rPr>
          <w:rFonts w:cstheme="minorHAnsi"/>
        </w:rPr>
        <w:t>far</w:t>
      </w:r>
      <w:r w:rsidR="001D5A34" w:rsidRPr="00D70939">
        <w:rPr>
          <w:rFonts w:cstheme="minorHAnsi"/>
        </w:rPr>
        <w:t xml:space="preserve"> </w:t>
      </w:r>
      <w:r w:rsidR="00D70939" w:rsidRPr="00D70939">
        <w:rPr>
          <w:rFonts w:cstheme="minorHAnsi"/>
        </w:rPr>
        <w:t xml:space="preserve">as possible on local expertise were </w:t>
      </w:r>
      <w:r w:rsidR="00D1095A">
        <w:rPr>
          <w:rFonts w:cstheme="minorHAnsi"/>
        </w:rPr>
        <w:t xml:space="preserve">reported as </w:t>
      </w:r>
      <w:r w:rsidR="00D70939" w:rsidRPr="00D70939">
        <w:rPr>
          <w:rFonts w:cstheme="minorHAnsi"/>
        </w:rPr>
        <w:t xml:space="preserve">useful, particularly to conduct field visits. </w:t>
      </w:r>
      <w:r w:rsidR="001D5A34">
        <w:rPr>
          <w:rFonts w:cstheme="minorHAnsi"/>
        </w:rPr>
        <w:t>Approaches involving</w:t>
      </w:r>
      <w:r w:rsidR="001D5A34" w:rsidRPr="00D70939">
        <w:rPr>
          <w:rFonts w:cstheme="minorHAnsi"/>
        </w:rPr>
        <w:t xml:space="preserve"> </w:t>
      </w:r>
      <w:r w:rsidR="00D70939" w:rsidRPr="00D70939">
        <w:rPr>
          <w:rFonts w:cstheme="minorHAnsi"/>
        </w:rPr>
        <w:t xml:space="preserve">outsourced consultancy teams sometimes led to improper database handover to national teams. </w:t>
      </w:r>
    </w:p>
    <w:p w14:paraId="0C55BB30" w14:textId="77777777" w:rsidR="00D70939" w:rsidRPr="002A53F9" w:rsidRDefault="00D70939" w:rsidP="00531EC8">
      <w:pPr>
        <w:pStyle w:val="ListParagraph"/>
        <w:autoSpaceDE w:val="0"/>
        <w:autoSpaceDN w:val="0"/>
        <w:adjustRightInd w:val="0"/>
        <w:ind w:left="426" w:hanging="426"/>
        <w:rPr>
          <w:rFonts w:cstheme="minorHAnsi"/>
        </w:rPr>
      </w:pPr>
    </w:p>
    <w:p w14:paraId="4FFADDBA" w14:textId="06AD0579" w:rsidR="00D70939" w:rsidRPr="00D70939" w:rsidRDefault="00E12A54" w:rsidP="00531EC8">
      <w:pPr>
        <w:autoSpaceDE w:val="0"/>
        <w:autoSpaceDN w:val="0"/>
        <w:adjustRightInd w:val="0"/>
        <w:ind w:left="426" w:hanging="426"/>
        <w:rPr>
          <w:rFonts w:cstheme="minorHAnsi"/>
        </w:rPr>
      </w:pPr>
      <w:r>
        <w:rPr>
          <w:rFonts w:cstheme="minorHAnsi"/>
        </w:rPr>
        <w:t>12.</w:t>
      </w:r>
      <w:r>
        <w:rPr>
          <w:rFonts w:cstheme="minorHAnsi"/>
        </w:rPr>
        <w:tab/>
      </w:r>
      <w:r w:rsidR="00D70939" w:rsidRPr="00D70939">
        <w:rPr>
          <w:rFonts w:cstheme="minorHAnsi"/>
        </w:rPr>
        <w:t xml:space="preserve">Ensuring reliable </w:t>
      </w:r>
      <w:r w:rsidR="00D1095A" w:rsidRPr="00D70939">
        <w:rPr>
          <w:rFonts w:cstheme="minorHAnsi"/>
        </w:rPr>
        <w:t>fund</w:t>
      </w:r>
      <w:r w:rsidR="00D1095A">
        <w:rPr>
          <w:rFonts w:cstheme="minorHAnsi"/>
        </w:rPr>
        <w:t>ing</w:t>
      </w:r>
      <w:r w:rsidR="00D1095A" w:rsidRPr="00D70939">
        <w:rPr>
          <w:rFonts w:cstheme="minorHAnsi"/>
        </w:rPr>
        <w:t xml:space="preserve"> </w:t>
      </w:r>
      <w:r w:rsidR="00D70939" w:rsidRPr="00D70939">
        <w:rPr>
          <w:rFonts w:cstheme="minorHAnsi"/>
        </w:rPr>
        <w:t xml:space="preserve">for </w:t>
      </w:r>
      <w:r w:rsidR="00020929">
        <w:rPr>
          <w:rFonts w:cstheme="minorHAnsi"/>
        </w:rPr>
        <w:t xml:space="preserve">the </w:t>
      </w:r>
      <w:r w:rsidR="00D70939" w:rsidRPr="00D70939">
        <w:rPr>
          <w:rFonts w:cstheme="minorHAnsi"/>
        </w:rPr>
        <w:t xml:space="preserve">NWI process is a core issue for almost all countries, irrespective of their economic situation. Costs can vary </w:t>
      </w:r>
      <w:r w:rsidR="00020929">
        <w:rPr>
          <w:rFonts w:cstheme="minorHAnsi"/>
        </w:rPr>
        <w:t>gr</w:t>
      </w:r>
      <w:r w:rsidR="00D1095A">
        <w:rPr>
          <w:rFonts w:cstheme="minorHAnsi"/>
        </w:rPr>
        <w:t>e</w:t>
      </w:r>
      <w:r w:rsidR="00020929">
        <w:rPr>
          <w:rFonts w:cstheme="minorHAnsi"/>
        </w:rPr>
        <w:t xml:space="preserve">atly </w:t>
      </w:r>
      <w:r w:rsidR="00D70939" w:rsidRPr="00D70939">
        <w:rPr>
          <w:rFonts w:cstheme="minorHAnsi"/>
        </w:rPr>
        <w:t xml:space="preserve">(from a few mentions, NWI budgets amounted up to </w:t>
      </w:r>
      <w:r w:rsidR="00020929">
        <w:rPr>
          <w:rFonts w:cstheme="minorHAnsi"/>
        </w:rPr>
        <w:t xml:space="preserve">one </w:t>
      </w:r>
      <w:r w:rsidR="00D70939" w:rsidRPr="00D70939">
        <w:rPr>
          <w:rFonts w:cstheme="minorHAnsi"/>
        </w:rPr>
        <w:t xml:space="preserve">or even 50 </w:t>
      </w:r>
      <w:r w:rsidR="00020929">
        <w:rPr>
          <w:rFonts w:cstheme="minorHAnsi"/>
        </w:rPr>
        <w:t>million</w:t>
      </w:r>
      <w:r w:rsidR="00020929" w:rsidRPr="00D70939">
        <w:rPr>
          <w:rFonts w:cstheme="minorHAnsi"/>
        </w:rPr>
        <w:t xml:space="preserve"> </w:t>
      </w:r>
      <w:r w:rsidR="00D70939" w:rsidRPr="00D70939">
        <w:rPr>
          <w:rFonts w:cstheme="minorHAnsi"/>
        </w:rPr>
        <w:t xml:space="preserve">CHF). The costs of course depend on the size of the country, but also on the level of ambition that is initially set. A key challenge is to secure multi-year funds. In this regard, it was noted that </w:t>
      </w:r>
      <w:r w:rsidR="00020929">
        <w:rPr>
          <w:rFonts w:cstheme="minorHAnsi"/>
        </w:rPr>
        <w:t xml:space="preserve">the </w:t>
      </w:r>
      <w:r w:rsidR="00D70939" w:rsidRPr="00D70939">
        <w:rPr>
          <w:rFonts w:cstheme="minorHAnsi"/>
        </w:rPr>
        <w:t xml:space="preserve">Global Environment </w:t>
      </w:r>
      <w:r w:rsidR="00020929">
        <w:rPr>
          <w:rFonts w:cstheme="minorHAnsi"/>
        </w:rPr>
        <w:t xml:space="preserve">Facility </w:t>
      </w:r>
      <w:r w:rsidR="00D70939" w:rsidRPr="00D70939">
        <w:rPr>
          <w:rFonts w:cstheme="minorHAnsi"/>
        </w:rPr>
        <w:t>(GEF) has been successfully mobilized to fund NWIs. Rapid and low-cost NWI approaches were also mentioned, with some existing guidance. Some of the supporting factors that were mentioned by the interviewed countries (see Table 3) are replicable and could guide further actions.</w:t>
      </w:r>
    </w:p>
    <w:p w14:paraId="661918BC" w14:textId="77777777" w:rsidR="00D70939" w:rsidRPr="006D4D5A" w:rsidRDefault="00D70939" w:rsidP="00531EC8">
      <w:pPr>
        <w:pStyle w:val="ListParagraph"/>
        <w:autoSpaceDE w:val="0"/>
        <w:autoSpaceDN w:val="0"/>
        <w:adjustRightInd w:val="0"/>
        <w:ind w:left="426" w:hanging="426"/>
        <w:rPr>
          <w:rFonts w:cstheme="minorHAnsi"/>
        </w:rPr>
      </w:pPr>
    </w:p>
    <w:p w14:paraId="6BD6E146" w14:textId="0B0017A8" w:rsidR="00D70939" w:rsidRPr="00D70939" w:rsidRDefault="00E12A54" w:rsidP="00531EC8">
      <w:pPr>
        <w:autoSpaceDE w:val="0"/>
        <w:autoSpaceDN w:val="0"/>
        <w:adjustRightInd w:val="0"/>
        <w:ind w:left="426" w:hanging="426"/>
        <w:rPr>
          <w:rFonts w:cstheme="minorHAnsi"/>
        </w:rPr>
      </w:pPr>
      <w:r>
        <w:rPr>
          <w:rFonts w:cstheme="minorHAnsi"/>
        </w:rPr>
        <w:lastRenderedPageBreak/>
        <w:t>13.</w:t>
      </w:r>
      <w:r>
        <w:rPr>
          <w:rFonts w:cstheme="minorHAnsi"/>
        </w:rPr>
        <w:tab/>
      </w:r>
      <w:r w:rsidR="00D70939" w:rsidRPr="00D70939">
        <w:rPr>
          <w:rFonts w:cstheme="minorHAnsi"/>
        </w:rPr>
        <w:t xml:space="preserve">There is a need to advance </w:t>
      </w:r>
      <w:r w:rsidR="00A56571">
        <w:rPr>
          <w:rFonts w:cstheme="minorHAnsi"/>
        </w:rPr>
        <w:t xml:space="preserve">the </w:t>
      </w:r>
      <w:r w:rsidR="00D70939" w:rsidRPr="00D70939">
        <w:rPr>
          <w:rFonts w:cstheme="minorHAnsi"/>
        </w:rPr>
        <w:t xml:space="preserve">Convention’s </w:t>
      </w:r>
      <w:r w:rsidR="00A56571" w:rsidRPr="00D70939">
        <w:rPr>
          <w:rFonts w:cstheme="minorHAnsi"/>
        </w:rPr>
        <w:t xml:space="preserve">existing </w:t>
      </w:r>
      <w:r w:rsidR="00D70939" w:rsidRPr="00D70939">
        <w:rPr>
          <w:rFonts w:cstheme="minorHAnsi"/>
        </w:rPr>
        <w:t xml:space="preserve">guidance to integrate these orientations, such as </w:t>
      </w:r>
      <w:r w:rsidR="00026820">
        <w:rPr>
          <w:rFonts w:cstheme="minorHAnsi"/>
        </w:rPr>
        <w:t>refining</w:t>
      </w:r>
      <w:r w:rsidR="00D70939" w:rsidRPr="00D70939">
        <w:rPr>
          <w:rFonts w:cstheme="minorHAnsi"/>
        </w:rPr>
        <w:t xml:space="preserve"> NWI </w:t>
      </w:r>
      <w:r w:rsidR="00E7767D">
        <w:rPr>
          <w:rFonts w:cstheme="minorHAnsi"/>
        </w:rPr>
        <w:t>“</w:t>
      </w:r>
      <w:r w:rsidR="00D70939" w:rsidRPr="00D70939">
        <w:rPr>
          <w:rFonts w:cstheme="minorHAnsi"/>
        </w:rPr>
        <w:t>minimum core data sets</w:t>
      </w:r>
      <w:r w:rsidR="00E7767D">
        <w:rPr>
          <w:rFonts w:cstheme="minorHAnsi"/>
        </w:rPr>
        <w:t>”</w:t>
      </w:r>
      <w:r w:rsidR="00D70939" w:rsidRPr="00D70939">
        <w:rPr>
          <w:rFonts w:cstheme="minorHAnsi"/>
        </w:rPr>
        <w:t xml:space="preserve"> (</w:t>
      </w:r>
      <w:r w:rsidR="00046221">
        <w:rPr>
          <w:rFonts w:cstheme="minorHAnsi"/>
        </w:rPr>
        <w:t>a</w:t>
      </w:r>
      <w:r w:rsidR="00C05BC5">
        <w:rPr>
          <w:rFonts w:cstheme="minorHAnsi"/>
        </w:rPr>
        <w:t xml:space="preserve"> </w:t>
      </w:r>
      <w:r w:rsidR="00046221">
        <w:rPr>
          <w:rFonts w:cstheme="minorHAnsi"/>
        </w:rPr>
        <w:t xml:space="preserve">version for wetland inventories </w:t>
      </w:r>
      <w:r w:rsidR="00F9353E">
        <w:rPr>
          <w:rFonts w:cstheme="minorHAnsi"/>
        </w:rPr>
        <w:t>is</w:t>
      </w:r>
      <w:r w:rsidR="009952BE">
        <w:rPr>
          <w:rFonts w:cstheme="minorHAnsi"/>
        </w:rPr>
        <w:t xml:space="preserve"> presented in </w:t>
      </w:r>
      <w:r w:rsidR="00F9353E">
        <w:rPr>
          <w:rFonts w:cstheme="minorHAnsi"/>
        </w:rPr>
        <w:t xml:space="preserve">the annex of </w:t>
      </w:r>
      <w:r w:rsidR="00DC1375" w:rsidRPr="00DC1375">
        <w:rPr>
          <w:rFonts w:cstheme="minorHAnsi"/>
        </w:rPr>
        <w:t>Resolution X.1</w:t>
      </w:r>
      <w:r w:rsidR="00F9353E">
        <w:rPr>
          <w:rFonts w:cstheme="minorHAnsi"/>
        </w:rPr>
        <w:t>5</w:t>
      </w:r>
      <w:r w:rsidR="00D70939" w:rsidRPr="00D70939">
        <w:rPr>
          <w:rFonts w:cstheme="minorHAnsi"/>
        </w:rPr>
        <w:t xml:space="preserve">) or NWI data management protocols, which Appendix 5 of Handbook 15 on Wetland inventory </w:t>
      </w:r>
      <w:r w:rsidR="00E7767D">
        <w:rPr>
          <w:rFonts w:cstheme="minorHAnsi"/>
        </w:rPr>
        <w:t>“</w:t>
      </w:r>
      <w:r w:rsidR="00D70939" w:rsidRPr="00D70939">
        <w:rPr>
          <w:rFonts w:cstheme="minorHAnsi"/>
        </w:rPr>
        <w:t>Recommended standard metadata record for the documentation of wetland inventories</w:t>
      </w:r>
      <w:r w:rsidR="00E7767D">
        <w:rPr>
          <w:rFonts w:cstheme="minorHAnsi"/>
        </w:rPr>
        <w:t>”</w:t>
      </w:r>
      <w:r w:rsidR="00CB03BE">
        <w:rPr>
          <w:rStyle w:val="FootnoteReference"/>
          <w:rFonts w:cstheme="minorHAnsi"/>
        </w:rPr>
        <w:footnoteReference w:id="3"/>
      </w:r>
      <w:r w:rsidR="00D70939" w:rsidRPr="00D70939">
        <w:rPr>
          <w:rFonts w:cstheme="minorHAnsi"/>
        </w:rPr>
        <w:t xml:space="preserve"> has partially addressed. Additional guidance on necessary steps for a structured </w:t>
      </w:r>
      <w:r w:rsidR="00E7767D" w:rsidRPr="00D70939">
        <w:rPr>
          <w:rFonts w:cstheme="minorHAnsi"/>
        </w:rPr>
        <w:t xml:space="preserve">NWI </w:t>
      </w:r>
      <w:r w:rsidR="00D70939" w:rsidRPr="00D70939">
        <w:rPr>
          <w:rFonts w:cstheme="minorHAnsi"/>
        </w:rPr>
        <w:t>approach, as well as on NWI update modalities</w:t>
      </w:r>
      <w:r w:rsidR="00DE7EAA">
        <w:rPr>
          <w:rFonts w:cstheme="minorHAnsi"/>
        </w:rPr>
        <w:t>,</w:t>
      </w:r>
      <w:r w:rsidR="00D70939" w:rsidRPr="00D70939">
        <w:rPr>
          <w:rFonts w:cstheme="minorHAnsi"/>
        </w:rPr>
        <w:t xml:space="preserve"> </w:t>
      </w:r>
      <w:r w:rsidR="00E7767D" w:rsidRPr="00D70939">
        <w:rPr>
          <w:rFonts w:cstheme="minorHAnsi"/>
        </w:rPr>
        <w:t xml:space="preserve">also </w:t>
      </w:r>
      <w:r w:rsidR="00D70939" w:rsidRPr="00D70939">
        <w:rPr>
          <w:rFonts w:cstheme="minorHAnsi"/>
        </w:rPr>
        <w:t>seem</w:t>
      </w:r>
      <w:r w:rsidR="00DE7EAA">
        <w:rPr>
          <w:rFonts w:cstheme="minorHAnsi"/>
        </w:rPr>
        <w:t>s</w:t>
      </w:r>
      <w:r w:rsidR="00D70939" w:rsidRPr="00D70939">
        <w:rPr>
          <w:rFonts w:cstheme="minorHAnsi"/>
        </w:rPr>
        <w:t xml:space="preserve"> </w:t>
      </w:r>
      <w:r w:rsidR="00E7767D">
        <w:rPr>
          <w:rFonts w:cstheme="minorHAnsi"/>
        </w:rPr>
        <w:t xml:space="preserve">to be </w:t>
      </w:r>
      <w:r w:rsidR="00D70939" w:rsidRPr="00D70939">
        <w:rPr>
          <w:rFonts w:cstheme="minorHAnsi"/>
        </w:rPr>
        <w:t xml:space="preserve">required. Training courses that are </w:t>
      </w:r>
      <w:r w:rsidR="00E7767D">
        <w:rPr>
          <w:rFonts w:cstheme="minorHAnsi"/>
        </w:rPr>
        <w:t>in</w:t>
      </w:r>
      <w:r w:rsidR="00E7767D" w:rsidRPr="00D70939">
        <w:rPr>
          <w:rFonts w:cstheme="minorHAnsi"/>
        </w:rPr>
        <w:t xml:space="preserve"> </w:t>
      </w:r>
      <w:r w:rsidR="00D70939" w:rsidRPr="00D70939">
        <w:rPr>
          <w:rFonts w:cstheme="minorHAnsi"/>
        </w:rPr>
        <w:t>development will also explicitly advise countries in this regard, while considering the latest techniques and countries and other organization’</w:t>
      </w:r>
      <w:r w:rsidR="00E7767D">
        <w:rPr>
          <w:rFonts w:cstheme="minorHAnsi"/>
        </w:rPr>
        <w:t>s</w:t>
      </w:r>
      <w:r w:rsidR="00D70939" w:rsidRPr="00D70939">
        <w:rPr>
          <w:rFonts w:cstheme="minorHAnsi"/>
        </w:rPr>
        <w:t xml:space="preserve"> experiences. </w:t>
      </w:r>
    </w:p>
    <w:p w14:paraId="2D8D39BC" w14:textId="77777777" w:rsidR="00D70939" w:rsidRDefault="00D70939" w:rsidP="00531EC8">
      <w:pPr>
        <w:autoSpaceDE w:val="0"/>
        <w:autoSpaceDN w:val="0"/>
        <w:adjustRightInd w:val="0"/>
        <w:rPr>
          <w:rFonts w:cstheme="minorHAnsi"/>
        </w:rPr>
      </w:pPr>
    </w:p>
    <w:p w14:paraId="1B951941" w14:textId="1D984F11" w:rsidR="00D70939" w:rsidRPr="00BB3A3B" w:rsidRDefault="00D70939" w:rsidP="00531EC8">
      <w:pPr>
        <w:autoSpaceDE w:val="0"/>
        <w:autoSpaceDN w:val="0"/>
        <w:adjustRightInd w:val="0"/>
        <w:ind w:left="0" w:firstLine="0"/>
        <w:rPr>
          <w:rFonts w:cstheme="minorHAnsi"/>
        </w:rPr>
      </w:pPr>
      <w:r w:rsidRPr="00BB3A3B">
        <w:rPr>
          <w:b/>
          <w:bCs/>
        </w:rPr>
        <w:t xml:space="preserve">Compilation of initial objectives for NWIs, as well as obstacles and supporting factors that the </w:t>
      </w:r>
      <w:r w:rsidR="00E7767D">
        <w:rPr>
          <w:b/>
          <w:bCs/>
        </w:rPr>
        <w:t>13</w:t>
      </w:r>
      <w:r w:rsidR="00E7767D" w:rsidRPr="00BB3A3B">
        <w:rPr>
          <w:b/>
          <w:bCs/>
        </w:rPr>
        <w:t xml:space="preserve"> </w:t>
      </w:r>
      <w:r w:rsidRPr="00BB3A3B">
        <w:rPr>
          <w:b/>
          <w:bCs/>
        </w:rPr>
        <w:t>countries have faced while developing NWIs</w:t>
      </w:r>
    </w:p>
    <w:p w14:paraId="41F69839" w14:textId="77777777" w:rsidR="00D70939" w:rsidRPr="00B1542B" w:rsidRDefault="00D70939" w:rsidP="00531EC8">
      <w:pPr>
        <w:rPr>
          <w:b/>
          <w:bCs/>
        </w:rPr>
      </w:pPr>
    </w:p>
    <w:p w14:paraId="2C3A92BB" w14:textId="77777777" w:rsidR="00D70939" w:rsidRPr="003B3B1B" w:rsidRDefault="00E12A54" w:rsidP="00531EC8">
      <w:pPr>
        <w:autoSpaceDE w:val="0"/>
        <w:autoSpaceDN w:val="0"/>
        <w:adjustRightInd w:val="0"/>
        <w:ind w:left="426" w:hanging="426"/>
        <w:rPr>
          <w:rFonts w:cstheme="minorHAnsi"/>
        </w:rPr>
      </w:pPr>
      <w:r>
        <w:rPr>
          <w:rFonts w:cstheme="minorHAnsi"/>
        </w:rPr>
        <w:t>14.</w:t>
      </w:r>
      <w:r>
        <w:rPr>
          <w:rFonts w:cstheme="minorHAnsi"/>
        </w:rPr>
        <w:tab/>
      </w:r>
      <w:r w:rsidR="00D70939" w:rsidRPr="003B3B1B">
        <w:rPr>
          <w:rFonts w:cstheme="minorHAnsi"/>
        </w:rPr>
        <w:t xml:space="preserve">The following </w:t>
      </w:r>
      <w:r w:rsidR="00D70939">
        <w:rPr>
          <w:rFonts w:cstheme="minorHAnsi"/>
        </w:rPr>
        <w:t xml:space="preserve">three </w:t>
      </w:r>
      <w:r w:rsidR="00D70939" w:rsidRPr="003B3B1B">
        <w:rPr>
          <w:rFonts w:cstheme="minorHAnsi"/>
        </w:rPr>
        <w:t xml:space="preserve">tables </w:t>
      </w:r>
      <w:r w:rsidR="00D70939">
        <w:rPr>
          <w:rFonts w:cstheme="minorHAnsi"/>
        </w:rPr>
        <w:t xml:space="preserve">compile all different items that were brought up by interviewed countries, with some slight reformulation. Similar items are grouped together and represented in </w:t>
      </w:r>
      <w:r w:rsidR="00D70939" w:rsidRPr="00DE25F4">
        <w:rPr>
          <w:rFonts w:cstheme="minorHAnsi"/>
          <w:b/>
        </w:rPr>
        <w:t>bold</w:t>
      </w:r>
      <w:r w:rsidR="00DE25F4">
        <w:rPr>
          <w:rFonts w:cstheme="minorHAnsi"/>
        </w:rPr>
        <w:t xml:space="preserve"> text</w:t>
      </w:r>
      <w:r w:rsidR="00D70939">
        <w:rPr>
          <w:rFonts w:cstheme="minorHAnsi"/>
        </w:rPr>
        <w:t>. Some thematic ordering has been made by the Secretariat.</w:t>
      </w:r>
    </w:p>
    <w:p w14:paraId="5E1BE979" w14:textId="77777777" w:rsidR="00D70939" w:rsidRDefault="00D70939" w:rsidP="00531EC8"/>
    <w:p w14:paraId="6FD8A31E" w14:textId="77777777" w:rsidR="00531EC8" w:rsidRPr="00DE7EAA" w:rsidRDefault="00D70939" w:rsidP="00E12A54">
      <w:pPr>
        <w:keepNext/>
        <w:rPr>
          <w:i/>
        </w:rPr>
      </w:pPr>
      <w:r w:rsidRPr="00DE7EAA">
        <w:rPr>
          <w:i/>
        </w:rPr>
        <w:t>Table 1. Initial objectives for a National Wetland inventory (NWI)</w:t>
      </w:r>
    </w:p>
    <w:p w14:paraId="64F69FC5" w14:textId="77777777" w:rsidR="00DE7EAA" w:rsidRPr="00531EC8" w:rsidRDefault="00DE7EAA" w:rsidP="00E12A54">
      <w:pPr>
        <w:keepNext/>
        <w:rPr>
          <w:u w:val="single"/>
        </w:rPr>
      </w:pP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72C16C63" w14:textId="77777777" w:rsidTr="00531EC8">
        <w:trPr>
          <w:cantSplit/>
        </w:trPr>
        <w:tc>
          <w:tcPr>
            <w:tcW w:w="2254" w:type="dxa"/>
          </w:tcPr>
          <w:p w14:paraId="416C55BE" w14:textId="77777777" w:rsidR="00D70939" w:rsidRPr="00531EC8" w:rsidRDefault="00D70939" w:rsidP="00531EC8">
            <w:pPr>
              <w:ind w:left="0" w:firstLine="0"/>
              <w:rPr>
                <w:b/>
                <w:bCs/>
              </w:rPr>
            </w:pPr>
            <w:r w:rsidRPr="00531EC8">
              <w:rPr>
                <w:b/>
                <w:bCs/>
              </w:rPr>
              <w:t>Implementing the Convention on Wetlands. Supporting the elaboration of a Wetland National Strategy.</w:t>
            </w:r>
          </w:p>
        </w:tc>
        <w:tc>
          <w:tcPr>
            <w:tcW w:w="2254" w:type="dxa"/>
          </w:tcPr>
          <w:p w14:paraId="74222792" w14:textId="54123568" w:rsidR="00D70939" w:rsidRPr="00531EC8" w:rsidRDefault="00D70939" w:rsidP="00531EC8">
            <w:pPr>
              <w:ind w:left="0" w:firstLine="0"/>
              <w:rPr>
                <w:b/>
                <w:bCs/>
              </w:rPr>
            </w:pPr>
            <w:r w:rsidRPr="00531EC8">
              <w:rPr>
                <w:b/>
                <w:bCs/>
              </w:rPr>
              <w:t xml:space="preserve">Identifying 30*30 freshwater conservation areas as well as </w:t>
            </w:r>
            <w:r w:rsidR="00C167E7" w:rsidRPr="00531EC8">
              <w:rPr>
                <w:b/>
                <w:bCs/>
              </w:rPr>
              <w:t>prioriti</w:t>
            </w:r>
            <w:r w:rsidR="00C167E7">
              <w:rPr>
                <w:b/>
                <w:bCs/>
              </w:rPr>
              <w:t>z</w:t>
            </w:r>
            <w:r w:rsidR="00C167E7" w:rsidRPr="00531EC8">
              <w:rPr>
                <w:b/>
                <w:bCs/>
              </w:rPr>
              <w:t xml:space="preserve">ed </w:t>
            </w:r>
            <w:r w:rsidRPr="00531EC8">
              <w:rPr>
                <w:b/>
                <w:bCs/>
              </w:rPr>
              <w:t xml:space="preserve">wetland restoration areas, to comply with </w:t>
            </w:r>
            <w:r w:rsidR="00A16CB8" w:rsidRPr="00531EC8">
              <w:rPr>
                <w:b/>
                <w:bCs/>
              </w:rPr>
              <w:t>Kunming</w:t>
            </w:r>
            <w:r w:rsidR="00A16CB8">
              <w:rPr>
                <w:b/>
                <w:bCs/>
              </w:rPr>
              <w:t>-</w:t>
            </w:r>
            <w:r w:rsidRPr="00531EC8">
              <w:rPr>
                <w:b/>
                <w:bCs/>
              </w:rPr>
              <w:t>Montreal Global Biodiversity Framework.</w:t>
            </w:r>
          </w:p>
        </w:tc>
        <w:tc>
          <w:tcPr>
            <w:tcW w:w="2254" w:type="dxa"/>
          </w:tcPr>
          <w:p w14:paraId="5D550C2A" w14:textId="77777777" w:rsidR="00D70939" w:rsidRPr="00531EC8" w:rsidRDefault="00D70939" w:rsidP="00531EC8">
            <w:pPr>
              <w:ind w:left="0" w:firstLine="0"/>
              <w:rPr>
                <w:b/>
                <w:bCs/>
              </w:rPr>
            </w:pPr>
            <w:r w:rsidRPr="00531EC8">
              <w:rPr>
                <w:b/>
                <w:bCs/>
              </w:rPr>
              <w:t xml:space="preserve">Implementing 2050 Carbon Neutrality targets. </w:t>
            </w:r>
          </w:p>
          <w:p w14:paraId="22C0987A" w14:textId="77777777" w:rsidR="00D70939" w:rsidRPr="00531EC8" w:rsidRDefault="00D70939" w:rsidP="00531EC8">
            <w:pPr>
              <w:ind w:left="0" w:firstLine="0"/>
              <w:rPr>
                <w:b/>
                <w:bCs/>
              </w:rPr>
            </w:pPr>
            <w:r w:rsidRPr="00531EC8">
              <w:rPr>
                <w:b/>
                <w:bCs/>
              </w:rPr>
              <w:t>Mapping carbon emission sources from degraded wetlands for national climate action plans.</w:t>
            </w:r>
          </w:p>
        </w:tc>
        <w:tc>
          <w:tcPr>
            <w:tcW w:w="2254" w:type="dxa"/>
          </w:tcPr>
          <w:p w14:paraId="51A64567" w14:textId="77777777" w:rsidR="00D70939" w:rsidRPr="00531EC8" w:rsidRDefault="00D70939" w:rsidP="00531EC8">
            <w:pPr>
              <w:ind w:left="0" w:firstLine="0"/>
            </w:pPr>
            <w:r w:rsidRPr="00531EC8">
              <w:rPr>
                <w:b/>
                <w:bCs/>
              </w:rPr>
              <w:t>Reporting on indicator 6.6.1.</w:t>
            </w:r>
          </w:p>
        </w:tc>
      </w:tr>
      <w:tr w:rsidR="00D70939" w:rsidRPr="00531EC8" w14:paraId="25E577A7" w14:textId="77777777" w:rsidTr="00531EC8">
        <w:trPr>
          <w:cantSplit/>
        </w:trPr>
        <w:tc>
          <w:tcPr>
            <w:tcW w:w="2254" w:type="dxa"/>
          </w:tcPr>
          <w:p w14:paraId="0168085B" w14:textId="77777777" w:rsidR="00D70939" w:rsidRPr="00531EC8" w:rsidRDefault="00D70939" w:rsidP="00531EC8">
            <w:pPr>
              <w:ind w:left="0" w:firstLine="0"/>
            </w:pPr>
            <w:r w:rsidRPr="00531EC8">
              <w:rPr>
                <w:b/>
                <w:bCs/>
              </w:rPr>
              <w:t>Bridging knowledge gaps in relation to the biodiversity and ecological conditions, functions, and services of national wetlands.</w:t>
            </w:r>
          </w:p>
        </w:tc>
        <w:tc>
          <w:tcPr>
            <w:tcW w:w="2254" w:type="dxa"/>
          </w:tcPr>
          <w:p w14:paraId="0F153E3D" w14:textId="5997BA36" w:rsidR="00D70939" w:rsidRPr="00531EC8" w:rsidRDefault="00D70939" w:rsidP="00531EC8">
            <w:pPr>
              <w:ind w:left="0" w:firstLine="0"/>
              <w:rPr>
                <w:b/>
                <w:bCs/>
              </w:rPr>
            </w:pPr>
            <w:r w:rsidRPr="00531EC8">
              <w:rPr>
                <w:b/>
                <w:bCs/>
              </w:rPr>
              <w:t>Addressing ongoing pressures on wetlands.</w:t>
            </w:r>
          </w:p>
        </w:tc>
        <w:tc>
          <w:tcPr>
            <w:tcW w:w="2254" w:type="dxa"/>
          </w:tcPr>
          <w:p w14:paraId="3D015FF6" w14:textId="77777777" w:rsidR="00D70939" w:rsidRPr="00531EC8" w:rsidRDefault="00D70939" w:rsidP="00531EC8">
            <w:pPr>
              <w:ind w:left="0" w:firstLine="0"/>
              <w:rPr>
                <w:b/>
                <w:bCs/>
              </w:rPr>
            </w:pPr>
            <w:r w:rsidRPr="00531EC8">
              <w:rPr>
                <w:b/>
                <w:bCs/>
              </w:rPr>
              <w:t>Identifying important areas for biodiversity and wildlife and prioritizing conservation efforts.</w:t>
            </w:r>
          </w:p>
        </w:tc>
        <w:tc>
          <w:tcPr>
            <w:tcW w:w="2254" w:type="dxa"/>
          </w:tcPr>
          <w:p w14:paraId="78CB2F60" w14:textId="77777777" w:rsidR="00D70939" w:rsidRPr="00531EC8" w:rsidRDefault="00D70939" w:rsidP="00531EC8">
            <w:pPr>
              <w:ind w:left="0" w:firstLine="0"/>
              <w:rPr>
                <w:b/>
                <w:bCs/>
              </w:rPr>
            </w:pPr>
            <w:r w:rsidRPr="00531EC8">
              <w:rPr>
                <w:b/>
                <w:bCs/>
              </w:rPr>
              <w:t>Planning for wetland protected areas, in the context of competing demands for urbanization or food production.</w:t>
            </w:r>
          </w:p>
        </w:tc>
      </w:tr>
      <w:tr w:rsidR="00D70939" w:rsidRPr="00531EC8" w14:paraId="18094657" w14:textId="77777777" w:rsidTr="00531EC8">
        <w:trPr>
          <w:cantSplit/>
        </w:trPr>
        <w:tc>
          <w:tcPr>
            <w:tcW w:w="2254" w:type="dxa"/>
          </w:tcPr>
          <w:p w14:paraId="6F2C0C38" w14:textId="30298EB8" w:rsidR="00D70939" w:rsidRPr="00531EC8" w:rsidRDefault="00D70939" w:rsidP="00531EC8">
            <w:pPr>
              <w:ind w:left="0" w:firstLine="0"/>
            </w:pPr>
            <w:r w:rsidRPr="00531EC8">
              <w:rPr>
                <w:b/>
                <w:bCs/>
              </w:rPr>
              <w:t xml:space="preserve">Meeting national legislation requirements (for instance, securing/restoring floodplains for flood management, or preventing new </w:t>
            </w:r>
            <w:r w:rsidR="00D200FB" w:rsidRPr="00531EC8">
              <w:rPr>
                <w:b/>
                <w:bCs/>
              </w:rPr>
              <w:t>urbani</w:t>
            </w:r>
            <w:r w:rsidR="00D200FB">
              <w:rPr>
                <w:b/>
                <w:bCs/>
              </w:rPr>
              <w:t>z</w:t>
            </w:r>
            <w:r w:rsidR="00D200FB" w:rsidRPr="00531EC8">
              <w:rPr>
                <w:b/>
                <w:bCs/>
              </w:rPr>
              <w:t xml:space="preserve">ation </w:t>
            </w:r>
            <w:r w:rsidRPr="00531EC8">
              <w:rPr>
                <w:b/>
                <w:bCs/>
              </w:rPr>
              <w:t>in wetlands).</w:t>
            </w:r>
          </w:p>
        </w:tc>
        <w:tc>
          <w:tcPr>
            <w:tcW w:w="2254" w:type="dxa"/>
          </w:tcPr>
          <w:p w14:paraId="07DDB649" w14:textId="455500A9" w:rsidR="00D70939" w:rsidRPr="00531EC8" w:rsidRDefault="00D70939" w:rsidP="00531EC8">
            <w:pPr>
              <w:ind w:left="0" w:firstLine="0"/>
              <w:rPr>
                <w:b/>
                <w:bCs/>
              </w:rPr>
            </w:pPr>
            <w:r w:rsidRPr="00531EC8">
              <w:rPr>
                <w:b/>
                <w:bCs/>
              </w:rPr>
              <w:t xml:space="preserve">Managing water run-off and flooding in formal or informal </w:t>
            </w:r>
            <w:r w:rsidR="00D200FB" w:rsidRPr="00531EC8">
              <w:rPr>
                <w:b/>
                <w:bCs/>
              </w:rPr>
              <w:t xml:space="preserve">urban </w:t>
            </w:r>
            <w:r w:rsidRPr="00531EC8">
              <w:rPr>
                <w:b/>
                <w:bCs/>
              </w:rPr>
              <w:t>settlements and supporting land use planning.</w:t>
            </w:r>
          </w:p>
        </w:tc>
        <w:tc>
          <w:tcPr>
            <w:tcW w:w="2254" w:type="dxa"/>
          </w:tcPr>
          <w:p w14:paraId="5FA6BE66" w14:textId="690728BC" w:rsidR="00D70939" w:rsidRPr="00531EC8" w:rsidRDefault="00D70939" w:rsidP="00531EC8">
            <w:pPr>
              <w:ind w:left="0" w:firstLine="0"/>
              <w:rPr>
                <w:b/>
                <w:bCs/>
              </w:rPr>
            </w:pPr>
            <w:r w:rsidRPr="00531EC8">
              <w:rPr>
                <w:b/>
                <w:bCs/>
              </w:rPr>
              <w:t xml:space="preserve">Identifying small water resources to optimize their management in </w:t>
            </w:r>
            <w:r w:rsidR="00D200FB" w:rsidRPr="00531EC8">
              <w:rPr>
                <w:b/>
                <w:bCs/>
              </w:rPr>
              <w:t>drought</w:t>
            </w:r>
            <w:r w:rsidR="00D200FB">
              <w:rPr>
                <w:b/>
                <w:bCs/>
              </w:rPr>
              <w:t xml:space="preserve"> </w:t>
            </w:r>
            <w:r w:rsidRPr="00531EC8">
              <w:rPr>
                <w:b/>
                <w:bCs/>
              </w:rPr>
              <w:t>situation</w:t>
            </w:r>
            <w:r w:rsidR="00D200FB">
              <w:rPr>
                <w:b/>
                <w:bCs/>
              </w:rPr>
              <w:t>s</w:t>
            </w:r>
            <w:r w:rsidRPr="00531EC8">
              <w:rPr>
                <w:b/>
                <w:bCs/>
              </w:rPr>
              <w:t>.</w:t>
            </w:r>
          </w:p>
        </w:tc>
        <w:tc>
          <w:tcPr>
            <w:tcW w:w="2254" w:type="dxa"/>
          </w:tcPr>
          <w:p w14:paraId="1AE32B85" w14:textId="77777777" w:rsidR="00D70939" w:rsidRPr="00531EC8" w:rsidRDefault="00D70939" w:rsidP="00531EC8">
            <w:pPr>
              <w:ind w:left="0" w:firstLine="0"/>
              <w:rPr>
                <w:b/>
                <w:bCs/>
              </w:rPr>
            </w:pPr>
            <w:r w:rsidRPr="00531EC8">
              <w:rPr>
                <w:b/>
                <w:bCs/>
              </w:rPr>
              <w:t xml:space="preserve">Prioritizing implementation of ecosystem-based adaptation projects and/or nature-based solutions for climate change, and </w:t>
            </w:r>
            <w:r w:rsidR="00D200FB">
              <w:rPr>
                <w:b/>
                <w:bCs/>
              </w:rPr>
              <w:t xml:space="preserve">of </w:t>
            </w:r>
            <w:r w:rsidRPr="00531EC8">
              <w:rPr>
                <w:b/>
                <w:bCs/>
              </w:rPr>
              <w:t>wetland restoration projects.</w:t>
            </w:r>
          </w:p>
        </w:tc>
      </w:tr>
      <w:tr w:rsidR="00D70939" w:rsidRPr="00531EC8" w14:paraId="6C0B5C03" w14:textId="77777777" w:rsidTr="00531EC8">
        <w:trPr>
          <w:cantSplit/>
        </w:trPr>
        <w:tc>
          <w:tcPr>
            <w:tcW w:w="2254" w:type="dxa"/>
          </w:tcPr>
          <w:p w14:paraId="36DC33D9" w14:textId="52B2B03A" w:rsidR="00D70939" w:rsidRPr="00531EC8" w:rsidRDefault="00D70939" w:rsidP="00531EC8">
            <w:pPr>
              <w:ind w:left="0" w:firstLine="0"/>
            </w:pPr>
            <w:r w:rsidRPr="00531EC8">
              <w:rPr>
                <w:b/>
                <w:bCs/>
              </w:rPr>
              <w:t xml:space="preserve">Identifying potential </w:t>
            </w:r>
            <w:r w:rsidR="00D200FB">
              <w:rPr>
                <w:b/>
                <w:bCs/>
              </w:rPr>
              <w:t>Wetlands of International Importance</w:t>
            </w:r>
            <w:r w:rsidRPr="00531EC8">
              <w:rPr>
                <w:b/>
                <w:bCs/>
              </w:rPr>
              <w:t>.</w:t>
            </w:r>
          </w:p>
        </w:tc>
        <w:tc>
          <w:tcPr>
            <w:tcW w:w="2254" w:type="dxa"/>
          </w:tcPr>
          <w:p w14:paraId="38BDE72C" w14:textId="77777777" w:rsidR="00D70939" w:rsidRPr="00531EC8" w:rsidRDefault="00D70939" w:rsidP="00531EC8">
            <w:pPr>
              <w:ind w:left="0" w:firstLine="0"/>
              <w:rPr>
                <w:b/>
                <w:bCs/>
              </w:rPr>
            </w:pPr>
            <w:r w:rsidRPr="00531EC8">
              <w:t>Supporting national policies to prevent flood and pollution risks.</w:t>
            </w:r>
          </w:p>
        </w:tc>
        <w:tc>
          <w:tcPr>
            <w:tcW w:w="2254" w:type="dxa"/>
          </w:tcPr>
          <w:p w14:paraId="685A4691" w14:textId="77777777" w:rsidR="00D70939" w:rsidRPr="00531EC8" w:rsidRDefault="00D70939" w:rsidP="00531EC8">
            <w:pPr>
              <w:ind w:left="0" w:firstLine="0"/>
              <w:rPr>
                <w:b/>
                <w:bCs/>
              </w:rPr>
            </w:pPr>
            <w:r w:rsidRPr="00531EC8">
              <w:t>Supporting drought prevention policies and water quality management.</w:t>
            </w:r>
          </w:p>
        </w:tc>
        <w:tc>
          <w:tcPr>
            <w:tcW w:w="2254" w:type="dxa"/>
          </w:tcPr>
          <w:p w14:paraId="6A5222BB" w14:textId="77777777" w:rsidR="00D70939" w:rsidRPr="00531EC8" w:rsidRDefault="00D70939" w:rsidP="00531EC8">
            <w:pPr>
              <w:ind w:left="0" w:firstLine="0"/>
            </w:pPr>
            <w:r w:rsidRPr="00531EC8">
              <w:t>Supporting green economy policies.</w:t>
            </w:r>
          </w:p>
        </w:tc>
      </w:tr>
      <w:tr w:rsidR="00D70939" w:rsidRPr="00531EC8" w14:paraId="6E9B99C1" w14:textId="77777777" w:rsidTr="00531EC8">
        <w:trPr>
          <w:cantSplit/>
        </w:trPr>
        <w:tc>
          <w:tcPr>
            <w:tcW w:w="2254" w:type="dxa"/>
          </w:tcPr>
          <w:p w14:paraId="0AD5D781" w14:textId="77777777" w:rsidR="00D70939" w:rsidRPr="00531EC8" w:rsidRDefault="00D70939" w:rsidP="00531EC8">
            <w:pPr>
              <w:ind w:left="0" w:firstLine="0"/>
            </w:pPr>
            <w:r w:rsidRPr="00531EC8">
              <w:lastRenderedPageBreak/>
              <w:t>Assessing the presence and evolution of exotic species in wetland environments.</w:t>
            </w:r>
          </w:p>
        </w:tc>
        <w:tc>
          <w:tcPr>
            <w:tcW w:w="2254" w:type="dxa"/>
          </w:tcPr>
          <w:p w14:paraId="48B91F71" w14:textId="5139319B" w:rsidR="00D70939" w:rsidRPr="00531EC8" w:rsidRDefault="00D70939" w:rsidP="00531EC8">
            <w:pPr>
              <w:ind w:left="0" w:firstLine="0"/>
              <w:rPr>
                <w:b/>
                <w:bCs/>
              </w:rPr>
            </w:pPr>
            <w:r w:rsidRPr="00531EC8">
              <w:t>Identifying status and functions of wetlands, prior to new mining projects</w:t>
            </w:r>
            <w:r w:rsidR="00A34200">
              <w:t>,</w:t>
            </w:r>
            <w:r w:rsidRPr="00531EC8">
              <w:t xml:space="preserve"> to identify </w:t>
            </w:r>
            <w:r w:rsidR="00A34200" w:rsidRPr="00531EC8">
              <w:t xml:space="preserve">priority </w:t>
            </w:r>
            <w:r w:rsidRPr="00531EC8">
              <w:t>wetlands to protect and</w:t>
            </w:r>
            <w:r w:rsidR="00A34200">
              <w:t xml:space="preserve"> to </w:t>
            </w:r>
            <w:r w:rsidRPr="00531EC8">
              <w:t>adjust compensation measures.</w:t>
            </w:r>
          </w:p>
        </w:tc>
        <w:tc>
          <w:tcPr>
            <w:tcW w:w="2254" w:type="dxa"/>
          </w:tcPr>
          <w:p w14:paraId="00F81902" w14:textId="77777777" w:rsidR="00D70939" w:rsidRPr="00531EC8" w:rsidRDefault="00D70939" w:rsidP="00531EC8">
            <w:pPr>
              <w:ind w:left="0" w:firstLine="0"/>
            </w:pPr>
            <w:r w:rsidRPr="00531EC8">
              <w:t>Bridging knowledge gaps to update Wetlands of International Importance’</w:t>
            </w:r>
            <w:r w:rsidR="00A34200">
              <w:t>s</w:t>
            </w:r>
            <w:r w:rsidRPr="00531EC8">
              <w:t xml:space="preserve"> R</w:t>
            </w:r>
            <w:r w:rsidR="00A34200">
              <w:t xml:space="preserve">amsar </w:t>
            </w:r>
            <w:r w:rsidRPr="00531EC8">
              <w:t>I</w:t>
            </w:r>
            <w:r w:rsidR="00A34200">
              <w:t xml:space="preserve">nformation </w:t>
            </w:r>
            <w:r w:rsidRPr="00531EC8">
              <w:t>S</w:t>
            </w:r>
            <w:r w:rsidR="00A34200">
              <w:t>heets (RIS)</w:t>
            </w:r>
            <w:r w:rsidRPr="00531EC8">
              <w:t>.</w:t>
            </w:r>
          </w:p>
        </w:tc>
        <w:tc>
          <w:tcPr>
            <w:tcW w:w="2254" w:type="dxa"/>
          </w:tcPr>
          <w:p w14:paraId="48E404DE" w14:textId="1A30E68C" w:rsidR="00D70939" w:rsidRPr="00531EC8" w:rsidRDefault="00D70939" w:rsidP="00531EC8">
            <w:pPr>
              <w:ind w:left="0" w:firstLine="0"/>
            </w:pPr>
            <w:r w:rsidRPr="00531EC8">
              <w:t>Developing management plans for key wetland systems (</w:t>
            </w:r>
            <w:r w:rsidR="00A34200" w:rsidRPr="00531EC8">
              <w:t xml:space="preserve">Wetlands of International Importance </w:t>
            </w:r>
            <w:r w:rsidRPr="00531EC8">
              <w:t>and others).</w:t>
            </w:r>
          </w:p>
        </w:tc>
      </w:tr>
    </w:tbl>
    <w:p w14:paraId="0FC9C5A1" w14:textId="77777777" w:rsidR="00E12A54" w:rsidRDefault="00E12A54" w:rsidP="00531EC8"/>
    <w:p w14:paraId="4AAF6CFB" w14:textId="77777777" w:rsidR="00531EC8" w:rsidRPr="00531EC8" w:rsidRDefault="00531EC8" w:rsidP="00531EC8"/>
    <w:p w14:paraId="7EF5B21E" w14:textId="77777777" w:rsidR="00D70939" w:rsidRPr="00DE7EAA" w:rsidRDefault="00D70939" w:rsidP="00E12A54">
      <w:pPr>
        <w:keepNext/>
        <w:rPr>
          <w:i/>
        </w:rPr>
      </w:pPr>
      <w:r w:rsidRPr="00DE7EAA">
        <w:rPr>
          <w:i/>
        </w:rPr>
        <w:t>Table 2. Obstacles to NWI development</w:t>
      </w:r>
    </w:p>
    <w:p w14:paraId="32BF21D5" w14:textId="77777777" w:rsidR="00D70939" w:rsidRPr="00531EC8" w:rsidRDefault="00D70939" w:rsidP="00E12A54">
      <w:pPr>
        <w:keepNext/>
        <w:rPr>
          <w:u w:val="single"/>
        </w:rPr>
      </w:pPr>
    </w:p>
    <w:p w14:paraId="6981C8CF" w14:textId="77777777" w:rsidR="00D70939" w:rsidRPr="00531EC8" w:rsidRDefault="00D70939" w:rsidP="00E12A54">
      <w:pPr>
        <w:keepNext/>
        <w:rPr>
          <w:b/>
          <w:bCs/>
        </w:rPr>
      </w:pPr>
      <w:r w:rsidRPr="00531EC8">
        <w:rPr>
          <w:b/>
          <w:bCs/>
        </w:rPr>
        <w:t>Data protocols</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7254E29D" w14:textId="77777777" w:rsidTr="00531EC8">
        <w:trPr>
          <w:cantSplit/>
        </w:trPr>
        <w:tc>
          <w:tcPr>
            <w:tcW w:w="2254" w:type="dxa"/>
          </w:tcPr>
          <w:p w14:paraId="3301A4A3" w14:textId="77777777" w:rsidR="00D70939" w:rsidRPr="00531EC8" w:rsidRDefault="00D70939" w:rsidP="00531EC8">
            <w:pPr>
              <w:ind w:left="0" w:firstLine="0"/>
              <w:rPr>
                <w:u w:val="single"/>
              </w:rPr>
            </w:pPr>
            <w:r w:rsidRPr="00531EC8">
              <w:rPr>
                <w:b/>
                <w:bCs/>
              </w:rPr>
              <w:t>Lack of a national protocol with metadata standard and mapping standards reduces the efficiency of NWI process.</w:t>
            </w:r>
          </w:p>
        </w:tc>
        <w:tc>
          <w:tcPr>
            <w:tcW w:w="2254" w:type="dxa"/>
          </w:tcPr>
          <w:p w14:paraId="6115C938" w14:textId="77777777" w:rsidR="00D70939" w:rsidRPr="00531EC8" w:rsidRDefault="00D70939" w:rsidP="00531EC8">
            <w:pPr>
              <w:ind w:left="0" w:firstLine="0"/>
              <w:rPr>
                <w:u w:val="single"/>
              </w:rPr>
            </w:pPr>
            <w:r w:rsidRPr="00531EC8">
              <w:t>Detailed biodiversity data that is available at site level, for instance in some protected areas, may not feed NWI database because of incompatibility of protocols.</w:t>
            </w:r>
          </w:p>
        </w:tc>
        <w:tc>
          <w:tcPr>
            <w:tcW w:w="2254" w:type="dxa"/>
          </w:tcPr>
          <w:p w14:paraId="1BD5588A" w14:textId="6109372A" w:rsidR="00D70939" w:rsidRPr="00531EC8" w:rsidRDefault="00D70939" w:rsidP="00531EC8">
            <w:pPr>
              <w:ind w:left="0" w:firstLine="0"/>
              <w:rPr>
                <w:u w:val="single"/>
              </w:rPr>
            </w:pPr>
            <w:r w:rsidRPr="00531EC8">
              <w:t>In vast countries covering several latitudes, longitudes and topographies, standardization and normalization of data requires complex, fine-tuned approaches.</w:t>
            </w:r>
          </w:p>
        </w:tc>
        <w:tc>
          <w:tcPr>
            <w:tcW w:w="2254" w:type="dxa"/>
          </w:tcPr>
          <w:p w14:paraId="62B26EE3" w14:textId="77777777" w:rsidR="00D70939" w:rsidRPr="00531EC8" w:rsidRDefault="00D70939" w:rsidP="00531EC8">
            <w:pPr>
              <w:ind w:left="0" w:firstLine="0"/>
              <w:rPr>
                <w:u w:val="single"/>
              </w:rPr>
            </w:pPr>
            <w:r w:rsidRPr="00531EC8">
              <w:t>Proper guidance on how to build a trusted database, with appropriate scientific processes, is missing.</w:t>
            </w:r>
          </w:p>
        </w:tc>
      </w:tr>
      <w:tr w:rsidR="00D70939" w:rsidRPr="00531EC8" w14:paraId="246A04A0" w14:textId="77777777" w:rsidTr="00531EC8">
        <w:trPr>
          <w:cantSplit/>
        </w:trPr>
        <w:tc>
          <w:tcPr>
            <w:tcW w:w="2254" w:type="dxa"/>
          </w:tcPr>
          <w:p w14:paraId="3D868D4F" w14:textId="77777777" w:rsidR="00D70939" w:rsidRPr="00531EC8" w:rsidRDefault="00D70939" w:rsidP="00531EC8">
            <w:pPr>
              <w:ind w:left="0" w:firstLine="0"/>
              <w:rPr>
                <w:u w:val="single"/>
              </w:rPr>
            </w:pPr>
            <w:r w:rsidRPr="00531EC8">
              <w:t>The Ramsar classification of wetlands do</w:t>
            </w:r>
            <w:r w:rsidR="00350195">
              <w:t>es</w:t>
            </w:r>
            <w:r w:rsidRPr="00531EC8">
              <w:t xml:space="preserve"> not encompass some specific types of seasonal wetlands that exist in the country</w:t>
            </w:r>
            <w:r w:rsidRPr="00531EC8">
              <w:rPr>
                <w:rStyle w:val="FootnoteReference"/>
              </w:rPr>
              <w:footnoteReference w:id="4"/>
            </w:r>
            <w:r w:rsidRPr="00531EC8">
              <w:t>. However, these wetlands provide crucial water resources for local populations and should be mapped within NWIs.</w:t>
            </w:r>
          </w:p>
        </w:tc>
        <w:tc>
          <w:tcPr>
            <w:tcW w:w="2254" w:type="dxa"/>
          </w:tcPr>
          <w:p w14:paraId="6DE7D54E" w14:textId="77777777" w:rsidR="00D70939" w:rsidRPr="00531EC8" w:rsidRDefault="00D70939" w:rsidP="00531EC8">
            <w:pPr>
              <w:ind w:left="0" w:firstLine="0"/>
              <w:rPr>
                <w:u w:val="single"/>
              </w:rPr>
            </w:pPr>
            <w:r w:rsidRPr="00531EC8">
              <w:t>Data collected through punctual projects often do not relate to compatible methodologies and/or wetland classifications. Donors often impose data collection protocols.</w:t>
            </w:r>
          </w:p>
        </w:tc>
        <w:tc>
          <w:tcPr>
            <w:tcW w:w="2254" w:type="dxa"/>
          </w:tcPr>
          <w:p w14:paraId="71EF07B8" w14:textId="77777777" w:rsidR="00D70939" w:rsidRPr="00531EC8" w:rsidRDefault="00D70939" w:rsidP="00531EC8">
            <w:pPr>
              <w:ind w:left="0" w:firstLine="0"/>
              <w:rPr>
                <w:u w:val="single"/>
              </w:rPr>
            </w:pPr>
          </w:p>
        </w:tc>
        <w:tc>
          <w:tcPr>
            <w:tcW w:w="2254" w:type="dxa"/>
          </w:tcPr>
          <w:p w14:paraId="7A081DBE" w14:textId="77777777" w:rsidR="00D70939" w:rsidRPr="00531EC8" w:rsidRDefault="00D70939" w:rsidP="00531EC8">
            <w:pPr>
              <w:ind w:left="0" w:firstLine="0"/>
              <w:rPr>
                <w:u w:val="single"/>
              </w:rPr>
            </w:pPr>
          </w:p>
        </w:tc>
      </w:tr>
    </w:tbl>
    <w:p w14:paraId="124038AF" w14:textId="77777777" w:rsidR="00D70939" w:rsidRPr="00531EC8" w:rsidRDefault="00D70939" w:rsidP="00531EC8">
      <w:pPr>
        <w:rPr>
          <w:b/>
          <w:bCs/>
        </w:rPr>
      </w:pPr>
    </w:p>
    <w:p w14:paraId="44CB3AC9" w14:textId="77777777" w:rsidR="00D70939" w:rsidRPr="00531EC8" w:rsidRDefault="00D70939" w:rsidP="00E12A54">
      <w:pPr>
        <w:keepNext/>
        <w:rPr>
          <w:b/>
          <w:bCs/>
        </w:rPr>
      </w:pPr>
      <w:r w:rsidRPr="00531EC8">
        <w:rPr>
          <w:b/>
          <w:bCs/>
        </w:rPr>
        <w:lastRenderedPageBreak/>
        <w:t xml:space="preserve">Data collection </w:t>
      </w:r>
    </w:p>
    <w:tbl>
      <w:tblPr>
        <w:tblStyle w:val="TableGrid"/>
        <w:tblW w:w="9016" w:type="dxa"/>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515C9FDB" w14:textId="77777777" w:rsidTr="00531EC8">
        <w:trPr>
          <w:cantSplit/>
        </w:trPr>
        <w:tc>
          <w:tcPr>
            <w:tcW w:w="2254" w:type="dxa"/>
          </w:tcPr>
          <w:p w14:paraId="439B071D" w14:textId="77777777" w:rsidR="00D70939" w:rsidRPr="00531EC8" w:rsidRDefault="00D70939" w:rsidP="00531EC8">
            <w:pPr>
              <w:ind w:left="0" w:firstLine="0"/>
              <w:rPr>
                <w:u w:val="single"/>
              </w:rPr>
            </w:pPr>
            <w:r w:rsidRPr="00531EC8">
              <w:rPr>
                <w:b/>
                <w:bCs/>
              </w:rPr>
              <w:t>Satellite techniques are not sufficient to cover small wetlands. Other limitations are mapping rain-supplied wetlands (clouds may prevent data collection) and wetlands under forest cover.</w:t>
            </w:r>
          </w:p>
        </w:tc>
        <w:tc>
          <w:tcPr>
            <w:tcW w:w="2254" w:type="dxa"/>
          </w:tcPr>
          <w:p w14:paraId="2D6CB210" w14:textId="77777777" w:rsidR="00D70939" w:rsidRPr="00531EC8" w:rsidRDefault="00D70939" w:rsidP="00531EC8">
            <w:pPr>
              <w:ind w:left="0" w:firstLine="0"/>
              <w:rPr>
                <w:u w:val="single"/>
              </w:rPr>
            </w:pPr>
            <w:r w:rsidRPr="00C733B4">
              <w:rPr>
                <w:b/>
                <w:bCs/>
                <w:i/>
              </w:rPr>
              <w:t>In-situ</w:t>
            </w:r>
            <w:r w:rsidRPr="00531EC8">
              <w:rPr>
                <w:b/>
                <w:bCs/>
              </w:rPr>
              <w:t xml:space="preserve"> investigations are required for data verification and/or data collection, but there are several access issues, such as in floodplain sites or in dense forests. Access in rainy seasons may be difficult too.</w:t>
            </w:r>
          </w:p>
        </w:tc>
        <w:tc>
          <w:tcPr>
            <w:tcW w:w="2254" w:type="dxa"/>
          </w:tcPr>
          <w:p w14:paraId="3DF7D113" w14:textId="399629D7" w:rsidR="00D70939" w:rsidRPr="00531EC8" w:rsidRDefault="00D70939" w:rsidP="00531EC8">
            <w:pPr>
              <w:ind w:left="0" w:firstLine="0"/>
              <w:rPr>
                <w:u w:val="single"/>
              </w:rPr>
            </w:pPr>
            <w:r w:rsidRPr="00531EC8">
              <w:rPr>
                <w:b/>
                <w:bCs/>
              </w:rPr>
              <w:t>Lack of trained staff resources to develop wetland status and function baselines at the required pace (rapidity of current economic development) and technic</w:t>
            </w:r>
            <w:r w:rsidR="00985729">
              <w:rPr>
                <w:b/>
                <w:bCs/>
              </w:rPr>
              <w:t>al demands</w:t>
            </w:r>
            <w:r w:rsidRPr="00531EC8">
              <w:rPr>
                <w:b/>
                <w:bCs/>
              </w:rPr>
              <w:t xml:space="preserve"> (combination of Earth Observation techniques and ground verifications).</w:t>
            </w:r>
          </w:p>
        </w:tc>
        <w:tc>
          <w:tcPr>
            <w:tcW w:w="2254" w:type="dxa"/>
          </w:tcPr>
          <w:p w14:paraId="671CA7C2" w14:textId="77777777" w:rsidR="00D70939" w:rsidRPr="00531EC8" w:rsidRDefault="00D70939" w:rsidP="00531EC8">
            <w:pPr>
              <w:ind w:left="0" w:firstLine="0"/>
              <w:rPr>
                <w:u w:val="single"/>
              </w:rPr>
            </w:pPr>
            <w:r w:rsidRPr="00531EC8">
              <w:rPr>
                <w:b/>
                <w:bCs/>
              </w:rPr>
              <w:t xml:space="preserve">When NWI data has legal implications, administrative litigation may occur from residents, who challenges NWI data. In such cases, data precision requirements become difficult to meet for NWI. </w:t>
            </w:r>
          </w:p>
        </w:tc>
      </w:tr>
      <w:tr w:rsidR="00D70939" w:rsidRPr="00531EC8" w14:paraId="56CB5253" w14:textId="77777777" w:rsidTr="00531EC8">
        <w:trPr>
          <w:cantSplit/>
        </w:trPr>
        <w:tc>
          <w:tcPr>
            <w:tcW w:w="2254" w:type="dxa"/>
          </w:tcPr>
          <w:p w14:paraId="696D815A" w14:textId="77777777" w:rsidR="00D70939" w:rsidRPr="00531EC8" w:rsidRDefault="00D70939" w:rsidP="00531EC8">
            <w:pPr>
              <w:ind w:left="0" w:firstLine="0"/>
            </w:pPr>
            <w:r w:rsidRPr="00531EC8">
              <w:t>Collection of aerial photos with helicopters are costly.</w:t>
            </w:r>
          </w:p>
        </w:tc>
        <w:tc>
          <w:tcPr>
            <w:tcW w:w="2254" w:type="dxa"/>
          </w:tcPr>
          <w:p w14:paraId="29085002" w14:textId="77777777" w:rsidR="00D70939" w:rsidRPr="00531EC8" w:rsidRDefault="00D70939" w:rsidP="00531EC8">
            <w:pPr>
              <w:ind w:left="0" w:firstLine="0"/>
              <w:rPr>
                <w:u w:val="single"/>
              </w:rPr>
            </w:pPr>
            <w:r w:rsidRPr="00531EC8">
              <w:t>Resistance from some sub-national authorities to provide administrative permits to access wetland sites for collection of samples sometimes occurs. Some landowners also prevent access to their property.</w:t>
            </w:r>
          </w:p>
        </w:tc>
        <w:tc>
          <w:tcPr>
            <w:tcW w:w="2254" w:type="dxa"/>
          </w:tcPr>
          <w:p w14:paraId="3EF22F4C" w14:textId="77777777" w:rsidR="00D70939" w:rsidRPr="00531EC8" w:rsidRDefault="00D70939" w:rsidP="00531EC8">
            <w:pPr>
              <w:ind w:left="0" w:firstLine="0"/>
              <w:rPr>
                <w:u w:val="single"/>
              </w:rPr>
            </w:pPr>
            <w:r w:rsidRPr="00531EC8">
              <w:t>Knowledge about hydrological relationships among wetland systems is difficult to acquire.</w:t>
            </w:r>
          </w:p>
        </w:tc>
        <w:tc>
          <w:tcPr>
            <w:tcW w:w="2254" w:type="dxa"/>
          </w:tcPr>
          <w:p w14:paraId="6C0D56E4" w14:textId="50CFDFF1" w:rsidR="00D70939" w:rsidRPr="00531EC8" w:rsidRDefault="00D70939" w:rsidP="00531EC8">
            <w:pPr>
              <w:ind w:left="0" w:firstLine="0"/>
              <w:rPr>
                <w:u w:val="single"/>
              </w:rPr>
            </w:pPr>
            <w:r w:rsidRPr="00531EC8">
              <w:t>River basin agencies focus on permanent water resources and do not invest knowledge in less productive ones, such as seasonal waters and associated wetlands.</w:t>
            </w:r>
          </w:p>
        </w:tc>
      </w:tr>
      <w:tr w:rsidR="00D70939" w:rsidRPr="00531EC8" w14:paraId="5334E0C2" w14:textId="77777777" w:rsidTr="00531EC8">
        <w:trPr>
          <w:cantSplit/>
        </w:trPr>
        <w:tc>
          <w:tcPr>
            <w:tcW w:w="2254" w:type="dxa"/>
          </w:tcPr>
          <w:p w14:paraId="512230C3" w14:textId="51CEFB4A" w:rsidR="00D70939" w:rsidRPr="00531EC8" w:rsidRDefault="00CE17F5" w:rsidP="00531EC8">
            <w:pPr>
              <w:ind w:left="0" w:firstLine="0"/>
            </w:pPr>
            <w:r>
              <w:t>C</w:t>
            </w:r>
            <w:r w:rsidR="00D70939" w:rsidRPr="00531EC8">
              <w:t xml:space="preserve">ollection </w:t>
            </w:r>
            <w:r>
              <w:t>of d</w:t>
            </w:r>
            <w:r w:rsidRPr="00531EC8">
              <w:t xml:space="preserve">ata </w:t>
            </w:r>
            <w:r w:rsidR="00D70939" w:rsidRPr="00531EC8">
              <w:t>on siltation volumes on some sites is complex.</w:t>
            </w:r>
          </w:p>
        </w:tc>
        <w:tc>
          <w:tcPr>
            <w:tcW w:w="2254" w:type="dxa"/>
          </w:tcPr>
          <w:p w14:paraId="27B59749" w14:textId="77777777" w:rsidR="00D70939" w:rsidRPr="00531EC8" w:rsidRDefault="00D70939" w:rsidP="00531EC8">
            <w:pPr>
              <w:ind w:left="0" w:firstLine="0"/>
            </w:pPr>
            <w:r w:rsidRPr="00531EC8">
              <w:t>Transboundary river basin studies do not provide detailed inventories of wetlands at national level.</w:t>
            </w:r>
          </w:p>
        </w:tc>
        <w:tc>
          <w:tcPr>
            <w:tcW w:w="2254" w:type="dxa"/>
          </w:tcPr>
          <w:p w14:paraId="7C799B51" w14:textId="77777777" w:rsidR="00D70939" w:rsidRPr="00531EC8" w:rsidRDefault="00D70939" w:rsidP="00531EC8">
            <w:pPr>
              <w:ind w:left="0" w:firstLine="0"/>
            </w:pPr>
            <w:r w:rsidRPr="00531EC8">
              <w:t xml:space="preserve">Rapid inventories do not provide </w:t>
            </w:r>
            <w:r w:rsidR="00CE17F5">
              <w:t xml:space="preserve">the </w:t>
            </w:r>
            <w:r w:rsidRPr="00531EC8">
              <w:t>detailed data that are required for management plans.</w:t>
            </w:r>
          </w:p>
        </w:tc>
        <w:tc>
          <w:tcPr>
            <w:tcW w:w="2254" w:type="dxa"/>
          </w:tcPr>
          <w:p w14:paraId="60485D6C" w14:textId="0C8B1E74" w:rsidR="00D70939" w:rsidRPr="00531EC8" w:rsidRDefault="00D70939" w:rsidP="00531EC8">
            <w:pPr>
              <w:ind w:left="0" w:firstLine="0"/>
            </w:pPr>
            <w:r w:rsidRPr="00531EC8">
              <w:t xml:space="preserve">NWI may be incomplete because sub-national authorities do not comply with their wetland mapping </w:t>
            </w:r>
            <w:r w:rsidR="00CE17F5">
              <w:t xml:space="preserve">or </w:t>
            </w:r>
            <w:r w:rsidR="00CE17F5" w:rsidRPr="00531EC8">
              <w:t xml:space="preserve">reporting </w:t>
            </w:r>
            <w:r w:rsidRPr="00531EC8">
              <w:t>obligations.</w:t>
            </w:r>
          </w:p>
        </w:tc>
      </w:tr>
      <w:tr w:rsidR="00D70939" w:rsidRPr="00531EC8" w14:paraId="39BD9E42" w14:textId="77777777" w:rsidTr="00531EC8">
        <w:trPr>
          <w:cantSplit/>
        </w:trPr>
        <w:tc>
          <w:tcPr>
            <w:tcW w:w="2254" w:type="dxa"/>
          </w:tcPr>
          <w:p w14:paraId="2E9F5B3A" w14:textId="5AD601FC" w:rsidR="00D70939" w:rsidRPr="00531EC8" w:rsidRDefault="00D70939" w:rsidP="00531EC8">
            <w:pPr>
              <w:ind w:left="0" w:firstLine="0"/>
            </w:pPr>
            <w:r w:rsidRPr="00531EC8">
              <w:t>Inventorying marine ecosystems is more expensive because of specific means of investigation (boats, etc.).</w:t>
            </w:r>
          </w:p>
        </w:tc>
        <w:tc>
          <w:tcPr>
            <w:tcW w:w="2254" w:type="dxa"/>
          </w:tcPr>
          <w:p w14:paraId="327B975D" w14:textId="5F170EC4" w:rsidR="00D70939" w:rsidRPr="00531EC8" w:rsidRDefault="00D70939" w:rsidP="00531EC8">
            <w:pPr>
              <w:ind w:left="0" w:firstLine="0"/>
            </w:pPr>
          </w:p>
        </w:tc>
        <w:tc>
          <w:tcPr>
            <w:tcW w:w="2254" w:type="dxa"/>
          </w:tcPr>
          <w:p w14:paraId="4A6A95B7" w14:textId="77777777" w:rsidR="00D70939" w:rsidRPr="00531EC8" w:rsidRDefault="00D70939" w:rsidP="00531EC8">
            <w:pPr>
              <w:ind w:left="0" w:firstLine="0"/>
            </w:pPr>
          </w:p>
        </w:tc>
        <w:tc>
          <w:tcPr>
            <w:tcW w:w="2254" w:type="dxa"/>
          </w:tcPr>
          <w:p w14:paraId="75FE5988" w14:textId="77777777" w:rsidR="00D70939" w:rsidRPr="00531EC8" w:rsidRDefault="00D70939" w:rsidP="00531EC8">
            <w:pPr>
              <w:ind w:left="0" w:firstLine="0"/>
            </w:pPr>
          </w:p>
        </w:tc>
      </w:tr>
    </w:tbl>
    <w:p w14:paraId="3A6D1A86" w14:textId="77777777" w:rsidR="00D70939" w:rsidRPr="00531EC8" w:rsidRDefault="00D70939" w:rsidP="00531EC8">
      <w:pPr>
        <w:rPr>
          <w:b/>
          <w:bCs/>
        </w:rPr>
      </w:pPr>
    </w:p>
    <w:p w14:paraId="069F6AA3" w14:textId="77777777" w:rsidR="00D70939" w:rsidRPr="00531EC8" w:rsidRDefault="00D70939" w:rsidP="00E12A54">
      <w:pPr>
        <w:keepNext/>
        <w:rPr>
          <w:b/>
          <w:bCs/>
        </w:rPr>
      </w:pPr>
      <w:r w:rsidRPr="00531EC8">
        <w:rPr>
          <w:b/>
          <w:bCs/>
        </w:rPr>
        <w:t>Data management and expertise</w:t>
      </w:r>
    </w:p>
    <w:tbl>
      <w:tblPr>
        <w:tblStyle w:val="TableGrid"/>
        <w:tblW w:w="9072" w:type="dxa"/>
        <w:tblInd w:w="-5" w:type="dxa"/>
        <w:tblCellMar>
          <w:top w:w="28" w:type="dxa"/>
          <w:left w:w="85" w:type="dxa"/>
          <w:bottom w:w="28" w:type="dxa"/>
          <w:right w:w="85" w:type="dxa"/>
        </w:tblCellMar>
        <w:tblLook w:val="04A0" w:firstRow="1" w:lastRow="0" w:firstColumn="1" w:lastColumn="0" w:noHBand="0" w:noVBand="1"/>
      </w:tblPr>
      <w:tblGrid>
        <w:gridCol w:w="2187"/>
        <w:gridCol w:w="2295"/>
        <w:gridCol w:w="2295"/>
        <w:gridCol w:w="2295"/>
      </w:tblGrid>
      <w:tr w:rsidR="00D70939" w:rsidRPr="00531EC8" w14:paraId="17202461" w14:textId="77777777" w:rsidTr="00745C17">
        <w:tc>
          <w:tcPr>
            <w:tcW w:w="2187" w:type="dxa"/>
          </w:tcPr>
          <w:p w14:paraId="2CCAAE88" w14:textId="129E5677" w:rsidR="00D70939" w:rsidRPr="00531EC8" w:rsidRDefault="00D70939" w:rsidP="00531EC8">
            <w:pPr>
              <w:ind w:left="0" w:firstLine="0"/>
              <w:rPr>
                <w:u w:val="single"/>
              </w:rPr>
            </w:pPr>
            <w:r w:rsidRPr="00531EC8">
              <w:rPr>
                <w:b/>
                <w:bCs/>
              </w:rPr>
              <w:t xml:space="preserve">Massive data collection leads to technological hurdles (computing power) and impairs the ability </w:t>
            </w:r>
            <w:r w:rsidR="00556B98">
              <w:rPr>
                <w:b/>
                <w:bCs/>
              </w:rPr>
              <w:t>of</w:t>
            </w:r>
            <w:r w:rsidR="00556B98" w:rsidRPr="00531EC8">
              <w:rPr>
                <w:b/>
                <w:bCs/>
              </w:rPr>
              <w:t xml:space="preserve"> </w:t>
            </w:r>
            <w:r w:rsidRPr="00531EC8">
              <w:rPr>
                <w:b/>
                <w:bCs/>
              </w:rPr>
              <w:t>national authorities to ensure verification of boundaries and quality of data.</w:t>
            </w:r>
          </w:p>
        </w:tc>
        <w:tc>
          <w:tcPr>
            <w:tcW w:w="2295" w:type="dxa"/>
          </w:tcPr>
          <w:p w14:paraId="76965D89" w14:textId="77777777" w:rsidR="00D70939" w:rsidRPr="00531EC8" w:rsidRDefault="00D70939" w:rsidP="00531EC8">
            <w:pPr>
              <w:ind w:left="0" w:firstLine="0"/>
              <w:rPr>
                <w:u w:val="single"/>
              </w:rPr>
            </w:pPr>
            <w:r w:rsidRPr="00531EC8">
              <w:rPr>
                <w:b/>
                <w:bCs/>
              </w:rPr>
              <w:t>The task of collecting and harmonizing wetland data produced by sub-national authorities is complex as they have different classifications and approaches for mapping biotopes.</w:t>
            </w:r>
          </w:p>
        </w:tc>
        <w:tc>
          <w:tcPr>
            <w:tcW w:w="2295" w:type="dxa"/>
          </w:tcPr>
          <w:p w14:paraId="018F5193" w14:textId="5F67BDDD" w:rsidR="00D70939" w:rsidRPr="00531EC8" w:rsidRDefault="00D70939" w:rsidP="00531EC8">
            <w:pPr>
              <w:ind w:left="0" w:firstLine="0"/>
              <w:rPr>
                <w:u w:val="single"/>
              </w:rPr>
            </w:pPr>
            <w:r w:rsidRPr="00531EC8">
              <w:t>Assessing habitat conditions remains a challenge even though data on species conditions is available.</w:t>
            </w:r>
          </w:p>
        </w:tc>
        <w:tc>
          <w:tcPr>
            <w:tcW w:w="2295" w:type="dxa"/>
          </w:tcPr>
          <w:p w14:paraId="7239312B" w14:textId="77777777" w:rsidR="00D70939" w:rsidRPr="00531EC8" w:rsidRDefault="00D70939" w:rsidP="00531EC8">
            <w:pPr>
              <w:ind w:left="0" w:firstLine="0"/>
              <w:rPr>
                <w:u w:val="single"/>
              </w:rPr>
            </w:pPr>
            <w:r w:rsidRPr="00531EC8">
              <w:t>Global reporting requires integration of different wetlands that are treated differently, when managed at national or local levels.</w:t>
            </w:r>
          </w:p>
        </w:tc>
      </w:tr>
      <w:tr w:rsidR="00182BE4" w:rsidRPr="00531EC8" w14:paraId="62825F32" w14:textId="77777777" w:rsidTr="00745C17">
        <w:tc>
          <w:tcPr>
            <w:tcW w:w="2187" w:type="dxa"/>
          </w:tcPr>
          <w:p w14:paraId="47204F84" w14:textId="29EBAEB0" w:rsidR="00182BE4" w:rsidRPr="00531EC8" w:rsidRDefault="00182BE4" w:rsidP="00182BE4">
            <w:pPr>
              <w:ind w:left="0" w:firstLine="0"/>
              <w:rPr>
                <w:b/>
                <w:bCs/>
              </w:rPr>
            </w:pPr>
            <w:r w:rsidRPr="00531EC8">
              <w:lastRenderedPageBreak/>
              <w:t xml:space="preserve">Some guidance on distinct methodologies for marine and terrestrial wetlands is missing. </w:t>
            </w:r>
            <w:commentRangeStart w:id="1"/>
            <w:commentRangeEnd w:id="1"/>
          </w:p>
        </w:tc>
        <w:tc>
          <w:tcPr>
            <w:tcW w:w="2295" w:type="dxa"/>
          </w:tcPr>
          <w:p w14:paraId="3D975039" w14:textId="04738D36" w:rsidR="00182BE4" w:rsidRPr="00531EC8" w:rsidRDefault="00182BE4" w:rsidP="00182BE4">
            <w:pPr>
              <w:ind w:left="0" w:firstLine="0"/>
              <w:rPr>
                <w:b/>
                <w:bCs/>
              </w:rPr>
            </w:pPr>
            <w:r w:rsidRPr="00531EC8">
              <w:t xml:space="preserve">In a </w:t>
            </w:r>
            <w:r>
              <w:t>“</w:t>
            </w:r>
            <w:r w:rsidRPr="00531EC8">
              <w:t>forest-rich</w:t>
            </w:r>
            <w:r>
              <w:t>”</w:t>
            </w:r>
            <w:r w:rsidRPr="00531EC8">
              <w:t xml:space="preserve"> country, national expertise is not well developed in hydrology, hydrobiology, and aquatic ecosystem ecology but instead in forestry.</w:t>
            </w:r>
          </w:p>
        </w:tc>
        <w:tc>
          <w:tcPr>
            <w:tcW w:w="2295" w:type="dxa"/>
          </w:tcPr>
          <w:p w14:paraId="70ED694E" w14:textId="4312881D" w:rsidR="00182BE4" w:rsidRPr="00531EC8" w:rsidRDefault="00182BE4" w:rsidP="00182BE4">
            <w:pPr>
              <w:ind w:left="0" w:firstLine="0"/>
            </w:pPr>
            <w:r w:rsidRPr="00531EC8">
              <w:t>Complex database developed by international consultants is not appropriately handed over to new staff in ministry.</w:t>
            </w:r>
          </w:p>
        </w:tc>
        <w:tc>
          <w:tcPr>
            <w:tcW w:w="2295" w:type="dxa"/>
          </w:tcPr>
          <w:p w14:paraId="5EEDC3EE" w14:textId="4CA17338" w:rsidR="00182BE4" w:rsidRPr="00531EC8" w:rsidRDefault="00182BE4" w:rsidP="00182BE4">
            <w:pPr>
              <w:ind w:left="0" w:firstLine="0"/>
            </w:pPr>
          </w:p>
        </w:tc>
      </w:tr>
    </w:tbl>
    <w:p w14:paraId="3E8AE3EC" w14:textId="77777777" w:rsidR="00D70939" w:rsidRPr="00531EC8" w:rsidRDefault="00D70939" w:rsidP="00531EC8">
      <w:pPr>
        <w:rPr>
          <w:b/>
          <w:bCs/>
        </w:rPr>
      </w:pPr>
    </w:p>
    <w:p w14:paraId="715697A5" w14:textId="77777777" w:rsidR="00D70939" w:rsidRPr="00531EC8" w:rsidRDefault="00D70939" w:rsidP="00E12A54">
      <w:pPr>
        <w:keepNext/>
        <w:rPr>
          <w:b/>
          <w:bCs/>
        </w:rPr>
      </w:pPr>
      <w:r w:rsidRPr="00531EC8">
        <w:rPr>
          <w:b/>
          <w:bCs/>
        </w:rPr>
        <w:t>NWI update</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637D8DB9" w14:textId="77777777" w:rsidTr="00745C17">
        <w:tc>
          <w:tcPr>
            <w:tcW w:w="2254" w:type="dxa"/>
          </w:tcPr>
          <w:p w14:paraId="220476A6" w14:textId="77777777" w:rsidR="00D70939" w:rsidRPr="00531EC8" w:rsidRDefault="00D70939" w:rsidP="00531EC8">
            <w:pPr>
              <w:ind w:left="0" w:firstLine="0"/>
              <w:rPr>
                <w:u w:val="single"/>
              </w:rPr>
            </w:pPr>
            <w:r w:rsidRPr="00531EC8">
              <w:rPr>
                <w:b/>
                <w:bCs/>
              </w:rPr>
              <w:t>Updating an existing NWI is a complex task, particularly if many years have passed.</w:t>
            </w:r>
          </w:p>
        </w:tc>
        <w:tc>
          <w:tcPr>
            <w:tcW w:w="2254" w:type="dxa"/>
          </w:tcPr>
          <w:p w14:paraId="204892C0" w14:textId="4E4C44D1" w:rsidR="00D70939" w:rsidRPr="00531EC8" w:rsidRDefault="00D70939" w:rsidP="00531EC8">
            <w:pPr>
              <w:ind w:left="0" w:firstLine="0"/>
              <w:rPr>
                <w:u w:val="single"/>
              </w:rPr>
            </w:pPr>
            <w:r w:rsidRPr="00531EC8">
              <w:rPr>
                <w:b/>
                <w:bCs/>
              </w:rPr>
              <w:t xml:space="preserve">Lack of </w:t>
            </w:r>
            <w:r w:rsidR="008208D6">
              <w:rPr>
                <w:b/>
                <w:bCs/>
              </w:rPr>
              <w:t xml:space="preserve">an </w:t>
            </w:r>
            <w:r w:rsidRPr="00531EC8">
              <w:rPr>
                <w:b/>
                <w:bCs/>
              </w:rPr>
              <w:t xml:space="preserve">information exchange mechanism among the range of supporting national agencies (forest departments, cultural and natural heritage agencies, national parks, etc.) </w:t>
            </w:r>
            <w:r w:rsidR="008208D6">
              <w:rPr>
                <w:b/>
                <w:bCs/>
              </w:rPr>
              <w:t xml:space="preserve">is a </w:t>
            </w:r>
            <w:r w:rsidRPr="00531EC8">
              <w:rPr>
                <w:b/>
                <w:bCs/>
              </w:rPr>
              <w:t>challenge.</w:t>
            </w:r>
          </w:p>
        </w:tc>
        <w:tc>
          <w:tcPr>
            <w:tcW w:w="2254" w:type="dxa"/>
          </w:tcPr>
          <w:p w14:paraId="1B329E6D" w14:textId="5EF8E29C" w:rsidR="00D70939" w:rsidRPr="00531EC8" w:rsidRDefault="00D70939" w:rsidP="00531EC8">
            <w:pPr>
              <w:ind w:left="0" w:firstLine="0"/>
              <w:rPr>
                <w:u w:val="single"/>
              </w:rPr>
            </w:pPr>
            <w:r w:rsidRPr="00531EC8">
              <w:t xml:space="preserve">Spatial products that were developed 20 years </w:t>
            </w:r>
            <w:r w:rsidR="008208D6">
              <w:t>ago</w:t>
            </w:r>
            <w:r w:rsidR="008208D6" w:rsidRPr="00531EC8">
              <w:t xml:space="preserve"> </w:t>
            </w:r>
            <w:r w:rsidRPr="00531EC8">
              <w:t>are already obsolete.</w:t>
            </w:r>
          </w:p>
        </w:tc>
        <w:tc>
          <w:tcPr>
            <w:tcW w:w="2254" w:type="dxa"/>
          </w:tcPr>
          <w:p w14:paraId="7FF48ACB" w14:textId="77777777" w:rsidR="00D70939" w:rsidRPr="00531EC8" w:rsidRDefault="00D70939" w:rsidP="00531EC8">
            <w:pPr>
              <w:ind w:left="0" w:firstLine="0"/>
              <w:rPr>
                <w:u w:val="single"/>
              </w:rPr>
            </w:pPr>
            <w:r w:rsidRPr="00531EC8">
              <w:t>Agreeing on a repeated process to update NWI requires difficult budget discussions.</w:t>
            </w:r>
          </w:p>
        </w:tc>
      </w:tr>
      <w:tr w:rsidR="00D70939" w:rsidRPr="00531EC8" w14:paraId="01CE2142" w14:textId="77777777" w:rsidTr="00745C17">
        <w:tc>
          <w:tcPr>
            <w:tcW w:w="2254" w:type="dxa"/>
          </w:tcPr>
          <w:p w14:paraId="62B2D556" w14:textId="77777777" w:rsidR="00D70939" w:rsidRPr="00531EC8" w:rsidRDefault="00D70939" w:rsidP="00531EC8">
            <w:pPr>
              <w:ind w:left="0" w:firstLine="0"/>
              <w:rPr>
                <w:u w:val="single"/>
              </w:rPr>
            </w:pPr>
            <w:r w:rsidRPr="00531EC8">
              <w:t>Established classification systems may impair the ability to adequately update existing NWI.</w:t>
            </w:r>
          </w:p>
        </w:tc>
        <w:tc>
          <w:tcPr>
            <w:tcW w:w="2254" w:type="dxa"/>
          </w:tcPr>
          <w:p w14:paraId="01AF2A00" w14:textId="3BBAA222" w:rsidR="00D70939" w:rsidRPr="00531EC8" w:rsidRDefault="00D70939" w:rsidP="00531EC8">
            <w:pPr>
              <w:ind w:left="0" w:firstLine="0"/>
              <w:rPr>
                <w:u w:val="single"/>
              </w:rPr>
            </w:pPr>
            <w:r w:rsidRPr="00531EC8">
              <w:t xml:space="preserve">Complex analytical work is required to select representative sites for long-term monitoring, </w:t>
            </w:r>
            <w:r w:rsidR="008208D6">
              <w:t>with</w:t>
            </w:r>
            <w:r w:rsidR="008208D6" w:rsidRPr="00531EC8">
              <w:t xml:space="preserve"> </w:t>
            </w:r>
            <w:r w:rsidRPr="00531EC8">
              <w:t xml:space="preserve">the objective </w:t>
            </w:r>
            <w:r w:rsidR="008208D6">
              <w:t xml:space="preserve">of </w:t>
            </w:r>
            <w:r w:rsidRPr="00531EC8">
              <w:t>partially but meaningfully updat</w:t>
            </w:r>
            <w:r w:rsidR="008208D6">
              <w:t>ing</w:t>
            </w:r>
            <w:r w:rsidRPr="00531EC8">
              <w:t xml:space="preserve"> NWIs.</w:t>
            </w:r>
          </w:p>
        </w:tc>
        <w:tc>
          <w:tcPr>
            <w:tcW w:w="2254" w:type="dxa"/>
          </w:tcPr>
          <w:p w14:paraId="37EAE8BD" w14:textId="77777777" w:rsidR="00D70939" w:rsidRPr="00531EC8" w:rsidRDefault="00D70939" w:rsidP="00531EC8">
            <w:pPr>
              <w:ind w:left="0" w:firstLine="0"/>
              <w:rPr>
                <w:u w:val="single"/>
              </w:rPr>
            </w:pPr>
          </w:p>
        </w:tc>
        <w:tc>
          <w:tcPr>
            <w:tcW w:w="2254" w:type="dxa"/>
          </w:tcPr>
          <w:p w14:paraId="49EF70FB" w14:textId="77777777" w:rsidR="00D70939" w:rsidRPr="00531EC8" w:rsidRDefault="00D70939" w:rsidP="00531EC8">
            <w:pPr>
              <w:ind w:left="0" w:firstLine="0"/>
              <w:rPr>
                <w:u w:val="single"/>
              </w:rPr>
            </w:pPr>
          </w:p>
        </w:tc>
      </w:tr>
    </w:tbl>
    <w:p w14:paraId="5BDE8CCF" w14:textId="77777777" w:rsidR="00D70939" w:rsidRPr="00531EC8" w:rsidRDefault="00D70939" w:rsidP="00531EC8">
      <w:pPr>
        <w:ind w:left="0" w:firstLine="0"/>
        <w:rPr>
          <w:b/>
          <w:bCs/>
        </w:rPr>
      </w:pPr>
    </w:p>
    <w:p w14:paraId="03CCC503" w14:textId="77777777" w:rsidR="00D70939" w:rsidRPr="00531EC8" w:rsidRDefault="00D70939" w:rsidP="00E12A54">
      <w:pPr>
        <w:keepNext/>
        <w:rPr>
          <w:b/>
          <w:bCs/>
        </w:rPr>
      </w:pPr>
      <w:r w:rsidRPr="00531EC8">
        <w:rPr>
          <w:b/>
          <w:bCs/>
        </w:rPr>
        <w:t>Financial issues</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760F7E2C" w14:textId="77777777" w:rsidTr="00745C17">
        <w:tc>
          <w:tcPr>
            <w:tcW w:w="2254" w:type="dxa"/>
          </w:tcPr>
          <w:p w14:paraId="61AEA61B" w14:textId="77777777" w:rsidR="00D70939" w:rsidRPr="00531EC8" w:rsidRDefault="00D70939" w:rsidP="00531EC8">
            <w:pPr>
              <w:ind w:left="0" w:firstLine="0"/>
              <w:rPr>
                <w:u w:val="single"/>
              </w:rPr>
            </w:pPr>
            <w:r w:rsidRPr="00531EC8">
              <w:rPr>
                <w:b/>
                <w:bCs/>
              </w:rPr>
              <w:t>Funds at national level for NWIs are not available. Funds to map wetlands are often provided only through small-scale and time-bound internationally supported projects</w:t>
            </w:r>
            <w:r w:rsidRPr="00531EC8">
              <w:t>.</w:t>
            </w:r>
          </w:p>
        </w:tc>
        <w:tc>
          <w:tcPr>
            <w:tcW w:w="2254" w:type="dxa"/>
          </w:tcPr>
          <w:p w14:paraId="0427457C" w14:textId="77777777" w:rsidR="00D70939" w:rsidRPr="00531EC8" w:rsidRDefault="00D70939" w:rsidP="00531EC8">
            <w:pPr>
              <w:ind w:left="0" w:firstLine="0"/>
              <w:rPr>
                <w:u w:val="single"/>
              </w:rPr>
            </w:pPr>
            <w:r w:rsidRPr="00531EC8">
              <w:rPr>
                <w:b/>
                <w:bCs/>
              </w:rPr>
              <w:t>Field investigations to collect data on the ground are costly, up to 60 to 70% of the NWI budget.</w:t>
            </w:r>
          </w:p>
        </w:tc>
        <w:tc>
          <w:tcPr>
            <w:tcW w:w="2254" w:type="dxa"/>
          </w:tcPr>
          <w:p w14:paraId="71A15A32" w14:textId="77777777" w:rsidR="00D70939" w:rsidRPr="00531EC8" w:rsidRDefault="00D70939" w:rsidP="00531EC8">
            <w:pPr>
              <w:ind w:left="0" w:firstLine="0"/>
              <w:rPr>
                <w:u w:val="single"/>
              </w:rPr>
            </w:pPr>
            <w:r w:rsidRPr="00531EC8">
              <w:rPr>
                <w:b/>
                <w:bCs/>
              </w:rPr>
              <w:t>Field investigations are time consuming (vegetation survey cannot be done once only) -often at odds with time-bound funded projects.</w:t>
            </w:r>
          </w:p>
        </w:tc>
        <w:tc>
          <w:tcPr>
            <w:tcW w:w="2254" w:type="dxa"/>
          </w:tcPr>
          <w:p w14:paraId="560E1A30" w14:textId="77777777" w:rsidR="00D70939" w:rsidRPr="00531EC8" w:rsidRDefault="00D70939" w:rsidP="00531EC8">
            <w:pPr>
              <w:ind w:left="0" w:firstLine="0"/>
              <w:rPr>
                <w:u w:val="single"/>
              </w:rPr>
            </w:pPr>
            <w:r w:rsidRPr="00531EC8">
              <w:t>Lack of sustained financing from Environment Ministry to conduct a multi-year study process.</w:t>
            </w:r>
          </w:p>
        </w:tc>
      </w:tr>
      <w:tr w:rsidR="00D70939" w:rsidRPr="00531EC8" w14:paraId="225E96D6" w14:textId="77777777" w:rsidTr="00745C17">
        <w:trPr>
          <w:trHeight w:val="42"/>
        </w:trPr>
        <w:tc>
          <w:tcPr>
            <w:tcW w:w="2254" w:type="dxa"/>
          </w:tcPr>
          <w:p w14:paraId="4B685CEA" w14:textId="77777777" w:rsidR="00D70939" w:rsidRPr="00531EC8" w:rsidRDefault="00D70939" w:rsidP="00531EC8">
            <w:pPr>
              <w:ind w:left="0" w:firstLine="0"/>
              <w:rPr>
                <w:u w:val="single"/>
              </w:rPr>
            </w:pPr>
            <w:r w:rsidRPr="00531EC8">
              <w:t>In a ‘water-rich’ country, water resources and wetlands tend to be neglected. Public and public authorities’ awareness is low.</w:t>
            </w:r>
          </w:p>
        </w:tc>
        <w:tc>
          <w:tcPr>
            <w:tcW w:w="2254" w:type="dxa"/>
          </w:tcPr>
          <w:p w14:paraId="7DC14B74" w14:textId="77777777" w:rsidR="00D70939" w:rsidRPr="00531EC8" w:rsidRDefault="00D70939" w:rsidP="00531EC8">
            <w:pPr>
              <w:ind w:left="0" w:firstLine="0"/>
              <w:rPr>
                <w:u w:val="single"/>
              </w:rPr>
            </w:pPr>
          </w:p>
        </w:tc>
        <w:tc>
          <w:tcPr>
            <w:tcW w:w="2254" w:type="dxa"/>
          </w:tcPr>
          <w:p w14:paraId="7B78A828" w14:textId="77777777" w:rsidR="00D70939" w:rsidRPr="00531EC8" w:rsidRDefault="00D70939" w:rsidP="00531EC8">
            <w:pPr>
              <w:ind w:left="0" w:firstLine="0"/>
              <w:rPr>
                <w:u w:val="single"/>
              </w:rPr>
            </w:pPr>
          </w:p>
        </w:tc>
        <w:tc>
          <w:tcPr>
            <w:tcW w:w="2254" w:type="dxa"/>
          </w:tcPr>
          <w:p w14:paraId="5ED81305" w14:textId="77777777" w:rsidR="00D70939" w:rsidRPr="00531EC8" w:rsidRDefault="00D70939" w:rsidP="00531EC8">
            <w:pPr>
              <w:ind w:left="0" w:firstLine="0"/>
              <w:rPr>
                <w:u w:val="single"/>
              </w:rPr>
            </w:pPr>
          </w:p>
        </w:tc>
      </w:tr>
    </w:tbl>
    <w:p w14:paraId="21CD586D" w14:textId="77777777" w:rsidR="00D70939" w:rsidRPr="00531EC8" w:rsidRDefault="00D70939" w:rsidP="00531EC8"/>
    <w:p w14:paraId="5DC6086A" w14:textId="77777777" w:rsidR="00531EC8" w:rsidRDefault="00531EC8" w:rsidP="00531EC8">
      <w:pPr>
        <w:ind w:left="0" w:firstLine="0"/>
        <w:rPr>
          <w:u w:val="single"/>
        </w:rPr>
      </w:pPr>
    </w:p>
    <w:p w14:paraId="113DBAE7" w14:textId="77777777" w:rsidR="00D70939" w:rsidRPr="00DE7EAA" w:rsidRDefault="00D70939" w:rsidP="00E12A54">
      <w:pPr>
        <w:keepNext/>
        <w:rPr>
          <w:i/>
        </w:rPr>
      </w:pPr>
      <w:r w:rsidRPr="00DE7EAA">
        <w:rPr>
          <w:i/>
        </w:rPr>
        <w:lastRenderedPageBreak/>
        <w:t>Table 3.  Supporting factors to NWI development</w:t>
      </w:r>
    </w:p>
    <w:p w14:paraId="0837F515" w14:textId="77777777" w:rsidR="00D70939" w:rsidRPr="00531EC8" w:rsidRDefault="00D70939" w:rsidP="00E12A54">
      <w:pPr>
        <w:keepNext/>
        <w:rPr>
          <w:u w:val="single"/>
        </w:rPr>
      </w:pPr>
    </w:p>
    <w:p w14:paraId="65C1CCD7" w14:textId="77777777" w:rsidR="00D70939" w:rsidRPr="00531EC8" w:rsidRDefault="00D70939" w:rsidP="00E12A54">
      <w:pPr>
        <w:keepNext/>
        <w:rPr>
          <w:b/>
          <w:bCs/>
        </w:rPr>
      </w:pPr>
      <w:r w:rsidRPr="00531EC8">
        <w:rPr>
          <w:b/>
          <w:bCs/>
        </w:rPr>
        <w:t>Political support</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78A4718F" w14:textId="77777777" w:rsidTr="00745C17">
        <w:tc>
          <w:tcPr>
            <w:tcW w:w="2254" w:type="dxa"/>
          </w:tcPr>
          <w:p w14:paraId="56DC465F" w14:textId="77777777" w:rsidR="00D70939" w:rsidRPr="00531EC8" w:rsidRDefault="00D70939" w:rsidP="00531EC8">
            <w:pPr>
              <w:ind w:left="0" w:firstLine="0"/>
              <w:rPr>
                <w:b/>
                <w:bCs/>
              </w:rPr>
            </w:pPr>
            <w:r w:rsidRPr="00531EC8">
              <w:rPr>
                <w:b/>
                <w:bCs/>
              </w:rPr>
              <w:t>Political attention to wetlands increases mobilization towards the launch of an NWI. Political support at ministerial level and new legislation are triggers for public agencies’ involvement.</w:t>
            </w:r>
          </w:p>
        </w:tc>
        <w:tc>
          <w:tcPr>
            <w:tcW w:w="2254" w:type="dxa"/>
          </w:tcPr>
          <w:p w14:paraId="5B84846D" w14:textId="77777777" w:rsidR="00D70939" w:rsidRPr="00531EC8" w:rsidRDefault="00D70939" w:rsidP="00531EC8">
            <w:pPr>
              <w:ind w:left="0" w:firstLine="0"/>
            </w:pPr>
            <w:r w:rsidRPr="00531EC8">
              <w:t>Several ministries are interested in the outcomes of NWIs. Environment ministry teams can count on other teams’ support.</w:t>
            </w:r>
          </w:p>
        </w:tc>
        <w:tc>
          <w:tcPr>
            <w:tcW w:w="2254" w:type="dxa"/>
          </w:tcPr>
          <w:p w14:paraId="05D9223E" w14:textId="77777777" w:rsidR="00D70939" w:rsidRPr="00531EC8" w:rsidRDefault="00D70939" w:rsidP="00531EC8">
            <w:pPr>
              <w:ind w:left="0" w:firstLine="0"/>
              <w:rPr>
                <w:b/>
                <w:bCs/>
              </w:rPr>
            </w:pPr>
            <w:r w:rsidRPr="00531EC8">
              <w:t>Legal obligations on water management and flood risk management trigger investments in mapping wetlands from sub-national authorities.</w:t>
            </w:r>
          </w:p>
        </w:tc>
        <w:tc>
          <w:tcPr>
            <w:tcW w:w="2254" w:type="dxa"/>
          </w:tcPr>
          <w:p w14:paraId="7603536D" w14:textId="4DBD734E" w:rsidR="00D70939" w:rsidRPr="00531EC8" w:rsidRDefault="00D70939" w:rsidP="00531EC8">
            <w:pPr>
              <w:ind w:left="0" w:firstLine="0"/>
            </w:pPr>
            <w:r w:rsidRPr="00531EC8">
              <w:t xml:space="preserve">Explanations and </w:t>
            </w:r>
            <w:r w:rsidR="00B12EA2">
              <w:t>guidance</w:t>
            </w:r>
            <w:r w:rsidR="000B307F">
              <w:t xml:space="preserve"> </w:t>
            </w:r>
            <w:r w:rsidRPr="00531EC8">
              <w:t>about the ultimate goals of NWI increases involvement and collaboration from sub-national authorities.</w:t>
            </w:r>
          </w:p>
        </w:tc>
      </w:tr>
    </w:tbl>
    <w:p w14:paraId="57A5699E" w14:textId="77777777" w:rsidR="00D70939" w:rsidRPr="00531EC8" w:rsidRDefault="00D70939" w:rsidP="00531EC8"/>
    <w:p w14:paraId="7FD1B72C" w14:textId="77777777" w:rsidR="00D70939" w:rsidRPr="00531EC8" w:rsidRDefault="00D70939" w:rsidP="00E12A54">
      <w:pPr>
        <w:keepNext/>
        <w:rPr>
          <w:b/>
          <w:bCs/>
        </w:rPr>
      </w:pPr>
      <w:r w:rsidRPr="00531EC8">
        <w:rPr>
          <w:b/>
          <w:bCs/>
        </w:rPr>
        <w:t>Structured approach for NWI process</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05BD5DD2" w14:textId="77777777" w:rsidTr="00745C17">
        <w:tc>
          <w:tcPr>
            <w:tcW w:w="2254" w:type="dxa"/>
          </w:tcPr>
          <w:p w14:paraId="2B6D1EF4" w14:textId="77777777" w:rsidR="00D70939" w:rsidRPr="00531EC8" w:rsidRDefault="00D70939" w:rsidP="00531EC8">
            <w:pPr>
              <w:ind w:left="0" w:firstLine="0"/>
            </w:pPr>
            <w:r w:rsidRPr="00531EC8">
              <w:t xml:space="preserve">A structured approach based on detailed technical procedures for wetland survey and survey work plans supports the process. </w:t>
            </w:r>
          </w:p>
        </w:tc>
        <w:tc>
          <w:tcPr>
            <w:tcW w:w="2254" w:type="dxa"/>
          </w:tcPr>
          <w:p w14:paraId="144935CF" w14:textId="77777777" w:rsidR="00D70939" w:rsidRPr="00531EC8" w:rsidRDefault="00D70939" w:rsidP="00531EC8">
            <w:pPr>
              <w:ind w:left="0" w:firstLine="0"/>
            </w:pPr>
            <w:r w:rsidRPr="00531EC8">
              <w:t xml:space="preserve">Survey work plans should encompass technical support mechanism, as well quality inspection measures and final scientific validation.  </w:t>
            </w:r>
          </w:p>
        </w:tc>
        <w:tc>
          <w:tcPr>
            <w:tcW w:w="2254" w:type="dxa"/>
          </w:tcPr>
          <w:p w14:paraId="57A1FE65" w14:textId="77777777" w:rsidR="00D70939" w:rsidRPr="00531EC8" w:rsidRDefault="00D70939" w:rsidP="00531EC8">
            <w:pPr>
              <w:ind w:left="0" w:firstLine="0"/>
            </w:pPr>
            <w:r w:rsidRPr="00531EC8">
              <w:t>The establishment of nationally uniform standards for NWI data increases scientific validity and reliability of survey results, particularly when sub-national authorities act as independent survey entities.</w:t>
            </w:r>
          </w:p>
        </w:tc>
        <w:tc>
          <w:tcPr>
            <w:tcW w:w="2254" w:type="dxa"/>
          </w:tcPr>
          <w:p w14:paraId="7CA94B5E" w14:textId="77777777" w:rsidR="00D70939" w:rsidRPr="00531EC8" w:rsidRDefault="00D70939" w:rsidP="00531EC8">
            <w:pPr>
              <w:ind w:left="0" w:firstLine="0"/>
            </w:pPr>
            <w:r w:rsidRPr="00531EC8">
              <w:t>Technical support from a national expert organization ensures uniform data check processes.</w:t>
            </w:r>
          </w:p>
        </w:tc>
      </w:tr>
      <w:tr w:rsidR="00D70939" w:rsidRPr="00531EC8" w14:paraId="0AA199C2" w14:textId="77777777" w:rsidTr="00745C17">
        <w:tc>
          <w:tcPr>
            <w:tcW w:w="2254" w:type="dxa"/>
          </w:tcPr>
          <w:p w14:paraId="4CC500C1" w14:textId="77777777" w:rsidR="00D70939" w:rsidRPr="00531EC8" w:rsidRDefault="00D70939" w:rsidP="00531EC8">
            <w:pPr>
              <w:ind w:left="0" w:firstLine="0"/>
            </w:pPr>
            <w:r w:rsidRPr="00531EC8">
              <w:t>Developing a regional wetland classification helps to address the case of vast countries covering several climatic and biogeographic regions.</w:t>
            </w:r>
          </w:p>
        </w:tc>
        <w:tc>
          <w:tcPr>
            <w:tcW w:w="2254" w:type="dxa"/>
          </w:tcPr>
          <w:p w14:paraId="3CBAC02F" w14:textId="77777777" w:rsidR="00D70939" w:rsidRPr="00531EC8" w:rsidRDefault="00D70939" w:rsidP="00531EC8">
            <w:pPr>
              <w:ind w:left="0" w:firstLine="0"/>
            </w:pPr>
            <w:r w:rsidRPr="00531EC8">
              <w:t>Balancing the amount of scientific data in NWI database allows quicker publication.</w:t>
            </w:r>
          </w:p>
        </w:tc>
        <w:tc>
          <w:tcPr>
            <w:tcW w:w="2254" w:type="dxa"/>
          </w:tcPr>
          <w:p w14:paraId="636B9D45" w14:textId="77777777" w:rsidR="00D70939" w:rsidRPr="00531EC8" w:rsidRDefault="00D70939" w:rsidP="00531EC8">
            <w:pPr>
              <w:ind w:left="0" w:firstLine="0"/>
            </w:pPr>
            <w:r w:rsidRPr="00531EC8">
              <w:t>Separating the NWI database with main wetland information from the database collecting ground truthing data eases the use of NWI database.</w:t>
            </w:r>
          </w:p>
        </w:tc>
        <w:tc>
          <w:tcPr>
            <w:tcW w:w="2254" w:type="dxa"/>
          </w:tcPr>
          <w:p w14:paraId="327D43DF" w14:textId="77777777" w:rsidR="00D70939" w:rsidRPr="00531EC8" w:rsidRDefault="00D70939" w:rsidP="00531EC8">
            <w:pPr>
              <w:ind w:left="0" w:firstLine="0"/>
            </w:pPr>
            <w:r w:rsidRPr="00531EC8">
              <w:t>The MedWet NWI guidance provides a structured process to collect NWI data and to organize administration, scientific and survey teams.</w:t>
            </w:r>
          </w:p>
        </w:tc>
      </w:tr>
      <w:tr w:rsidR="00D70939" w:rsidRPr="00531EC8" w14:paraId="2EB34E35" w14:textId="77777777" w:rsidTr="00745C17">
        <w:tc>
          <w:tcPr>
            <w:tcW w:w="2254" w:type="dxa"/>
          </w:tcPr>
          <w:p w14:paraId="74944F7C" w14:textId="77FD4DE0" w:rsidR="00D70939" w:rsidRPr="00531EC8" w:rsidRDefault="00D70939" w:rsidP="00531EC8">
            <w:pPr>
              <w:ind w:left="0" w:firstLine="0"/>
            </w:pPr>
            <w:r w:rsidRPr="00531EC8">
              <w:t>Rapid inventories, developed thanks to GlobWetland Africa Toolbox, are useful for application of wetland regulation and wise use.</w:t>
            </w:r>
          </w:p>
        </w:tc>
        <w:tc>
          <w:tcPr>
            <w:tcW w:w="2254" w:type="dxa"/>
          </w:tcPr>
          <w:p w14:paraId="78BA4819" w14:textId="77777777" w:rsidR="00D70939" w:rsidRPr="00531EC8" w:rsidRDefault="00D70939" w:rsidP="00531EC8">
            <w:pPr>
              <w:ind w:left="0" w:firstLine="0"/>
            </w:pPr>
          </w:p>
        </w:tc>
        <w:tc>
          <w:tcPr>
            <w:tcW w:w="2254" w:type="dxa"/>
          </w:tcPr>
          <w:p w14:paraId="1D6CD142" w14:textId="77777777" w:rsidR="00D70939" w:rsidRPr="00531EC8" w:rsidRDefault="00D70939" w:rsidP="00531EC8">
            <w:pPr>
              <w:ind w:left="0" w:firstLine="0"/>
            </w:pPr>
          </w:p>
        </w:tc>
        <w:tc>
          <w:tcPr>
            <w:tcW w:w="2254" w:type="dxa"/>
          </w:tcPr>
          <w:p w14:paraId="72A49349" w14:textId="77777777" w:rsidR="00D70939" w:rsidRPr="00531EC8" w:rsidRDefault="00D70939" w:rsidP="00531EC8">
            <w:pPr>
              <w:ind w:left="0" w:firstLine="0"/>
            </w:pPr>
          </w:p>
        </w:tc>
      </w:tr>
    </w:tbl>
    <w:p w14:paraId="2FCC164E" w14:textId="77777777" w:rsidR="00D70939" w:rsidRPr="00531EC8" w:rsidRDefault="00D70939" w:rsidP="00531EC8"/>
    <w:p w14:paraId="43807A03" w14:textId="77777777" w:rsidR="00D70939" w:rsidRPr="00531EC8" w:rsidRDefault="00D70939" w:rsidP="00E12A54">
      <w:pPr>
        <w:keepNext/>
        <w:rPr>
          <w:b/>
          <w:bCs/>
        </w:rPr>
      </w:pPr>
      <w:r w:rsidRPr="00531EC8">
        <w:rPr>
          <w:b/>
          <w:bCs/>
        </w:rPr>
        <w:lastRenderedPageBreak/>
        <w:t xml:space="preserve">Data collection and techniques </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4771AD7F" w14:textId="77777777" w:rsidTr="00E12A54">
        <w:trPr>
          <w:cantSplit/>
        </w:trPr>
        <w:tc>
          <w:tcPr>
            <w:tcW w:w="2254" w:type="dxa"/>
          </w:tcPr>
          <w:p w14:paraId="32D5B077" w14:textId="77777777" w:rsidR="00D70939" w:rsidRPr="00531EC8" w:rsidRDefault="00D70939" w:rsidP="00531EC8">
            <w:pPr>
              <w:ind w:left="0" w:firstLine="0"/>
            </w:pPr>
            <w:r w:rsidRPr="00531EC8">
              <w:rPr>
                <w:b/>
                <w:bCs/>
              </w:rPr>
              <w:t>LIDAR technologies provide information on the topography that even fieldwork cannot detect. A good coverage by LIDAR data is an asset.</w:t>
            </w:r>
          </w:p>
        </w:tc>
        <w:tc>
          <w:tcPr>
            <w:tcW w:w="2254" w:type="dxa"/>
          </w:tcPr>
          <w:p w14:paraId="4ADF83DF" w14:textId="77777777" w:rsidR="00D70939" w:rsidRPr="00531EC8" w:rsidRDefault="00D70939" w:rsidP="00531EC8">
            <w:pPr>
              <w:ind w:left="0" w:firstLine="0"/>
            </w:pPr>
            <w:r w:rsidRPr="00531EC8">
              <w:rPr>
                <w:b/>
                <w:bCs/>
              </w:rPr>
              <w:t>Satellite images are very useful for mapping large areas. They also prove useful to address coastal wetlands.</w:t>
            </w:r>
          </w:p>
        </w:tc>
        <w:tc>
          <w:tcPr>
            <w:tcW w:w="2254" w:type="dxa"/>
          </w:tcPr>
          <w:p w14:paraId="7BD2D627" w14:textId="77777777" w:rsidR="00D70939" w:rsidRPr="00531EC8" w:rsidRDefault="00D70939" w:rsidP="00531EC8">
            <w:pPr>
              <w:ind w:left="0" w:firstLine="0"/>
            </w:pPr>
            <w:r w:rsidRPr="00531EC8">
              <w:t xml:space="preserve">Acquisition of some high-resolution imagery complements satellite images when inadequate, for instance through drones and helicopters that take aerial photographs. </w:t>
            </w:r>
          </w:p>
        </w:tc>
        <w:tc>
          <w:tcPr>
            <w:tcW w:w="2254" w:type="dxa"/>
          </w:tcPr>
          <w:p w14:paraId="626E95B2" w14:textId="77777777" w:rsidR="00D70939" w:rsidRPr="00531EC8" w:rsidRDefault="00D70939" w:rsidP="00531EC8">
            <w:pPr>
              <w:ind w:left="0" w:firstLine="0"/>
            </w:pPr>
            <w:r w:rsidRPr="00531EC8">
              <w:t>Increasing GIS-trained staff in government offices and NGOs favours data production and access.</w:t>
            </w:r>
          </w:p>
        </w:tc>
      </w:tr>
      <w:tr w:rsidR="00D70939" w:rsidRPr="00531EC8" w14:paraId="218015D7" w14:textId="77777777" w:rsidTr="00745C17">
        <w:tc>
          <w:tcPr>
            <w:tcW w:w="2254" w:type="dxa"/>
          </w:tcPr>
          <w:p w14:paraId="6F19C730" w14:textId="77777777" w:rsidR="00D70939" w:rsidRPr="00531EC8" w:rsidRDefault="00D70939" w:rsidP="00531EC8">
            <w:pPr>
              <w:ind w:left="0" w:firstLine="0"/>
            </w:pPr>
            <w:r w:rsidRPr="00531EC8">
              <w:t>Web mapping services are useful to support the processing and use of large databases.</w:t>
            </w:r>
          </w:p>
        </w:tc>
        <w:tc>
          <w:tcPr>
            <w:tcW w:w="2254" w:type="dxa"/>
          </w:tcPr>
          <w:p w14:paraId="4AFB6569" w14:textId="0E204F2B" w:rsidR="00D70939" w:rsidRPr="00531EC8" w:rsidRDefault="00D70939" w:rsidP="00531EC8">
            <w:pPr>
              <w:ind w:left="0" w:firstLine="0"/>
            </w:pPr>
            <w:r w:rsidRPr="00531EC8">
              <w:t xml:space="preserve">Nationally developed modelling using satellite imagery and </w:t>
            </w:r>
            <w:r w:rsidR="007E4D52">
              <w:t>a</w:t>
            </w:r>
            <w:r w:rsidR="007E4D52" w:rsidRPr="00531EC8">
              <w:t xml:space="preserve">rtificial </w:t>
            </w:r>
            <w:r w:rsidRPr="00531EC8">
              <w:t>intelligence algorithms offer new possibilities for NWI in large countries.</w:t>
            </w:r>
          </w:p>
        </w:tc>
        <w:tc>
          <w:tcPr>
            <w:tcW w:w="2254" w:type="dxa"/>
          </w:tcPr>
          <w:p w14:paraId="296E596B" w14:textId="77777777" w:rsidR="00D70939" w:rsidRPr="00531EC8" w:rsidRDefault="00D70939" w:rsidP="00531EC8">
            <w:pPr>
              <w:ind w:left="0" w:firstLine="0"/>
            </w:pPr>
            <w:r w:rsidRPr="00531EC8">
              <w:t>Local biodiversity experts, who know the site geographies, are crucial resources to guide data collection and verification measures on the ground.</w:t>
            </w:r>
          </w:p>
        </w:tc>
        <w:tc>
          <w:tcPr>
            <w:tcW w:w="2254" w:type="dxa"/>
          </w:tcPr>
          <w:p w14:paraId="09692369" w14:textId="0889F04D" w:rsidR="00D70939" w:rsidRPr="00531EC8" w:rsidRDefault="00D70939" w:rsidP="00531EC8">
            <w:pPr>
              <w:ind w:left="0" w:firstLine="0"/>
            </w:pPr>
            <w:r w:rsidRPr="00531EC8">
              <w:t xml:space="preserve">Local inventories of wetlands provide usable data for spatial planning and can inform the </w:t>
            </w:r>
            <w:r w:rsidR="007E4D52">
              <w:t>general</w:t>
            </w:r>
            <w:r w:rsidR="007E4D52" w:rsidRPr="00531EC8">
              <w:t xml:space="preserve"> </w:t>
            </w:r>
            <w:r w:rsidRPr="00531EC8">
              <w:t>public and other stakeholders, once validated and integrated in a national database.</w:t>
            </w:r>
          </w:p>
        </w:tc>
      </w:tr>
    </w:tbl>
    <w:p w14:paraId="49D29067" w14:textId="77777777" w:rsidR="00531EC8" w:rsidRDefault="00531EC8" w:rsidP="00531EC8"/>
    <w:p w14:paraId="0221074A" w14:textId="77777777" w:rsidR="00D70939" w:rsidRPr="00531EC8" w:rsidRDefault="00D70939" w:rsidP="00E12A54">
      <w:pPr>
        <w:keepNext/>
        <w:rPr>
          <w:b/>
          <w:bCs/>
        </w:rPr>
      </w:pPr>
      <w:r w:rsidRPr="00531EC8">
        <w:rPr>
          <w:b/>
          <w:bCs/>
        </w:rPr>
        <w:t>Financial support</w:t>
      </w: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254"/>
        <w:gridCol w:w="2254"/>
        <w:gridCol w:w="2254"/>
        <w:gridCol w:w="2254"/>
      </w:tblGrid>
      <w:tr w:rsidR="00D70939" w:rsidRPr="00531EC8" w14:paraId="3BA82024" w14:textId="77777777" w:rsidTr="00745C17">
        <w:tc>
          <w:tcPr>
            <w:tcW w:w="2254" w:type="dxa"/>
          </w:tcPr>
          <w:p w14:paraId="48215CDA" w14:textId="77777777" w:rsidR="00D70939" w:rsidRPr="00531EC8" w:rsidRDefault="00D70939" w:rsidP="00531EC8">
            <w:pPr>
              <w:ind w:left="0" w:firstLine="0"/>
            </w:pPr>
            <w:r w:rsidRPr="00531EC8">
              <w:t>Securing a stable budget over years allows continuation of surveys.</w:t>
            </w:r>
          </w:p>
        </w:tc>
        <w:tc>
          <w:tcPr>
            <w:tcW w:w="2254" w:type="dxa"/>
          </w:tcPr>
          <w:p w14:paraId="42F3EF2A" w14:textId="77777777" w:rsidR="00D70939" w:rsidRPr="00531EC8" w:rsidRDefault="00D70939" w:rsidP="00531EC8">
            <w:pPr>
              <w:ind w:left="0" w:firstLine="0"/>
            </w:pPr>
            <w:r w:rsidRPr="00531EC8">
              <w:t>GEF provides funds that can support the modernization and update of an existing NWI.</w:t>
            </w:r>
          </w:p>
        </w:tc>
        <w:tc>
          <w:tcPr>
            <w:tcW w:w="2254" w:type="dxa"/>
          </w:tcPr>
          <w:p w14:paraId="232AF22E" w14:textId="77777777" w:rsidR="00D70939" w:rsidRPr="00531EC8" w:rsidRDefault="00D70939" w:rsidP="00531EC8">
            <w:pPr>
              <w:ind w:left="0" w:firstLine="0"/>
            </w:pPr>
            <w:r w:rsidRPr="00531EC8">
              <w:t>Collaborations with universities and research institutes reduce investigation costs when the experts’ salaries are already funded.</w:t>
            </w:r>
          </w:p>
        </w:tc>
        <w:tc>
          <w:tcPr>
            <w:tcW w:w="2254" w:type="dxa"/>
          </w:tcPr>
          <w:p w14:paraId="419992F9" w14:textId="77777777" w:rsidR="00D70939" w:rsidRPr="00531EC8" w:rsidRDefault="00D70939" w:rsidP="00531EC8">
            <w:pPr>
              <w:ind w:left="0" w:firstLine="0"/>
            </w:pPr>
          </w:p>
        </w:tc>
      </w:tr>
    </w:tbl>
    <w:p w14:paraId="7C3873F4" w14:textId="77777777" w:rsidR="00B11837" w:rsidRPr="00531EC8" w:rsidRDefault="00B11837" w:rsidP="00531EC8"/>
    <w:sectPr w:rsidR="00B11837" w:rsidRPr="00531EC8" w:rsidSect="00A02DEF">
      <w:headerReference w:type="default" r:id="rId8"/>
      <w:footerReference w:type="default" r:id="rId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CEB3AE" w16cex:dateUtc="2024-03-25T08:35:00Z"/>
  <w16cex:commentExtensible w16cex:durableId="42B30CE9" w16cex:dateUtc="2024-03-25T08:37:00Z"/>
  <w16cex:commentExtensible w16cex:durableId="524093EC" w16cex:dateUtc="2024-03-25T08:37:00Z"/>
  <w16cex:commentExtensible w16cex:durableId="11347172" w16cex:dateUtc="2024-03-25T0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408A" w14:textId="77777777" w:rsidR="00A02DEF" w:rsidRDefault="00A02DEF" w:rsidP="00D70939">
      <w:r>
        <w:separator/>
      </w:r>
    </w:p>
  </w:endnote>
  <w:endnote w:type="continuationSeparator" w:id="0">
    <w:p w14:paraId="327C0A9E" w14:textId="77777777" w:rsidR="00A02DEF" w:rsidRDefault="00A02DEF" w:rsidP="00D7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0A66" w14:textId="77777777" w:rsidR="00B12EA2" w:rsidRPr="00ED6A4F" w:rsidRDefault="00E7767D" w:rsidP="002137E0">
    <w:pPr>
      <w:pStyle w:val="Header"/>
    </w:pPr>
    <w:r w:rsidRPr="00ED6A4F">
      <w:rPr>
        <w:sz w:val="20"/>
        <w:szCs w:val="20"/>
      </w:rPr>
      <w:t xml:space="preserve">SC63 </w:t>
    </w:r>
    <w:r w:rsidR="00D70939">
      <w:rPr>
        <w:sz w:val="20"/>
        <w:szCs w:val="20"/>
      </w:rPr>
      <w:t>Inf</w:t>
    </w:r>
    <w:r w:rsidRPr="00ED6A4F">
      <w:rPr>
        <w:sz w:val="20"/>
        <w:szCs w:val="20"/>
      </w:rPr>
      <w:t>.</w:t>
    </w:r>
    <w:r w:rsidR="00D70939">
      <w:rPr>
        <w:sz w:val="20"/>
        <w:szCs w:val="20"/>
      </w:rPr>
      <w:t>2</w:t>
    </w:r>
    <w:r w:rsidRPr="00ED6A4F">
      <w:tab/>
    </w:r>
    <w:r w:rsidRPr="00ED6A4F">
      <w:tab/>
    </w:r>
    <w:sdt>
      <w:sdtPr>
        <w:id w:val="-1790969534"/>
        <w:docPartObj>
          <w:docPartGallery w:val="Page Numbers (Top of Page)"/>
          <w:docPartUnique/>
        </w:docPartObj>
      </w:sdtPr>
      <w:sdtEndPr/>
      <w:sdtContent>
        <w:r w:rsidRPr="00ED6A4F">
          <w:rPr>
            <w:sz w:val="20"/>
            <w:szCs w:val="20"/>
          </w:rPr>
          <w:fldChar w:fldCharType="begin"/>
        </w:r>
        <w:r w:rsidRPr="00ED6A4F">
          <w:rPr>
            <w:sz w:val="20"/>
            <w:szCs w:val="20"/>
          </w:rPr>
          <w:instrText xml:space="preserve"> PAGE   \* MERGEFORMAT </w:instrText>
        </w:r>
        <w:r w:rsidRPr="00ED6A4F">
          <w:rPr>
            <w:sz w:val="20"/>
            <w:szCs w:val="20"/>
          </w:rPr>
          <w:fldChar w:fldCharType="separate"/>
        </w:r>
        <w:r w:rsidRPr="00ED6A4F">
          <w:rPr>
            <w:sz w:val="20"/>
            <w:szCs w:val="20"/>
          </w:rPr>
          <w:t>4</w:t>
        </w:r>
        <w:r w:rsidRPr="00ED6A4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FC5E" w14:textId="77777777" w:rsidR="00A02DEF" w:rsidRDefault="00A02DEF" w:rsidP="00D70939">
      <w:r>
        <w:separator/>
      </w:r>
    </w:p>
  </w:footnote>
  <w:footnote w:type="continuationSeparator" w:id="0">
    <w:p w14:paraId="56284CA2" w14:textId="77777777" w:rsidR="00A02DEF" w:rsidRDefault="00A02DEF" w:rsidP="00D70939">
      <w:r>
        <w:continuationSeparator/>
      </w:r>
    </w:p>
  </w:footnote>
  <w:footnote w:id="1">
    <w:p w14:paraId="717E2446" w14:textId="77777777" w:rsidR="00B56C00" w:rsidRDefault="00B56C00">
      <w:pPr>
        <w:pStyle w:val="FootnoteText"/>
      </w:pPr>
      <w:r>
        <w:rPr>
          <w:rStyle w:val="FootnoteReference"/>
        </w:rPr>
        <w:footnoteRef/>
      </w:r>
      <w:r>
        <w:t xml:space="preserve"> See </w:t>
      </w:r>
      <w:hyperlink r:id="rId1" w:history="1">
        <w:r w:rsidRPr="00A8046D">
          <w:rPr>
            <w:rStyle w:val="Hyperlink"/>
          </w:rPr>
          <w:t>https://www.ramsar.org/document/new-toolkit-national-wetlands-inventories</w:t>
        </w:r>
      </w:hyperlink>
      <w:r>
        <w:t xml:space="preserve">. </w:t>
      </w:r>
    </w:p>
  </w:footnote>
  <w:footnote w:id="2">
    <w:p w14:paraId="0F427E74" w14:textId="2ED47EFC" w:rsidR="00D70939" w:rsidRDefault="00D70939" w:rsidP="00D70939">
      <w:pPr>
        <w:pStyle w:val="FootnoteText"/>
      </w:pPr>
      <w:r>
        <w:rPr>
          <w:rStyle w:val="FootnoteReference"/>
        </w:rPr>
        <w:footnoteRef/>
      </w:r>
      <w:r>
        <w:t xml:space="preserve"> </w:t>
      </w:r>
      <w:r>
        <w:rPr>
          <w:rFonts w:cstheme="minorHAnsi"/>
        </w:rPr>
        <w:t xml:space="preserve">For instance, </w:t>
      </w:r>
      <w:hyperlink r:id="rId2" w:history="1">
        <w:r w:rsidRPr="006630F1">
          <w:rPr>
            <w:rStyle w:val="Hyperlink"/>
            <w:rFonts w:cstheme="minorHAnsi"/>
          </w:rPr>
          <w:t>GlobWetland Africa</w:t>
        </w:r>
      </w:hyperlink>
      <w:r>
        <w:rPr>
          <w:rFonts w:cstheme="minorHAnsi"/>
        </w:rPr>
        <w:t xml:space="preserve"> or </w:t>
      </w:r>
      <w:hyperlink r:id="rId3" w:history="1">
        <w:r w:rsidRPr="008E24D9">
          <w:rPr>
            <w:rStyle w:val="Hyperlink"/>
            <w:rFonts w:cstheme="minorHAnsi"/>
          </w:rPr>
          <w:t>MedWet Inventory System</w:t>
        </w:r>
      </w:hyperlink>
      <w:r>
        <w:rPr>
          <w:rFonts w:cstheme="minorHAnsi"/>
        </w:rPr>
        <w:t>.</w:t>
      </w:r>
    </w:p>
  </w:footnote>
  <w:footnote w:id="3">
    <w:p w14:paraId="04F9E6B6" w14:textId="77777777" w:rsidR="00CB03BE" w:rsidRDefault="00CB03BE">
      <w:pPr>
        <w:pStyle w:val="FootnoteText"/>
      </w:pPr>
      <w:r>
        <w:rPr>
          <w:rStyle w:val="FootnoteReference"/>
        </w:rPr>
        <w:footnoteRef/>
      </w:r>
      <w:r>
        <w:t xml:space="preserve"> See </w:t>
      </w:r>
      <w:hyperlink r:id="rId4" w:history="1">
        <w:r w:rsidRPr="00A8046D">
          <w:rPr>
            <w:rStyle w:val="Hyperlink"/>
          </w:rPr>
          <w:t>https://www.ramsar.org/document/handbook-15-wetland-inventory</w:t>
        </w:r>
      </w:hyperlink>
      <w:r>
        <w:t>.</w:t>
      </w:r>
    </w:p>
  </w:footnote>
  <w:footnote w:id="4">
    <w:p w14:paraId="02147AEF" w14:textId="23962D96" w:rsidR="00D70939" w:rsidRPr="00350195" w:rsidRDefault="00D70939" w:rsidP="00350195">
      <w:pPr>
        <w:pStyle w:val="FootnoteText"/>
        <w:ind w:left="0" w:firstLine="0"/>
      </w:pPr>
      <w:r w:rsidRPr="00350195">
        <w:rPr>
          <w:rStyle w:val="FootnoteReference"/>
        </w:rPr>
        <w:footnoteRef/>
      </w:r>
      <w:r w:rsidRPr="00350195">
        <w:t xml:space="preserve"> Such as </w:t>
      </w:r>
      <w:r w:rsidR="00350195">
        <w:t>“</w:t>
      </w:r>
      <w:r w:rsidRPr="00350195">
        <w:t>Boulis</w:t>
      </w:r>
      <w:r w:rsidR="00350195">
        <w:t>”</w:t>
      </w:r>
      <w:r w:rsidRPr="00350195">
        <w:t xml:space="preserve"> (small rain-fed artificial or semi-artificial reservoirs) or ‘Marigots’ (portions of river or rivulet, that are disconnected from main channels) in Burkina Faso.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8A3D" w14:textId="77777777" w:rsidR="00B12EA2" w:rsidRPr="00ED6A4F" w:rsidRDefault="00B12EA2">
    <w:pPr>
      <w:pStyle w:val="Header"/>
    </w:pPr>
  </w:p>
  <w:p w14:paraId="7CC23D11" w14:textId="77777777" w:rsidR="00B12EA2" w:rsidRPr="00ED6A4F" w:rsidRDefault="00B1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C2"/>
    <w:multiLevelType w:val="hybridMultilevel"/>
    <w:tmpl w:val="E2EACEF4"/>
    <w:lvl w:ilvl="0" w:tplc="6F62616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39"/>
    <w:rsid w:val="00020929"/>
    <w:rsid w:val="00026820"/>
    <w:rsid w:val="00046221"/>
    <w:rsid w:val="000B307F"/>
    <w:rsid w:val="0011696E"/>
    <w:rsid w:val="00182BE4"/>
    <w:rsid w:val="001D5A34"/>
    <w:rsid w:val="00311733"/>
    <w:rsid w:val="00350195"/>
    <w:rsid w:val="00367634"/>
    <w:rsid w:val="00492BE6"/>
    <w:rsid w:val="00531EC8"/>
    <w:rsid w:val="00556B98"/>
    <w:rsid w:val="005917CF"/>
    <w:rsid w:val="005D2326"/>
    <w:rsid w:val="00603F80"/>
    <w:rsid w:val="00647F1D"/>
    <w:rsid w:val="00673590"/>
    <w:rsid w:val="00740057"/>
    <w:rsid w:val="00745C17"/>
    <w:rsid w:val="007B0DF9"/>
    <w:rsid w:val="007E4D52"/>
    <w:rsid w:val="007F7F0D"/>
    <w:rsid w:val="008208D6"/>
    <w:rsid w:val="00822CF9"/>
    <w:rsid w:val="009121D0"/>
    <w:rsid w:val="00925BFC"/>
    <w:rsid w:val="00985729"/>
    <w:rsid w:val="009952BE"/>
    <w:rsid w:val="00A0214C"/>
    <w:rsid w:val="00A02DEF"/>
    <w:rsid w:val="00A16CB8"/>
    <w:rsid w:val="00A34200"/>
    <w:rsid w:val="00A35A63"/>
    <w:rsid w:val="00A56571"/>
    <w:rsid w:val="00A91E5F"/>
    <w:rsid w:val="00B11837"/>
    <w:rsid w:val="00B12EA2"/>
    <w:rsid w:val="00B46CCA"/>
    <w:rsid w:val="00B56C00"/>
    <w:rsid w:val="00C05BC5"/>
    <w:rsid w:val="00C167E7"/>
    <w:rsid w:val="00C22D2B"/>
    <w:rsid w:val="00C26104"/>
    <w:rsid w:val="00C733B4"/>
    <w:rsid w:val="00C957B1"/>
    <w:rsid w:val="00CA3116"/>
    <w:rsid w:val="00CB03BE"/>
    <w:rsid w:val="00CE17F5"/>
    <w:rsid w:val="00D1095A"/>
    <w:rsid w:val="00D17EFB"/>
    <w:rsid w:val="00D200FB"/>
    <w:rsid w:val="00D322DB"/>
    <w:rsid w:val="00D70939"/>
    <w:rsid w:val="00D96FBE"/>
    <w:rsid w:val="00DC1375"/>
    <w:rsid w:val="00DE25F4"/>
    <w:rsid w:val="00DE7EAA"/>
    <w:rsid w:val="00E12A54"/>
    <w:rsid w:val="00E52A0A"/>
    <w:rsid w:val="00E52A11"/>
    <w:rsid w:val="00E7767D"/>
    <w:rsid w:val="00F250FB"/>
    <w:rsid w:val="00F9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C64F"/>
  <w15:chartTrackingRefBased/>
  <w15:docId w15:val="{9D6343B4-118D-45D8-9F7C-2BD32385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939"/>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11733"/>
    <w:rPr>
      <w:color w:val="0000FF"/>
      <w:u w:val="single"/>
    </w:rPr>
  </w:style>
  <w:style w:type="paragraph" w:styleId="FootnoteText">
    <w:name w:val="footnote text"/>
    <w:basedOn w:val="Normal"/>
    <w:link w:val="FootnoteTextChar"/>
    <w:uiPriority w:val="99"/>
    <w:semiHidden/>
    <w:unhideWhenUsed/>
    <w:rsid w:val="00D70939"/>
    <w:rPr>
      <w:sz w:val="20"/>
      <w:szCs w:val="20"/>
    </w:rPr>
  </w:style>
  <w:style w:type="character" w:customStyle="1" w:styleId="FootnoteTextChar">
    <w:name w:val="Footnote Text Char"/>
    <w:basedOn w:val="DefaultParagraphFont"/>
    <w:link w:val="FootnoteText"/>
    <w:uiPriority w:val="99"/>
    <w:semiHidden/>
    <w:rsid w:val="00D70939"/>
    <w:rPr>
      <w:rFonts w:ascii="Calibri" w:eastAsia="Calibri" w:hAnsi="Calibri" w:cs="Times New Roman"/>
      <w:sz w:val="20"/>
      <w:szCs w:val="20"/>
    </w:rPr>
  </w:style>
  <w:style w:type="paragraph" w:styleId="ListParagraph">
    <w:name w:val="List Paragraph"/>
    <w:basedOn w:val="Normal"/>
    <w:uiPriority w:val="34"/>
    <w:qFormat/>
    <w:rsid w:val="00D70939"/>
    <w:pPr>
      <w:ind w:left="720"/>
      <w:contextualSpacing/>
    </w:pPr>
  </w:style>
  <w:style w:type="character" w:styleId="FootnoteReference">
    <w:name w:val="footnote reference"/>
    <w:basedOn w:val="DefaultParagraphFont"/>
    <w:uiPriority w:val="99"/>
    <w:semiHidden/>
    <w:unhideWhenUsed/>
    <w:rsid w:val="00D70939"/>
    <w:rPr>
      <w:vertAlign w:val="superscript"/>
    </w:rPr>
  </w:style>
  <w:style w:type="paragraph" w:styleId="Header">
    <w:name w:val="header"/>
    <w:basedOn w:val="Normal"/>
    <w:link w:val="HeaderChar"/>
    <w:uiPriority w:val="99"/>
    <w:unhideWhenUsed/>
    <w:rsid w:val="00D70939"/>
    <w:pPr>
      <w:tabs>
        <w:tab w:val="center" w:pos="4513"/>
        <w:tab w:val="right" w:pos="9026"/>
      </w:tabs>
    </w:pPr>
  </w:style>
  <w:style w:type="character" w:customStyle="1" w:styleId="HeaderChar">
    <w:name w:val="Header Char"/>
    <w:basedOn w:val="DefaultParagraphFont"/>
    <w:link w:val="Header"/>
    <w:uiPriority w:val="99"/>
    <w:rsid w:val="00D70939"/>
    <w:rPr>
      <w:rFonts w:ascii="Calibri" w:eastAsia="Calibri" w:hAnsi="Calibri" w:cs="Times New Roman"/>
    </w:rPr>
  </w:style>
  <w:style w:type="table" w:styleId="TableGrid">
    <w:name w:val="Table Grid"/>
    <w:basedOn w:val="TableNormal"/>
    <w:uiPriority w:val="39"/>
    <w:rsid w:val="00D70939"/>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93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70939"/>
    <w:rPr>
      <w:rFonts w:ascii="MS Shell Dlg" w:eastAsia="Calibri" w:hAnsi="MS Shell Dlg" w:cs="MS Shell Dlg"/>
      <w:sz w:val="18"/>
      <w:szCs w:val="18"/>
    </w:rPr>
  </w:style>
  <w:style w:type="paragraph" w:styleId="Footer">
    <w:name w:val="footer"/>
    <w:basedOn w:val="Normal"/>
    <w:link w:val="FooterChar"/>
    <w:uiPriority w:val="99"/>
    <w:unhideWhenUsed/>
    <w:rsid w:val="00D70939"/>
    <w:pPr>
      <w:tabs>
        <w:tab w:val="center" w:pos="4513"/>
        <w:tab w:val="right" w:pos="9026"/>
      </w:tabs>
    </w:pPr>
  </w:style>
  <w:style w:type="character" w:customStyle="1" w:styleId="FooterChar">
    <w:name w:val="Footer Char"/>
    <w:basedOn w:val="DefaultParagraphFont"/>
    <w:link w:val="Footer"/>
    <w:uiPriority w:val="99"/>
    <w:rsid w:val="00D70939"/>
    <w:rPr>
      <w:rFonts w:ascii="Calibri" w:eastAsia="Calibri" w:hAnsi="Calibri" w:cs="Times New Roman"/>
    </w:rPr>
  </w:style>
  <w:style w:type="character" w:styleId="UnresolvedMention">
    <w:name w:val="Unresolved Mention"/>
    <w:basedOn w:val="DefaultParagraphFont"/>
    <w:uiPriority w:val="99"/>
    <w:semiHidden/>
    <w:unhideWhenUsed/>
    <w:rsid w:val="00B56C00"/>
    <w:rPr>
      <w:color w:val="605E5C"/>
      <w:shd w:val="clear" w:color="auto" w:fill="E1DFDD"/>
    </w:rPr>
  </w:style>
  <w:style w:type="character" w:styleId="FollowedHyperlink">
    <w:name w:val="FollowedHyperlink"/>
    <w:basedOn w:val="DefaultParagraphFont"/>
    <w:uiPriority w:val="99"/>
    <w:semiHidden/>
    <w:unhideWhenUsed/>
    <w:rsid w:val="00B56C00"/>
    <w:rPr>
      <w:color w:val="954F72" w:themeColor="followedHyperlink"/>
      <w:u w:val="single"/>
    </w:rPr>
  </w:style>
  <w:style w:type="character" w:styleId="CommentReference">
    <w:name w:val="annotation reference"/>
    <w:basedOn w:val="DefaultParagraphFont"/>
    <w:uiPriority w:val="99"/>
    <w:semiHidden/>
    <w:unhideWhenUsed/>
    <w:rsid w:val="00CE17F5"/>
    <w:rPr>
      <w:sz w:val="16"/>
      <w:szCs w:val="16"/>
    </w:rPr>
  </w:style>
  <w:style w:type="paragraph" w:styleId="CommentText">
    <w:name w:val="annotation text"/>
    <w:basedOn w:val="Normal"/>
    <w:link w:val="CommentTextChar"/>
    <w:uiPriority w:val="99"/>
    <w:unhideWhenUsed/>
    <w:rsid w:val="00CE17F5"/>
    <w:rPr>
      <w:sz w:val="20"/>
      <w:szCs w:val="20"/>
    </w:rPr>
  </w:style>
  <w:style w:type="character" w:customStyle="1" w:styleId="CommentTextChar">
    <w:name w:val="Comment Text Char"/>
    <w:basedOn w:val="DefaultParagraphFont"/>
    <w:link w:val="CommentText"/>
    <w:uiPriority w:val="99"/>
    <w:rsid w:val="00CE17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7F5"/>
    <w:rPr>
      <w:b/>
      <w:bCs/>
    </w:rPr>
  </w:style>
  <w:style w:type="character" w:customStyle="1" w:styleId="CommentSubjectChar">
    <w:name w:val="Comment Subject Char"/>
    <w:basedOn w:val="CommentTextChar"/>
    <w:link w:val="CommentSubject"/>
    <w:uiPriority w:val="99"/>
    <w:semiHidden/>
    <w:rsid w:val="00CE17F5"/>
    <w:rPr>
      <w:rFonts w:ascii="Calibri" w:eastAsia="Calibri" w:hAnsi="Calibri" w:cs="Times New Roman"/>
      <w:b/>
      <w:bCs/>
      <w:sz w:val="20"/>
      <w:szCs w:val="20"/>
    </w:rPr>
  </w:style>
  <w:style w:type="paragraph" w:styleId="Revision">
    <w:name w:val="Revision"/>
    <w:hidden/>
    <w:uiPriority w:val="99"/>
    <w:semiHidden/>
    <w:rsid w:val="00E52A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edwet.org/medwet-inventory/" TargetMode="External"/><Relationship Id="rId2" Type="http://schemas.openxmlformats.org/officeDocument/2006/relationships/hyperlink" Target="http://globwetland-africa.org/" TargetMode="External"/><Relationship Id="rId1" Type="http://schemas.openxmlformats.org/officeDocument/2006/relationships/hyperlink" Target="https://www.ramsar.org/document/new-toolkit-national-wetlands-inventories" TargetMode="External"/><Relationship Id="rId4" Type="http://schemas.openxmlformats.org/officeDocument/2006/relationships/hyperlink" Target="https://www.ramsar.org/document/handbook-15-wetland-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7F17-034B-4CDF-83F0-9C20E351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2024-03-28T15:55:00Z</dcterms:created>
  <dcterms:modified xsi:type="dcterms:W3CDTF">2024-03-28T15:55:00Z</dcterms:modified>
</cp:coreProperties>
</file>